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36DDA8" w14:textId="02CBF4D7" w:rsidR="002F2D48" w:rsidRPr="006F284F" w:rsidRDefault="00BA394D" w:rsidP="002F2D48">
      <w:pPr>
        <w:tabs>
          <w:tab w:val="left" w:pos="-1440"/>
          <w:tab w:val="left" w:pos="-72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90"/>
          <w:tab w:val="left" w:pos="10080"/>
          <w:tab w:val="left" w:pos="10800"/>
        </w:tabs>
        <w:overflowPunct w:val="0"/>
        <w:autoSpaceDE w:val="0"/>
        <w:autoSpaceDN w:val="0"/>
        <w:adjustRightInd w:val="0"/>
        <w:spacing w:after="0" w:line="240" w:lineRule="atLeast"/>
        <w:jc w:val="right"/>
        <w:textAlignment w:val="baseline"/>
        <w:rPr>
          <w:rFonts w:eastAsia="Times New Roman"/>
          <w:b/>
          <w:color w:val="000000"/>
          <w:sz w:val="60"/>
          <w:szCs w:val="60"/>
        </w:rPr>
      </w:pPr>
      <w:r>
        <w:rPr>
          <w:rFonts w:eastAsia="Times New Roman"/>
          <w:b/>
          <w:color w:val="000000"/>
          <w:sz w:val="60"/>
          <w:szCs w:val="60"/>
        </w:rPr>
        <w:t>20</w:t>
      </w:r>
    </w:p>
    <w:p w14:paraId="49E25591" w14:textId="77777777" w:rsidR="002F2D48" w:rsidRPr="006F284F" w:rsidRDefault="002F2D48" w:rsidP="002F2D48">
      <w:pPr>
        <w:tabs>
          <w:tab w:val="left" w:pos="-1440"/>
          <w:tab w:val="left" w:pos="-72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90"/>
          <w:tab w:val="left" w:pos="10080"/>
          <w:tab w:val="left" w:pos="10800"/>
        </w:tabs>
        <w:overflowPunct w:val="0"/>
        <w:autoSpaceDE w:val="0"/>
        <w:autoSpaceDN w:val="0"/>
        <w:adjustRightInd w:val="0"/>
        <w:spacing w:after="0" w:line="240" w:lineRule="auto"/>
        <w:jc w:val="right"/>
        <w:textAlignment w:val="baseline"/>
        <w:rPr>
          <w:rFonts w:eastAsia="Times New Roman"/>
          <w:color w:val="000000"/>
          <w:szCs w:val="26"/>
        </w:rPr>
      </w:pPr>
    </w:p>
    <w:p w14:paraId="0AF965EF" w14:textId="77777777" w:rsidR="002F2D48" w:rsidRPr="006F284F" w:rsidRDefault="002F2D48" w:rsidP="002F2D48">
      <w:pPr>
        <w:tabs>
          <w:tab w:val="left" w:pos="-1440"/>
          <w:tab w:val="left" w:pos="-72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90"/>
          <w:tab w:val="left" w:pos="10080"/>
          <w:tab w:val="left" w:pos="10800"/>
        </w:tabs>
        <w:overflowPunct w:val="0"/>
        <w:autoSpaceDE w:val="0"/>
        <w:autoSpaceDN w:val="0"/>
        <w:adjustRightInd w:val="0"/>
        <w:spacing w:after="0" w:line="240" w:lineRule="auto"/>
        <w:jc w:val="right"/>
        <w:textAlignment w:val="baseline"/>
        <w:rPr>
          <w:rFonts w:eastAsia="Times New Roman"/>
          <w:color w:val="000000"/>
          <w:szCs w:val="26"/>
        </w:rPr>
      </w:pPr>
    </w:p>
    <w:p w14:paraId="1CC83587" w14:textId="77777777" w:rsidR="002F2D48" w:rsidRPr="006F284F" w:rsidRDefault="002F2D48" w:rsidP="00D743A9">
      <w:pPr>
        <w:tabs>
          <w:tab w:val="left" w:pos="-1440"/>
          <w:tab w:val="left" w:pos="-720"/>
          <w:tab w:val="left" w:pos="360"/>
          <w:tab w:val="left" w:pos="720"/>
          <w:tab w:val="left" w:pos="1440"/>
          <w:tab w:val="left" w:pos="2160"/>
          <w:tab w:val="left" w:pos="2880"/>
          <w:tab w:val="left" w:pos="3600"/>
          <w:tab w:val="left" w:pos="4320"/>
          <w:tab w:val="left" w:pos="5040"/>
          <w:tab w:val="left" w:pos="5760"/>
          <w:tab w:val="left" w:pos="6480"/>
          <w:tab w:val="left" w:pos="7200"/>
          <w:tab w:val="left" w:pos="8640"/>
          <w:tab w:val="left" w:pos="9090"/>
          <w:tab w:val="left" w:pos="10080"/>
          <w:tab w:val="left" w:pos="10800"/>
        </w:tabs>
        <w:overflowPunct w:val="0"/>
        <w:autoSpaceDE w:val="0"/>
        <w:autoSpaceDN w:val="0"/>
        <w:adjustRightInd w:val="0"/>
        <w:spacing w:after="0" w:line="240" w:lineRule="auto"/>
        <w:ind w:left="7200"/>
        <w:textAlignment w:val="baseline"/>
        <w:rPr>
          <w:rFonts w:eastAsia="Times New Roman"/>
          <w:color w:val="000000"/>
          <w:szCs w:val="26"/>
        </w:rPr>
      </w:pPr>
      <w:r w:rsidRPr="006F284F">
        <w:rPr>
          <w:rFonts w:eastAsia="Times New Roman"/>
          <w:color w:val="000000"/>
          <w:szCs w:val="26"/>
        </w:rPr>
        <w:t>Board Meeting</w:t>
      </w:r>
    </w:p>
    <w:p w14:paraId="47BA3C42" w14:textId="7752D336" w:rsidR="002F2D48" w:rsidRPr="006F284F" w:rsidRDefault="00E94C83" w:rsidP="00D743A9">
      <w:pPr>
        <w:tabs>
          <w:tab w:val="left" w:pos="-1440"/>
          <w:tab w:val="left" w:pos="-720"/>
          <w:tab w:val="left" w:pos="360"/>
          <w:tab w:val="left" w:pos="720"/>
          <w:tab w:val="left" w:pos="1440"/>
          <w:tab w:val="left" w:pos="2160"/>
          <w:tab w:val="left" w:pos="2880"/>
          <w:tab w:val="left" w:pos="3600"/>
          <w:tab w:val="left" w:pos="4320"/>
          <w:tab w:val="left" w:pos="5040"/>
          <w:tab w:val="left" w:pos="5760"/>
          <w:tab w:val="left" w:pos="6480"/>
          <w:tab w:val="left" w:pos="7200"/>
          <w:tab w:val="left" w:pos="8640"/>
          <w:tab w:val="left" w:pos="9090"/>
          <w:tab w:val="left" w:pos="10080"/>
          <w:tab w:val="left" w:pos="10800"/>
        </w:tabs>
        <w:overflowPunct w:val="0"/>
        <w:autoSpaceDE w:val="0"/>
        <w:autoSpaceDN w:val="0"/>
        <w:adjustRightInd w:val="0"/>
        <w:spacing w:after="0" w:line="240" w:lineRule="auto"/>
        <w:ind w:left="7200"/>
        <w:textAlignment w:val="baseline"/>
        <w:rPr>
          <w:rFonts w:eastAsia="Times New Roman"/>
          <w:szCs w:val="26"/>
        </w:rPr>
      </w:pPr>
      <w:r>
        <w:rPr>
          <w:rFonts w:eastAsia="Times New Roman"/>
          <w:szCs w:val="26"/>
        </w:rPr>
        <w:t>November 13</w:t>
      </w:r>
      <w:r w:rsidR="002F2D48" w:rsidRPr="006F284F">
        <w:rPr>
          <w:rFonts w:eastAsia="Times New Roman"/>
          <w:szCs w:val="26"/>
        </w:rPr>
        <w:t>, 202</w:t>
      </w:r>
      <w:r w:rsidR="00814D1D">
        <w:rPr>
          <w:rFonts w:eastAsia="Times New Roman"/>
          <w:szCs w:val="26"/>
        </w:rPr>
        <w:t>5</w:t>
      </w:r>
    </w:p>
    <w:p w14:paraId="4EA67D01" w14:textId="77777777" w:rsidR="002F2D48" w:rsidRPr="006F284F" w:rsidRDefault="002F2D48" w:rsidP="002F2D48">
      <w:pPr>
        <w:tabs>
          <w:tab w:val="left" w:pos="-1440"/>
          <w:tab w:val="left" w:pos="-72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90"/>
          <w:tab w:val="left" w:pos="10080"/>
          <w:tab w:val="left" w:pos="10800"/>
        </w:tabs>
        <w:overflowPunct w:val="0"/>
        <w:autoSpaceDE w:val="0"/>
        <w:autoSpaceDN w:val="0"/>
        <w:adjustRightInd w:val="0"/>
        <w:spacing w:after="0" w:line="240" w:lineRule="auto"/>
        <w:jc w:val="right"/>
        <w:textAlignment w:val="baseline"/>
        <w:rPr>
          <w:rFonts w:eastAsia="Times New Roman"/>
          <w:szCs w:val="26"/>
        </w:rPr>
      </w:pPr>
    </w:p>
    <w:p w14:paraId="64165EB6" w14:textId="77777777" w:rsidR="002F2D48" w:rsidRPr="006F284F" w:rsidRDefault="002F2D48" w:rsidP="002F2D48">
      <w:pPr>
        <w:tabs>
          <w:tab w:val="left" w:pos="-1440"/>
          <w:tab w:val="left" w:pos="-72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90"/>
          <w:tab w:val="left" w:pos="10080"/>
          <w:tab w:val="left" w:pos="10800"/>
        </w:tabs>
        <w:overflowPunct w:val="0"/>
        <w:autoSpaceDE w:val="0"/>
        <w:autoSpaceDN w:val="0"/>
        <w:adjustRightInd w:val="0"/>
        <w:spacing w:after="0" w:line="240" w:lineRule="auto"/>
        <w:jc w:val="right"/>
        <w:textAlignment w:val="baseline"/>
        <w:rPr>
          <w:rFonts w:eastAsia="Times New Roman"/>
          <w:szCs w:val="26"/>
        </w:rPr>
      </w:pPr>
    </w:p>
    <w:p w14:paraId="493C53AB" w14:textId="77777777" w:rsidR="002F2D48" w:rsidRPr="006F284F" w:rsidRDefault="002F2D48" w:rsidP="002F2D48">
      <w:pPr>
        <w:tabs>
          <w:tab w:val="left" w:pos="-1440"/>
          <w:tab w:val="left" w:pos="-72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90"/>
          <w:tab w:val="left" w:pos="10080"/>
          <w:tab w:val="left" w:pos="10800"/>
        </w:tabs>
        <w:overflowPunct w:val="0"/>
        <w:autoSpaceDE w:val="0"/>
        <w:autoSpaceDN w:val="0"/>
        <w:adjustRightInd w:val="0"/>
        <w:spacing w:after="0" w:line="240" w:lineRule="auto"/>
        <w:jc w:val="center"/>
        <w:textAlignment w:val="baseline"/>
        <w:rPr>
          <w:rFonts w:eastAsia="Times New Roman"/>
          <w:color w:val="000000"/>
          <w:szCs w:val="26"/>
        </w:rPr>
      </w:pPr>
      <w:r w:rsidRPr="006F284F">
        <w:rPr>
          <w:rFonts w:eastAsia="Times New Roman"/>
          <w:color w:val="000000"/>
          <w:szCs w:val="26"/>
        </w:rPr>
        <w:t>ROLL CALL</w:t>
      </w:r>
    </w:p>
    <w:p w14:paraId="2A62A203" w14:textId="77777777" w:rsidR="002F2D48" w:rsidRPr="006F284F" w:rsidRDefault="002F2D48" w:rsidP="002F2D48">
      <w:pPr>
        <w:tabs>
          <w:tab w:val="left" w:pos="-1440"/>
          <w:tab w:val="left" w:pos="-72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90"/>
          <w:tab w:val="left" w:pos="10080"/>
          <w:tab w:val="left" w:pos="10800"/>
        </w:tabs>
        <w:overflowPunct w:val="0"/>
        <w:autoSpaceDE w:val="0"/>
        <w:autoSpaceDN w:val="0"/>
        <w:adjustRightInd w:val="0"/>
        <w:spacing w:after="0" w:line="240" w:lineRule="auto"/>
        <w:jc w:val="center"/>
        <w:textAlignment w:val="baseline"/>
        <w:rPr>
          <w:rFonts w:eastAsia="Times New Roman"/>
          <w:color w:val="000000"/>
          <w:szCs w:val="26"/>
        </w:rPr>
      </w:pPr>
    </w:p>
    <w:p w14:paraId="24EE0D3B" w14:textId="77777777" w:rsidR="002F2D48" w:rsidRPr="00D7330E" w:rsidRDefault="002F2D48" w:rsidP="002F2D48">
      <w:pPr>
        <w:keepNext/>
        <w:tabs>
          <w:tab w:val="left" w:pos="-1440"/>
          <w:tab w:val="left" w:pos="-72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90"/>
          <w:tab w:val="left" w:pos="10080"/>
          <w:tab w:val="left" w:pos="10800"/>
        </w:tabs>
        <w:overflowPunct w:val="0"/>
        <w:autoSpaceDE w:val="0"/>
        <w:autoSpaceDN w:val="0"/>
        <w:adjustRightInd w:val="0"/>
        <w:spacing w:after="0" w:line="240" w:lineRule="auto"/>
        <w:jc w:val="center"/>
        <w:textAlignment w:val="baseline"/>
        <w:outlineLvl w:val="3"/>
        <w:rPr>
          <w:rFonts w:eastAsia="Times New Roman"/>
          <w:color w:val="000000"/>
          <w:szCs w:val="26"/>
        </w:rPr>
      </w:pPr>
      <w:r w:rsidRPr="00D7330E">
        <w:rPr>
          <w:rFonts w:eastAsia="Times New Roman"/>
          <w:color w:val="000000"/>
          <w:szCs w:val="26"/>
        </w:rPr>
        <w:t>PURCHASE RECOMMENDATIONS</w:t>
      </w:r>
    </w:p>
    <w:p w14:paraId="5B7E567D" w14:textId="77777777" w:rsidR="002F2D48" w:rsidRPr="00D7330E" w:rsidRDefault="002F2D48" w:rsidP="002F2D48">
      <w:pPr>
        <w:tabs>
          <w:tab w:val="left" w:pos="-1440"/>
          <w:tab w:val="left" w:pos="-72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90"/>
          <w:tab w:val="left" w:pos="10080"/>
          <w:tab w:val="left" w:pos="10800"/>
        </w:tabs>
        <w:overflowPunct w:val="0"/>
        <w:autoSpaceDE w:val="0"/>
        <w:autoSpaceDN w:val="0"/>
        <w:adjustRightInd w:val="0"/>
        <w:spacing w:after="0" w:line="240" w:lineRule="auto"/>
        <w:jc w:val="center"/>
        <w:textAlignment w:val="baseline"/>
        <w:rPr>
          <w:rFonts w:eastAsia="Times New Roman"/>
          <w:color w:val="000000"/>
          <w:szCs w:val="26"/>
        </w:rPr>
      </w:pPr>
    </w:p>
    <w:p w14:paraId="18C8F33F" w14:textId="2901CC5A" w:rsidR="002F2D48" w:rsidRPr="00D7330E" w:rsidRDefault="002F2D48" w:rsidP="002F2D48">
      <w:pPr>
        <w:tabs>
          <w:tab w:val="left" w:pos="-1440"/>
          <w:tab w:val="left" w:pos="-72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90"/>
          <w:tab w:val="left" w:pos="10080"/>
          <w:tab w:val="left" w:pos="10800"/>
        </w:tabs>
        <w:overflowPunct w:val="0"/>
        <w:autoSpaceDE w:val="0"/>
        <w:autoSpaceDN w:val="0"/>
        <w:adjustRightInd w:val="0"/>
        <w:spacing w:after="0" w:line="240" w:lineRule="auto"/>
        <w:textAlignment w:val="baseline"/>
        <w:rPr>
          <w:rFonts w:eastAsia="Times New Roman"/>
          <w:i/>
          <w:color w:val="000000"/>
          <w:szCs w:val="26"/>
        </w:rPr>
      </w:pPr>
      <w:r w:rsidRPr="00D7330E">
        <w:rPr>
          <w:rFonts w:eastAsia="Times New Roman"/>
          <w:color w:val="000000"/>
          <w:szCs w:val="26"/>
        </w:rPr>
        <w:t xml:space="preserve">Following </w:t>
      </w:r>
      <w:proofErr w:type="gramStart"/>
      <w:r w:rsidRPr="00D7330E">
        <w:rPr>
          <w:rFonts w:eastAsia="Times New Roman"/>
          <w:color w:val="000000"/>
          <w:szCs w:val="26"/>
        </w:rPr>
        <w:t>are</w:t>
      </w:r>
      <w:proofErr w:type="gramEnd"/>
      <w:r w:rsidRPr="00D7330E">
        <w:rPr>
          <w:rFonts w:eastAsia="Times New Roman"/>
          <w:color w:val="000000"/>
          <w:szCs w:val="26"/>
        </w:rPr>
        <w:t xml:space="preserve"> purchase recommendations proposed by each </w:t>
      </w:r>
      <w:r w:rsidR="00814D1D" w:rsidRPr="00D7330E">
        <w:rPr>
          <w:rFonts w:eastAsia="Times New Roman"/>
          <w:color w:val="000000"/>
          <w:szCs w:val="26"/>
        </w:rPr>
        <w:t>u</w:t>
      </w:r>
      <w:r w:rsidRPr="00D7330E">
        <w:rPr>
          <w:rFonts w:eastAsia="Times New Roman"/>
          <w:color w:val="000000"/>
          <w:szCs w:val="26"/>
        </w:rPr>
        <w:t>niversity and the System Office.</w:t>
      </w:r>
      <w:r w:rsidR="00D743A9" w:rsidRPr="00D7330E">
        <w:rPr>
          <w:rFonts w:eastAsia="Times New Roman"/>
          <w:color w:val="000000"/>
          <w:szCs w:val="26"/>
        </w:rPr>
        <w:t xml:space="preserve"> </w:t>
      </w:r>
      <w:r w:rsidRPr="00D7330E">
        <w:rPr>
          <w:rFonts w:eastAsia="Times New Roman"/>
          <w:color w:val="000000"/>
          <w:szCs w:val="26"/>
        </w:rPr>
        <w:t>The purchases are to be funded from State appropriations or institutional funds as appropriate.</w:t>
      </w:r>
      <w:r w:rsidR="00D743A9" w:rsidRPr="00D7330E">
        <w:rPr>
          <w:rFonts w:eastAsia="Times New Roman"/>
          <w:color w:val="000000"/>
          <w:szCs w:val="26"/>
        </w:rPr>
        <w:t xml:space="preserve"> </w:t>
      </w:r>
      <w:r w:rsidRPr="00D7330E">
        <w:rPr>
          <w:rFonts w:eastAsia="Times New Roman"/>
          <w:color w:val="000000"/>
          <w:szCs w:val="26"/>
        </w:rPr>
        <w:t>Unless otherwise specified or indicated, purchases are based on the lowest acceptable bid.</w:t>
      </w:r>
      <w:r w:rsidR="00D743A9" w:rsidRPr="00D7330E">
        <w:rPr>
          <w:rFonts w:eastAsia="Times New Roman"/>
          <w:color w:val="000000"/>
          <w:szCs w:val="26"/>
        </w:rPr>
        <w:t xml:space="preserve"> </w:t>
      </w:r>
      <w:r w:rsidRPr="00D7330E">
        <w:rPr>
          <w:rFonts w:eastAsia="Times New Roman"/>
          <w:color w:val="000000"/>
          <w:szCs w:val="26"/>
        </w:rPr>
        <w:t xml:space="preserve">The </w:t>
      </w:r>
      <w:r w:rsidR="00814D1D" w:rsidRPr="00D7330E">
        <w:rPr>
          <w:rFonts w:eastAsia="Times New Roman"/>
          <w:color w:val="000000"/>
          <w:szCs w:val="26"/>
        </w:rPr>
        <w:t>v</w:t>
      </w:r>
      <w:r w:rsidRPr="00D7330E">
        <w:rPr>
          <w:rFonts w:eastAsia="Times New Roman"/>
          <w:color w:val="000000"/>
          <w:szCs w:val="26"/>
        </w:rPr>
        <w:t xml:space="preserve">ice </w:t>
      </w:r>
      <w:r w:rsidR="00814D1D" w:rsidRPr="00D7330E">
        <w:rPr>
          <w:rFonts w:eastAsia="Times New Roman"/>
          <w:color w:val="000000"/>
          <w:szCs w:val="26"/>
        </w:rPr>
        <w:t>p</w:t>
      </w:r>
      <w:r w:rsidRPr="00D7330E">
        <w:rPr>
          <w:rFonts w:eastAsia="Times New Roman"/>
          <w:color w:val="000000"/>
          <w:szCs w:val="26"/>
        </w:rPr>
        <w:t>resident</w:t>
      </w:r>
      <w:r w:rsidR="00814D1D" w:rsidRPr="00D7330E">
        <w:rPr>
          <w:rFonts w:eastAsia="Times New Roman"/>
          <w:color w:val="000000"/>
          <w:szCs w:val="26"/>
        </w:rPr>
        <w:t>/c</w:t>
      </w:r>
      <w:r w:rsidRPr="00D7330E">
        <w:rPr>
          <w:rFonts w:eastAsia="Times New Roman"/>
          <w:color w:val="000000"/>
          <w:szCs w:val="26"/>
        </w:rPr>
        <w:t xml:space="preserve">hief </w:t>
      </w:r>
      <w:r w:rsidR="00814D1D" w:rsidRPr="00D7330E">
        <w:rPr>
          <w:rFonts w:eastAsia="Times New Roman"/>
          <w:color w:val="000000"/>
          <w:szCs w:val="26"/>
        </w:rPr>
        <w:t>f</w:t>
      </w:r>
      <w:r w:rsidRPr="00D7330E">
        <w:rPr>
          <w:rFonts w:eastAsia="Times New Roman"/>
          <w:color w:val="000000"/>
          <w:szCs w:val="26"/>
        </w:rPr>
        <w:t xml:space="preserve">inancial </w:t>
      </w:r>
      <w:r w:rsidR="00814D1D" w:rsidRPr="00D7330E">
        <w:rPr>
          <w:rFonts w:eastAsia="Times New Roman"/>
          <w:color w:val="000000"/>
          <w:szCs w:val="26"/>
        </w:rPr>
        <w:t>o</w:t>
      </w:r>
      <w:r w:rsidRPr="00D7330E">
        <w:rPr>
          <w:rFonts w:eastAsia="Times New Roman"/>
          <w:color w:val="000000"/>
          <w:szCs w:val="26"/>
        </w:rPr>
        <w:t xml:space="preserve">fficer and </w:t>
      </w:r>
      <w:r w:rsidR="00814D1D" w:rsidRPr="00D7330E">
        <w:rPr>
          <w:rFonts w:eastAsia="Times New Roman"/>
          <w:color w:val="000000"/>
          <w:szCs w:val="26"/>
        </w:rPr>
        <w:t>c</w:t>
      </w:r>
      <w:r w:rsidRPr="00D7330E">
        <w:rPr>
          <w:rFonts w:eastAsia="Times New Roman"/>
          <w:color w:val="000000"/>
          <w:szCs w:val="26"/>
        </w:rPr>
        <w:t xml:space="preserve">omptroller has approved all purchases to be funded from State appropriations in accordance with the </w:t>
      </w:r>
      <w:r w:rsidRPr="00D7330E">
        <w:rPr>
          <w:rFonts w:eastAsia="Times New Roman"/>
          <w:i/>
          <w:color w:val="000000"/>
          <w:szCs w:val="26"/>
        </w:rPr>
        <w:t xml:space="preserve">Bylaws of the Board of Trustees </w:t>
      </w:r>
      <w:r w:rsidRPr="00D7330E">
        <w:rPr>
          <w:rFonts w:eastAsia="Times New Roman"/>
          <w:color w:val="000000"/>
          <w:szCs w:val="26"/>
        </w:rPr>
        <w:t xml:space="preserve">and </w:t>
      </w:r>
      <w:r w:rsidR="0065149B" w:rsidRPr="0065149B">
        <w:rPr>
          <w:rFonts w:eastAsia="Times New Roman"/>
          <w:i/>
          <w:iCs/>
          <w:color w:val="000000"/>
          <w:szCs w:val="26"/>
        </w:rPr>
        <w:t>The</w:t>
      </w:r>
      <w:r w:rsidRPr="0065149B">
        <w:rPr>
          <w:rFonts w:eastAsia="Times New Roman"/>
          <w:i/>
          <w:iCs/>
          <w:color w:val="000000"/>
          <w:szCs w:val="26"/>
        </w:rPr>
        <w:t xml:space="preserve"> </w:t>
      </w:r>
      <w:r w:rsidRPr="00D7330E">
        <w:rPr>
          <w:rFonts w:eastAsia="Times New Roman"/>
          <w:i/>
          <w:color w:val="000000"/>
          <w:szCs w:val="26"/>
        </w:rPr>
        <w:t>General Rules Concerning University Organization and Procedure.</w:t>
      </w:r>
    </w:p>
    <w:p w14:paraId="702878B2" w14:textId="77777777" w:rsidR="002F2D48" w:rsidRPr="00D7330E" w:rsidRDefault="002F2D48" w:rsidP="002F2D48">
      <w:pPr>
        <w:tabs>
          <w:tab w:val="left" w:pos="-1440"/>
          <w:tab w:val="left" w:pos="-72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90"/>
          <w:tab w:val="left" w:pos="10080"/>
          <w:tab w:val="left" w:pos="10800"/>
        </w:tabs>
        <w:overflowPunct w:val="0"/>
        <w:autoSpaceDE w:val="0"/>
        <w:autoSpaceDN w:val="0"/>
        <w:adjustRightInd w:val="0"/>
        <w:spacing w:after="0" w:line="240" w:lineRule="auto"/>
        <w:textAlignment w:val="baseline"/>
        <w:rPr>
          <w:rFonts w:eastAsia="Times New Roman"/>
          <w:color w:val="000000"/>
          <w:szCs w:val="26"/>
        </w:rPr>
      </w:pPr>
    </w:p>
    <w:p w14:paraId="5BAB4970" w14:textId="43D7B87D" w:rsidR="002F2D48" w:rsidRPr="00D7330E" w:rsidRDefault="002F2D48" w:rsidP="002F2D48">
      <w:pPr>
        <w:tabs>
          <w:tab w:val="left" w:pos="-1440"/>
          <w:tab w:val="left" w:pos="-72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90"/>
          <w:tab w:val="left" w:pos="10080"/>
          <w:tab w:val="left" w:pos="10800"/>
        </w:tabs>
        <w:overflowPunct w:val="0"/>
        <w:autoSpaceDE w:val="0"/>
        <w:autoSpaceDN w:val="0"/>
        <w:adjustRightInd w:val="0"/>
        <w:spacing w:after="0" w:line="240" w:lineRule="auto"/>
        <w:textAlignment w:val="baseline"/>
        <w:rPr>
          <w:rFonts w:eastAsia="Times New Roman"/>
          <w:color w:val="000000"/>
          <w:szCs w:val="26"/>
        </w:rPr>
      </w:pPr>
      <w:r w:rsidRPr="00D7330E">
        <w:rPr>
          <w:rFonts w:eastAsia="Times New Roman"/>
          <w:color w:val="000000"/>
          <w:szCs w:val="26"/>
        </w:rPr>
        <w:t xml:space="preserve">The Board action recommended in this item complies in all material respects with applicable State and </w:t>
      </w:r>
      <w:r w:rsidR="00814D1D" w:rsidRPr="00D7330E">
        <w:rPr>
          <w:rFonts w:eastAsia="Times New Roman"/>
          <w:color w:val="000000"/>
          <w:szCs w:val="26"/>
        </w:rPr>
        <w:t>f</w:t>
      </w:r>
      <w:r w:rsidRPr="00D7330E">
        <w:rPr>
          <w:rFonts w:eastAsia="Times New Roman"/>
          <w:color w:val="000000"/>
          <w:szCs w:val="26"/>
        </w:rPr>
        <w:t xml:space="preserve">ederal laws, University of Illinois </w:t>
      </w:r>
      <w:r w:rsidRPr="00D7330E">
        <w:rPr>
          <w:rFonts w:eastAsia="Times New Roman"/>
          <w:i/>
          <w:color w:val="000000"/>
          <w:szCs w:val="26"/>
        </w:rPr>
        <w:t>Statutes</w:t>
      </w:r>
      <w:r w:rsidRPr="00D7330E">
        <w:rPr>
          <w:rFonts w:eastAsia="Times New Roman"/>
          <w:iCs/>
          <w:color w:val="000000"/>
          <w:szCs w:val="26"/>
        </w:rPr>
        <w:t xml:space="preserve">, </w:t>
      </w:r>
      <w:r w:rsidRPr="00D7330E">
        <w:rPr>
          <w:rFonts w:eastAsia="Times New Roman"/>
          <w:i/>
          <w:color w:val="000000"/>
          <w:szCs w:val="26"/>
        </w:rPr>
        <w:t>The General Rules Concerning University Organization and Procedure</w:t>
      </w:r>
      <w:r w:rsidRPr="00D7330E">
        <w:rPr>
          <w:rFonts w:eastAsia="Times New Roman"/>
          <w:color w:val="000000"/>
          <w:szCs w:val="26"/>
        </w:rPr>
        <w:t>, and Board of Trustees policies and directives.</w:t>
      </w:r>
    </w:p>
    <w:p w14:paraId="552D226E" w14:textId="77777777" w:rsidR="002F2D48" w:rsidRPr="00D7330E" w:rsidRDefault="002F2D48" w:rsidP="002F2D48">
      <w:pPr>
        <w:tabs>
          <w:tab w:val="left" w:pos="-1440"/>
          <w:tab w:val="left" w:pos="-72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90"/>
          <w:tab w:val="left" w:pos="10080"/>
          <w:tab w:val="left" w:pos="10800"/>
        </w:tabs>
        <w:overflowPunct w:val="0"/>
        <w:autoSpaceDE w:val="0"/>
        <w:autoSpaceDN w:val="0"/>
        <w:adjustRightInd w:val="0"/>
        <w:spacing w:after="0" w:line="240" w:lineRule="auto"/>
        <w:jc w:val="both"/>
        <w:textAlignment w:val="baseline"/>
        <w:rPr>
          <w:rFonts w:eastAsia="Times New Roman"/>
          <w:color w:val="000000"/>
          <w:szCs w:val="26"/>
        </w:rPr>
      </w:pPr>
    </w:p>
    <w:p w14:paraId="3F8EC082" w14:textId="77777777" w:rsidR="002F2D48" w:rsidRPr="00D7330E" w:rsidRDefault="002F2D48" w:rsidP="002F2D48">
      <w:pPr>
        <w:tabs>
          <w:tab w:val="left" w:pos="-1440"/>
          <w:tab w:val="left" w:pos="-72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90"/>
          <w:tab w:val="left" w:pos="10080"/>
          <w:tab w:val="left" w:pos="10800"/>
        </w:tabs>
        <w:overflowPunct w:val="0"/>
        <w:autoSpaceDE w:val="0"/>
        <w:autoSpaceDN w:val="0"/>
        <w:adjustRightInd w:val="0"/>
        <w:spacing w:after="0" w:line="240" w:lineRule="auto"/>
        <w:jc w:val="both"/>
        <w:textAlignment w:val="baseline"/>
        <w:rPr>
          <w:rFonts w:eastAsia="Times New Roman"/>
          <w:color w:val="000000"/>
          <w:szCs w:val="26"/>
        </w:rPr>
      </w:pPr>
      <w:r w:rsidRPr="00D7330E">
        <w:rPr>
          <w:rFonts w:eastAsia="Times New Roman"/>
          <w:color w:val="000000"/>
          <w:szCs w:val="26"/>
        </w:rPr>
        <w:t>The president of the University of Illinois System concurs.</w:t>
      </w:r>
    </w:p>
    <w:p w14:paraId="19EA8323" w14:textId="54B584C5" w:rsidR="00252F86" w:rsidRPr="00D7330E" w:rsidRDefault="00252F86" w:rsidP="00EC5861">
      <w:pPr>
        <w:tabs>
          <w:tab w:val="left" w:pos="-1440"/>
          <w:tab w:val="left" w:pos="-72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90"/>
          <w:tab w:val="left" w:pos="10080"/>
          <w:tab w:val="left" w:pos="10800"/>
        </w:tabs>
        <w:overflowPunct w:val="0"/>
        <w:autoSpaceDE w:val="0"/>
        <w:autoSpaceDN w:val="0"/>
        <w:adjustRightInd w:val="0"/>
        <w:spacing w:after="0" w:line="240" w:lineRule="auto"/>
        <w:jc w:val="both"/>
        <w:textAlignment w:val="baseline"/>
        <w:rPr>
          <w:rFonts w:eastAsia="Times New Roman"/>
          <w:color w:val="000000"/>
          <w:szCs w:val="26"/>
        </w:rPr>
      </w:pPr>
    </w:p>
    <w:p w14:paraId="0BDB4969" w14:textId="7ECED5C2" w:rsidR="00EB675E" w:rsidRPr="00D7330E" w:rsidRDefault="00252F86" w:rsidP="00252F86">
      <w:pPr>
        <w:spacing w:after="0" w:line="240" w:lineRule="auto"/>
        <w:jc w:val="center"/>
        <w:rPr>
          <w:b/>
          <w:szCs w:val="26"/>
        </w:rPr>
      </w:pPr>
      <w:r w:rsidRPr="00D7330E">
        <w:rPr>
          <w:b/>
          <w:szCs w:val="26"/>
        </w:rPr>
        <w:t>PURCHASES RECOMMENDED</w:t>
      </w:r>
    </w:p>
    <w:p w14:paraId="5FEB6345" w14:textId="77777777" w:rsidR="006722F9" w:rsidRPr="00D7330E" w:rsidRDefault="006722F9" w:rsidP="00252F86">
      <w:pPr>
        <w:spacing w:after="0" w:line="240" w:lineRule="auto"/>
        <w:jc w:val="center"/>
        <w:rPr>
          <w:b/>
          <w:szCs w:val="26"/>
        </w:rPr>
      </w:pPr>
    </w:p>
    <w:tbl>
      <w:tblPr>
        <w:tblW w:w="9450" w:type="dxa"/>
        <w:tblLayout w:type="fixed"/>
        <w:tblCellMar>
          <w:left w:w="72" w:type="dxa"/>
          <w:right w:w="72" w:type="dxa"/>
        </w:tblCellMar>
        <w:tblLook w:val="0000" w:firstRow="0" w:lastRow="0" w:firstColumn="0" w:lastColumn="0" w:noHBand="0" w:noVBand="0"/>
      </w:tblPr>
      <w:tblGrid>
        <w:gridCol w:w="342"/>
        <w:gridCol w:w="990"/>
        <w:gridCol w:w="8118"/>
      </w:tblGrid>
      <w:tr w:rsidR="00091CFA" w:rsidRPr="00D7330E" w14:paraId="434E2894" w14:textId="77777777" w:rsidTr="00361DE1">
        <w:trPr>
          <w:trHeight w:val="120"/>
        </w:trPr>
        <w:tc>
          <w:tcPr>
            <w:tcW w:w="342" w:type="dxa"/>
          </w:tcPr>
          <w:p w14:paraId="401F0F7F" w14:textId="77777777" w:rsidR="00091CFA" w:rsidRPr="00D7330E" w:rsidRDefault="00091CFA" w:rsidP="00091CFA">
            <w:pPr>
              <w:pStyle w:val="NoSpacing"/>
              <w:rPr>
                <w:sz w:val="26"/>
                <w:szCs w:val="26"/>
              </w:rPr>
            </w:pPr>
          </w:p>
        </w:tc>
        <w:tc>
          <w:tcPr>
            <w:tcW w:w="990" w:type="dxa"/>
          </w:tcPr>
          <w:p w14:paraId="02A261B8" w14:textId="77777777" w:rsidR="00091CFA" w:rsidRPr="00D7330E" w:rsidRDefault="00091CFA" w:rsidP="00091CFA">
            <w:pPr>
              <w:pStyle w:val="NoSpacing"/>
              <w:rPr>
                <w:sz w:val="26"/>
                <w:szCs w:val="26"/>
              </w:rPr>
            </w:pPr>
          </w:p>
        </w:tc>
        <w:tc>
          <w:tcPr>
            <w:tcW w:w="8118" w:type="dxa"/>
          </w:tcPr>
          <w:p w14:paraId="2A8B7682" w14:textId="77777777" w:rsidR="00091CFA" w:rsidRPr="00D7330E" w:rsidRDefault="00091CFA" w:rsidP="00091CFA">
            <w:pPr>
              <w:pStyle w:val="NoSpacing"/>
              <w:rPr>
                <w:spacing w:val="-3"/>
                <w:sz w:val="26"/>
                <w:szCs w:val="26"/>
              </w:rPr>
            </w:pPr>
          </w:p>
        </w:tc>
      </w:tr>
      <w:tr w:rsidR="00091CFA" w:rsidRPr="00D7330E" w14:paraId="3E8AF208" w14:textId="77777777" w:rsidTr="00F21A6D">
        <w:trPr>
          <w:trHeight w:val="120"/>
        </w:trPr>
        <w:tc>
          <w:tcPr>
            <w:tcW w:w="9450" w:type="dxa"/>
            <w:gridSpan w:val="3"/>
          </w:tcPr>
          <w:tbl>
            <w:tblPr>
              <w:tblpPr w:leftFromText="180" w:rightFromText="180" w:vertAnchor="text" w:tblpY="1"/>
              <w:tblOverlap w:val="never"/>
              <w:tblW w:w="9454" w:type="dxa"/>
              <w:tblLayout w:type="fixed"/>
              <w:tblCellMar>
                <w:left w:w="43" w:type="dxa"/>
                <w:right w:w="43" w:type="dxa"/>
              </w:tblCellMar>
              <w:tblLook w:val="0000" w:firstRow="0" w:lastRow="0" w:firstColumn="0" w:lastColumn="0" w:noHBand="0" w:noVBand="0"/>
            </w:tblPr>
            <w:tblGrid>
              <w:gridCol w:w="9454"/>
            </w:tblGrid>
            <w:tr w:rsidR="00091CFA" w:rsidRPr="00D7330E" w14:paraId="209C5A9A" w14:textId="77777777" w:rsidTr="0025577D">
              <w:trPr>
                <w:trHeight w:val="114"/>
              </w:trPr>
              <w:tc>
                <w:tcPr>
                  <w:tcW w:w="9454" w:type="dxa"/>
                  <w:tcBorders>
                    <w:top w:val="single" w:sz="18" w:space="0" w:color="auto"/>
                    <w:bottom w:val="single" w:sz="18" w:space="0" w:color="auto"/>
                  </w:tcBorders>
                </w:tcPr>
                <w:p w14:paraId="55B87639" w14:textId="6EF24437" w:rsidR="00091CFA" w:rsidRPr="00D7330E" w:rsidRDefault="00091CFA" w:rsidP="00091CFA">
                  <w:pPr>
                    <w:tabs>
                      <w:tab w:val="left" w:pos="-720"/>
                      <w:tab w:val="left" w:pos="9090"/>
                    </w:tabs>
                    <w:suppressAutoHyphens/>
                    <w:overflowPunct w:val="0"/>
                    <w:autoSpaceDE w:val="0"/>
                    <w:autoSpaceDN w:val="0"/>
                    <w:adjustRightInd w:val="0"/>
                    <w:spacing w:after="0" w:line="240" w:lineRule="auto"/>
                    <w:jc w:val="center"/>
                    <w:textAlignment w:val="baseline"/>
                    <w:rPr>
                      <w:rFonts w:eastAsia="Times New Roman"/>
                      <w:b/>
                      <w:szCs w:val="26"/>
                    </w:rPr>
                  </w:pPr>
                  <w:r w:rsidRPr="00D7330E">
                    <w:rPr>
                      <w:rFonts w:eastAsia="Times New Roman"/>
                      <w:b/>
                      <w:szCs w:val="26"/>
                    </w:rPr>
                    <w:t>University of Illinois</w:t>
                  </w:r>
                  <w:r w:rsidR="00130E3F" w:rsidRPr="00D7330E">
                    <w:rPr>
                      <w:rFonts w:eastAsia="Times New Roman"/>
                      <w:b/>
                      <w:szCs w:val="26"/>
                    </w:rPr>
                    <w:t xml:space="preserve"> </w:t>
                  </w:r>
                  <w:r w:rsidR="00E94C83">
                    <w:rPr>
                      <w:rFonts w:eastAsia="Times New Roman"/>
                      <w:b/>
                      <w:szCs w:val="26"/>
                    </w:rPr>
                    <w:t>Chicago</w:t>
                  </w:r>
                </w:p>
              </w:tc>
            </w:tr>
          </w:tbl>
          <w:p w14:paraId="107DA0B5" w14:textId="77777777" w:rsidR="00091CFA" w:rsidRPr="00D7330E" w:rsidRDefault="00091CFA" w:rsidP="00091CFA">
            <w:pPr>
              <w:pStyle w:val="NoSpacing"/>
              <w:rPr>
                <w:spacing w:val="-3"/>
                <w:sz w:val="26"/>
                <w:szCs w:val="26"/>
              </w:rPr>
            </w:pPr>
          </w:p>
        </w:tc>
      </w:tr>
      <w:tr w:rsidR="00B775E6" w:rsidRPr="00D7330E" w14:paraId="0E86D7C9" w14:textId="77777777" w:rsidTr="00361DE1">
        <w:trPr>
          <w:trHeight w:val="120"/>
        </w:trPr>
        <w:tc>
          <w:tcPr>
            <w:tcW w:w="342" w:type="dxa"/>
            <w:tcBorders>
              <w:bottom w:val="double" w:sz="6" w:space="0" w:color="auto"/>
            </w:tcBorders>
          </w:tcPr>
          <w:p w14:paraId="2A853B15" w14:textId="3D6DFDD0" w:rsidR="00B775E6" w:rsidRPr="00D7330E" w:rsidRDefault="00B32B03" w:rsidP="00B775E6">
            <w:pPr>
              <w:pStyle w:val="NoSpacing"/>
              <w:rPr>
                <w:sz w:val="26"/>
                <w:szCs w:val="26"/>
              </w:rPr>
            </w:pPr>
            <w:r w:rsidRPr="00D7330E">
              <w:rPr>
                <w:sz w:val="26"/>
                <w:szCs w:val="26"/>
              </w:rPr>
              <w:t>1</w:t>
            </w:r>
          </w:p>
        </w:tc>
        <w:tc>
          <w:tcPr>
            <w:tcW w:w="990" w:type="dxa"/>
            <w:tcBorders>
              <w:bottom w:val="double" w:sz="6" w:space="0" w:color="auto"/>
            </w:tcBorders>
          </w:tcPr>
          <w:p w14:paraId="54386F5E" w14:textId="77777777" w:rsidR="00B775E6" w:rsidRPr="00D7330E" w:rsidRDefault="00B775E6" w:rsidP="00B775E6">
            <w:pPr>
              <w:pStyle w:val="NoSpacing"/>
              <w:rPr>
                <w:sz w:val="26"/>
                <w:szCs w:val="26"/>
              </w:rPr>
            </w:pPr>
            <w:r w:rsidRPr="00D7330E">
              <w:rPr>
                <w:sz w:val="26"/>
                <w:szCs w:val="26"/>
              </w:rPr>
              <w:t>Unit</w:t>
            </w:r>
          </w:p>
        </w:tc>
        <w:tc>
          <w:tcPr>
            <w:tcW w:w="8118" w:type="dxa"/>
            <w:tcBorders>
              <w:bottom w:val="double" w:sz="6" w:space="0" w:color="auto"/>
            </w:tcBorders>
          </w:tcPr>
          <w:p w14:paraId="141541B7" w14:textId="06D7CD9B" w:rsidR="00A44D7C" w:rsidRPr="00D7330E" w:rsidRDefault="00E94C83" w:rsidP="002F2D48">
            <w:pPr>
              <w:pStyle w:val="NoSpacing"/>
              <w:rPr>
                <w:sz w:val="26"/>
                <w:szCs w:val="26"/>
              </w:rPr>
            </w:pPr>
            <w:r>
              <w:rPr>
                <w:spacing w:val="-3"/>
                <w:sz w:val="26"/>
                <w:szCs w:val="26"/>
              </w:rPr>
              <w:t>UI Hospital and Clinics</w:t>
            </w:r>
          </w:p>
        </w:tc>
      </w:tr>
      <w:tr w:rsidR="00B775E6" w:rsidRPr="00D7330E" w14:paraId="16D04378" w14:textId="77777777" w:rsidTr="00BC0630">
        <w:trPr>
          <w:trHeight w:val="648"/>
        </w:trPr>
        <w:tc>
          <w:tcPr>
            <w:tcW w:w="342" w:type="dxa"/>
          </w:tcPr>
          <w:p w14:paraId="6610E660" w14:textId="77777777" w:rsidR="00B775E6" w:rsidRPr="00D7330E" w:rsidRDefault="00B775E6" w:rsidP="00B775E6">
            <w:pPr>
              <w:pStyle w:val="NoSpacing"/>
              <w:rPr>
                <w:sz w:val="26"/>
                <w:szCs w:val="26"/>
              </w:rPr>
            </w:pPr>
          </w:p>
        </w:tc>
        <w:tc>
          <w:tcPr>
            <w:tcW w:w="990" w:type="dxa"/>
          </w:tcPr>
          <w:p w14:paraId="21F9BBE9" w14:textId="77777777" w:rsidR="002F2D48" w:rsidRPr="00D7330E" w:rsidRDefault="002F2D48" w:rsidP="00B775E6">
            <w:pPr>
              <w:pStyle w:val="NoSpacing"/>
              <w:rPr>
                <w:sz w:val="26"/>
                <w:szCs w:val="26"/>
              </w:rPr>
            </w:pPr>
          </w:p>
          <w:p w14:paraId="39157CFA" w14:textId="468DA79B" w:rsidR="00B775E6" w:rsidRPr="00D7330E" w:rsidRDefault="00B775E6" w:rsidP="00B775E6">
            <w:pPr>
              <w:pStyle w:val="NoSpacing"/>
              <w:rPr>
                <w:sz w:val="26"/>
                <w:szCs w:val="26"/>
              </w:rPr>
            </w:pPr>
            <w:r w:rsidRPr="00D7330E">
              <w:rPr>
                <w:sz w:val="26"/>
                <w:szCs w:val="26"/>
              </w:rPr>
              <w:t>Item</w:t>
            </w:r>
            <w:r w:rsidR="00D743A9" w:rsidRPr="00D7330E">
              <w:rPr>
                <w:sz w:val="26"/>
                <w:szCs w:val="26"/>
              </w:rPr>
              <w:t xml:space="preserve">   </w:t>
            </w:r>
          </w:p>
        </w:tc>
        <w:tc>
          <w:tcPr>
            <w:tcW w:w="8118" w:type="dxa"/>
          </w:tcPr>
          <w:p w14:paraId="1F61BF83" w14:textId="77777777" w:rsidR="002F2D48" w:rsidRPr="00D7330E" w:rsidRDefault="002F2D48" w:rsidP="002F2D48">
            <w:pPr>
              <w:pStyle w:val="NoSpacing"/>
              <w:rPr>
                <w:sz w:val="26"/>
                <w:szCs w:val="26"/>
              </w:rPr>
            </w:pPr>
          </w:p>
          <w:p w14:paraId="25646054" w14:textId="3042DBA8" w:rsidR="00B775E6" w:rsidRPr="00D7330E" w:rsidRDefault="00E94C83" w:rsidP="002F2D48">
            <w:pPr>
              <w:pStyle w:val="NoSpacing"/>
              <w:rPr>
                <w:sz w:val="26"/>
                <w:szCs w:val="26"/>
              </w:rPr>
            </w:pPr>
            <w:r>
              <w:rPr>
                <w:bCs/>
                <w:sz w:val="26"/>
                <w:szCs w:val="26"/>
              </w:rPr>
              <w:t>Purchase of Electrophysiology Supplies for UI Hospital and Clinics</w:t>
            </w:r>
          </w:p>
        </w:tc>
      </w:tr>
      <w:tr w:rsidR="00B775E6" w:rsidRPr="00D7330E" w14:paraId="65073756" w14:textId="77777777" w:rsidTr="00BC0630">
        <w:trPr>
          <w:trHeight w:val="315"/>
        </w:trPr>
        <w:tc>
          <w:tcPr>
            <w:tcW w:w="342" w:type="dxa"/>
          </w:tcPr>
          <w:p w14:paraId="4EB91AF9" w14:textId="77777777" w:rsidR="00B775E6" w:rsidRPr="00D7330E" w:rsidRDefault="00B775E6" w:rsidP="00B775E6">
            <w:pPr>
              <w:pStyle w:val="NoSpacing"/>
              <w:rPr>
                <w:sz w:val="26"/>
                <w:szCs w:val="26"/>
              </w:rPr>
            </w:pPr>
            <w:r w:rsidRPr="00D7330E">
              <w:rPr>
                <w:sz w:val="26"/>
                <w:szCs w:val="26"/>
              </w:rPr>
              <w:t xml:space="preserve"> </w:t>
            </w:r>
          </w:p>
        </w:tc>
        <w:tc>
          <w:tcPr>
            <w:tcW w:w="990" w:type="dxa"/>
          </w:tcPr>
          <w:p w14:paraId="2E4CAE21" w14:textId="77777777" w:rsidR="00B775E6" w:rsidRPr="00D7330E" w:rsidRDefault="00B775E6" w:rsidP="00B775E6">
            <w:pPr>
              <w:pStyle w:val="NoSpacing"/>
              <w:rPr>
                <w:sz w:val="26"/>
                <w:szCs w:val="26"/>
              </w:rPr>
            </w:pPr>
          </w:p>
          <w:p w14:paraId="4EC10280" w14:textId="77777777" w:rsidR="00B775E6" w:rsidRPr="00D7330E" w:rsidRDefault="00B775E6" w:rsidP="00B775E6">
            <w:pPr>
              <w:pStyle w:val="NoSpacing"/>
              <w:rPr>
                <w:sz w:val="26"/>
                <w:szCs w:val="26"/>
              </w:rPr>
            </w:pPr>
            <w:r w:rsidRPr="00D7330E">
              <w:rPr>
                <w:sz w:val="26"/>
                <w:szCs w:val="26"/>
              </w:rPr>
              <w:t>Cost</w:t>
            </w:r>
          </w:p>
        </w:tc>
        <w:tc>
          <w:tcPr>
            <w:tcW w:w="8118" w:type="dxa"/>
          </w:tcPr>
          <w:p w14:paraId="16BB3D59" w14:textId="77777777" w:rsidR="00B775E6" w:rsidRPr="00D7330E" w:rsidRDefault="00B775E6" w:rsidP="00B775E6">
            <w:pPr>
              <w:pStyle w:val="NoSpacing"/>
              <w:rPr>
                <w:spacing w:val="-3"/>
                <w:sz w:val="26"/>
                <w:szCs w:val="26"/>
              </w:rPr>
            </w:pPr>
          </w:p>
          <w:p w14:paraId="650E5B42" w14:textId="77777777" w:rsidR="00B775E6" w:rsidRDefault="00E94C83" w:rsidP="00E94C83">
            <w:pPr>
              <w:pStyle w:val="NoSpacing"/>
              <w:rPr>
                <w:spacing w:val="-3"/>
                <w:sz w:val="26"/>
                <w:szCs w:val="26"/>
              </w:rPr>
            </w:pPr>
            <w:r>
              <w:rPr>
                <w:spacing w:val="-3"/>
                <w:sz w:val="26"/>
                <w:szCs w:val="26"/>
              </w:rPr>
              <w:t xml:space="preserve">$7,000,000 (estimated) for a 3-year term from December 1, </w:t>
            </w:r>
            <w:proofErr w:type="gramStart"/>
            <w:r>
              <w:rPr>
                <w:spacing w:val="-3"/>
                <w:sz w:val="26"/>
                <w:szCs w:val="26"/>
              </w:rPr>
              <w:t>2025</w:t>
            </w:r>
            <w:proofErr w:type="gramEnd"/>
            <w:r>
              <w:rPr>
                <w:spacing w:val="-3"/>
                <w:sz w:val="26"/>
                <w:szCs w:val="26"/>
              </w:rPr>
              <w:t xml:space="preserve"> to    November 30, 2028</w:t>
            </w:r>
          </w:p>
          <w:p w14:paraId="2112B06E" w14:textId="4A070C22" w:rsidR="00E94C83" w:rsidRPr="00E94C83" w:rsidRDefault="00E94C83" w:rsidP="00E94C83">
            <w:pPr>
              <w:pStyle w:val="NoSpacing"/>
              <w:rPr>
                <w:spacing w:val="-3"/>
                <w:sz w:val="26"/>
                <w:szCs w:val="26"/>
              </w:rPr>
            </w:pPr>
          </w:p>
        </w:tc>
      </w:tr>
      <w:tr w:rsidR="00B775E6" w:rsidRPr="00D7330E" w14:paraId="2DD649F2" w14:textId="77777777" w:rsidTr="00934FC6">
        <w:trPr>
          <w:trHeight w:val="657"/>
        </w:trPr>
        <w:tc>
          <w:tcPr>
            <w:tcW w:w="342" w:type="dxa"/>
          </w:tcPr>
          <w:p w14:paraId="6B4C7E29" w14:textId="77777777" w:rsidR="00B775E6" w:rsidRPr="00D7330E" w:rsidRDefault="00B775E6" w:rsidP="00B775E6">
            <w:pPr>
              <w:pStyle w:val="NoSpacing"/>
              <w:rPr>
                <w:sz w:val="26"/>
                <w:szCs w:val="26"/>
              </w:rPr>
            </w:pPr>
          </w:p>
        </w:tc>
        <w:tc>
          <w:tcPr>
            <w:tcW w:w="990" w:type="dxa"/>
          </w:tcPr>
          <w:p w14:paraId="7090DF1B" w14:textId="30741569" w:rsidR="00B775E6" w:rsidRPr="00D7330E" w:rsidRDefault="00B775E6" w:rsidP="00B775E6">
            <w:pPr>
              <w:pStyle w:val="NoSpacing"/>
              <w:rPr>
                <w:sz w:val="26"/>
                <w:szCs w:val="26"/>
              </w:rPr>
            </w:pPr>
            <w:r w:rsidRPr="00D7330E">
              <w:rPr>
                <w:sz w:val="26"/>
                <w:szCs w:val="26"/>
              </w:rPr>
              <w:t>Vendor</w:t>
            </w:r>
          </w:p>
        </w:tc>
        <w:tc>
          <w:tcPr>
            <w:tcW w:w="8118" w:type="dxa"/>
          </w:tcPr>
          <w:p w14:paraId="00CC0486" w14:textId="1F44E2D6" w:rsidR="00B775E6" w:rsidRPr="00BD7A9C" w:rsidRDefault="00E94C83" w:rsidP="00BD7A9C">
            <w:pPr>
              <w:pStyle w:val="NoSpacing"/>
              <w:jc w:val="both"/>
              <w:rPr>
                <w:bCs/>
                <w:sz w:val="26"/>
                <w:szCs w:val="26"/>
              </w:rPr>
            </w:pPr>
            <w:r>
              <w:rPr>
                <w:bCs/>
                <w:sz w:val="26"/>
                <w:szCs w:val="26"/>
              </w:rPr>
              <w:t xml:space="preserve">Johnson &amp; Johnson Healthcare Systems                        Irvine, California </w:t>
            </w:r>
          </w:p>
        </w:tc>
      </w:tr>
      <w:tr w:rsidR="00B775E6" w:rsidRPr="00D7330E" w14:paraId="2DE86FAC" w14:textId="77777777" w:rsidTr="0009228A">
        <w:trPr>
          <w:trHeight w:val="990"/>
        </w:trPr>
        <w:tc>
          <w:tcPr>
            <w:tcW w:w="342" w:type="dxa"/>
          </w:tcPr>
          <w:p w14:paraId="259A8EB8" w14:textId="77777777" w:rsidR="00B775E6" w:rsidRPr="00D7330E" w:rsidRDefault="00B775E6" w:rsidP="00B775E6">
            <w:pPr>
              <w:pStyle w:val="NoSpacing"/>
              <w:rPr>
                <w:sz w:val="26"/>
                <w:szCs w:val="26"/>
              </w:rPr>
            </w:pPr>
          </w:p>
        </w:tc>
        <w:tc>
          <w:tcPr>
            <w:tcW w:w="990" w:type="dxa"/>
          </w:tcPr>
          <w:p w14:paraId="3561F559" w14:textId="77777777" w:rsidR="00B775E6" w:rsidRPr="00496CFF" w:rsidRDefault="00B775E6" w:rsidP="00B775E6">
            <w:pPr>
              <w:pStyle w:val="NoSpacing"/>
              <w:rPr>
                <w:rFonts w:ascii="Aptos" w:hAnsi="Aptos"/>
                <w:sz w:val="26"/>
                <w:szCs w:val="26"/>
              </w:rPr>
            </w:pPr>
          </w:p>
        </w:tc>
        <w:tc>
          <w:tcPr>
            <w:tcW w:w="8118" w:type="dxa"/>
          </w:tcPr>
          <w:p w14:paraId="76A35F1B" w14:textId="092B99F4" w:rsidR="00E94C83" w:rsidRPr="00E94C83" w:rsidRDefault="00E94C83" w:rsidP="00E94C83">
            <w:pPr>
              <w:jc w:val="both"/>
              <w:rPr>
                <w:bCs/>
                <w:szCs w:val="26"/>
              </w:rPr>
            </w:pPr>
            <w:r w:rsidRPr="00E94C83">
              <w:rPr>
                <w:bCs/>
                <w:szCs w:val="26"/>
              </w:rPr>
              <w:t xml:space="preserve">UI Hospital’s Electrophysiology (EP) Laboratory performs diagnosis and treatment of irregular heart rhythms and evaluations of the electrical conduction pathways of the heart using the </w:t>
            </w:r>
            <w:proofErr w:type="spellStart"/>
            <w:r w:rsidRPr="00E94C83">
              <w:rPr>
                <w:bCs/>
                <w:szCs w:val="26"/>
              </w:rPr>
              <w:t>Biosense</w:t>
            </w:r>
            <w:proofErr w:type="spellEnd"/>
            <w:r w:rsidRPr="00E94C83">
              <w:rPr>
                <w:bCs/>
                <w:szCs w:val="26"/>
              </w:rPr>
              <w:t xml:space="preserve"> Webster Carto 3 EP </w:t>
            </w:r>
            <w:r w:rsidRPr="00E94C83">
              <w:rPr>
                <w:bCs/>
                <w:szCs w:val="26"/>
              </w:rPr>
              <w:lastRenderedPageBreak/>
              <w:t xml:space="preserve">Mapping/Ablation System.  These procedures require the purchase of vendor-specific disposable supplies.  </w:t>
            </w:r>
          </w:p>
          <w:p w14:paraId="1DA2CA13" w14:textId="7397B017" w:rsidR="00E94C83" w:rsidRPr="00E94C83" w:rsidRDefault="00E94C83" w:rsidP="00E94C83">
            <w:pPr>
              <w:jc w:val="both"/>
              <w:rPr>
                <w:bCs/>
                <w:szCs w:val="26"/>
              </w:rPr>
            </w:pPr>
            <w:r w:rsidRPr="00E94C83">
              <w:rPr>
                <w:bCs/>
                <w:szCs w:val="26"/>
              </w:rPr>
              <w:t>This purchase is exempt from competitive selection procedures in accordance with the Illinois Procurement Code (30ILCS 500/1-13(b-5)).</w:t>
            </w:r>
          </w:p>
          <w:p w14:paraId="1DF728E4" w14:textId="092F0F5A" w:rsidR="00B775E6" w:rsidRPr="00496CFF" w:rsidRDefault="00E94C83" w:rsidP="00E94C83">
            <w:pPr>
              <w:rPr>
                <w:rFonts w:ascii="Aptos" w:hAnsi="Aptos"/>
                <w:szCs w:val="26"/>
              </w:rPr>
            </w:pPr>
            <w:r w:rsidRPr="00E94C83">
              <w:rPr>
                <w:b/>
                <w:szCs w:val="26"/>
              </w:rPr>
              <w:t>Business Enterprise Program (BEP)</w:t>
            </w:r>
            <w:r w:rsidRPr="00E94C83">
              <w:rPr>
                <w:bCs/>
                <w:szCs w:val="26"/>
              </w:rPr>
              <w:t xml:space="preserve"> goals are not established for purchases which are exempt from the requirements of the Illinois Procurement Code.</w:t>
            </w:r>
          </w:p>
        </w:tc>
      </w:tr>
      <w:tr w:rsidR="00B62DED" w:rsidRPr="00D7330E" w14:paraId="0B25B887" w14:textId="77777777" w:rsidTr="0009228A">
        <w:trPr>
          <w:trHeight w:val="150"/>
        </w:trPr>
        <w:tc>
          <w:tcPr>
            <w:tcW w:w="342" w:type="dxa"/>
          </w:tcPr>
          <w:p w14:paraId="66652AFA" w14:textId="77777777" w:rsidR="00B62DED" w:rsidRPr="00D7330E" w:rsidRDefault="00B62DED" w:rsidP="00B775E6">
            <w:pPr>
              <w:pStyle w:val="NoSpacing"/>
              <w:rPr>
                <w:sz w:val="26"/>
                <w:szCs w:val="26"/>
              </w:rPr>
            </w:pPr>
          </w:p>
        </w:tc>
        <w:tc>
          <w:tcPr>
            <w:tcW w:w="990" w:type="dxa"/>
          </w:tcPr>
          <w:p w14:paraId="522E9F06" w14:textId="77777777" w:rsidR="00B62DED" w:rsidRPr="00D7330E" w:rsidRDefault="00B62DED" w:rsidP="00B775E6">
            <w:pPr>
              <w:pStyle w:val="NoSpacing"/>
              <w:rPr>
                <w:sz w:val="26"/>
                <w:szCs w:val="26"/>
              </w:rPr>
            </w:pPr>
          </w:p>
        </w:tc>
        <w:tc>
          <w:tcPr>
            <w:tcW w:w="8118" w:type="dxa"/>
          </w:tcPr>
          <w:p w14:paraId="619779BA" w14:textId="77777777" w:rsidR="00B62DED" w:rsidRPr="00D7330E" w:rsidRDefault="00B62DED" w:rsidP="00B775E6">
            <w:pPr>
              <w:spacing w:after="0" w:line="240" w:lineRule="auto"/>
              <w:ind w:left="1478"/>
              <w:rPr>
                <w:szCs w:val="26"/>
              </w:rPr>
            </w:pPr>
          </w:p>
        </w:tc>
      </w:tr>
      <w:tr w:rsidR="00B775E6" w:rsidRPr="00D7330E" w14:paraId="6FAD3153" w14:textId="77777777" w:rsidTr="0009228A">
        <w:trPr>
          <w:trHeight w:val="150"/>
        </w:trPr>
        <w:tc>
          <w:tcPr>
            <w:tcW w:w="342" w:type="dxa"/>
            <w:tcBorders>
              <w:bottom w:val="double" w:sz="4" w:space="0" w:color="auto"/>
            </w:tcBorders>
          </w:tcPr>
          <w:p w14:paraId="414628F7" w14:textId="3372E8CF" w:rsidR="00B775E6" w:rsidRPr="00D7330E" w:rsidRDefault="00B32B03" w:rsidP="00B775E6">
            <w:pPr>
              <w:pStyle w:val="NoSpacing"/>
              <w:rPr>
                <w:sz w:val="26"/>
                <w:szCs w:val="26"/>
              </w:rPr>
            </w:pPr>
            <w:r w:rsidRPr="00D7330E">
              <w:rPr>
                <w:sz w:val="26"/>
                <w:szCs w:val="26"/>
              </w:rPr>
              <w:t>2</w:t>
            </w:r>
          </w:p>
        </w:tc>
        <w:tc>
          <w:tcPr>
            <w:tcW w:w="990" w:type="dxa"/>
            <w:tcBorders>
              <w:bottom w:val="double" w:sz="4" w:space="0" w:color="auto"/>
            </w:tcBorders>
          </w:tcPr>
          <w:p w14:paraId="3B9E5490" w14:textId="4969B5B4" w:rsidR="00B775E6" w:rsidRPr="00D7330E" w:rsidRDefault="00B775E6" w:rsidP="00B775E6">
            <w:pPr>
              <w:pStyle w:val="NoSpacing"/>
              <w:rPr>
                <w:sz w:val="26"/>
                <w:szCs w:val="26"/>
              </w:rPr>
            </w:pPr>
            <w:r w:rsidRPr="00D7330E">
              <w:rPr>
                <w:sz w:val="26"/>
                <w:szCs w:val="26"/>
              </w:rPr>
              <w:t>Unit</w:t>
            </w:r>
          </w:p>
        </w:tc>
        <w:tc>
          <w:tcPr>
            <w:tcW w:w="8118" w:type="dxa"/>
            <w:tcBorders>
              <w:bottom w:val="double" w:sz="4" w:space="0" w:color="auto"/>
            </w:tcBorders>
          </w:tcPr>
          <w:p w14:paraId="441EE111" w14:textId="29DD28BC" w:rsidR="00A44D7C" w:rsidRPr="00D7330E" w:rsidRDefault="000750EE" w:rsidP="00B775E6">
            <w:pPr>
              <w:spacing w:after="0" w:line="240" w:lineRule="auto"/>
              <w:jc w:val="both"/>
              <w:rPr>
                <w:szCs w:val="26"/>
              </w:rPr>
            </w:pPr>
            <w:r w:rsidRPr="000750EE">
              <w:rPr>
                <w:spacing w:val="-3"/>
                <w:szCs w:val="26"/>
              </w:rPr>
              <w:t>U</w:t>
            </w:r>
            <w:r w:rsidR="00BD7A9C">
              <w:rPr>
                <w:spacing w:val="-3"/>
                <w:szCs w:val="26"/>
              </w:rPr>
              <w:t>I Hospital and Clinics</w:t>
            </w:r>
          </w:p>
        </w:tc>
      </w:tr>
      <w:tr w:rsidR="00B775E6" w:rsidRPr="00D7330E" w14:paraId="56000687" w14:textId="77777777" w:rsidTr="0009228A">
        <w:trPr>
          <w:trHeight w:val="150"/>
        </w:trPr>
        <w:tc>
          <w:tcPr>
            <w:tcW w:w="342" w:type="dxa"/>
            <w:tcBorders>
              <w:top w:val="double" w:sz="4" w:space="0" w:color="auto"/>
            </w:tcBorders>
          </w:tcPr>
          <w:p w14:paraId="3242B2D0" w14:textId="77777777" w:rsidR="00B775E6" w:rsidRPr="00D7330E" w:rsidRDefault="00B775E6" w:rsidP="00B775E6">
            <w:pPr>
              <w:pStyle w:val="NoSpacing"/>
              <w:rPr>
                <w:sz w:val="26"/>
                <w:szCs w:val="26"/>
              </w:rPr>
            </w:pPr>
          </w:p>
        </w:tc>
        <w:tc>
          <w:tcPr>
            <w:tcW w:w="990" w:type="dxa"/>
            <w:tcBorders>
              <w:top w:val="double" w:sz="4" w:space="0" w:color="auto"/>
            </w:tcBorders>
          </w:tcPr>
          <w:p w14:paraId="426D2FF5" w14:textId="77777777" w:rsidR="00F53FA1" w:rsidRPr="00D7330E" w:rsidRDefault="00F53FA1" w:rsidP="00B775E6">
            <w:pPr>
              <w:pStyle w:val="NoSpacing"/>
              <w:rPr>
                <w:sz w:val="26"/>
                <w:szCs w:val="26"/>
              </w:rPr>
            </w:pPr>
          </w:p>
          <w:p w14:paraId="43D29374" w14:textId="2AED385E" w:rsidR="00B775E6" w:rsidRPr="00D7330E" w:rsidRDefault="00B775E6" w:rsidP="00B775E6">
            <w:pPr>
              <w:pStyle w:val="NoSpacing"/>
              <w:rPr>
                <w:sz w:val="26"/>
                <w:szCs w:val="26"/>
              </w:rPr>
            </w:pPr>
            <w:r w:rsidRPr="00D7330E">
              <w:rPr>
                <w:sz w:val="26"/>
                <w:szCs w:val="26"/>
              </w:rPr>
              <w:t>Item</w:t>
            </w:r>
            <w:r w:rsidR="00D743A9" w:rsidRPr="00D7330E">
              <w:rPr>
                <w:sz w:val="26"/>
                <w:szCs w:val="26"/>
              </w:rPr>
              <w:t xml:space="preserve">   </w:t>
            </w:r>
          </w:p>
        </w:tc>
        <w:tc>
          <w:tcPr>
            <w:tcW w:w="8118" w:type="dxa"/>
            <w:tcBorders>
              <w:top w:val="double" w:sz="4" w:space="0" w:color="auto"/>
            </w:tcBorders>
          </w:tcPr>
          <w:p w14:paraId="2B0CD1E0" w14:textId="77777777" w:rsidR="00F53FA1" w:rsidRPr="00D7330E" w:rsidRDefault="00F53FA1" w:rsidP="00F53FA1">
            <w:pPr>
              <w:pStyle w:val="NoSpacing"/>
              <w:rPr>
                <w:sz w:val="26"/>
                <w:szCs w:val="26"/>
              </w:rPr>
            </w:pPr>
          </w:p>
          <w:p w14:paraId="2EFB54A0" w14:textId="77777777" w:rsidR="007373C0" w:rsidRDefault="00BD7A9C" w:rsidP="00A44D7C">
            <w:pPr>
              <w:spacing w:after="0" w:line="240" w:lineRule="auto"/>
              <w:rPr>
                <w:bCs/>
                <w:szCs w:val="26"/>
              </w:rPr>
            </w:pPr>
            <w:r>
              <w:rPr>
                <w:bCs/>
                <w:szCs w:val="26"/>
              </w:rPr>
              <w:t>Purchase of Laboratory Reagents for UI Hospital and Clinics</w:t>
            </w:r>
          </w:p>
          <w:p w14:paraId="006FA455" w14:textId="5C6D0338" w:rsidR="00BD7A9C" w:rsidRPr="00D7330E" w:rsidRDefault="00BD7A9C" w:rsidP="00A44D7C">
            <w:pPr>
              <w:spacing w:after="0" w:line="240" w:lineRule="auto"/>
              <w:rPr>
                <w:rFonts w:eastAsia="Times New Roman"/>
                <w:b/>
                <w:color w:val="000000"/>
                <w:szCs w:val="26"/>
              </w:rPr>
            </w:pPr>
          </w:p>
        </w:tc>
      </w:tr>
      <w:tr w:rsidR="00B775E6" w:rsidRPr="00D7330E" w14:paraId="156E60B7" w14:textId="77777777" w:rsidTr="005274CF">
        <w:trPr>
          <w:trHeight w:val="150"/>
        </w:trPr>
        <w:tc>
          <w:tcPr>
            <w:tcW w:w="342" w:type="dxa"/>
          </w:tcPr>
          <w:p w14:paraId="07998497" w14:textId="59FE1609" w:rsidR="00B775E6" w:rsidRPr="00D7330E" w:rsidRDefault="00B775E6" w:rsidP="00B775E6">
            <w:pPr>
              <w:pStyle w:val="NoSpacing"/>
              <w:rPr>
                <w:sz w:val="26"/>
                <w:szCs w:val="26"/>
              </w:rPr>
            </w:pPr>
            <w:r w:rsidRPr="00D7330E">
              <w:rPr>
                <w:sz w:val="26"/>
                <w:szCs w:val="26"/>
              </w:rPr>
              <w:t xml:space="preserve"> </w:t>
            </w:r>
          </w:p>
        </w:tc>
        <w:tc>
          <w:tcPr>
            <w:tcW w:w="990" w:type="dxa"/>
          </w:tcPr>
          <w:p w14:paraId="278055F8" w14:textId="33B6CEC7" w:rsidR="00B775E6" w:rsidRPr="00D7330E" w:rsidRDefault="00B775E6" w:rsidP="00B775E6">
            <w:pPr>
              <w:pStyle w:val="NoSpacing"/>
              <w:rPr>
                <w:sz w:val="26"/>
                <w:szCs w:val="26"/>
              </w:rPr>
            </w:pPr>
            <w:r w:rsidRPr="00D7330E">
              <w:rPr>
                <w:sz w:val="26"/>
                <w:szCs w:val="26"/>
              </w:rPr>
              <w:t>Cost</w:t>
            </w:r>
          </w:p>
        </w:tc>
        <w:tc>
          <w:tcPr>
            <w:tcW w:w="8118" w:type="dxa"/>
          </w:tcPr>
          <w:p w14:paraId="247BAEEF" w14:textId="77777777" w:rsidR="00BD7A9C" w:rsidRDefault="00BD7A9C" w:rsidP="00BD7A9C">
            <w:pPr>
              <w:pStyle w:val="NoSpacing"/>
              <w:rPr>
                <w:spacing w:val="-3"/>
                <w:sz w:val="26"/>
                <w:szCs w:val="26"/>
              </w:rPr>
            </w:pPr>
            <w:r>
              <w:rPr>
                <w:spacing w:val="-3"/>
                <w:sz w:val="26"/>
                <w:szCs w:val="26"/>
              </w:rPr>
              <w:t xml:space="preserve">$9,000,000 (estimated) for a 40-month term from March 1, </w:t>
            </w:r>
            <w:proofErr w:type="gramStart"/>
            <w:r>
              <w:rPr>
                <w:spacing w:val="-3"/>
                <w:sz w:val="26"/>
                <w:szCs w:val="26"/>
              </w:rPr>
              <w:t>2026</w:t>
            </w:r>
            <w:proofErr w:type="gramEnd"/>
            <w:r>
              <w:rPr>
                <w:spacing w:val="-3"/>
                <w:sz w:val="26"/>
                <w:szCs w:val="26"/>
              </w:rPr>
              <w:t xml:space="preserve">                      to June 30, 2029</w:t>
            </w:r>
          </w:p>
          <w:p w14:paraId="016EDF05" w14:textId="4C38C190" w:rsidR="001B58A7" w:rsidRPr="00D7330E" w:rsidRDefault="001B58A7" w:rsidP="00125422">
            <w:pPr>
              <w:spacing w:after="0" w:line="240" w:lineRule="auto"/>
              <w:rPr>
                <w:rFonts w:eastAsia="Times New Roman"/>
                <w:b/>
                <w:color w:val="000000"/>
                <w:szCs w:val="26"/>
              </w:rPr>
            </w:pPr>
          </w:p>
        </w:tc>
      </w:tr>
      <w:tr w:rsidR="00B775E6" w:rsidRPr="00D7330E" w14:paraId="305870E5" w14:textId="77777777" w:rsidTr="005274CF">
        <w:trPr>
          <w:trHeight w:val="150"/>
        </w:trPr>
        <w:tc>
          <w:tcPr>
            <w:tcW w:w="342" w:type="dxa"/>
          </w:tcPr>
          <w:p w14:paraId="6DAC217B" w14:textId="77777777" w:rsidR="00B775E6" w:rsidRPr="00D7330E" w:rsidRDefault="00B775E6" w:rsidP="00B775E6">
            <w:pPr>
              <w:pStyle w:val="NoSpacing"/>
              <w:rPr>
                <w:sz w:val="26"/>
                <w:szCs w:val="26"/>
              </w:rPr>
            </w:pPr>
          </w:p>
        </w:tc>
        <w:tc>
          <w:tcPr>
            <w:tcW w:w="990" w:type="dxa"/>
          </w:tcPr>
          <w:p w14:paraId="7F8D6EBB" w14:textId="58E05C92" w:rsidR="00B775E6" w:rsidRPr="00D7330E" w:rsidRDefault="00B775E6" w:rsidP="00B775E6">
            <w:pPr>
              <w:pStyle w:val="NoSpacing"/>
              <w:rPr>
                <w:sz w:val="26"/>
                <w:szCs w:val="26"/>
              </w:rPr>
            </w:pPr>
            <w:r w:rsidRPr="00D7330E">
              <w:rPr>
                <w:sz w:val="26"/>
                <w:szCs w:val="26"/>
              </w:rPr>
              <w:t>Vendor</w:t>
            </w:r>
          </w:p>
        </w:tc>
        <w:tc>
          <w:tcPr>
            <w:tcW w:w="8118" w:type="dxa"/>
          </w:tcPr>
          <w:p w14:paraId="5492D010" w14:textId="44CB46FA" w:rsidR="00B775E6" w:rsidRDefault="00BD7A9C" w:rsidP="00BD7A9C">
            <w:pPr>
              <w:pStyle w:val="NoSpacing"/>
              <w:jc w:val="both"/>
              <w:rPr>
                <w:bCs/>
                <w:sz w:val="26"/>
                <w:szCs w:val="26"/>
              </w:rPr>
            </w:pPr>
            <w:r>
              <w:rPr>
                <w:bCs/>
                <w:sz w:val="26"/>
                <w:szCs w:val="26"/>
              </w:rPr>
              <w:t>Roche Diagnostics Corporation                        Indianapolis, Indiana</w:t>
            </w:r>
          </w:p>
          <w:p w14:paraId="6FDDF04B" w14:textId="67CB0396" w:rsidR="00BD7A9C" w:rsidRPr="00BD7A9C" w:rsidRDefault="00BD7A9C" w:rsidP="00BD7A9C">
            <w:pPr>
              <w:pStyle w:val="NoSpacing"/>
              <w:jc w:val="both"/>
              <w:rPr>
                <w:bCs/>
                <w:sz w:val="26"/>
                <w:szCs w:val="26"/>
              </w:rPr>
            </w:pPr>
          </w:p>
        </w:tc>
      </w:tr>
      <w:tr w:rsidR="00B775E6" w:rsidRPr="00D7330E" w14:paraId="76979B6C" w14:textId="77777777" w:rsidTr="00F4062E">
        <w:trPr>
          <w:trHeight w:val="150"/>
        </w:trPr>
        <w:tc>
          <w:tcPr>
            <w:tcW w:w="342" w:type="dxa"/>
          </w:tcPr>
          <w:p w14:paraId="10350B94" w14:textId="77777777" w:rsidR="00B775E6" w:rsidRPr="00D7330E" w:rsidRDefault="00B775E6" w:rsidP="00B775E6">
            <w:pPr>
              <w:pStyle w:val="NoSpacing"/>
              <w:rPr>
                <w:sz w:val="26"/>
                <w:szCs w:val="26"/>
              </w:rPr>
            </w:pPr>
          </w:p>
        </w:tc>
        <w:tc>
          <w:tcPr>
            <w:tcW w:w="990" w:type="dxa"/>
          </w:tcPr>
          <w:p w14:paraId="5E09DAD8" w14:textId="77777777" w:rsidR="00B775E6" w:rsidRPr="00D7330E" w:rsidRDefault="00B775E6" w:rsidP="00B775E6">
            <w:pPr>
              <w:pStyle w:val="NoSpacing"/>
              <w:rPr>
                <w:sz w:val="26"/>
                <w:szCs w:val="26"/>
              </w:rPr>
            </w:pPr>
          </w:p>
        </w:tc>
        <w:tc>
          <w:tcPr>
            <w:tcW w:w="8118" w:type="dxa"/>
          </w:tcPr>
          <w:p w14:paraId="1BD97028" w14:textId="626784B2" w:rsidR="00BD7A9C" w:rsidRDefault="00BD7A9C" w:rsidP="00BD7A9C">
            <w:pPr>
              <w:spacing w:after="0" w:line="240" w:lineRule="auto"/>
              <w:rPr>
                <w:szCs w:val="26"/>
              </w:rPr>
            </w:pPr>
            <w:r>
              <w:rPr>
                <w:szCs w:val="26"/>
              </w:rPr>
              <w:t>UI Hospital uses the Roche Cobas 6800 lab analyzer to perform detection and quantitation of BK virus (BKV), Cytomegalovirus (CMV), and Epstein-Barr virus (EBV) in the plasma of infected transplant patients and for the detection and monitoring of human immunodeficiency virus (HIV), hepatitis C virus (HCV), and hepatitis B virus (HBV) infections in the plasma of infected patients.  Reagents and testing kits are required to perform these tests.</w:t>
            </w:r>
          </w:p>
          <w:p w14:paraId="041D0164" w14:textId="77777777" w:rsidR="00BD7A9C" w:rsidRDefault="00BD7A9C" w:rsidP="00BD7A9C">
            <w:pPr>
              <w:spacing w:after="0" w:line="240" w:lineRule="auto"/>
              <w:rPr>
                <w:szCs w:val="26"/>
              </w:rPr>
            </w:pPr>
          </w:p>
          <w:p w14:paraId="2D4231AD" w14:textId="49EE9F71" w:rsidR="00BD7A9C" w:rsidRDefault="00BD7A9C" w:rsidP="00BD7A9C">
            <w:pPr>
              <w:jc w:val="both"/>
              <w:rPr>
                <w:szCs w:val="26"/>
              </w:rPr>
            </w:pPr>
            <w:r>
              <w:rPr>
                <w:szCs w:val="26"/>
              </w:rPr>
              <w:t>This purchase is exempt from competitive selection procedures in accordance with the Illinois Procurement Code (30ILCS 500/1-13(b-5)).</w:t>
            </w:r>
          </w:p>
          <w:p w14:paraId="6FCF2AFD" w14:textId="5F787CE8" w:rsidR="00197E32" w:rsidRDefault="00BD7A9C" w:rsidP="00BD7A9C">
            <w:pPr>
              <w:spacing w:after="0" w:line="240" w:lineRule="auto"/>
              <w:rPr>
                <w:szCs w:val="26"/>
              </w:rPr>
            </w:pPr>
            <w:r>
              <w:rPr>
                <w:rFonts w:eastAsia="Times New Roman"/>
                <w:b/>
                <w:color w:val="000000"/>
                <w:szCs w:val="26"/>
              </w:rPr>
              <w:t xml:space="preserve">Business Enterprise Program (BEP) </w:t>
            </w:r>
            <w:r>
              <w:rPr>
                <w:rFonts w:eastAsia="Times New Roman"/>
                <w:bCs/>
                <w:color w:val="000000"/>
                <w:szCs w:val="26"/>
              </w:rPr>
              <w:t>goals are not established for purchases which are exempt from the requirements of the Illinois Procurement Code.</w:t>
            </w:r>
          </w:p>
          <w:p w14:paraId="1C15F05F" w14:textId="77777777" w:rsidR="00197E32" w:rsidRDefault="00197E32" w:rsidP="007373C0">
            <w:pPr>
              <w:spacing w:after="0" w:line="240" w:lineRule="auto"/>
              <w:rPr>
                <w:szCs w:val="26"/>
              </w:rPr>
            </w:pPr>
          </w:p>
          <w:p w14:paraId="3B1D8582" w14:textId="7EE5EB7B" w:rsidR="00197E32" w:rsidRPr="00D7330E" w:rsidRDefault="00197E32" w:rsidP="007373C0">
            <w:pPr>
              <w:spacing w:after="0" w:line="240" w:lineRule="auto"/>
              <w:rPr>
                <w:rFonts w:eastAsia="Times New Roman"/>
                <w:b/>
                <w:color w:val="000000"/>
                <w:szCs w:val="26"/>
              </w:rPr>
            </w:pPr>
          </w:p>
        </w:tc>
      </w:tr>
      <w:tr w:rsidR="00197E32" w:rsidRPr="00D7330E" w14:paraId="2CF94205" w14:textId="77777777" w:rsidTr="00BD7A9C">
        <w:trPr>
          <w:trHeight w:val="288"/>
        </w:trPr>
        <w:tc>
          <w:tcPr>
            <w:tcW w:w="342" w:type="dxa"/>
            <w:tcBorders>
              <w:bottom w:val="double" w:sz="4" w:space="0" w:color="auto"/>
            </w:tcBorders>
          </w:tcPr>
          <w:p w14:paraId="15C97C17" w14:textId="4DB849AE" w:rsidR="00197E32" w:rsidRPr="00D7330E" w:rsidRDefault="00197E32" w:rsidP="00B775E6">
            <w:pPr>
              <w:pStyle w:val="NoSpacing"/>
              <w:rPr>
                <w:sz w:val="26"/>
                <w:szCs w:val="26"/>
              </w:rPr>
            </w:pPr>
            <w:r>
              <w:rPr>
                <w:sz w:val="26"/>
                <w:szCs w:val="26"/>
              </w:rPr>
              <w:t>3</w:t>
            </w:r>
          </w:p>
        </w:tc>
        <w:tc>
          <w:tcPr>
            <w:tcW w:w="990" w:type="dxa"/>
            <w:tcBorders>
              <w:bottom w:val="double" w:sz="4" w:space="0" w:color="auto"/>
            </w:tcBorders>
          </w:tcPr>
          <w:p w14:paraId="6DAA3A39" w14:textId="501F72EC" w:rsidR="00197E32" w:rsidRPr="00D7330E" w:rsidRDefault="00197E32" w:rsidP="00B775E6">
            <w:pPr>
              <w:pStyle w:val="NoSpacing"/>
              <w:rPr>
                <w:sz w:val="26"/>
                <w:szCs w:val="26"/>
              </w:rPr>
            </w:pPr>
            <w:r>
              <w:rPr>
                <w:sz w:val="26"/>
                <w:szCs w:val="26"/>
              </w:rPr>
              <w:t>Unit</w:t>
            </w:r>
          </w:p>
        </w:tc>
        <w:tc>
          <w:tcPr>
            <w:tcW w:w="8118" w:type="dxa"/>
            <w:tcBorders>
              <w:bottom w:val="double" w:sz="4" w:space="0" w:color="auto"/>
            </w:tcBorders>
          </w:tcPr>
          <w:p w14:paraId="36887B91" w14:textId="4122C062" w:rsidR="00197E32" w:rsidRDefault="00BD7A9C" w:rsidP="007373C0">
            <w:pPr>
              <w:rPr>
                <w:szCs w:val="26"/>
              </w:rPr>
            </w:pPr>
            <w:r>
              <w:rPr>
                <w:szCs w:val="26"/>
              </w:rPr>
              <w:t>UI Hospital and Clinics</w:t>
            </w:r>
          </w:p>
        </w:tc>
      </w:tr>
      <w:tr w:rsidR="00197E32" w:rsidRPr="00D7330E" w14:paraId="72EBDA79" w14:textId="77777777" w:rsidTr="00F4062E">
        <w:trPr>
          <w:trHeight w:val="150"/>
        </w:trPr>
        <w:tc>
          <w:tcPr>
            <w:tcW w:w="342" w:type="dxa"/>
            <w:tcBorders>
              <w:top w:val="double" w:sz="4" w:space="0" w:color="auto"/>
            </w:tcBorders>
          </w:tcPr>
          <w:p w14:paraId="4A1ABEC1" w14:textId="77777777" w:rsidR="00197E32" w:rsidRDefault="00197E32" w:rsidP="00B775E6">
            <w:pPr>
              <w:pStyle w:val="NoSpacing"/>
              <w:rPr>
                <w:sz w:val="26"/>
                <w:szCs w:val="26"/>
              </w:rPr>
            </w:pPr>
          </w:p>
        </w:tc>
        <w:tc>
          <w:tcPr>
            <w:tcW w:w="990" w:type="dxa"/>
            <w:tcBorders>
              <w:top w:val="double" w:sz="4" w:space="0" w:color="auto"/>
            </w:tcBorders>
          </w:tcPr>
          <w:p w14:paraId="7F14BEE9" w14:textId="7BB4F5C4" w:rsidR="00197E32" w:rsidRDefault="00F4062E" w:rsidP="00B775E6">
            <w:pPr>
              <w:pStyle w:val="NoSpacing"/>
              <w:rPr>
                <w:sz w:val="26"/>
                <w:szCs w:val="26"/>
              </w:rPr>
            </w:pPr>
            <w:r>
              <w:rPr>
                <w:sz w:val="26"/>
                <w:szCs w:val="26"/>
              </w:rPr>
              <w:t xml:space="preserve">Item </w:t>
            </w:r>
          </w:p>
        </w:tc>
        <w:tc>
          <w:tcPr>
            <w:tcW w:w="8118" w:type="dxa"/>
            <w:tcBorders>
              <w:top w:val="double" w:sz="4" w:space="0" w:color="auto"/>
            </w:tcBorders>
          </w:tcPr>
          <w:p w14:paraId="59ECF7D0" w14:textId="11A2FEB7" w:rsidR="00197E32" w:rsidRDefault="00BD7A9C" w:rsidP="007373C0">
            <w:pPr>
              <w:rPr>
                <w:szCs w:val="26"/>
              </w:rPr>
            </w:pPr>
            <w:r>
              <w:rPr>
                <w:szCs w:val="26"/>
              </w:rPr>
              <w:t>Purchase of Orthopedic Implants and Accessories for UI Hospital and Clinics</w:t>
            </w:r>
          </w:p>
        </w:tc>
      </w:tr>
      <w:tr w:rsidR="00A44D7C" w:rsidRPr="00D7330E" w14:paraId="720DDE9A" w14:textId="77777777" w:rsidTr="00B62DED">
        <w:trPr>
          <w:trHeight w:val="150"/>
        </w:trPr>
        <w:tc>
          <w:tcPr>
            <w:tcW w:w="342" w:type="dxa"/>
          </w:tcPr>
          <w:p w14:paraId="105A1895" w14:textId="77777777" w:rsidR="00A44D7C" w:rsidRPr="00D7330E" w:rsidRDefault="00A44D7C" w:rsidP="00B775E6">
            <w:pPr>
              <w:pStyle w:val="NoSpacing"/>
              <w:rPr>
                <w:sz w:val="26"/>
                <w:szCs w:val="26"/>
              </w:rPr>
            </w:pPr>
          </w:p>
        </w:tc>
        <w:tc>
          <w:tcPr>
            <w:tcW w:w="990" w:type="dxa"/>
          </w:tcPr>
          <w:p w14:paraId="6B6DC0F3" w14:textId="63D813E8" w:rsidR="00197E32" w:rsidRPr="00D7330E" w:rsidRDefault="00F4062E" w:rsidP="00B775E6">
            <w:pPr>
              <w:pStyle w:val="NoSpacing"/>
              <w:rPr>
                <w:sz w:val="26"/>
                <w:szCs w:val="26"/>
              </w:rPr>
            </w:pPr>
            <w:r>
              <w:rPr>
                <w:sz w:val="26"/>
                <w:szCs w:val="26"/>
              </w:rPr>
              <w:t xml:space="preserve">Cost </w:t>
            </w:r>
          </w:p>
        </w:tc>
        <w:tc>
          <w:tcPr>
            <w:tcW w:w="8118" w:type="dxa"/>
          </w:tcPr>
          <w:p w14:paraId="2D948BA1" w14:textId="4D42B0D4" w:rsidR="00BD7A9C" w:rsidRDefault="00BD7A9C" w:rsidP="00BD7A9C">
            <w:pPr>
              <w:pStyle w:val="NoSpacing"/>
              <w:rPr>
                <w:spacing w:val="-3"/>
                <w:sz w:val="26"/>
                <w:szCs w:val="26"/>
              </w:rPr>
            </w:pPr>
            <w:r>
              <w:rPr>
                <w:spacing w:val="-3"/>
                <w:sz w:val="26"/>
                <w:szCs w:val="26"/>
              </w:rPr>
              <w:t xml:space="preserve">$10,000,000 (estimated) for 5-year term December 1, </w:t>
            </w:r>
            <w:proofErr w:type="gramStart"/>
            <w:r>
              <w:rPr>
                <w:spacing w:val="-3"/>
                <w:sz w:val="26"/>
                <w:szCs w:val="26"/>
              </w:rPr>
              <w:t>2025</w:t>
            </w:r>
            <w:proofErr w:type="gramEnd"/>
            <w:r>
              <w:rPr>
                <w:spacing w:val="-3"/>
                <w:sz w:val="26"/>
                <w:szCs w:val="26"/>
              </w:rPr>
              <w:t xml:space="preserve"> through November 30, 2030    </w:t>
            </w:r>
          </w:p>
          <w:p w14:paraId="6C902CA6" w14:textId="58184373" w:rsidR="00BD7A9C" w:rsidRPr="00F4062E" w:rsidRDefault="00BD7A9C" w:rsidP="00B775E6">
            <w:pPr>
              <w:spacing w:after="0" w:line="240" w:lineRule="auto"/>
              <w:rPr>
                <w:rFonts w:eastAsia="Times New Roman"/>
                <w:bCs/>
                <w:color w:val="000000"/>
                <w:szCs w:val="26"/>
              </w:rPr>
            </w:pPr>
          </w:p>
        </w:tc>
      </w:tr>
      <w:tr w:rsidR="00F4062E" w:rsidRPr="00D7330E" w14:paraId="0A7E4F0A" w14:textId="77777777" w:rsidTr="00B62DED">
        <w:trPr>
          <w:trHeight w:val="150"/>
        </w:trPr>
        <w:tc>
          <w:tcPr>
            <w:tcW w:w="342" w:type="dxa"/>
          </w:tcPr>
          <w:p w14:paraId="3FA714CD" w14:textId="77777777" w:rsidR="00F4062E" w:rsidRPr="00D7330E" w:rsidRDefault="00F4062E" w:rsidP="00B775E6">
            <w:pPr>
              <w:pStyle w:val="NoSpacing"/>
              <w:rPr>
                <w:sz w:val="26"/>
                <w:szCs w:val="26"/>
              </w:rPr>
            </w:pPr>
          </w:p>
        </w:tc>
        <w:tc>
          <w:tcPr>
            <w:tcW w:w="990" w:type="dxa"/>
          </w:tcPr>
          <w:p w14:paraId="07D5E05B" w14:textId="17BD0B31" w:rsidR="00F4062E" w:rsidRPr="00D7330E" w:rsidRDefault="00F4062E" w:rsidP="00B775E6">
            <w:pPr>
              <w:pStyle w:val="NoSpacing"/>
              <w:rPr>
                <w:sz w:val="26"/>
                <w:szCs w:val="26"/>
              </w:rPr>
            </w:pPr>
            <w:r>
              <w:rPr>
                <w:sz w:val="26"/>
                <w:szCs w:val="26"/>
              </w:rPr>
              <w:t>Vendor</w:t>
            </w:r>
          </w:p>
        </w:tc>
        <w:tc>
          <w:tcPr>
            <w:tcW w:w="8118" w:type="dxa"/>
          </w:tcPr>
          <w:p w14:paraId="330CBB68" w14:textId="25A534EC" w:rsidR="00F4062E" w:rsidRPr="00BD7A9C" w:rsidRDefault="00BD7A9C" w:rsidP="00BD7A9C">
            <w:pPr>
              <w:pStyle w:val="NoSpacing"/>
              <w:jc w:val="both"/>
              <w:rPr>
                <w:sz w:val="26"/>
                <w:szCs w:val="26"/>
              </w:rPr>
            </w:pPr>
            <w:r>
              <w:rPr>
                <w:bCs/>
                <w:sz w:val="26"/>
                <w:szCs w:val="26"/>
              </w:rPr>
              <w:t>Smith &amp; Nephew, Inc.                                 Andover, Massachusetts</w:t>
            </w:r>
          </w:p>
        </w:tc>
      </w:tr>
      <w:tr w:rsidR="00F4062E" w:rsidRPr="00D7330E" w14:paraId="7F448171" w14:textId="77777777" w:rsidTr="00B62DED">
        <w:trPr>
          <w:trHeight w:val="150"/>
        </w:trPr>
        <w:tc>
          <w:tcPr>
            <w:tcW w:w="342" w:type="dxa"/>
          </w:tcPr>
          <w:p w14:paraId="32428AC2" w14:textId="77777777" w:rsidR="00F4062E" w:rsidRPr="00D7330E" w:rsidRDefault="00F4062E" w:rsidP="00B775E6">
            <w:pPr>
              <w:pStyle w:val="NoSpacing"/>
              <w:rPr>
                <w:sz w:val="26"/>
                <w:szCs w:val="26"/>
              </w:rPr>
            </w:pPr>
          </w:p>
        </w:tc>
        <w:tc>
          <w:tcPr>
            <w:tcW w:w="990" w:type="dxa"/>
          </w:tcPr>
          <w:p w14:paraId="3DD1F5AA" w14:textId="77777777" w:rsidR="00F4062E" w:rsidRPr="00D7330E" w:rsidRDefault="00F4062E" w:rsidP="00B775E6">
            <w:pPr>
              <w:pStyle w:val="NoSpacing"/>
              <w:rPr>
                <w:sz w:val="26"/>
                <w:szCs w:val="26"/>
              </w:rPr>
            </w:pPr>
          </w:p>
        </w:tc>
        <w:tc>
          <w:tcPr>
            <w:tcW w:w="8118" w:type="dxa"/>
          </w:tcPr>
          <w:p w14:paraId="747D56D5" w14:textId="4DA1EA9B" w:rsidR="00BD7A9C" w:rsidRDefault="00BD7A9C" w:rsidP="00BD7A9C">
            <w:pPr>
              <w:spacing w:after="0" w:line="240" w:lineRule="auto"/>
              <w:jc w:val="both"/>
              <w:rPr>
                <w:szCs w:val="26"/>
              </w:rPr>
            </w:pPr>
            <w:r>
              <w:rPr>
                <w:szCs w:val="26"/>
              </w:rPr>
              <w:t>Purchase of orthopedic implants, instruments and accessories used in procedures involving the shoulder, ankle, elbow, knees and hips. These items consist of screws, anchors, wires, plates, sutures, burrs, punches, and kits. They are used in joint replacement surgery, arthroscopic procedures, and soft tissue repairs. These items are also used with the vendor’s proprietary orthopedic robotic platform.</w:t>
            </w:r>
          </w:p>
          <w:p w14:paraId="67F9CB1A" w14:textId="77777777" w:rsidR="00BD7A9C" w:rsidRDefault="00BD7A9C" w:rsidP="00BD7A9C">
            <w:pPr>
              <w:spacing w:after="0" w:line="240" w:lineRule="auto"/>
              <w:jc w:val="both"/>
              <w:rPr>
                <w:sz w:val="28"/>
                <w:szCs w:val="28"/>
              </w:rPr>
            </w:pPr>
          </w:p>
          <w:p w14:paraId="4B2C4E42" w14:textId="1C99A6D5" w:rsidR="00BD7A9C" w:rsidRDefault="00BD7A9C" w:rsidP="00BD7A9C">
            <w:pPr>
              <w:jc w:val="both"/>
              <w:rPr>
                <w:szCs w:val="26"/>
              </w:rPr>
            </w:pPr>
            <w:r>
              <w:rPr>
                <w:szCs w:val="26"/>
              </w:rPr>
              <w:t>This purchase is exempt from competitive selection procedures in accordance with the Illinois Procurement Code (30ILCS 500/1-13(b-5)).</w:t>
            </w:r>
          </w:p>
          <w:p w14:paraId="3ACA55A5" w14:textId="07BD84CF" w:rsidR="00BD7A9C" w:rsidRPr="00BD7A9C" w:rsidRDefault="00BD7A9C" w:rsidP="00BD7A9C">
            <w:pPr>
              <w:spacing w:after="0" w:line="240" w:lineRule="auto"/>
              <w:rPr>
                <w:rFonts w:eastAsia="Times New Roman"/>
                <w:bCs/>
                <w:color w:val="000000"/>
                <w:szCs w:val="26"/>
              </w:rPr>
            </w:pPr>
            <w:r>
              <w:rPr>
                <w:rFonts w:eastAsia="Times New Roman"/>
                <w:b/>
                <w:color w:val="000000"/>
                <w:szCs w:val="26"/>
              </w:rPr>
              <w:t xml:space="preserve">Business Enterprise Program (BEP) </w:t>
            </w:r>
            <w:r>
              <w:rPr>
                <w:rFonts w:eastAsia="Times New Roman"/>
                <w:bCs/>
                <w:color w:val="000000"/>
                <w:szCs w:val="26"/>
              </w:rPr>
              <w:t>goals are not established for purchases which are exempt from the requirements of the Illinois Procurement Code.</w:t>
            </w:r>
          </w:p>
        </w:tc>
      </w:tr>
      <w:tr w:rsidR="00D85698" w:rsidRPr="00D7330E" w14:paraId="7184CBF9" w14:textId="77777777" w:rsidTr="00891355">
        <w:trPr>
          <w:trHeight w:val="150"/>
        </w:trPr>
        <w:tc>
          <w:tcPr>
            <w:tcW w:w="342" w:type="dxa"/>
          </w:tcPr>
          <w:p w14:paraId="649D5C26" w14:textId="77777777" w:rsidR="00D85698" w:rsidRPr="00D7330E" w:rsidRDefault="00D85698" w:rsidP="00891355">
            <w:pPr>
              <w:pStyle w:val="NoSpacing"/>
              <w:rPr>
                <w:sz w:val="26"/>
                <w:szCs w:val="26"/>
              </w:rPr>
            </w:pPr>
          </w:p>
        </w:tc>
        <w:tc>
          <w:tcPr>
            <w:tcW w:w="990" w:type="dxa"/>
          </w:tcPr>
          <w:p w14:paraId="03E51CF6" w14:textId="77777777" w:rsidR="00D85698" w:rsidRPr="00D7330E" w:rsidRDefault="00D85698" w:rsidP="00891355">
            <w:pPr>
              <w:pStyle w:val="NoSpacing"/>
              <w:rPr>
                <w:sz w:val="26"/>
                <w:szCs w:val="26"/>
              </w:rPr>
            </w:pPr>
          </w:p>
        </w:tc>
        <w:tc>
          <w:tcPr>
            <w:tcW w:w="8118" w:type="dxa"/>
          </w:tcPr>
          <w:p w14:paraId="0794C636" w14:textId="77777777" w:rsidR="00D85698" w:rsidRPr="00D7330E" w:rsidRDefault="00D85698" w:rsidP="00891355">
            <w:pPr>
              <w:spacing w:after="0" w:line="240" w:lineRule="auto"/>
              <w:ind w:left="1478"/>
              <w:rPr>
                <w:szCs w:val="26"/>
              </w:rPr>
            </w:pPr>
          </w:p>
        </w:tc>
      </w:tr>
      <w:tr w:rsidR="00D85698" w:rsidRPr="00D7330E" w14:paraId="0608E810" w14:textId="77777777" w:rsidTr="00891355">
        <w:trPr>
          <w:trHeight w:val="150"/>
        </w:trPr>
        <w:tc>
          <w:tcPr>
            <w:tcW w:w="342" w:type="dxa"/>
            <w:tcBorders>
              <w:bottom w:val="double" w:sz="4" w:space="0" w:color="auto"/>
            </w:tcBorders>
          </w:tcPr>
          <w:p w14:paraId="0E91FECE" w14:textId="72962F23" w:rsidR="00D85698" w:rsidRPr="00D7330E" w:rsidRDefault="00BD7A9C" w:rsidP="00891355">
            <w:pPr>
              <w:pStyle w:val="NoSpacing"/>
              <w:rPr>
                <w:sz w:val="26"/>
                <w:szCs w:val="26"/>
              </w:rPr>
            </w:pPr>
            <w:r>
              <w:rPr>
                <w:sz w:val="26"/>
                <w:szCs w:val="26"/>
              </w:rPr>
              <w:t>4</w:t>
            </w:r>
          </w:p>
        </w:tc>
        <w:tc>
          <w:tcPr>
            <w:tcW w:w="990" w:type="dxa"/>
            <w:tcBorders>
              <w:bottom w:val="double" w:sz="4" w:space="0" w:color="auto"/>
            </w:tcBorders>
          </w:tcPr>
          <w:p w14:paraId="11E8D551" w14:textId="77777777" w:rsidR="00D85698" w:rsidRPr="00D7330E" w:rsidRDefault="00D85698" w:rsidP="00891355">
            <w:pPr>
              <w:pStyle w:val="NoSpacing"/>
              <w:rPr>
                <w:sz w:val="26"/>
                <w:szCs w:val="26"/>
              </w:rPr>
            </w:pPr>
            <w:r w:rsidRPr="00D7330E">
              <w:rPr>
                <w:sz w:val="26"/>
                <w:szCs w:val="26"/>
              </w:rPr>
              <w:t>Unit</w:t>
            </w:r>
          </w:p>
        </w:tc>
        <w:tc>
          <w:tcPr>
            <w:tcW w:w="8118" w:type="dxa"/>
            <w:tcBorders>
              <w:bottom w:val="double" w:sz="4" w:space="0" w:color="auto"/>
            </w:tcBorders>
          </w:tcPr>
          <w:p w14:paraId="2C4C4BE9" w14:textId="77777777" w:rsidR="00D85698" w:rsidRPr="00D7330E" w:rsidRDefault="00D85698" w:rsidP="00891355">
            <w:pPr>
              <w:spacing w:after="0" w:line="240" w:lineRule="auto"/>
              <w:jc w:val="both"/>
              <w:rPr>
                <w:szCs w:val="26"/>
              </w:rPr>
            </w:pPr>
            <w:r w:rsidRPr="00D7330E">
              <w:rPr>
                <w:spacing w:val="-3"/>
                <w:szCs w:val="26"/>
              </w:rPr>
              <w:t>UI Hospital and Clinics</w:t>
            </w:r>
          </w:p>
        </w:tc>
      </w:tr>
      <w:tr w:rsidR="00D85698" w:rsidRPr="00D7330E" w14:paraId="589DF613" w14:textId="77777777" w:rsidTr="00891355">
        <w:trPr>
          <w:trHeight w:val="150"/>
        </w:trPr>
        <w:tc>
          <w:tcPr>
            <w:tcW w:w="342" w:type="dxa"/>
            <w:tcBorders>
              <w:top w:val="double" w:sz="4" w:space="0" w:color="auto"/>
            </w:tcBorders>
          </w:tcPr>
          <w:p w14:paraId="1EBB6D0E" w14:textId="77777777" w:rsidR="00D85698" w:rsidRPr="00D7330E" w:rsidRDefault="00D85698" w:rsidP="00891355">
            <w:pPr>
              <w:pStyle w:val="NoSpacing"/>
              <w:rPr>
                <w:sz w:val="26"/>
                <w:szCs w:val="26"/>
              </w:rPr>
            </w:pPr>
          </w:p>
        </w:tc>
        <w:tc>
          <w:tcPr>
            <w:tcW w:w="990" w:type="dxa"/>
            <w:tcBorders>
              <w:top w:val="double" w:sz="4" w:space="0" w:color="auto"/>
            </w:tcBorders>
          </w:tcPr>
          <w:p w14:paraId="17537141" w14:textId="77777777" w:rsidR="00D85698" w:rsidRPr="00D7330E" w:rsidRDefault="00D85698" w:rsidP="00891355">
            <w:pPr>
              <w:pStyle w:val="NoSpacing"/>
              <w:rPr>
                <w:sz w:val="26"/>
                <w:szCs w:val="26"/>
              </w:rPr>
            </w:pPr>
          </w:p>
          <w:p w14:paraId="772C82CE" w14:textId="77777777" w:rsidR="00D85698" w:rsidRPr="00D7330E" w:rsidRDefault="00D85698" w:rsidP="00891355">
            <w:pPr>
              <w:pStyle w:val="NoSpacing"/>
              <w:rPr>
                <w:sz w:val="26"/>
                <w:szCs w:val="26"/>
              </w:rPr>
            </w:pPr>
            <w:r w:rsidRPr="00D7330E">
              <w:rPr>
                <w:sz w:val="26"/>
                <w:szCs w:val="26"/>
              </w:rPr>
              <w:t xml:space="preserve">Item   </w:t>
            </w:r>
          </w:p>
        </w:tc>
        <w:tc>
          <w:tcPr>
            <w:tcW w:w="8118" w:type="dxa"/>
            <w:tcBorders>
              <w:top w:val="double" w:sz="4" w:space="0" w:color="auto"/>
            </w:tcBorders>
          </w:tcPr>
          <w:p w14:paraId="01A321E2" w14:textId="77777777" w:rsidR="00D85698" w:rsidRPr="00D7330E" w:rsidRDefault="00D85698" w:rsidP="00891355">
            <w:pPr>
              <w:pStyle w:val="NoSpacing"/>
              <w:rPr>
                <w:sz w:val="26"/>
                <w:szCs w:val="26"/>
              </w:rPr>
            </w:pPr>
          </w:p>
          <w:p w14:paraId="6C26CE54" w14:textId="77777777" w:rsidR="000A6143" w:rsidRDefault="00BD7A9C" w:rsidP="00891355">
            <w:pPr>
              <w:spacing w:after="0" w:line="240" w:lineRule="auto"/>
              <w:rPr>
                <w:rFonts w:eastAsia="Times New Roman"/>
                <w:b/>
                <w:color w:val="000000"/>
                <w:szCs w:val="26"/>
              </w:rPr>
            </w:pPr>
            <w:r>
              <w:rPr>
                <w:bCs/>
                <w:szCs w:val="26"/>
              </w:rPr>
              <w:t>Comprehensive Sleep Study Program Support</w:t>
            </w:r>
            <w:r w:rsidRPr="003442F6">
              <w:rPr>
                <w:bCs/>
                <w:szCs w:val="26"/>
              </w:rPr>
              <w:t xml:space="preserve"> for UI Hospital and Clinics</w:t>
            </w:r>
            <w:r w:rsidRPr="00D7330E">
              <w:rPr>
                <w:rFonts w:eastAsia="Times New Roman"/>
                <w:b/>
                <w:color w:val="000000"/>
                <w:szCs w:val="26"/>
              </w:rPr>
              <w:t xml:space="preserve"> </w:t>
            </w:r>
          </w:p>
          <w:p w14:paraId="3D4D46B2" w14:textId="353A46D3" w:rsidR="00BD7A9C" w:rsidRPr="00D7330E" w:rsidRDefault="00BD7A9C" w:rsidP="00891355">
            <w:pPr>
              <w:spacing w:after="0" w:line="240" w:lineRule="auto"/>
              <w:rPr>
                <w:rFonts w:eastAsia="Times New Roman"/>
                <w:b/>
                <w:color w:val="000000"/>
                <w:szCs w:val="26"/>
              </w:rPr>
            </w:pPr>
          </w:p>
        </w:tc>
      </w:tr>
      <w:tr w:rsidR="00D85698" w:rsidRPr="00D7330E" w14:paraId="48378977" w14:textId="77777777" w:rsidTr="00891355">
        <w:trPr>
          <w:trHeight w:val="150"/>
        </w:trPr>
        <w:tc>
          <w:tcPr>
            <w:tcW w:w="342" w:type="dxa"/>
          </w:tcPr>
          <w:p w14:paraId="3EF627D2" w14:textId="77777777" w:rsidR="00D85698" w:rsidRPr="00D7330E" w:rsidRDefault="00D85698" w:rsidP="00891355">
            <w:pPr>
              <w:pStyle w:val="NoSpacing"/>
              <w:rPr>
                <w:sz w:val="26"/>
                <w:szCs w:val="26"/>
              </w:rPr>
            </w:pPr>
            <w:r w:rsidRPr="00D7330E">
              <w:rPr>
                <w:sz w:val="26"/>
                <w:szCs w:val="26"/>
              </w:rPr>
              <w:t xml:space="preserve"> </w:t>
            </w:r>
          </w:p>
        </w:tc>
        <w:tc>
          <w:tcPr>
            <w:tcW w:w="990" w:type="dxa"/>
          </w:tcPr>
          <w:p w14:paraId="046272DE" w14:textId="77777777" w:rsidR="00D85698" w:rsidRPr="00D7330E" w:rsidRDefault="00D85698" w:rsidP="00891355">
            <w:pPr>
              <w:pStyle w:val="NoSpacing"/>
              <w:rPr>
                <w:sz w:val="26"/>
                <w:szCs w:val="26"/>
              </w:rPr>
            </w:pPr>
            <w:r w:rsidRPr="00D7330E">
              <w:rPr>
                <w:sz w:val="26"/>
                <w:szCs w:val="26"/>
              </w:rPr>
              <w:t>Cost</w:t>
            </w:r>
          </w:p>
        </w:tc>
        <w:tc>
          <w:tcPr>
            <w:tcW w:w="8118" w:type="dxa"/>
          </w:tcPr>
          <w:p w14:paraId="65640837" w14:textId="77777777" w:rsidR="00BD7A9C" w:rsidRPr="00BD7A9C" w:rsidRDefault="00BD7A9C" w:rsidP="00BD7A9C">
            <w:pPr>
              <w:spacing w:after="0" w:line="240" w:lineRule="auto"/>
              <w:rPr>
                <w:spacing w:val="-3"/>
                <w:szCs w:val="26"/>
              </w:rPr>
            </w:pPr>
            <w:r w:rsidRPr="00BD7A9C">
              <w:rPr>
                <w:spacing w:val="-3"/>
                <w:szCs w:val="26"/>
              </w:rPr>
              <w:t xml:space="preserve">$15,700,000 (estimated) for a 6-year period beginning December 1, </w:t>
            </w:r>
            <w:proofErr w:type="gramStart"/>
            <w:r w:rsidRPr="00BD7A9C">
              <w:rPr>
                <w:spacing w:val="-3"/>
                <w:szCs w:val="26"/>
              </w:rPr>
              <w:t>2025</w:t>
            </w:r>
            <w:proofErr w:type="gramEnd"/>
            <w:r w:rsidRPr="00BD7A9C">
              <w:rPr>
                <w:spacing w:val="-3"/>
                <w:szCs w:val="26"/>
              </w:rPr>
              <w:t xml:space="preserve">                      with one optional four-year renewal period (total 10 years).</w:t>
            </w:r>
          </w:p>
          <w:p w14:paraId="499C1A32" w14:textId="77777777" w:rsidR="00BD7A9C" w:rsidRPr="00BD7A9C" w:rsidRDefault="00BD7A9C" w:rsidP="00BD7A9C">
            <w:pPr>
              <w:spacing w:after="0" w:line="240" w:lineRule="auto"/>
              <w:rPr>
                <w:spacing w:val="-3"/>
                <w:szCs w:val="26"/>
              </w:rPr>
            </w:pPr>
            <w:r w:rsidRPr="00BD7A9C">
              <w:rPr>
                <w:spacing w:val="-3"/>
                <w:szCs w:val="26"/>
              </w:rPr>
              <w:t>Total expense (estimated) including renewal period is $29,900,000.</w:t>
            </w:r>
          </w:p>
          <w:p w14:paraId="7A7A7DC3" w14:textId="77777777" w:rsidR="00D85698" w:rsidRPr="00D7330E" w:rsidRDefault="00D85698" w:rsidP="00891355">
            <w:pPr>
              <w:spacing w:after="0" w:line="240" w:lineRule="auto"/>
              <w:rPr>
                <w:rFonts w:eastAsia="Times New Roman"/>
                <w:b/>
                <w:color w:val="000000"/>
                <w:szCs w:val="26"/>
              </w:rPr>
            </w:pPr>
          </w:p>
        </w:tc>
      </w:tr>
      <w:tr w:rsidR="00D85698" w:rsidRPr="00D7330E" w14:paraId="45F50B31" w14:textId="77777777" w:rsidTr="00891355">
        <w:trPr>
          <w:trHeight w:val="150"/>
        </w:trPr>
        <w:tc>
          <w:tcPr>
            <w:tcW w:w="342" w:type="dxa"/>
          </w:tcPr>
          <w:p w14:paraId="15A17C2A" w14:textId="77777777" w:rsidR="00D85698" w:rsidRPr="00D7330E" w:rsidRDefault="00D85698" w:rsidP="00891355">
            <w:pPr>
              <w:pStyle w:val="NoSpacing"/>
              <w:rPr>
                <w:sz w:val="26"/>
                <w:szCs w:val="26"/>
              </w:rPr>
            </w:pPr>
          </w:p>
        </w:tc>
        <w:tc>
          <w:tcPr>
            <w:tcW w:w="990" w:type="dxa"/>
          </w:tcPr>
          <w:p w14:paraId="6F251A3E" w14:textId="77777777" w:rsidR="00D85698" w:rsidRPr="00D7330E" w:rsidRDefault="00D85698" w:rsidP="00891355">
            <w:pPr>
              <w:pStyle w:val="NoSpacing"/>
              <w:rPr>
                <w:sz w:val="26"/>
                <w:szCs w:val="26"/>
              </w:rPr>
            </w:pPr>
            <w:r w:rsidRPr="00D7330E">
              <w:rPr>
                <w:sz w:val="26"/>
                <w:szCs w:val="26"/>
              </w:rPr>
              <w:t>Vendor</w:t>
            </w:r>
          </w:p>
        </w:tc>
        <w:tc>
          <w:tcPr>
            <w:tcW w:w="8118" w:type="dxa"/>
          </w:tcPr>
          <w:p w14:paraId="37A9733A" w14:textId="77777777" w:rsidR="00D85698" w:rsidRDefault="00BD7A9C" w:rsidP="007B0B90">
            <w:pPr>
              <w:spacing w:after="0" w:line="240" w:lineRule="auto"/>
              <w:jc w:val="both"/>
              <w:rPr>
                <w:bCs/>
                <w:szCs w:val="26"/>
              </w:rPr>
            </w:pPr>
            <w:r w:rsidRPr="00BD7A9C">
              <w:rPr>
                <w:bCs/>
                <w:szCs w:val="26"/>
              </w:rPr>
              <w:t xml:space="preserve">Forward Health LLC                 </w:t>
            </w:r>
            <w:r>
              <w:rPr>
                <w:bCs/>
                <w:szCs w:val="26"/>
              </w:rPr>
              <w:t xml:space="preserve">                                   </w:t>
            </w:r>
            <w:r w:rsidRPr="00BD7A9C">
              <w:rPr>
                <w:bCs/>
                <w:szCs w:val="26"/>
              </w:rPr>
              <w:t>Bountiful, Utah</w:t>
            </w:r>
          </w:p>
          <w:p w14:paraId="4C0A65ED" w14:textId="4082B413" w:rsidR="007B0B90" w:rsidRPr="007B0B90" w:rsidRDefault="007B0B90" w:rsidP="007B0B90">
            <w:pPr>
              <w:spacing w:after="0" w:line="240" w:lineRule="auto"/>
              <w:jc w:val="both"/>
              <w:rPr>
                <w:bCs/>
                <w:szCs w:val="26"/>
              </w:rPr>
            </w:pPr>
          </w:p>
        </w:tc>
      </w:tr>
      <w:tr w:rsidR="00D85698" w:rsidRPr="00D7330E" w14:paraId="3E507635" w14:textId="77777777" w:rsidTr="00891355">
        <w:trPr>
          <w:trHeight w:val="150"/>
        </w:trPr>
        <w:tc>
          <w:tcPr>
            <w:tcW w:w="342" w:type="dxa"/>
          </w:tcPr>
          <w:p w14:paraId="64BB2553" w14:textId="77777777" w:rsidR="00D85698" w:rsidRPr="00D7330E" w:rsidRDefault="00D85698" w:rsidP="00891355">
            <w:pPr>
              <w:pStyle w:val="NoSpacing"/>
              <w:rPr>
                <w:sz w:val="26"/>
                <w:szCs w:val="26"/>
              </w:rPr>
            </w:pPr>
          </w:p>
        </w:tc>
        <w:tc>
          <w:tcPr>
            <w:tcW w:w="990" w:type="dxa"/>
          </w:tcPr>
          <w:p w14:paraId="7A93C8C6" w14:textId="77777777" w:rsidR="00D85698" w:rsidRPr="00D7330E" w:rsidRDefault="00D85698" w:rsidP="00891355">
            <w:pPr>
              <w:pStyle w:val="NoSpacing"/>
              <w:rPr>
                <w:sz w:val="26"/>
                <w:szCs w:val="26"/>
              </w:rPr>
            </w:pPr>
          </w:p>
        </w:tc>
        <w:tc>
          <w:tcPr>
            <w:tcW w:w="8118" w:type="dxa"/>
          </w:tcPr>
          <w:p w14:paraId="4DB8ADD5" w14:textId="77777777" w:rsidR="007B0B90" w:rsidRPr="007B0B90" w:rsidRDefault="007B0B90" w:rsidP="007B0B90">
            <w:pPr>
              <w:jc w:val="both"/>
              <w:rPr>
                <w:szCs w:val="26"/>
              </w:rPr>
            </w:pPr>
            <w:r w:rsidRPr="007B0B90">
              <w:rPr>
                <w:szCs w:val="26"/>
              </w:rPr>
              <w:t>UI Hospital uses a third-party vendor to provide support services for all aspects of its sleep study program including: 24/7 technologist staffing, specialized pediatric and complex patient care, and timely scoring of results.   The vendor also includes provision, installation and ongoing maintenance of equipment and inventory for in-lab and home sleep tests.</w:t>
            </w:r>
          </w:p>
          <w:p w14:paraId="0F1C09DB" w14:textId="7CCF8733" w:rsidR="007B0B90" w:rsidRPr="007B0B90" w:rsidRDefault="007B0B90" w:rsidP="007B0B90">
            <w:pPr>
              <w:jc w:val="both"/>
              <w:rPr>
                <w:szCs w:val="26"/>
              </w:rPr>
            </w:pPr>
            <w:r w:rsidRPr="007B0B90">
              <w:rPr>
                <w:szCs w:val="26"/>
              </w:rPr>
              <w:t>This purchase is exempt from competitive selection procedures in accordance with the Illinois Procurement Code (30ILCS 500/1-13(b-5)).</w:t>
            </w:r>
          </w:p>
          <w:p w14:paraId="7C2F5157" w14:textId="41B2DC8B" w:rsidR="00D85698" w:rsidRPr="00D7330E" w:rsidRDefault="007B0B90" w:rsidP="007B0B90">
            <w:pPr>
              <w:spacing w:after="0" w:line="240" w:lineRule="auto"/>
              <w:rPr>
                <w:rFonts w:eastAsia="Times New Roman"/>
                <w:b/>
                <w:color w:val="000000"/>
                <w:szCs w:val="26"/>
              </w:rPr>
            </w:pPr>
            <w:r w:rsidRPr="007B0B90">
              <w:rPr>
                <w:rFonts w:eastAsia="Times New Roman"/>
                <w:b/>
                <w:color w:val="000000"/>
                <w:szCs w:val="26"/>
              </w:rPr>
              <w:t xml:space="preserve">Business Enterprise Program (BEP) </w:t>
            </w:r>
            <w:r w:rsidRPr="007B0B90">
              <w:rPr>
                <w:rFonts w:eastAsia="Times New Roman"/>
                <w:bCs/>
                <w:color w:val="000000"/>
                <w:szCs w:val="26"/>
              </w:rPr>
              <w:t>goals are not established for purchases which are exempt from the requirements of the Illinois Procurement Code.</w:t>
            </w:r>
          </w:p>
        </w:tc>
      </w:tr>
      <w:tr w:rsidR="00D85698" w:rsidRPr="00D7330E" w14:paraId="57782BF2" w14:textId="77777777" w:rsidTr="00891355">
        <w:trPr>
          <w:trHeight w:val="150"/>
        </w:trPr>
        <w:tc>
          <w:tcPr>
            <w:tcW w:w="342" w:type="dxa"/>
          </w:tcPr>
          <w:p w14:paraId="2FD3B5FB" w14:textId="77777777" w:rsidR="00D85698" w:rsidRPr="00D7330E" w:rsidRDefault="00D85698" w:rsidP="00891355">
            <w:pPr>
              <w:pStyle w:val="NoSpacing"/>
              <w:rPr>
                <w:sz w:val="26"/>
                <w:szCs w:val="26"/>
              </w:rPr>
            </w:pPr>
          </w:p>
        </w:tc>
        <w:tc>
          <w:tcPr>
            <w:tcW w:w="990" w:type="dxa"/>
          </w:tcPr>
          <w:p w14:paraId="67F93925" w14:textId="77777777" w:rsidR="00D85698" w:rsidRPr="00D7330E" w:rsidRDefault="00D85698" w:rsidP="00891355">
            <w:pPr>
              <w:pStyle w:val="NoSpacing"/>
              <w:rPr>
                <w:sz w:val="26"/>
                <w:szCs w:val="26"/>
              </w:rPr>
            </w:pPr>
          </w:p>
        </w:tc>
        <w:tc>
          <w:tcPr>
            <w:tcW w:w="8118" w:type="dxa"/>
          </w:tcPr>
          <w:p w14:paraId="5F122DE9" w14:textId="77777777" w:rsidR="00D85698" w:rsidRPr="00D7330E" w:rsidRDefault="00D85698" w:rsidP="00891355">
            <w:pPr>
              <w:spacing w:after="0" w:line="240" w:lineRule="auto"/>
              <w:rPr>
                <w:rFonts w:eastAsia="Times New Roman"/>
                <w:b/>
                <w:color w:val="000000"/>
                <w:szCs w:val="26"/>
              </w:rPr>
            </w:pPr>
          </w:p>
        </w:tc>
      </w:tr>
      <w:tr w:rsidR="00D85698" w:rsidRPr="00D7330E" w14:paraId="14C932D8" w14:textId="77777777" w:rsidTr="00891355">
        <w:trPr>
          <w:trHeight w:val="333"/>
        </w:trPr>
        <w:tc>
          <w:tcPr>
            <w:tcW w:w="9450" w:type="dxa"/>
            <w:gridSpan w:val="3"/>
          </w:tcPr>
          <w:tbl>
            <w:tblPr>
              <w:tblpPr w:leftFromText="180" w:rightFromText="180" w:vertAnchor="text" w:tblpY="1"/>
              <w:tblOverlap w:val="never"/>
              <w:tblW w:w="9454" w:type="dxa"/>
              <w:tblLayout w:type="fixed"/>
              <w:tblCellMar>
                <w:left w:w="43" w:type="dxa"/>
                <w:right w:w="43" w:type="dxa"/>
              </w:tblCellMar>
              <w:tblLook w:val="0000" w:firstRow="0" w:lastRow="0" w:firstColumn="0" w:lastColumn="0" w:noHBand="0" w:noVBand="0"/>
            </w:tblPr>
            <w:tblGrid>
              <w:gridCol w:w="9454"/>
            </w:tblGrid>
            <w:tr w:rsidR="00D85698" w:rsidRPr="00D7330E" w14:paraId="753764D1" w14:textId="77777777" w:rsidTr="00891355">
              <w:trPr>
                <w:trHeight w:val="114"/>
              </w:trPr>
              <w:tc>
                <w:tcPr>
                  <w:tcW w:w="9454" w:type="dxa"/>
                  <w:tcBorders>
                    <w:top w:val="single" w:sz="18" w:space="0" w:color="auto"/>
                    <w:bottom w:val="single" w:sz="18" w:space="0" w:color="auto"/>
                  </w:tcBorders>
                </w:tcPr>
                <w:p w14:paraId="5B3757FD" w14:textId="03DE9911" w:rsidR="00D85698" w:rsidRPr="00D7330E" w:rsidRDefault="00D85698" w:rsidP="00891355">
                  <w:pPr>
                    <w:tabs>
                      <w:tab w:val="left" w:pos="-720"/>
                      <w:tab w:val="left" w:pos="9090"/>
                    </w:tabs>
                    <w:suppressAutoHyphens/>
                    <w:overflowPunct w:val="0"/>
                    <w:autoSpaceDE w:val="0"/>
                    <w:autoSpaceDN w:val="0"/>
                    <w:adjustRightInd w:val="0"/>
                    <w:spacing w:after="0" w:line="240" w:lineRule="auto"/>
                    <w:jc w:val="center"/>
                    <w:textAlignment w:val="baseline"/>
                    <w:rPr>
                      <w:rFonts w:eastAsia="Times New Roman"/>
                      <w:b/>
                      <w:szCs w:val="26"/>
                    </w:rPr>
                  </w:pPr>
                  <w:r w:rsidRPr="00D7330E">
                    <w:rPr>
                      <w:rFonts w:eastAsia="Times New Roman"/>
                      <w:b/>
                      <w:szCs w:val="26"/>
                    </w:rPr>
                    <w:t xml:space="preserve">University of Illinois </w:t>
                  </w:r>
                  <w:r w:rsidR="007B0B90">
                    <w:rPr>
                      <w:rFonts w:eastAsia="Times New Roman"/>
                      <w:b/>
                      <w:szCs w:val="26"/>
                    </w:rPr>
                    <w:t>Urbana-Champaign</w:t>
                  </w:r>
                </w:p>
              </w:tc>
            </w:tr>
          </w:tbl>
          <w:p w14:paraId="692392F2" w14:textId="77777777" w:rsidR="00D85698" w:rsidRPr="00D7330E" w:rsidRDefault="00D85698" w:rsidP="00891355">
            <w:pPr>
              <w:spacing w:after="0"/>
              <w:jc w:val="both"/>
              <w:rPr>
                <w:szCs w:val="26"/>
              </w:rPr>
            </w:pPr>
          </w:p>
        </w:tc>
      </w:tr>
      <w:tr w:rsidR="00B400D8" w:rsidRPr="00D7330E" w14:paraId="15CED79A" w14:textId="77777777" w:rsidTr="00C74ECC">
        <w:trPr>
          <w:trHeight w:val="333"/>
        </w:trPr>
        <w:tc>
          <w:tcPr>
            <w:tcW w:w="342" w:type="dxa"/>
          </w:tcPr>
          <w:p w14:paraId="0271F4CD" w14:textId="77777777" w:rsidR="00B400D8" w:rsidRPr="00D7330E" w:rsidRDefault="00B400D8" w:rsidP="00C74ECC">
            <w:pPr>
              <w:pStyle w:val="NoSpacing"/>
              <w:jc w:val="both"/>
              <w:rPr>
                <w:sz w:val="26"/>
                <w:szCs w:val="26"/>
              </w:rPr>
            </w:pPr>
          </w:p>
        </w:tc>
        <w:tc>
          <w:tcPr>
            <w:tcW w:w="990" w:type="dxa"/>
          </w:tcPr>
          <w:p w14:paraId="68C91FC2" w14:textId="77777777" w:rsidR="00B400D8" w:rsidRPr="00D7330E" w:rsidRDefault="00B400D8" w:rsidP="00C74ECC">
            <w:pPr>
              <w:pStyle w:val="NoSpacing"/>
              <w:jc w:val="both"/>
              <w:rPr>
                <w:sz w:val="26"/>
                <w:szCs w:val="26"/>
              </w:rPr>
            </w:pPr>
          </w:p>
        </w:tc>
        <w:tc>
          <w:tcPr>
            <w:tcW w:w="8118" w:type="dxa"/>
          </w:tcPr>
          <w:p w14:paraId="06D433AB" w14:textId="77777777" w:rsidR="00B400D8" w:rsidRPr="00D7330E" w:rsidRDefault="00B400D8" w:rsidP="00C74ECC">
            <w:pPr>
              <w:spacing w:after="0"/>
              <w:jc w:val="both"/>
              <w:rPr>
                <w:szCs w:val="26"/>
              </w:rPr>
            </w:pPr>
          </w:p>
        </w:tc>
      </w:tr>
      <w:tr w:rsidR="00B400D8" w:rsidRPr="00D7330E" w14:paraId="16A6ADDA" w14:textId="77777777" w:rsidTr="00C74ECC">
        <w:trPr>
          <w:trHeight w:val="333"/>
        </w:trPr>
        <w:tc>
          <w:tcPr>
            <w:tcW w:w="342" w:type="dxa"/>
            <w:tcBorders>
              <w:bottom w:val="double" w:sz="4" w:space="0" w:color="auto"/>
            </w:tcBorders>
          </w:tcPr>
          <w:p w14:paraId="3B31F66D" w14:textId="77777777" w:rsidR="00B400D8" w:rsidRPr="00D7330E" w:rsidRDefault="00B400D8" w:rsidP="00C74ECC">
            <w:pPr>
              <w:pStyle w:val="NoSpacing"/>
              <w:jc w:val="both"/>
              <w:rPr>
                <w:sz w:val="26"/>
                <w:szCs w:val="26"/>
              </w:rPr>
            </w:pPr>
            <w:r>
              <w:rPr>
                <w:sz w:val="26"/>
                <w:szCs w:val="26"/>
              </w:rPr>
              <w:t>5</w:t>
            </w:r>
          </w:p>
        </w:tc>
        <w:tc>
          <w:tcPr>
            <w:tcW w:w="990" w:type="dxa"/>
            <w:tcBorders>
              <w:bottom w:val="double" w:sz="4" w:space="0" w:color="auto"/>
            </w:tcBorders>
          </w:tcPr>
          <w:p w14:paraId="06C79861" w14:textId="77777777" w:rsidR="00B400D8" w:rsidRPr="00D7330E" w:rsidRDefault="00B400D8" w:rsidP="00C74ECC">
            <w:pPr>
              <w:pStyle w:val="NoSpacing"/>
              <w:jc w:val="both"/>
              <w:rPr>
                <w:sz w:val="26"/>
                <w:szCs w:val="26"/>
              </w:rPr>
            </w:pPr>
            <w:r w:rsidRPr="00D7330E">
              <w:rPr>
                <w:sz w:val="26"/>
                <w:szCs w:val="26"/>
              </w:rPr>
              <w:t>Unit</w:t>
            </w:r>
          </w:p>
        </w:tc>
        <w:tc>
          <w:tcPr>
            <w:tcW w:w="8118" w:type="dxa"/>
            <w:tcBorders>
              <w:bottom w:val="double" w:sz="4" w:space="0" w:color="auto"/>
            </w:tcBorders>
          </w:tcPr>
          <w:p w14:paraId="322D807B" w14:textId="77777777" w:rsidR="00B400D8" w:rsidRPr="00D7330E" w:rsidRDefault="00B400D8" w:rsidP="00C74ECC">
            <w:pPr>
              <w:spacing w:after="0"/>
              <w:jc w:val="both"/>
              <w:rPr>
                <w:szCs w:val="26"/>
              </w:rPr>
            </w:pPr>
            <w:r>
              <w:t>Materials Research Laboratory (MRL)</w:t>
            </w:r>
          </w:p>
        </w:tc>
      </w:tr>
      <w:tr w:rsidR="00B400D8" w:rsidRPr="00D7330E" w14:paraId="31CC4659" w14:textId="77777777" w:rsidTr="00C74ECC">
        <w:trPr>
          <w:trHeight w:val="510"/>
        </w:trPr>
        <w:tc>
          <w:tcPr>
            <w:tcW w:w="342" w:type="dxa"/>
            <w:tcBorders>
              <w:top w:val="double" w:sz="4" w:space="0" w:color="auto"/>
            </w:tcBorders>
          </w:tcPr>
          <w:p w14:paraId="13683C65" w14:textId="77777777" w:rsidR="00B400D8" w:rsidRPr="00D7330E" w:rsidRDefault="00B400D8" w:rsidP="00C74ECC">
            <w:pPr>
              <w:pStyle w:val="NoSpacing"/>
              <w:rPr>
                <w:sz w:val="26"/>
                <w:szCs w:val="26"/>
              </w:rPr>
            </w:pPr>
          </w:p>
        </w:tc>
        <w:tc>
          <w:tcPr>
            <w:tcW w:w="990" w:type="dxa"/>
            <w:tcBorders>
              <w:top w:val="double" w:sz="4" w:space="0" w:color="auto"/>
            </w:tcBorders>
          </w:tcPr>
          <w:p w14:paraId="20E1AB03" w14:textId="77777777" w:rsidR="00B400D8" w:rsidRPr="00D7330E" w:rsidRDefault="00B400D8" w:rsidP="00C74ECC">
            <w:pPr>
              <w:pStyle w:val="NoSpacing"/>
              <w:rPr>
                <w:sz w:val="26"/>
                <w:szCs w:val="26"/>
              </w:rPr>
            </w:pPr>
          </w:p>
          <w:p w14:paraId="0C6A4E09" w14:textId="77777777" w:rsidR="00B400D8" w:rsidRPr="00D7330E" w:rsidRDefault="00B400D8" w:rsidP="00C74ECC">
            <w:pPr>
              <w:pStyle w:val="NoSpacing"/>
              <w:rPr>
                <w:sz w:val="26"/>
                <w:szCs w:val="26"/>
              </w:rPr>
            </w:pPr>
            <w:r w:rsidRPr="00D7330E">
              <w:rPr>
                <w:sz w:val="26"/>
                <w:szCs w:val="26"/>
              </w:rPr>
              <w:t>Item</w:t>
            </w:r>
          </w:p>
        </w:tc>
        <w:tc>
          <w:tcPr>
            <w:tcW w:w="8118" w:type="dxa"/>
            <w:tcBorders>
              <w:top w:val="double" w:sz="4" w:space="0" w:color="auto"/>
            </w:tcBorders>
            <w:vAlign w:val="center"/>
          </w:tcPr>
          <w:p w14:paraId="65406EBB" w14:textId="77777777" w:rsidR="00B400D8" w:rsidRPr="00D7330E" w:rsidRDefault="00B400D8" w:rsidP="00C74ECC">
            <w:pPr>
              <w:pStyle w:val="NoSpacing"/>
              <w:rPr>
                <w:sz w:val="26"/>
                <w:szCs w:val="26"/>
              </w:rPr>
            </w:pPr>
          </w:p>
          <w:p w14:paraId="73E4F65D" w14:textId="77777777" w:rsidR="00B400D8" w:rsidRPr="00D7330E" w:rsidRDefault="00B400D8" w:rsidP="00C74ECC">
            <w:pPr>
              <w:pStyle w:val="NoSpacing"/>
              <w:rPr>
                <w:sz w:val="26"/>
                <w:szCs w:val="26"/>
              </w:rPr>
            </w:pPr>
            <w:r>
              <w:rPr>
                <w:sz w:val="26"/>
                <w:szCs w:val="26"/>
              </w:rPr>
              <w:t>Electron Beam-Wire Additive Manufacturing System (EBAM)</w:t>
            </w:r>
          </w:p>
        </w:tc>
      </w:tr>
      <w:tr w:rsidR="00B400D8" w:rsidRPr="00D7330E" w14:paraId="54FD52FE" w14:textId="77777777" w:rsidTr="00C74ECC">
        <w:trPr>
          <w:trHeight w:val="150"/>
        </w:trPr>
        <w:tc>
          <w:tcPr>
            <w:tcW w:w="342" w:type="dxa"/>
          </w:tcPr>
          <w:p w14:paraId="04B381DA" w14:textId="77777777" w:rsidR="00B400D8" w:rsidRPr="00D7330E" w:rsidRDefault="00B400D8" w:rsidP="00C74ECC">
            <w:pPr>
              <w:pStyle w:val="NoSpacing"/>
              <w:rPr>
                <w:sz w:val="26"/>
                <w:szCs w:val="26"/>
              </w:rPr>
            </w:pPr>
          </w:p>
        </w:tc>
        <w:tc>
          <w:tcPr>
            <w:tcW w:w="990" w:type="dxa"/>
          </w:tcPr>
          <w:p w14:paraId="7589408A" w14:textId="77777777" w:rsidR="00B400D8" w:rsidRPr="00D7330E" w:rsidRDefault="00B400D8" w:rsidP="00C74ECC">
            <w:pPr>
              <w:pStyle w:val="NoSpacing"/>
              <w:rPr>
                <w:sz w:val="26"/>
                <w:szCs w:val="26"/>
              </w:rPr>
            </w:pPr>
          </w:p>
          <w:p w14:paraId="2D7DDEC0" w14:textId="77777777" w:rsidR="00B400D8" w:rsidRPr="00D7330E" w:rsidRDefault="00B400D8" w:rsidP="00C74ECC">
            <w:pPr>
              <w:pStyle w:val="NoSpacing"/>
              <w:rPr>
                <w:sz w:val="26"/>
                <w:szCs w:val="26"/>
              </w:rPr>
            </w:pPr>
            <w:r w:rsidRPr="00D7330E">
              <w:rPr>
                <w:sz w:val="26"/>
                <w:szCs w:val="26"/>
              </w:rPr>
              <w:lastRenderedPageBreak/>
              <w:t>Cost</w:t>
            </w:r>
          </w:p>
        </w:tc>
        <w:tc>
          <w:tcPr>
            <w:tcW w:w="8118" w:type="dxa"/>
          </w:tcPr>
          <w:p w14:paraId="50D745E3" w14:textId="77777777" w:rsidR="00B400D8" w:rsidRPr="00D7330E" w:rsidRDefault="00B400D8" w:rsidP="00C74ECC">
            <w:pPr>
              <w:spacing w:after="0"/>
              <w:rPr>
                <w:szCs w:val="26"/>
              </w:rPr>
            </w:pPr>
          </w:p>
          <w:p w14:paraId="6DA10302" w14:textId="1CC23582" w:rsidR="00B400D8" w:rsidRPr="00D7330E" w:rsidRDefault="00B400D8" w:rsidP="00C74ECC">
            <w:pPr>
              <w:tabs>
                <w:tab w:val="left" w:pos="-720"/>
                <w:tab w:val="left" w:pos="0"/>
                <w:tab w:val="left" w:pos="720"/>
                <w:tab w:val="left" w:pos="1080"/>
                <w:tab w:val="left" w:pos="1440"/>
              </w:tabs>
              <w:suppressAutoHyphens/>
              <w:jc w:val="both"/>
              <w:rPr>
                <w:szCs w:val="26"/>
              </w:rPr>
            </w:pPr>
            <w:r>
              <w:rPr>
                <w:szCs w:val="26"/>
              </w:rPr>
              <w:lastRenderedPageBreak/>
              <w:t xml:space="preserve">$2,218,487.50 One-Time Purchase </w:t>
            </w:r>
          </w:p>
        </w:tc>
      </w:tr>
      <w:tr w:rsidR="00B400D8" w:rsidRPr="00D7330E" w14:paraId="1774E6CD" w14:textId="77777777" w:rsidTr="00C74ECC">
        <w:trPr>
          <w:trHeight w:val="150"/>
        </w:trPr>
        <w:tc>
          <w:tcPr>
            <w:tcW w:w="342" w:type="dxa"/>
          </w:tcPr>
          <w:p w14:paraId="1565D070" w14:textId="77777777" w:rsidR="00B400D8" w:rsidRPr="00D7330E" w:rsidRDefault="00B400D8" w:rsidP="00C74ECC">
            <w:pPr>
              <w:pStyle w:val="NoSpacing"/>
              <w:rPr>
                <w:sz w:val="26"/>
                <w:szCs w:val="26"/>
              </w:rPr>
            </w:pPr>
          </w:p>
        </w:tc>
        <w:tc>
          <w:tcPr>
            <w:tcW w:w="990" w:type="dxa"/>
          </w:tcPr>
          <w:p w14:paraId="7DFA1D52" w14:textId="77777777" w:rsidR="00B400D8" w:rsidRPr="00D7330E" w:rsidRDefault="00B400D8" w:rsidP="00C74ECC">
            <w:pPr>
              <w:pStyle w:val="NoSpacing"/>
              <w:rPr>
                <w:sz w:val="26"/>
                <w:szCs w:val="26"/>
              </w:rPr>
            </w:pPr>
            <w:r w:rsidRPr="00D7330E">
              <w:rPr>
                <w:sz w:val="26"/>
                <w:szCs w:val="26"/>
              </w:rPr>
              <w:t>Vendor</w:t>
            </w:r>
          </w:p>
        </w:tc>
        <w:tc>
          <w:tcPr>
            <w:tcW w:w="8118" w:type="dxa"/>
          </w:tcPr>
          <w:p w14:paraId="7F43BB4F" w14:textId="77777777" w:rsidR="00B400D8" w:rsidRDefault="00B400D8" w:rsidP="00C74ECC">
            <w:pPr>
              <w:spacing w:after="0"/>
              <w:rPr>
                <w:rFonts w:eastAsia="Times New Roman"/>
                <w:bCs/>
                <w:iCs/>
                <w:szCs w:val="26"/>
              </w:rPr>
            </w:pPr>
            <w:r>
              <w:rPr>
                <w:rFonts w:eastAsia="Times New Roman"/>
                <w:bCs/>
                <w:iCs/>
                <w:szCs w:val="26"/>
              </w:rPr>
              <w:t>Pro-Beam GmbH &amp; Co KGaA</w:t>
            </w:r>
            <w:r w:rsidRPr="000A6143">
              <w:rPr>
                <w:rFonts w:eastAsia="Times New Roman"/>
                <w:bCs/>
                <w:iCs/>
                <w:szCs w:val="26"/>
              </w:rPr>
              <w:t xml:space="preserve"> </w:t>
            </w:r>
            <w:r>
              <w:rPr>
                <w:rFonts w:eastAsia="Times New Roman"/>
                <w:bCs/>
                <w:iCs/>
                <w:szCs w:val="26"/>
              </w:rPr>
              <w:t xml:space="preserve">                        </w:t>
            </w:r>
            <w:proofErr w:type="spellStart"/>
            <w:r>
              <w:rPr>
                <w:rFonts w:eastAsia="Times New Roman"/>
                <w:bCs/>
                <w:iCs/>
                <w:szCs w:val="26"/>
              </w:rPr>
              <w:t>Gilching</w:t>
            </w:r>
            <w:proofErr w:type="spellEnd"/>
            <w:r>
              <w:rPr>
                <w:rFonts w:eastAsia="Times New Roman"/>
                <w:bCs/>
                <w:iCs/>
                <w:szCs w:val="26"/>
              </w:rPr>
              <w:t xml:space="preserve"> Bavaria, Germany</w:t>
            </w:r>
          </w:p>
          <w:p w14:paraId="6475D4E3" w14:textId="77777777" w:rsidR="00B400D8" w:rsidRPr="00D7330E" w:rsidRDefault="00B400D8" w:rsidP="00C74ECC">
            <w:pPr>
              <w:spacing w:after="0"/>
              <w:rPr>
                <w:szCs w:val="26"/>
              </w:rPr>
            </w:pPr>
          </w:p>
        </w:tc>
      </w:tr>
      <w:tr w:rsidR="00B400D8" w:rsidRPr="00D7330E" w14:paraId="1BAA2EB6" w14:textId="77777777" w:rsidTr="00C74ECC">
        <w:trPr>
          <w:trHeight w:val="150"/>
        </w:trPr>
        <w:tc>
          <w:tcPr>
            <w:tcW w:w="342" w:type="dxa"/>
          </w:tcPr>
          <w:p w14:paraId="7AC7143F" w14:textId="77777777" w:rsidR="00B400D8" w:rsidRPr="00D7330E" w:rsidRDefault="00B400D8" w:rsidP="00C74ECC">
            <w:pPr>
              <w:pStyle w:val="NoSpacing"/>
              <w:rPr>
                <w:sz w:val="26"/>
                <w:szCs w:val="26"/>
              </w:rPr>
            </w:pPr>
          </w:p>
        </w:tc>
        <w:tc>
          <w:tcPr>
            <w:tcW w:w="990" w:type="dxa"/>
          </w:tcPr>
          <w:p w14:paraId="4260A38E" w14:textId="77777777" w:rsidR="00B400D8" w:rsidRPr="00D7330E" w:rsidRDefault="00B400D8" w:rsidP="00C74ECC">
            <w:pPr>
              <w:pStyle w:val="NoSpacing"/>
              <w:rPr>
                <w:sz w:val="26"/>
                <w:szCs w:val="26"/>
              </w:rPr>
            </w:pPr>
          </w:p>
        </w:tc>
        <w:tc>
          <w:tcPr>
            <w:tcW w:w="8118" w:type="dxa"/>
          </w:tcPr>
          <w:p w14:paraId="106F635E" w14:textId="77777777" w:rsidR="00B400D8" w:rsidRDefault="00B400D8" w:rsidP="00C74ECC">
            <w:pPr>
              <w:rPr>
                <w:szCs w:val="26"/>
              </w:rPr>
            </w:pPr>
            <w:r>
              <w:rPr>
                <w:szCs w:val="26"/>
              </w:rPr>
              <w:t>This purchase is a sole source because the items are patented, required for research, and no other source can meet the researcher’s documented need.</w:t>
            </w:r>
          </w:p>
          <w:p w14:paraId="1C43CC64" w14:textId="77777777" w:rsidR="00B400D8" w:rsidRDefault="00B400D8" w:rsidP="00C74ECC">
            <w:pPr>
              <w:rPr>
                <w:szCs w:val="26"/>
              </w:rPr>
            </w:pPr>
            <w:r>
              <w:rPr>
                <w:szCs w:val="26"/>
              </w:rPr>
              <w:t>The EBAM will be utilized to conduct research aimed at developing a deeper understanding of the mechanical properties (strength) achieved when manufacturing large metal parts using EBAM and other additive manufacturing techniques.  EBAM will be used to execute an 18-month, $8.1 million research project from the Army Ground Vehicle Systems Center.  This effort could evolve into a 5-year, $50 million project based on long term research goals of the Army.</w:t>
            </w:r>
          </w:p>
          <w:p w14:paraId="7004D77D" w14:textId="77777777" w:rsidR="00B400D8" w:rsidRDefault="00B400D8" w:rsidP="00C74ECC">
            <w:pPr>
              <w:rPr>
                <w:szCs w:val="26"/>
              </w:rPr>
            </w:pPr>
            <w:r>
              <w:rPr>
                <w:szCs w:val="26"/>
              </w:rPr>
              <w:t xml:space="preserve">EBAM is a 3D printing method that uses a focused beam of electrons to melt metal.  By injecting metal wire into the molten metal while moving the metal part under the electron beam, it is possible to build parts layer by layer in a vacuum.  The equipment will be installed at the newly finished Large Metal Additive Manufacturing facility, which is part of the Grainger College of Engineering’s (GCOE) new initiative, the Illinois Manufacturing Institute. Other faculty, students, postdoctoral researchers, and affiliated researchers working on metal additive manufacturing within the GCOE will utilize this equipment to support their research projects for government agencies or companies. </w:t>
            </w:r>
          </w:p>
          <w:p w14:paraId="04CBDB56" w14:textId="77777777" w:rsidR="00B400D8" w:rsidRPr="00D7330E" w:rsidRDefault="00B400D8" w:rsidP="00C74ECC">
            <w:pPr>
              <w:rPr>
                <w:szCs w:val="26"/>
              </w:rPr>
            </w:pPr>
            <w:r w:rsidRPr="006C06E5">
              <w:rPr>
                <w:b/>
                <w:bCs/>
                <w:szCs w:val="26"/>
              </w:rPr>
              <w:t>Business Enterprise Program (BEP)</w:t>
            </w:r>
            <w:r>
              <w:rPr>
                <w:szCs w:val="26"/>
              </w:rPr>
              <w:t xml:space="preserve"> goals are not established as there are no other sources able to meet the need.</w:t>
            </w:r>
          </w:p>
        </w:tc>
      </w:tr>
      <w:tr w:rsidR="00D85698" w:rsidRPr="00D7330E" w14:paraId="4D28ECE0" w14:textId="77777777" w:rsidTr="00891355">
        <w:trPr>
          <w:trHeight w:val="333"/>
        </w:trPr>
        <w:tc>
          <w:tcPr>
            <w:tcW w:w="342" w:type="dxa"/>
          </w:tcPr>
          <w:p w14:paraId="05B055A6" w14:textId="77777777" w:rsidR="00D85698" w:rsidRPr="00D7330E" w:rsidRDefault="00D85698" w:rsidP="00891355">
            <w:pPr>
              <w:pStyle w:val="NoSpacing"/>
              <w:jc w:val="both"/>
              <w:rPr>
                <w:sz w:val="26"/>
                <w:szCs w:val="26"/>
              </w:rPr>
            </w:pPr>
          </w:p>
        </w:tc>
        <w:tc>
          <w:tcPr>
            <w:tcW w:w="990" w:type="dxa"/>
          </w:tcPr>
          <w:p w14:paraId="58D2783A" w14:textId="77777777" w:rsidR="00D85698" w:rsidRPr="00D7330E" w:rsidRDefault="00D85698" w:rsidP="00891355">
            <w:pPr>
              <w:pStyle w:val="NoSpacing"/>
              <w:jc w:val="both"/>
              <w:rPr>
                <w:sz w:val="26"/>
                <w:szCs w:val="26"/>
              </w:rPr>
            </w:pPr>
          </w:p>
        </w:tc>
        <w:tc>
          <w:tcPr>
            <w:tcW w:w="8118" w:type="dxa"/>
          </w:tcPr>
          <w:p w14:paraId="1D5B2862" w14:textId="77777777" w:rsidR="00D85698" w:rsidRPr="00D7330E" w:rsidRDefault="00D85698" w:rsidP="00891355">
            <w:pPr>
              <w:spacing w:after="0"/>
              <w:jc w:val="both"/>
              <w:rPr>
                <w:szCs w:val="26"/>
              </w:rPr>
            </w:pPr>
          </w:p>
        </w:tc>
      </w:tr>
      <w:tr w:rsidR="00D85698" w:rsidRPr="00D7330E" w14:paraId="00E576E3" w14:textId="77777777" w:rsidTr="00891355">
        <w:trPr>
          <w:trHeight w:val="333"/>
        </w:trPr>
        <w:tc>
          <w:tcPr>
            <w:tcW w:w="342" w:type="dxa"/>
            <w:tcBorders>
              <w:bottom w:val="double" w:sz="4" w:space="0" w:color="auto"/>
            </w:tcBorders>
          </w:tcPr>
          <w:p w14:paraId="36142CD6" w14:textId="65EBBFC6" w:rsidR="00D85698" w:rsidRPr="00D7330E" w:rsidRDefault="00B400D8" w:rsidP="00891355">
            <w:pPr>
              <w:pStyle w:val="NoSpacing"/>
              <w:jc w:val="both"/>
              <w:rPr>
                <w:sz w:val="26"/>
                <w:szCs w:val="26"/>
              </w:rPr>
            </w:pPr>
            <w:r>
              <w:rPr>
                <w:sz w:val="26"/>
                <w:szCs w:val="26"/>
              </w:rPr>
              <w:t>6</w:t>
            </w:r>
          </w:p>
        </w:tc>
        <w:tc>
          <w:tcPr>
            <w:tcW w:w="990" w:type="dxa"/>
            <w:tcBorders>
              <w:bottom w:val="double" w:sz="4" w:space="0" w:color="auto"/>
            </w:tcBorders>
          </w:tcPr>
          <w:p w14:paraId="3F08D0F4" w14:textId="77777777" w:rsidR="00D85698" w:rsidRPr="00D7330E" w:rsidRDefault="00D85698" w:rsidP="00891355">
            <w:pPr>
              <w:pStyle w:val="NoSpacing"/>
              <w:jc w:val="both"/>
              <w:rPr>
                <w:sz w:val="26"/>
                <w:szCs w:val="26"/>
              </w:rPr>
            </w:pPr>
            <w:r w:rsidRPr="00D7330E">
              <w:rPr>
                <w:sz w:val="26"/>
                <w:szCs w:val="26"/>
              </w:rPr>
              <w:t>Unit</w:t>
            </w:r>
          </w:p>
        </w:tc>
        <w:tc>
          <w:tcPr>
            <w:tcW w:w="8118" w:type="dxa"/>
            <w:tcBorders>
              <w:bottom w:val="double" w:sz="4" w:space="0" w:color="auto"/>
            </w:tcBorders>
          </w:tcPr>
          <w:p w14:paraId="5044F7DB" w14:textId="5D1F93D7" w:rsidR="00D85698" w:rsidRPr="00D7330E" w:rsidRDefault="00B400D8" w:rsidP="00891355">
            <w:pPr>
              <w:spacing w:after="0"/>
              <w:jc w:val="both"/>
              <w:rPr>
                <w:szCs w:val="26"/>
              </w:rPr>
            </w:pPr>
            <w:r>
              <w:t>Division of Intercollegiate Athletics (DIA)</w:t>
            </w:r>
          </w:p>
        </w:tc>
      </w:tr>
      <w:tr w:rsidR="00D85698" w:rsidRPr="00D7330E" w14:paraId="657499B0" w14:textId="77777777" w:rsidTr="00891355">
        <w:trPr>
          <w:trHeight w:val="510"/>
        </w:trPr>
        <w:tc>
          <w:tcPr>
            <w:tcW w:w="342" w:type="dxa"/>
            <w:tcBorders>
              <w:top w:val="double" w:sz="4" w:space="0" w:color="auto"/>
            </w:tcBorders>
          </w:tcPr>
          <w:p w14:paraId="7E0E8C45" w14:textId="77777777" w:rsidR="00D85698" w:rsidRPr="00D7330E" w:rsidRDefault="00D85698" w:rsidP="00891355">
            <w:pPr>
              <w:pStyle w:val="NoSpacing"/>
              <w:rPr>
                <w:sz w:val="26"/>
                <w:szCs w:val="26"/>
              </w:rPr>
            </w:pPr>
          </w:p>
        </w:tc>
        <w:tc>
          <w:tcPr>
            <w:tcW w:w="990" w:type="dxa"/>
            <w:tcBorders>
              <w:top w:val="double" w:sz="4" w:space="0" w:color="auto"/>
            </w:tcBorders>
          </w:tcPr>
          <w:p w14:paraId="0F2840E9" w14:textId="77777777" w:rsidR="00D85698" w:rsidRPr="00D7330E" w:rsidRDefault="00D85698" w:rsidP="00891355">
            <w:pPr>
              <w:pStyle w:val="NoSpacing"/>
              <w:rPr>
                <w:sz w:val="26"/>
                <w:szCs w:val="26"/>
              </w:rPr>
            </w:pPr>
          </w:p>
          <w:p w14:paraId="164EE3D1" w14:textId="77777777" w:rsidR="00D85698" w:rsidRPr="00D7330E" w:rsidRDefault="00D85698" w:rsidP="00891355">
            <w:pPr>
              <w:pStyle w:val="NoSpacing"/>
              <w:rPr>
                <w:sz w:val="26"/>
                <w:szCs w:val="26"/>
              </w:rPr>
            </w:pPr>
            <w:r w:rsidRPr="00D7330E">
              <w:rPr>
                <w:sz w:val="26"/>
                <w:szCs w:val="26"/>
              </w:rPr>
              <w:t>Item</w:t>
            </w:r>
          </w:p>
        </w:tc>
        <w:tc>
          <w:tcPr>
            <w:tcW w:w="8118" w:type="dxa"/>
            <w:tcBorders>
              <w:top w:val="double" w:sz="4" w:space="0" w:color="auto"/>
            </w:tcBorders>
            <w:vAlign w:val="center"/>
          </w:tcPr>
          <w:p w14:paraId="6B86931A" w14:textId="77777777" w:rsidR="00D85698" w:rsidRPr="00D7330E" w:rsidRDefault="00D85698" w:rsidP="00891355">
            <w:pPr>
              <w:pStyle w:val="NoSpacing"/>
              <w:rPr>
                <w:sz w:val="26"/>
                <w:szCs w:val="26"/>
              </w:rPr>
            </w:pPr>
          </w:p>
          <w:p w14:paraId="24C645E8" w14:textId="29A296EA" w:rsidR="00D85698" w:rsidRPr="00D7330E" w:rsidRDefault="00B400D8" w:rsidP="00891355">
            <w:pPr>
              <w:pStyle w:val="NoSpacing"/>
              <w:rPr>
                <w:sz w:val="26"/>
                <w:szCs w:val="26"/>
              </w:rPr>
            </w:pPr>
            <w:r>
              <w:rPr>
                <w:sz w:val="26"/>
                <w:szCs w:val="26"/>
              </w:rPr>
              <w:t xml:space="preserve">Provide on demand travel for </w:t>
            </w:r>
            <w:r w:rsidR="00BE0651" w:rsidRPr="00BE0651">
              <w:rPr>
                <w:sz w:val="26"/>
                <w:szCs w:val="26"/>
              </w:rPr>
              <w:t xml:space="preserve">the period of 24 months, December 1, </w:t>
            </w:r>
            <w:proofErr w:type="gramStart"/>
            <w:r w:rsidR="00BE0651" w:rsidRPr="00BE0651">
              <w:rPr>
                <w:sz w:val="26"/>
                <w:szCs w:val="26"/>
              </w:rPr>
              <w:t>2025</w:t>
            </w:r>
            <w:proofErr w:type="gramEnd"/>
            <w:r w:rsidR="00BE0651" w:rsidRPr="00BE0651">
              <w:rPr>
                <w:sz w:val="26"/>
                <w:szCs w:val="26"/>
              </w:rPr>
              <w:t xml:space="preserve"> through November 30, 2027</w:t>
            </w:r>
          </w:p>
        </w:tc>
      </w:tr>
      <w:tr w:rsidR="00D85698" w:rsidRPr="00D7330E" w14:paraId="5989EC04" w14:textId="77777777" w:rsidTr="00891355">
        <w:trPr>
          <w:trHeight w:val="150"/>
        </w:trPr>
        <w:tc>
          <w:tcPr>
            <w:tcW w:w="342" w:type="dxa"/>
          </w:tcPr>
          <w:p w14:paraId="4538EEEC" w14:textId="77777777" w:rsidR="00D85698" w:rsidRPr="00D7330E" w:rsidRDefault="00D85698" w:rsidP="00891355">
            <w:pPr>
              <w:pStyle w:val="NoSpacing"/>
              <w:rPr>
                <w:sz w:val="26"/>
                <w:szCs w:val="26"/>
              </w:rPr>
            </w:pPr>
          </w:p>
        </w:tc>
        <w:tc>
          <w:tcPr>
            <w:tcW w:w="990" w:type="dxa"/>
          </w:tcPr>
          <w:p w14:paraId="3432A27C" w14:textId="77777777" w:rsidR="00D85698" w:rsidRPr="00D7330E" w:rsidRDefault="00D85698" w:rsidP="00891355">
            <w:pPr>
              <w:pStyle w:val="NoSpacing"/>
              <w:rPr>
                <w:sz w:val="26"/>
                <w:szCs w:val="26"/>
              </w:rPr>
            </w:pPr>
          </w:p>
          <w:p w14:paraId="15904538" w14:textId="77777777" w:rsidR="00D85698" w:rsidRPr="00D7330E" w:rsidRDefault="00D85698" w:rsidP="00891355">
            <w:pPr>
              <w:pStyle w:val="NoSpacing"/>
              <w:rPr>
                <w:sz w:val="26"/>
                <w:szCs w:val="26"/>
              </w:rPr>
            </w:pPr>
            <w:r w:rsidRPr="00D7330E">
              <w:rPr>
                <w:sz w:val="26"/>
                <w:szCs w:val="26"/>
              </w:rPr>
              <w:t>Cost</w:t>
            </w:r>
          </w:p>
        </w:tc>
        <w:tc>
          <w:tcPr>
            <w:tcW w:w="8118" w:type="dxa"/>
          </w:tcPr>
          <w:p w14:paraId="5ABC2479" w14:textId="77777777" w:rsidR="00D85698" w:rsidRPr="00D7330E" w:rsidRDefault="00D85698" w:rsidP="00891355">
            <w:pPr>
              <w:spacing w:after="0"/>
              <w:rPr>
                <w:szCs w:val="26"/>
              </w:rPr>
            </w:pPr>
          </w:p>
          <w:p w14:paraId="106DA61A" w14:textId="1E4DE132" w:rsidR="00D85698" w:rsidRPr="00D7330E" w:rsidRDefault="007B0B90" w:rsidP="00891355">
            <w:pPr>
              <w:tabs>
                <w:tab w:val="left" w:pos="-720"/>
                <w:tab w:val="left" w:pos="0"/>
                <w:tab w:val="left" w:pos="720"/>
                <w:tab w:val="left" w:pos="1080"/>
                <w:tab w:val="left" w:pos="1440"/>
              </w:tabs>
              <w:suppressAutoHyphens/>
              <w:jc w:val="both"/>
              <w:rPr>
                <w:szCs w:val="26"/>
              </w:rPr>
            </w:pPr>
            <w:r>
              <w:rPr>
                <w:szCs w:val="26"/>
              </w:rPr>
              <w:t>$</w:t>
            </w:r>
            <w:r w:rsidR="00B400D8">
              <w:rPr>
                <w:szCs w:val="26"/>
              </w:rPr>
              <w:t>4,000,000.00</w:t>
            </w:r>
            <w:r>
              <w:rPr>
                <w:szCs w:val="26"/>
              </w:rPr>
              <w:t xml:space="preserve"> </w:t>
            </w:r>
          </w:p>
        </w:tc>
      </w:tr>
      <w:tr w:rsidR="00D85698" w:rsidRPr="00D7330E" w14:paraId="232DD321" w14:textId="77777777" w:rsidTr="00891355">
        <w:trPr>
          <w:trHeight w:val="150"/>
        </w:trPr>
        <w:tc>
          <w:tcPr>
            <w:tcW w:w="342" w:type="dxa"/>
          </w:tcPr>
          <w:p w14:paraId="1B30349D" w14:textId="77777777" w:rsidR="00D85698" w:rsidRPr="00D7330E" w:rsidRDefault="00D85698" w:rsidP="00891355">
            <w:pPr>
              <w:pStyle w:val="NoSpacing"/>
              <w:rPr>
                <w:sz w:val="26"/>
                <w:szCs w:val="26"/>
              </w:rPr>
            </w:pPr>
          </w:p>
        </w:tc>
        <w:tc>
          <w:tcPr>
            <w:tcW w:w="990" w:type="dxa"/>
          </w:tcPr>
          <w:p w14:paraId="235F38BD" w14:textId="77777777" w:rsidR="00D85698" w:rsidRPr="00D7330E" w:rsidRDefault="00D85698" w:rsidP="00891355">
            <w:pPr>
              <w:pStyle w:val="NoSpacing"/>
              <w:rPr>
                <w:sz w:val="26"/>
                <w:szCs w:val="26"/>
              </w:rPr>
            </w:pPr>
            <w:r w:rsidRPr="00D7330E">
              <w:rPr>
                <w:sz w:val="26"/>
                <w:szCs w:val="26"/>
              </w:rPr>
              <w:t>Vendor</w:t>
            </w:r>
          </w:p>
        </w:tc>
        <w:tc>
          <w:tcPr>
            <w:tcW w:w="8118" w:type="dxa"/>
          </w:tcPr>
          <w:p w14:paraId="5B8E5792" w14:textId="0A18C9AB" w:rsidR="00D85698" w:rsidRDefault="00B400D8" w:rsidP="00891355">
            <w:pPr>
              <w:spacing w:after="0"/>
              <w:rPr>
                <w:rFonts w:eastAsia="Times New Roman"/>
                <w:bCs/>
                <w:iCs/>
                <w:szCs w:val="26"/>
              </w:rPr>
            </w:pPr>
            <w:r>
              <w:rPr>
                <w:rFonts w:eastAsia="Times New Roman"/>
                <w:bCs/>
                <w:iCs/>
                <w:szCs w:val="26"/>
              </w:rPr>
              <w:t>Wheels Up, LLC</w:t>
            </w:r>
            <w:r w:rsidR="000A6143" w:rsidRPr="000A6143">
              <w:rPr>
                <w:rFonts w:eastAsia="Times New Roman"/>
                <w:bCs/>
                <w:iCs/>
                <w:szCs w:val="26"/>
              </w:rPr>
              <w:t xml:space="preserve"> </w:t>
            </w:r>
            <w:r w:rsidR="000A6143">
              <w:rPr>
                <w:rFonts w:eastAsia="Times New Roman"/>
                <w:bCs/>
                <w:iCs/>
                <w:szCs w:val="26"/>
              </w:rPr>
              <w:t xml:space="preserve">                       </w:t>
            </w:r>
            <w:r>
              <w:rPr>
                <w:rFonts w:eastAsia="Times New Roman"/>
                <w:bCs/>
                <w:iCs/>
                <w:szCs w:val="26"/>
              </w:rPr>
              <w:t xml:space="preserve">                                         </w:t>
            </w:r>
            <w:r w:rsidR="000A6143">
              <w:rPr>
                <w:rFonts w:eastAsia="Times New Roman"/>
                <w:bCs/>
                <w:iCs/>
                <w:szCs w:val="26"/>
              </w:rPr>
              <w:t xml:space="preserve"> </w:t>
            </w:r>
            <w:r>
              <w:rPr>
                <w:rFonts w:eastAsia="Times New Roman"/>
                <w:bCs/>
                <w:iCs/>
                <w:szCs w:val="26"/>
              </w:rPr>
              <w:t>Atlanta, GA</w:t>
            </w:r>
          </w:p>
          <w:p w14:paraId="6C0BFE76" w14:textId="46877831" w:rsidR="000A6143" w:rsidRPr="00D7330E" w:rsidRDefault="000A6143" w:rsidP="00891355">
            <w:pPr>
              <w:spacing w:after="0"/>
              <w:rPr>
                <w:szCs w:val="26"/>
              </w:rPr>
            </w:pPr>
          </w:p>
        </w:tc>
      </w:tr>
      <w:tr w:rsidR="00D85698" w:rsidRPr="00D7330E" w14:paraId="7D0EA83A" w14:textId="77777777" w:rsidTr="00891355">
        <w:trPr>
          <w:trHeight w:val="150"/>
        </w:trPr>
        <w:tc>
          <w:tcPr>
            <w:tcW w:w="342" w:type="dxa"/>
          </w:tcPr>
          <w:p w14:paraId="30095FF2" w14:textId="77777777" w:rsidR="00D85698" w:rsidRPr="00D7330E" w:rsidRDefault="00D85698" w:rsidP="00891355">
            <w:pPr>
              <w:pStyle w:val="NoSpacing"/>
              <w:rPr>
                <w:sz w:val="26"/>
                <w:szCs w:val="26"/>
              </w:rPr>
            </w:pPr>
          </w:p>
        </w:tc>
        <w:tc>
          <w:tcPr>
            <w:tcW w:w="990" w:type="dxa"/>
          </w:tcPr>
          <w:p w14:paraId="72B2A146" w14:textId="77777777" w:rsidR="00D85698" w:rsidRPr="00D7330E" w:rsidRDefault="00D85698" w:rsidP="00891355">
            <w:pPr>
              <w:pStyle w:val="NoSpacing"/>
              <w:rPr>
                <w:sz w:val="26"/>
                <w:szCs w:val="26"/>
              </w:rPr>
            </w:pPr>
          </w:p>
        </w:tc>
        <w:tc>
          <w:tcPr>
            <w:tcW w:w="8118" w:type="dxa"/>
          </w:tcPr>
          <w:p w14:paraId="00129590" w14:textId="77777777" w:rsidR="00B400D8" w:rsidRPr="006C550A" w:rsidRDefault="00B400D8" w:rsidP="00B400D8">
            <w:pPr>
              <w:rPr>
                <w:szCs w:val="26"/>
              </w:rPr>
            </w:pPr>
            <w:r w:rsidRPr="006C550A">
              <w:rPr>
                <w:szCs w:val="26"/>
              </w:rPr>
              <w:t xml:space="preserve">This purchase is exempt from the usual selection process of the procurement code because the procurement expenditure is for events or activities paid for exclusively by revenues generated by the event or activity, gifts, or </w:t>
            </w:r>
            <w:r w:rsidRPr="006C550A">
              <w:rPr>
                <w:szCs w:val="26"/>
              </w:rPr>
              <w:lastRenderedPageBreak/>
              <w:t>donations for the event or activity, private grants, or any combination thereof, per 30 ILCS 500 / 1-13(b)(2).</w:t>
            </w:r>
          </w:p>
          <w:p w14:paraId="640057DA" w14:textId="77777777" w:rsidR="00B400D8" w:rsidRPr="006101E5" w:rsidRDefault="00B400D8" w:rsidP="00B400D8">
            <w:pPr>
              <w:pStyle w:val="BodyText"/>
              <w:spacing w:after="0"/>
              <w:ind w:left="186" w:right="15"/>
            </w:pPr>
          </w:p>
          <w:p w14:paraId="6E1087D2" w14:textId="5F3D83B7" w:rsidR="00B400D8" w:rsidRPr="00B400D8" w:rsidRDefault="00B400D8" w:rsidP="00B400D8">
            <w:pPr>
              <w:rPr>
                <w:szCs w:val="26"/>
              </w:rPr>
            </w:pPr>
            <w:r w:rsidRPr="000B7EE5">
              <w:rPr>
                <w:szCs w:val="26"/>
              </w:rPr>
              <w:t>The vendor will prov</w:t>
            </w:r>
            <w:r>
              <w:rPr>
                <w:szCs w:val="26"/>
              </w:rPr>
              <w:t>i</w:t>
            </w:r>
            <w:r w:rsidRPr="000B7EE5">
              <w:rPr>
                <w:szCs w:val="26"/>
              </w:rPr>
              <w:t>d</w:t>
            </w:r>
            <w:r>
              <w:rPr>
                <w:szCs w:val="26"/>
              </w:rPr>
              <w:t>e</w:t>
            </w:r>
            <w:r w:rsidRPr="000B7EE5">
              <w:rPr>
                <w:szCs w:val="26"/>
              </w:rPr>
              <w:t xml:space="preserve"> on demand</w:t>
            </w:r>
            <w:r w:rsidRPr="00B400D8">
              <w:rPr>
                <w:szCs w:val="26"/>
              </w:rPr>
              <w:t xml:space="preserve"> </w:t>
            </w:r>
            <w:r>
              <w:rPr>
                <w:szCs w:val="26"/>
              </w:rPr>
              <w:t xml:space="preserve">team and recruiting travel for DIA.  Due to the unique travel requirements, it is essential not to be locked into a single travel experience that can be rigid or have invariable pricing models. Vendors travel model will provide more flexibility and cost savings due to, but not limited to, superfluous commitments.  </w:t>
            </w:r>
          </w:p>
          <w:p w14:paraId="63ADE71A" w14:textId="77777777" w:rsidR="00B400D8" w:rsidRPr="00B400D8" w:rsidRDefault="00B400D8" w:rsidP="00B400D8">
            <w:pPr>
              <w:pStyle w:val="BodyText"/>
              <w:spacing w:after="0"/>
              <w:rPr>
                <w:rFonts w:eastAsia="Calibri"/>
                <w:sz w:val="26"/>
                <w:szCs w:val="26"/>
              </w:rPr>
            </w:pPr>
            <w:r w:rsidRPr="00B400D8">
              <w:rPr>
                <w:rFonts w:eastAsia="Calibri"/>
                <w:sz w:val="26"/>
                <w:szCs w:val="26"/>
              </w:rPr>
              <w:t>A notice will be published in the Illinois Procurement Bulletin for Public Institutions of Higher Education within 14 days of the execution of this contract after receipt of Board of Trustees approval for this purchase.</w:t>
            </w:r>
          </w:p>
          <w:p w14:paraId="502380BD" w14:textId="7014BC3A" w:rsidR="00D85698" w:rsidRPr="00B400D8" w:rsidRDefault="00B400D8" w:rsidP="00B400D8">
            <w:pPr>
              <w:pStyle w:val="BodyText"/>
              <w:spacing w:after="0"/>
            </w:pPr>
            <w:r w:rsidRPr="006101E5">
              <w:t xml:space="preserve"> </w:t>
            </w:r>
          </w:p>
        </w:tc>
      </w:tr>
    </w:tbl>
    <w:p w14:paraId="29359927" w14:textId="61189D96" w:rsidR="00D743A9" w:rsidRPr="00D7330E" w:rsidRDefault="00D743A9">
      <w:pPr>
        <w:spacing w:after="0" w:line="240" w:lineRule="auto"/>
        <w:rPr>
          <w:szCs w:val="26"/>
        </w:rPr>
      </w:pPr>
    </w:p>
    <w:tbl>
      <w:tblPr>
        <w:tblW w:w="9450" w:type="dxa"/>
        <w:tblLayout w:type="fixed"/>
        <w:tblCellMar>
          <w:left w:w="72" w:type="dxa"/>
          <w:right w:w="72" w:type="dxa"/>
        </w:tblCellMar>
        <w:tblLook w:val="0000" w:firstRow="0" w:lastRow="0" w:firstColumn="0" w:lastColumn="0" w:noHBand="0" w:noVBand="0"/>
      </w:tblPr>
      <w:tblGrid>
        <w:gridCol w:w="342"/>
        <w:gridCol w:w="990"/>
        <w:gridCol w:w="8118"/>
      </w:tblGrid>
      <w:tr w:rsidR="00881246" w:rsidRPr="00D7330E" w14:paraId="00DCA86F" w14:textId="77777777" w:rsidTr="008856C6">
        <w:trPr>
          <w:trHeight w:val="567"/>
        </w:trPr>
        <w:tc>
          <w:tcPr>
            <w:tcW w:w="342" w:type="dxa"/>
          </w:tcPr>
          <w:p w14:paraId="2FED4914" w14:textId="77777777" w:rsidR="00881246" w:rsidRPr="00D7330E" w:rsidRDefault="00881246" w:rsidP="005274CF">
            <w:pPr>
              <w:pStyle w:val="NoSpacing"/>
              <w:jc w:val="both"/>
              <w:rPr>
                <w:sz w:val="26"/>
                <w:szCs w:val="26"/>
              </w:rPr>
            </w:pPr>
          </w:p>
        </w:tc>
        <w:tc>
          <w:tcPr>
            <w:tcW w:w="990" w:type="dxa"/>
          </w:tcPr>
          <w:p w14:paraId="3D1945D4" w14:textId="77777777" w:rsidR="00881246" w:rsidRPr="00D7330E" w:rsidRDefault="00881246" w:rsidP="005274CF">
            <w:pPr>
              <w:pStyle w:val="NoSpacing"/>
              <w:jc w:val="both"/>
              <w:rPr>
                <w:sz w:val="26"/>
                <w:szCs w:val="26"/>
              </w:rPr>
            </w:pPr>
          </w:p>
        </w:tc>
        <w:tc>
          <w:tcPr>
            <w:tcW w:w="8118" w:type="dxa"/>
          </w:tcPr>
          <w:p w14:paraId="35405A80" w14:textId="2B034A45" w:rsidR="00881246" w:rsidRPr="00D7330E" w:rsidRDefault="0081669D" w:rsidP="00F47925">
            <w:pPr>
              <w:tabs>
                <w:tab w:val="left" w:pos="-1440"/>
                <w:tab w:val="left" w:pos="-72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90"/>
                <w:tab w:val="left" w:pos="10080"/>
                <w:tab w:val="left" w:pos="10800"/>
              </w:tabs>
              <w:overflowPunct w:val="0"/>
              <w:autoSpaceDE w:val="0"/>
              <w:autoSpaceDN w:val="0"/>
              <w:adjustRightInd w:val="0"/>
              <w:spacing w:after="0" w:line="240" w:lineRule="auto"/>
              <w:textAlignment w:val="baseline"/>
              <w:rPr>
                <w:szCs w:val="26"/>
              </w:rPr>
            </w:pPr>
            <w:r w:rsidRPr="00D7330E">
              <w:rPr>
                <w:rFonts w:eastAsia="Times New Roman"/>
                <w:b/>
                <w:color w:val="000000"/>
                <w:szCs w:val="26"/>
              </w:rPr>
              <w:tab/>
            </w:r>
            <w:r w:rsidR="00D743A9" w:rsidRPr="00D7330E">
              <w:rPr>
                <w:rFonts w:eastAsia="Times New Roman"/>
                <w:b/>
                <w:color w:val="000000"/>
                <w:szCs w:val="26"/>
              </w:rPr>
              <w:t xml:space="preserve">        </w:t>
            </w:r>
            <w:r w:rsidR="00D6273A" w:rsidRPr="00D7330E">
              <w:rPr>
                <w:rFonts w:eastAsia="Times New Roman"/>
                <w:b/>
                <w:color w:val="000000"/>
                <w:szCs w:val="26"/>
              </w:rPr>
              <w:t xml:space="preserve"> </w:t>
            </w:r>
            <w:r w:rsidRPr="00D7330E">
              <w:rPr>
                <w:rFonts w:eastAsia="Times New Roman"/>
                <w:b/>
                <w:color w:val="000000"/>
                <w:szCs w:val="26"/>
              </w:rPr>
              <w:t xml:space="preserve">CHANGE ORDER </w:t>
            </w:r>
            <w:r w:rsidR="00881246" w:rsidRPr="00D7330E">
              <w:rPr>
                <w:rFonts w:eastAsia="Times New Roman"/>
                <w:b/>
                <w:color w:val="000000"/>
                <w:szCs w:val="26"/>
              </w:rPr>
              <w:t>RECOMMENDED</w:t>
            </w:r>
          </w:p>
        </w:tc>
      </w:tr>
    </w:tbl>
    <w:tbl>
      <w:tblPr>
        <w:tblpPr w:leftFromText="180" w:rightFromText="180" w:vertAnchor="text" w:tblpY="1"/>
        <w:tblOverlap w:val="never"/>
        <w:tblW w:w="9454" w:type="dxa"/>
        <w:tblLayout w:type="fixed"/>
        <w:tblCellMar>
          <w:left w:w="43" w:type="dxa"/>
          <w:right w:w="43" w:type="dxa"/>
        </w:tblCellMar>
        <w:tblLook w:val="0000" w:firstRow="0" w:lastRow="0" w:firstColumn="0" w:lastColumn="0" w:noHBand="0" w:noVBand="0"/>
      </w:tblPr>
      <w:tblGrid>
        <w:gridCol w:w="9454"/>
      </w:tblGrid>
      <w:tr w:rsidR="00FE4204" w:rsidRPr="00D7330E" w14:paraId="23EE4603" w14:textId="77777777" w:rsidTr="00503D31">
        <w:trPr>
          <w:trHeight w:val="114"/>
        </w:trPr>
        <w:tc>
          <w:tcPr>
            <w:tcW w:w="9454" w:type="dxa"/>
            <w:tcBorders>
              <w:top w:val="single" w:sz="18" w:space="0" w:color="auto"/>
              <w:bottom w:val="single" w:sz="18" w:space="0" w:color="auto"/>
            </w:tcBorders>
          </w:tcPr>
          <w:p w14:paraId="3F8672C8" w14:textId="3E4723CE" w:rsidR="00FE4204" w:rsidRPr="00D7330E" w:rsidRDefault="00FE4204" w:rsidP="00503D31">
            <w:pPr>
              <w:tabs>
                <w:tab w:val="left" w:pos="-720"/>
                <w:tab w:val="left" w:pos="9090"/>
              </w:tabs>
              <w:suppressAutoHyphens/>
              <w:overflowPunct w:val="0"/>
              <w:autoSpaceDE w:val="0"/>
              <w:autoSpaceDN w:val="0"/>
              <w:adjustRightInd w:val="0"/>
              <w:spacing w:after="0" w:line="240" w:lineRule="auto"/>
              <w:jc w:val="center"/>
              <w:textAlignment w:val="baseline"/>
              <w:rPr>
                <w:rFonts w:eastAsia="Times New Roman"/>
                <w:b/>
                <w:szCs w:val="26"/>
              </w:rPr>
            </w:pPr>
            <w:bookmarkStart w:id="0" w:name="_Hlk190079908"/>
            <w:r w:rsidRPr="00D7330E">
              <w:rPr>
                <w:rFonts w:eastAsia="Times New Roman"/>
                <w:b/>
                <w:szCs w:val="26"/>
              </w:rPr>
              <w:t>University of Illinois</w:t>
            </w:r>
            <w:r w:rsidR="008856C6" w:rsidRPr="00D7330E">
              <w:rPr>
                <w:rFonts w:eastAsia="Times New Roman"/>
                <w:b/>
                <w:szCs w:val="26"/>
              </w:rPr>
              <w:t xml:space="preserve"> </w:t>
            </w:r>
            <w:r w:rsidR="007B0B90">
              <w:rPr>
                <w:rFonts w:eastAsia="Times New Roman"/>
                <w:b/>
                <w:szCs w:val="26"/>
              </w:rPr>
              <w:t>Urbana-Champaign</w:t>
            </w:r>
          </w:p>
        </w:tc>
      </w:tr>
    </w:tbl>
    <w:tbl>
      <w:tblPr>
        <w:tblW w:w="9360" w:type="dxa"/>
        <w:tblLayout w:type="fixed"/>
        <w:tblCellMar>
          <w:left w:w="72" w:type="dxa"/>
          <w:right w:w="72" w:type="dxa"/>
        </w:tblCellMar>
        <w:tblLook w:val="0000" w:firstRow="0" w:lastRow="0" w:firstColumn="0" w:lastColumn="0" w:noHBand="0" w:noVBand="0"/>
      </w:tblPr>
      <w:tblGrid>
        <w:gridCol w:w="450"/>
        <w:gridCol w:w="990"/>
        <w:gridCol w:w="7920"/>
      </w:tblGrid>
      <w:tr w:rsidR="00F6377E" w:rsidRPr="00D7330E" w14:paraId="3BB2299D" w14:textId="77777777" w:rsidTr="00BD5FE0">
        <w:trPr>
          <w:trHeight w:val="120"/>
        </w:trPr>
        <w:tc>
          <w:tcPr>
            <w:tcW w:w="450" w:type="dxa"/>
            <w:tcBorders>
              <w:bottom w:val="double" w:sz="6" w:space="0" w:color="auto"/>
            </w:tcBorders>
          </w:tcPr>
          <w:bookmarkEnd w:id="0"/>
          <w:p w14:paraId="1F8AFA6C" w14:textId="5709509A" w:rsidR="00F6377E" w:rsidRPr="00D7330E" w:rsidRDefault="00B400D8" w:rsidP="00F6377E">
            <w:pPr>
              <w:pStyle w:val="NoSpacing"/>
              <w:rPr>
                <w:sz w:val="26"/>
                <w:szCs w:val="26"/>
              </w:rPr>
            </w:pPr>
            <w:r>
              <w:rPr>
                <w:sz w:val="26"/>
                <w:szCs w:val="26"/>
              </w:rPr>
              <w:t>7</w:t>
            </w:r>
          </w:p>
        </w:tc>
        <w:tc>
          <w:tcPr>
            <w:tcW w:w="990" w:type="dxa"/>
            <w:tcBorders>
              <w:bottom w:val="double" w:sz="6" w:space="0" w:color="auto"/>
            </w:tcBorders>
          </w:tcPr>
          <w:p w14:paraId="31B5CEDC" w14:textId="77777777" w:rsidR="00F6377E" w:rsidRPr="00D7330E" w:rsidRDefault="00F6377E" w:rsidP="00F6377E">
            <w:pPr>
              <w:pStyle w:val="NoSpacing"/>
              <w:rPr>
                <w:sz w:val="26"/>
                <w:szCs w:val="26"/>
              </w:rPr>
            </w:pPr>
            <w:r w:rsidRPr="00D7330E">
              <w:rPr>
                <w:sz w:val="26"/>
                <w:szCs w:val="26"/>
              </w:rPr>
              <w:t>Unit</w:t>
            </w:r>
          </w:p>
        </w:tc>
        <w:tc>
          <w:tcPr>
            <w:tcW w:w="7920" w:type="dxa"/>
            <w:tcBorders>
              <w:bottom w:val="double" w:sz="6" w:space="0" w:color="auto"/>
            </w:tcBorders>
          </w:tcPr>
          <w:p w14:paraId="26CDAEA8" w14:textId="7DF975CB" w:rsidR="00F6377E" w:rsidRPr="00D7330E" w:rsidRDefault="007B0B90" w:rsidP="00F6377E">
            <w:pPr>
              <w:pStyle w:val="NoSpacing"/>
              <w:rPr>
                <w:sz w:val="26"/>
                <w:szCs w:val="26"/>
              </w:rPr>
            </w:pPr>
            <w:r>
              <w:rPr>
                <w:sz w:val="26"/>
              </w:rPr>
              <w:t xml:space="preserve">Facilities &amp; Services </w:t>
            </w:r>
          </w:p>
        </w:tc>
      </w:tr>
      <w:tr w:rsidR="00F6377E" w:rsidRPr="00D7330E" w14:paraId="55FAE87F" w14:textId="77777777" w:rsidTr="00BD5FE0">
        <w:trPr>
          <w:trHeight w:val="648"/>
        </w:trPr>
        <w:tc>
          <w:tcPr>
            <w:tcW w:w="450" w:type="dxa"/>
          </w:tcPr>
          <w:p w14:paraId="3CF349EC" w14:textId="77777777" w:rsidR="00F6377E" w:rsidRPr="00D7330E" w:rsidRDefault="00F6377E" w:rsidP="00F6377E">
            <w:pPr>
              <w:pStyle w:val="NoSpacing"/>
              <w:rPr>
                <w:sz w:val="26"/>
                <w:szCs w:val="26"/>
              </w:rPr>
            </w:pPr>
          </w:p>
        </w:tc>
        <w:tc>
          <w:tcPr>
            <w:tcW w:w="990" w:type="dxa"/>
          </w:tcPr>
          <w:p w14:paraId="5C67AD10" w14:textId="77777777" w:rsidR="00F6377E" w:rsidRPr="00D7330E" w:rsidRDefault="00F6377E" w:rsidP="00F6377E">
            <w:pPr>
              <w:pStyle w:val="NoSpacing"/>
              <w:rPr>
                <w:sz w:val="26"/>
                <w:szCs w:val="26"/>
              </w:rPr>
            </w:pPr>
          </w:p>
          <w:p w14:paraId="10671FD9" w14:textId="77777777" w:rsidR="00F6377E" w:rsidRPr="00D7330E" w:rsidRDefault="00F6377E" w:rsidP="00F6377E">
            <w:pPr>
              <w:pStyle w:val="NoSpacing"/>
              <w:rPr>
                <w:sz w:val="26"/>
                <w:szCs w:val="26"/>
              </w:rPr>
            </w:pPr>
            <w:r w:rsidRPr="00D7330E">
              <w:rPr>
                <w:sz w:val="26"/>
                <w:szCs w:val="26"/>
              </w:rPr>
              <w:t>Item</w:t>
            </w:r>
          </w:p>
        </w:tc>
        <w:tc>
          <w:tcPr>
            <w:tcW w:w="7920" w:type="dxa"/>
            <w:vAlign w:val="center"/>
          </w:tcPr>
          <w:p w14:paraId="7AE818BC" w14:textId="77777777" w:rsidR="002F2D48" w:rsidRPr="00D7330E" w:rsidRDefault="002F2D48" w:rsidP="00F6377E">
            <w:pPr>
              <w:pStyle w:val="NoSpacing"/>
              <w:rPr>
                <w:sz w:val="26"/>
                <w:szCs w:val="26"/>
              </w:rPr>
            </w:pPr>
          </w:p>
          <w:p w14:paraId="5F3D83EC" w14:textId="0E8CA910" w:rsidR="00F6377E" w:rsidRPr="00D7330E" w:rsidRDefault="002C0DCE" w:rsidP="00F6377E">
            <w:pPr>
              <w:pStyle w:val="NoSpacing"/>
              <w:rPr>
                <w:sz w:val="26"/>
                <w:szCs w:val="26"/>
              </w:rPr>
            </w:pPr>
            <w:r>
              <w:rPr>
                <w:sz w:val="26"/>
                <w:szCs w:val="26"/>
              </w:rPr>
              <w:t>Roofing Materials</w:t>
            </w:r>
          </w:p>
        </w:tc>
      </w:tr>
      <w:tr w:rsidR="00F6377E" w:rsidRPr="00D7330E" w14:paraId="29935A0B" w14:textId="77777777" w:rsidTr="00BD5FE0">
        <w:trPr>
          <w:trHeight w:val="315"/>
        </w:trPr>
        <w:tc>
          <w:tcPr>
            <w:tcW w:w="450" w:type="dxa"/>
          </w:tcPr>
          <w:p w14:paraId="15B64255" w14:textId="77777777" w:rsidR="00F6377E" w:rsidRPr="00D7330E" w:rsidRDefault="00F6377E" w:rsidP="00F6377E">
            <w:pPr>
              <w:pStyle w:val="NoSpacing"/>
              <w:rPr>
                <w:sz w:val="26"/>
                <w:szCs w:val="26"/>
              </w:rPr>
            </w:pPr>
          </w:p>
        </w:tc>
        <w:tc>
          <w:tcPr>
            <w:tcW w:w="990" w:type="dxa"/>
          </w:tcPr>
          <w:p w14:paraId="0C1B6377" w14:textId="77777777" w:rsidR="00F6377E" w:rsidRPr="00D7330E" w:rsidRDefault="00F6377E" w:rsidP="00F6377E">
            <w:pPr>
              <w:pStyle w:val="NoSpacing"/>
              <w:rPr>
                <w:sz w:val="26"/>
                <w:szCs w:val="26"/>
              </w:rPr>
            </w:pPr>
          </w:p>
          <w:p w14:paraId="11C382A2" w14:textId="77777777" w:rsidR="00F6377E" w:rsidRPr="00D7330E" w:rsidRDefault="00F6377E" w:rsidP="00F6377E">
            <w:pPr>
              <w:pStyle w:val="NoSpacing"/>
              <w:rPr>
                <w:sz w:val="26"/>
                <w:szCs w:val="26"/>
              </w:rPr>
            </w:pPr>
            <w:r w:rsidRPr="00D7330E">
              <w:rPr>
                <w:sz w:val="26"/>
                <w:szCs w:val="26"/>
              </w:rPr>
              <w:t>Cost</w:t>
            </w:r>
          </w:p>
        </w:tc>
        <w:tc>
          <w:tcPr>
            <w:tcW w:w="7920" w:type="dxa"/>
          </w:tcPr>
          <w:p w14:paraId="6526F004" w14:textId="77777777" w:rsidR="001B4A24" w:rsidRPr="00D7330E" w:rsidRDefault="001B4A24" w:rsidP="001B4A24">
            <w:pPr>
              <w:pStyle w:val="NoSpacing"/>
              <w:rPr>
                <w:sz w:val="26"/>
                <w:szCs w:val="26"/>
              </w:rPr>
            </w:pPr>
          </w:p>
          <w:p w14:paraId="3B6194B9" w14:textId="433AF6C6" w:rsidR="00934FC6" w:rsidRPr="00D7330E" w:rsidRDefault="00442481" w:rsidP="00CD6ECE">
            <w:pPr>
              <w:tabs>
                <w:tab w:val="left" w:pos="-720"/>
                <w:tab w:val="left" w:pos="0"/>
                <w:tab w:val="left" w:pos="720"/>
                <w:tab w:val="left" w:pos="1080"/>
                <w:tab w:val="left" w:pos="1440"/>
              </w:tabs>
              <w:suppressAutoHyphens/>
              <w:spacing w:after="0"/>
              <w:jc w:val="both"/>
              <w:rPr>
                <w:szCs w:val="26"/>
              </w:rPr>
            </w:pPr>
            <w:r w:rsidRPr="003A7085">
              <w:rPr>
                <w:szCs w:val="26"/>
              </w:rPr>
              <w:t>$1,</w:t>
            </w:r>
            <w:r w:rsidR="002C0DCE">
              <w:rPr>
                <w:szCs w:val="26"/>
              </w:rPr>
              <w:t>600</w:t>
            </w:r>
            <w:r w:rsidRPr="003A7085">
              <w:rPr>
                <w:szCs w:val="26"/>
              </w:rPr>
              <w:t>,000</w:t>
            </w:r>
            <w:r w:rsidR="00037C1C">
              <w:rPr>
                <w:szCs w:val="26"/>
              </w:rPr>
              <w:t xml:space="preserve"> (estimated) for </w:t>
            </w:r>
            <w:r w:rsidR="002C0DCE">
              <w:rPr>
                <w:szCs w:val="26"/>
              </w:rPr>
              <w:t>the period of</w:t>
            </w:r>
            <w:r w:rsidR="00037C1C">
              <w:rPr>
                <w:szCs w:val="26"/>
              </w:rPr>
              <w:t xml:space="preserve"> </w:t>
            </w:r>
            <w:r w:rsidR="002C0DCE">
              <w:rPr>
                <w:szCs w:val="26"/>
              </w:rPr>
              <w:t>November 1</w:t>
            </w:r>
            <w:r w:rsidR="00037C1C">
              <w:rPr>
                <w:szCs w:val="26"/>
              </w:rPr>
              <w:t xml:space="preserve">, </w:t>
            </w:r>
            <w:proofErr w:type="gramStart"/>
            <w:r w:rsidR="00037C1C">
              <w:rPr>
                <w:szCs w:val="26"/>
              </w:rPr>
              <w:t>202</w:t>
            </w:r>
            <w:r w:rsidR="002C0DCE">
              <w:rPr>
                <w:szCs w:val="26"/>
              </w:rPr>
              <w:t>3</w:t>
            </w:r>
            <w:proofErr w:type="gramEnd"/>
            <w:r w:rsidR="00037C1C">
              <w:rPr>
                <w:szCs w:val="26"/>
              </w:rPr>
              <w:t xml:space="preserve"> through J</w:t>
            </w:r>
            <w:r w:rsidR="002C0DCE">
              <w:rPr>
                <w:szCs w:val="26"/>
              </w:rPr>
              <w:t>une</w:t>
            </w:r>
            <w:r w:rsidR="00037C1C">
              <w:rPr>
                <w:szCs w:val="26"/>
              </w:rPr>
              <w:t xml:space="preserve"> 3</w:t>
            </w:r>
            <w:r w:rsidR="002C0DCE">
              <w:rPr>
                <w:szCs w:val="26"/>
              </w:rPr>
              <w:t>0</w:t>
            </w:r>
            <w:r w:rsidR="00037C1C">
              <w:rPr>
                <w:szCs w:val="26"/>
              </w:rPr>
              <w:t>, 202</w:t>
            </w:r>
            <w:r w:rsidR="002C0DCE">
              <w:rPr>
                <w:szCs w:val="26"/>
              </w:rPr>
              <w:t>6</w:t>
            </w:r>
          </w:p>
        </w:tc>
      </w:tr>
      <w:tr w:rsidR="00F6377E" w:rsidRPr="00D7330E" w14:paraId="766A4E98" w14:textId="77777777" w:rsidTr="00BD5FE0">
        <w:trPr>
          <w:trHeight w:val="150"/>
        </w:trPr>
        <w:tc>
          <w:tcPr>
            <w:tcW w:w="450" w:type="dxa"/>
          </w:tcPr>
          <w:p w14:paraId="14F233DC" w14:textId="77777777" w:rsidR="00F6377E" w:rsidRPr="00D7330E" w:rsidRDefault="00F6377E" w:rsidP="00F6377E">
            <w:pPr>
              <w:pStyle w:val="NoSpacing"/>
              <w:rPr>
                <w:sz w:val="26"/>
                <w:szCs w:val="26"/>
              </w:rPr>
            </w:pPr>
          </w:p>
        </w:tc>
        <w:tc>
          <w:tcPr>
            <w:tcW w:w="990" w:type="dxa"/>
          </w:tcPr>
          <w:p w14:paraId="7C865FCA" w14:textId="77777777" w:rsidR="001B4A24" w:rsidRPr="00D7330E" w:rsidRDefault="001B4A24" w:rsidP="00F6377E">
            <w:pPr>
              <w:pStyle w:val="NoSpacing"/>
              <w:rPr>
                <w:sz w:val="26"/>
                <w:szCs w:val="26"/>
              </w:rPr>
            </w:pPr>
          </w:p>
          <w:p w14:paraId="14DFD6F3" w14:textId="4072507B" w:rsidR="00F6377E" w:rsidRPr="00D7330E" w:rsidRDefault="00F6377E" w:rsidP="00F6377E">
            <w:pPr>
              <w:pStyle w:val="NoSpacing"/>
              <w:rPr>
                <w:sz w:val="26"/>
                <w:szCs w:val="26"/>
              </w:rPr>
            </w:pPr>
            <w:r w:rsidRPr="00D7330E">
              <w:rPr>
                <w:sz w:val="26"/>
                <w:szCs w:val="26"/>
              </w:rPr>
              <w:t>Vendor</w:t>
            </w:r>
          </w:p>
        </w:tc>
        <w:tc>
          <w:tcPr>
            <w:tcW w:w="7920" w:type="dxa"/>
          </w:tcPr>
          <w:p w14:paraId="4CAA0428" w14:textId="77777777" w:rsidR="00442481" w:rsidRDefault="00442481" w:rsidP="00442481">
            <w:pPr>
              <w:pStyle w:val="NoSpacing"/>
              <w:jc w:val="both"/>
              <w:rPr>
                <w:bCs/>
                <w:sz w:val="26"/>
                <w:szCs w:val="26"/>
              </w:rPr>
            </w:pPr>
          </w:p>
          <w:p w14:paraId="14D2CF60" w14:textId="341A7B9D" w:rsidR="00F6377E" w:rsidRPr="002B394E" w:rsidRDefault="002C0DCE" w:rsidP="00F6377E">
            <w:pPr>
              <w:pStyle w:val="NoSpacing"/>
              <w:jc w:val="both"/>
              <w:rPr>
                <w:bCs/>
                <w:sz w:val="26"/>
                <w:szCs w:val="26"/>
              </w:rPr>
            </w:pPr>
            <w:r>
              <w:rPr>
                <w:bCs/>
                <w:sz w:val="26"/>
                <w:szCs w:val="26"/>
              </w:rPr>
              <w:t>Sika Corporation</w:t>
            </w:r>
            <w:r w:rsidR="00442481" w:rsidRPr="00992DAE">
              <w:rPr>
                <w:bCs/>
                <w:sz w:val="26"/>
                <w:szCs w:val="26"/>
              </w:rPr>
              <w:t xml:space="preserve">                                      </w:t>
            </w:r>
            <w:r>
              <w:rPr>
                <w:bCs/>
                <w:sz w:val="26"/>
                <w:szCs w:val="26"/>
              </w:rPr>
              <w:t xml:space="preserve">             </w:t>
            </w:r>
            <w:r w:rsidR="00442481" w:rsidRPr="00992DAE">
              <w:rPr>
                <w:bCs/>
                <w:sz w:val="26"/>
                <w:szCs w:val="26"/>
              </w:rPr>
              <w:t xml:space="preserve"> </w:t>
            </w:r>
            <w:r>
              <w:rPr>
                <w:bCs/>
                <w:sz w:val="26"/>
                <w:szCs w:val="26"/>
              </w:rPr>
              <w:t>Lyndhurst, NJ</w:t>
            </w:r>
            <w:r w:rsidR="00442481" w:rsidRPr="00992DAE">
              <w:rPr>
                <w:bCs/>
                <w:sz w:val="26"/>
                <w:szCs w:val="26"/>
              </w:rPr>
              <w:t xml:space="preserve"> </w:t>
            </w:r>
          </w:p>
        </w:tc>
      </w:tr>
      <w:tr w:rsidR="00F6377E" w:rsidRPr="00D7330E" w14:paraId="0CC80085" w14:textId="77777777" w:rsidTr="00BD5FE0">
        <w:trPr>
          <w:trHeight w:val="150"/>
        </w:trPr>
        <w:tc>
          <w:tcPr>
            <w:tcW w:w="450" w:type="dxa"/>
          </w:tcPr>
          <w:p w14:paraId="67560A50" w14:textId="77777777" w:rsidR="00F6377E" w:rsidRPr="00D7330E" w:rsidRDefault="00F6377E" w:rsidP="00F6377E">
            <w:pPr>
              <w:pStyle w:val="NoSpacing"/>
              <w:rPr>
                <w:sz w:val="26"/>
                <w:szCs w:val="26"/>
              </w:rPr>
            </w:pPr>
          </w:p>
        </w:tc>
        <w:tc>
          <w:tcPr>
            <w:tcW w:w="990" w:type="dxa"/>
          </w:tcPr>
          <w:p w14:paraId="6AD68AE2" w14:textId="77777777" w:rsidR="00F6377E" w:rsidRPr="00D7330E" w:rsidRDefault="00F6377E" w:rsidP="00F6377E">
            <w:pPr>
              <w:pStyle w:val="NoSpacing"/>
              <w:rPr>
                <w:sz w:val="26"/>
                <w:szCs w:val="26"/>
              </w:rPr>
            </w:pPr>
          </w:p>
        </w:tc>
        <w:tc>
          <w:tcPr>
            <w:tcW w:w="7920" w:type="dxa"/>
          </w:tcPr>
          <w:p w14:paraId="2BCC328C" w14:textId="4CC93AD7" w:rsidR="002C0DCE" w:rsidRPr="006C550A" w:rsidRDefault="002C0DCE" w:rsidP="002C0DCE">
            <w:pPr>
              <w:rPr>
                <w:szCs w:val="26"/>
              </w:rPr>
            </w:pPr>
            <w:r>
              <w:rPr>
                <w:szCs w:val="26"/>
              </w:rPr>
              <w:t>Competitive bidding procedures were followed in accordance with the Illinois Procurement Code.</w:t>
            </w:r>
          </w:p>
          <w:p w14:paraId="53BBE958" w14:textId="77777777" w:rsidR="002C0DCE" w:rsidRDefault="002C0DCE" w:rsidP="002C0DCE">
            <w:pPr>
              <w:pStyle w:val="BodyText"/>
              <w:spacing w:line="20" w:lineRule="exact"/>
              <w:ind w:right="15"/>
              <w:rPr>
                <w:sz w:val="2"/>
              </w:rPr>
            </w:pPr>
          </w:p>
          <w:p w14:paraId="21A2CB94" w14:textId="319D2925" w:rsidR="002C0DCE" w:rsidRPr="007C247A" w:rsidRDefault="002C0DCE" w:rsidP="002C0DCE">
            <w:pPr>
              <w:pStyle w:val="BodyText"/>
              <w:ind w:right="15"/>
              <w:rPr>
                <w:sz w:val="26"/>
                <w:szCs w:val="26"/>
              </w:rPr>
            </w:pPr>
            <w:r>
              <w:rPr>
                <w:sz w:val="26"/>
                <w:szCs w:val="26"/>
              </w:rPr>
              <w:t xml:space="preserve">Sika Corporation will furnish and deliver multiple brands of roofing materials &amp; supplies, such as, but not limited to, roof membrane 100% fully adhered 60 mil or 80 mil self-adhering peel and stick PVC roofing membrane and other products </w:t>
            </w:r>
            <w:r w:rsidR="00E13FF1" w:rsidRPr="00E13FF1">
              <w:rPr>
                <w:sz w:val="26"/>
                <w:szCs w:val="26"/>
              </w:rPr>
              <w:t>germane to completion of roof replacements as part of ongoing maintenance of campus buildings</w:t>
            </w:r>
            <w:r>
              <w:rPr>
                <w:sz w:val="26"/>
                <w:szCs w:val="26"/>
              </w:rPr>
              <w:t>.  F&amp;S estimates upwards of 720,000 square feet of low slope roofs that are anticipated to be reroofed over the term of the contract.</w:t>
            </w:r>
          </w:p>
          <w:p w14:paraId="28D84B28" w14:textId="566A2FEE" w:rsidR="00080C61" w:rsidRPr="002B394E" w:rsidRDefault="002C0DCE" w:rsidP="002B394E">
            <w:pPr>
              <w:pStyle w:val="BodyText"/>
              <w:spacing w:before="1"/>
            </w:pPr>
            <w:r>
              <w:rPr>
                <w:b/>
                <w:szCs w:val="26"/>
              </w:rPr>
              <w:t>Business Enterprise Program (BEP)</w:t>
            </w:r>
            <w:r>
              <w:rPr>
                <w:bCs/>
                <w:szCs w:val="26"/>
              </w:rPr>
              <w:t xml:space="preserve"> – There were no BEP vendors available under the prescribed commodity.</w:t>
            </w:r>
          </w:p>
        </w:tc>
      </w:tr>
      <w:tr w:rsidR="002F2D48" w:rsidRPr="00D7330E" w14:paraId="31D27605" w14:textId="77777777" w:rsidTr="00BD5FE0">
        <w:trPr>
          <w:trHeight w:val="432"/>
        </w:trPr>
        <w:tc>
          <w:tcPr>
            <w:tcW w:w="450" w:type="dxa"/>
            <w:tcBorders>
              <w:bottom w:val="single" w:sz="18" w:space="0" w:color="auto"/>
            </w:tcBorders>
          </w:tcPr>
          <w:p w14:paraId="4B44AAE9" w14:textId="77777777" w:rsidR="002F2D48" w:rsidRPr="00D7330E" w:rsidRDefault="002F2D48" w:rsidP="00F6377E">
            <w:pPr>
              <w:pStyle w:val="NoSpacing"/>
              <w:rPr>
                <w:sz w:val="26"/>
                <w:szCs w:val="26"/>
              </w:rPr>
            </w:pPr>
          </w:p>
        </w:tc>
        <w:tc>
          <w:tcPr>
            <w:tcW w:w="990" w:type="dxa"/>
            <w:tcBorders>
              <w:bottom w:val="single" w:sz="18" w:space="0" w:color="auto"/>
            </w:tcBorders>
          </w:tcPr>
          <w:p w14:paraId="245D903A" w14:textId="77777777" w:rsidR="002F2D48" w:rsidRPr="00D7330E" w:rsidRDefault="002F2D48" w:rsidP="00F6377E">
            <w:pPr>
              <w:pStyle w:val="NoSpacing"/>
              <w:rPr>
                <w:sz w:val="26"/>
                <w:szCs w:val="26"/>
              </w:rPr>
            </w:pPr>
          </w:p>
        </w:tc>
        <w:tc>
          <w:tcPr>
            <w:tcW w:w="7920" w:type="dxa"/>
            <w:tcBorders>
              <w:bottom w:val="single" w:sz="18" w:space="0" w:color="auto"/>
            </w:tcBorders>
          </w:tcPr>
          <w:p w14:paraId="3472C3E8" w14:textId="77777777" w:rsidR="00080C61" w:rsidRPr="00D7330E" w:rsidRDefault="00080C61" w:rsidP="00080C61">
            <w:pPr>
              <w:tabs>
                <w:tab w:val="left" w:pos="-720"/>
                <w:tab w:val="left" w:pos="9090"/>
              </w:tabs>
              <w:suppressAutoHyphens/>
              <w:overflowPunct w:val="0"/>
              <w:autoSpaceDE w:val="0"/>
              <w:autoSpaceDN w:val="0"/>
              <w:adjustRightInd w:val="0"/>
              <w:spacing w:after="0" w:line="240" w:lineRule="auto"/>
              <w:textAlignment w:val="baseline"/>
              <w:rPr>
                <w:szCs w:val="26"/>
              </w:rPr>
            </w:pPr>
          </w:p>
        </w:tc>
      </w:tr>
    </w:tbl>
    <w:p w14:paraId="4A063824" w14:textId="77777777" w:rsidR="0076023D" w:rsidRPr="00D7330E" w:rsidRDefault="0076023D" w:rsidP="002C343C">
      <w:pPr>
        <w:pStyle w:val="NoSpacing"/>
        <w:rPr>
          <w:rFonts w:eastAsia="Times New Roman"/>
          <w:sz w:val="26"/>
          <w:szCs w:val="26"/>
        </w:rPr>
      </w:pPr>
    </w:p>
    <w:tbl>
      <w:tblPr>
        <w:tblpPr w:leftFromText="180" w:rightFromText="180" w:vertAnchor="text" w:horzAnchor="margin" w:tblpXSpec="center" w:tblpY="90"/>
        <w:tblW w:w="0" w:type="auto"/>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tblLayout w:type="fixed"/>
        <w:tblLook w:val="0000" w:firstRow="0" w:lastRow="0" w:firstColumn="0" w:lastColumn="0" w:noHBand="0" w:noVBand="0"/>
      </w:tblPr>
      <w:tblGrid>
        <w:gridCol w:w="5693"/>
        <w:gridCol w:w="1902"/>
      </w:tblGrid>
      <w:tr w:rsidR="002E16B6" w:rsidRPr="00D7330E" w14:paraId="1F21279B" w14:textId="77777777" w:rsidTr="00271289">
        <w:trPr>
          <w:cantSplit/>
          <w:trHeight w:val="314"/>
        </w:trPr>
        <w:tc>
          <w:tcPr>
            <w:tcW w:w="7595" w:type="dxa"/>
            <w:gridSpan w:val="2"/>
          </w:tcPr>
          <w:p w14:paraId="5546FB3D" w14:textId="77777777" w:rsidR="002E16B6" w:rsidRPr="00D7330E" w:rsidRDefault="002E16B6" w:rsidP="00271289">
            <w:pPr>
              <w:tabs>
                <w:tab w:val="left" w:pos="-1440"/>
                <w:tab w:val="left" w:pos="-72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overflowPunct w:val="0"/>
              <w:autoSpaceDE w:val="0"/>
              <w:autoSpaceDN w:val="0"/>
              <w:adjustRightInd w:val="0"/>
              <w:spacing w:after="0" w:line="240" w:lineRule="auto"/>
              <w:jc w:val="center"/>
              <w:textAlignment w:val="baseline"/>
              <w:rPr>
                <w:rFonts w:eastAsia="Times New Roman"/>
                <w:b/>
                <w:szCs w:val="26"/>
              </w:rPr>
            </w:pPr>
            <w:r w:rsidRPr="00D7330E">
              <w:rPr>
                <w:rFonts w:eastAsia="Times New Roman"/>
                <w:b/>
                <w:szCs w:val="26"/>
              </w:rPr>
              <w:t>SUMMARY OF PURCHASES</w:t>
            </w:r>
          </w:p>
        </w:tc>
      </w:tr>
      <w:tr w:rsidR="002E16B6" w:rsidRPr="00D7330E" w14:paraId="06848E01" w14:textId="77777777" w:rsidTr="00271289">
        <w:trPr>
          <w:trHeight w:val="394"/>
        </w:trPr>
        <w:tc>
          <w:tcPr>
            <w:tcW w:w="5693" w:type="dxa"/>
          </w:tcPr>
          <w:p w14:paraId="55F933FB" w14:textId="41F1C372" w:rsidR="002E16B6" w:rsidRPr="00D7330E" w:rsidRDefault="002E16B6" w:rsidP="00271289">
            <w:pPr>
              <w:overflowPunct w:val="0"/>
              <w:autoSpaceDE w:val="0"/>
              <w:autoSpaceDN w:val="0"/>
              <w:adjustRightInd w:val="0"/>
              <w:spacing w:after="0" w:line="240" w:lineRule="auto"/>
              <w:textAlignment w:val="baseline"/>
              <w:rPr>
                <w:rFonts w:eastAsia="Times New Roman"/>
                <w:szCs w:val="26"/>
              </w:rPr>
            </w:pPr>
            <w:r w:rsidRPr="00D7330E">
              <w:rPr>
                <w:rFonts w:eastAsia="Times New Roman"/>
                <w:szCs w:val="26"/>
              </w:rPr>
              <w:lastRenderedPageBreak/>
              <w:t xml:space="preserve">University of </w:t>
            </w:r>
            <w:r w:rsidR="003859B5" w:rsidRPr="00D7330E">
              <w:rPr>
                <w:rFonts w:eastAsia="Times New Roman"/>
                <w:szCs w:val="26"/>
              </w:rPr>
              <w:t xml:space="preserve">Illinois </w:t>
            </w:r>
            <w:r w:rsidR="003859B5">
              <w:rPr>
                <w:rFonts w:eastAsia="Times New Roman"/>
                <w:szCs w:val="26"/>
              </w:rPr>
              <w:t>Chicago</w:t>
            </w:r>
          </w:p>
        </w:tc>
        <w:tc>
          <w:tcPr>
            <w:tcW w:w="1902" w:type="dxa"/>
          </w:tcPr>
          <w:p w14:paraId="544C19BF" w14:textId="04221232" w:rsidR="002E16B6" w:rsidRPr="00D7330E" w:rsidRDefault="002E16B6" w:rsidP="00271289">
            <w:pPr>
              <w:overflowPunct w:val="0"/>
              <w:autoSpaceDE w:val="0"/>
              <w:autoSpaceDN w:val="0"/>
              <w:adjustRightInd w:val="0"/>
              <w:spacing w:after="0" w:line="240" w:lineRule="auto"/>
              <w:textAlignment w:val="baseline"/>
              <w:rPr>
                <w:rFonts w:eastAsia="Times New Roman"/>
                <w:szCs w:val="26"/>
              </w:rPr>
            </w:pPr>
            <w:r w:rsidRPr="00D7330E">
              <w:rPr>
                <w:rFonts w:eastAsia="Times New Roman"/>
                <w:szCs w:val="26"/>
              </w:rPr>
              <w:t>$</w:t>
            </w:r>
            <w:r w:rsidR="003859B5">
              <w:rPr>
                <w:rFonts w:eastAsia="Times New Roman"/>
                <w:szCs w:val="26"/>
              </w:rPr>
              <w:t xml:space="preserve"> 41,7</w:t>
            </w:r>
            <w:r w:rsidR="002B394E">
              <w:rPr>
                <w:rFonts w:eastAsia="Times New Roman"/>
                <w:szCs w:val="26"/>
              </w:rPr>
              <w:t>00</w:t>
            </w:r>
            <w:r w:rsidRPr="00D7330E">
              <w:rPr>
                <w:rFonts w:eastAsia="Times New Roman"/>
                <w:szCs w:val="26"/>
              </w:rPr>
              <w:t>,000</w:t>
            </w:r>
          </w:p>
        </w:tc>
      </w:tr>
      <w:tr w:rsidR="002E16B6" w:rsidRPr="00D7330E" w14:paraId="6DCA621F" w14:textId="77777777" w:rsidTr="00271289">
        <w:trPr>
          <w:trHeight w:val="394"/>
        </w:trPr>
        <w:tc>
          <w:tcPr>
            <w:tcW w:w="5693" w:type="dxa"/>
          </w:tcPr>
          <w:p w14:paraId="26487922" w14:textId="78574959" w:rsidR="002E16B6" w:rsidRPr="00D7330E" w:rsidRDefault="002E16B6" w:rsidP="00271289">
            <w:pPr>
              <w:overflowPunct w:val="0"/>
              <w:autoSpaceDE w:val="0"/>
              <w:autoSpaceDN w:val="0"/>
              <w:adjustRightInd w:val="0"/>
              <w:spacing w:after="0" w:line="240" w:lineRule="auto"/>
              <w:textAlignment w:val="baseline"/>
              <w:rPr>
                <w:rFonts w:eastAsia="Times New Roman"/>
                <w:szCs w:val="26"/>
              </w:rPr>
            </w:pPr>
            <w:r>
              <w:rPr>
                <w:rFonts w:eastAsia="Times New Roman"/>
                <w:szCs w:val="26"/>
              </w:rPr>
              <w:t xml:space="preserve">University of Illinois </w:t>
            </w:r>
            <w:r w:rsidR="003859B5">
              <w:rPr>
                <w:rFonts w:eastAsia="Times New Roman"/>
                <w:szCs w:val="26"/>
              </w:rPr>
              <w:t>Urbana-Champaign</w:t>
            </w:r>
          </w:p>
        </w:tc>
        <w:tc>
          <w:tcPr>
            <w:tcW w:w="1902" w:type="dxa"/>
          </w:tcPr>
          <w:p w14:paraId="455BCCBE" w14:textId="618B7206" w:rsidR="002E16B6" w:rsidRPr="00D7330E" w:rsidRDefault="002E16B6" w:rsidP="00271289">
            <w:pPr>
              <w:overflowPunct w:val="0"/>
              <w:autoSpaceDE w:val="0"/>
              <w:autoSpaceDN w:val="0"/>
              <w:adjustRightInd w:val="0"/>
              <w:spacing w:after="0" w:line="240" w:lineRule="auto"/>
              <w:textAlignment w:val="baseline"/>
              <w:rPr>
                <w:rFonts w:eastAsia="Times New Roman"/>
                <w:szCs w:val="26"/>
              </w:rPr>
            </w:pPr>
            <w:r>
              <w:rPr>
                <w:rFonts w:eastAsia="Times New Roman"/>
                <w:szCs w:val="26"/>
              </w:rPr>
              <w:t>$</w:t>
            </w:r>
            <w:r w:rsidR="002B394E">
              <w:rPr>
                <w:rFonts w:eastAsia="Times New Roman"/>
                <w:szCs w:val="26"/>
              </w:rPr>
              <w:t xml:space="preserve">  </w:t>
            </w:r>
            <w:r w:rsidR="00F67256">
              <w:rPr>
                <w:rFonts w:eastAsia="Times New Roman"/>
                <w:szCs w:val="26"/>
              </w:rPr>
              <w:t xml:space="preserve"> </w:t>
            </w:r>
            <w:r w:rsidR="00B400D8">
              <w:rPr>
                <w:rFonts w:eastAsia="Times New Roman"/>
                <w:szCs w:val="26"/>
              </w:rPr>
              <w:t>6</w:t>
            </w:r>
            <w:r w:rsidR="003859B5">
              <w:rPr>
                <w:rFonts w:eastAsia="Times New Roman"/>
                <w:szCs w:val="26"/>
              </w:rPr>
              <w:t>,218</w:t>
            </w:r>
            <w:r>
              <w:rPr>
                <w:rFonts w:eastAsia="Times New Roman"/>
                <w:szCs w:val="26"/>
              </w:rPr>
              <w:t>,000</w:t>
            </w:r>
          </w:p>
        </w:tc>
      </w:tr>
      <w:tr w:rsidR="002E16B6" w:rsidRPr="00D7330E" w14:paraId="4ED8A39B" w14:textId="77777777" w:rsidTr="00271289">
        <w:trPr>
          <w:trHeight w:val="394"/>
        </w:trPr>
        <w:tc>
          <w:tcPr>
            <w:tcW w:w="5693" w:type="dxa"/>
          </w:tcPr>
          <w:p w14:paraId="5084B765" w14:textId="77777777" w:rsidR="002E16B6" w:rsidRPr="00D7330E" w:rsidRDefault="002E16B6" w:rsidP="00271289">
            <w:pPr>
              <w:tabs>
                <w:tab w:val="left" w:pos="-1440"/>
                <w:tab w:val="left" w:pos="-72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overflowPunct w:val="0"/>
              <w:autoSpaceDE w:val="0"/>
              <w:autoSpaceDN w:val="0"/>
              <w:adjustRightInd w:val="0"/>
              <w:spacing w:after="0" w:line="240" w:lineRule="auto"/>
              <w:textAlignment w:val="baseline"/>
              <w:rPr>
                <w:rFonts w:eastAsia="Times New Roman"/>
                <w:color w:val="000000"/>
                <w:szCs w:val="26"/>
              </w:rPr>
            </w:pPr>
            <w:r w:rsidRPr="00D7330E">
              <w:rPr>
                <w:rFonts w:eastAsia="Times New Roman"/>
                <w:color w:val="000000"/>
                <w:szCs w:val="26"/>
              </w:rPr>
              <w:t>Recommended from Institutional Funds</w:t>
            </w:r>
          </w:p>
          <w:p w14:paraId="0E7C7583" w14:textId="77777777" w:rsidR="002E16B6" w:rsidRPr="00D7330E" w:rsidRDefault="002E16B6" w:rsidP="00271289">
            <w:pPr>
              <w:overflowPunct w:val="0"/>
              <w:autoSpaceDE w:val="0"/>
              <w:autoSpaceDN w:val="0"/>
              <w:adjustRightInd w:val="0"/>
              <w:spacing w:after="0" w:line="240" w:lineRule="auto"/>
              <w:textAlignment w:val="baseline"/>
              <w:rPr>
                <w:rFonts w:eastAsia="Times New Roman"/>
                <w:szCs w:val="26"/>
              </w:rPr>
            </w:pPr>
            <w:r w:rsidRPr="00D7330E">
              <w:rPr>
                <w:rFonts w:eastAsia="Times New Roman"/>
                <w:color w:val="000000"/>
                <w:szCs w:val="26"/>
              </w:rPr>
              <w:t>Grand Total</w:t>
            </w:r>
          </w:p>
        </w:tc>
        <w:tc>
          <w:tcPr>
            <w:tcW w:w="1902" w:type="dxa"/>
          </w:tcPr>
          <w:p w14:paraId="57B4D192" w14:textId="7542BD64" w:rsidR="002E16B6" w:rsidRPr="00D7330E" w:rsidRDefault="002E16B6" w:rsidP="00271289">
            <w:pPr>
              <w:overflowPunct w:val="0"/>
              <w:autoSpaceDE w:val="0"/>
              <w:autoSpaceDN w:val="0"/>
              <w:adjustRightInd w:val="0"/>
              <w:spacing w:after="0" w:line="240" w:lineRule="auto"/>
              <w:textAlignment w:val="baseline"/>
              <w:rPr>
                <w:rFonts w:eastAsia="Times New Roman"/>
                <w:szCs w:val="26"/>
              </w:rPr>
            </w:pPr>
            <w:r w:rsidRPr="00D7330E">
              <w:rPr>
                <w:rFonts w:eastAsia="Times New Roman"/>
                <w:szCs w:val="26"/>
              </w:rPr>
              <w:t>$</w:t>
            </w:r>
            <w:r w:rsidR="002B394E">
              <w:rPr>
                <w:rFonts w:eastAsia="Times New Roman"/>
                <w:szCs w:val="26"/>
              </w:rPr>
              <w:t xml:space="preserve"> </w:t>
            </w:r>
            <w:r w:rsidR="003859B5">
              <w:rPr>
                <w:rFonts w:eastAsia="Times New Roman"/>
                <w:szCs w:val="26"/>
              </w:rPr>
              <w:t>4</w:t>
            </w:r>
            <w:r w:rsidR="00B400D8">
              <w:rPr>
                <w:rFonts w:eastAsia="Times New Roman"/>
                <w:szCs w:val="26"/>
              </w:rPr>
              <w:t>7</w:t>
            </w:r>
            <w:r w:rsidR="003859B5">
              <w:rPr>
                <w:rFonts w:eastAsia="Times New Roman"/>
                <w:szCs w:val="26"/>
              </w:rPr>
              <w:t>,918</w:t>
            </w:r>
            <w:r w:rsidRPr="00D7330E">
              <w:rPr>
                <w:rFonts w:eastAsia="Times New Roman"/>
                <w:szCs w:val="26"/>
              </w:rPr>
              <w:t>,000</w:t>
            </w:r>
          </w:p>
        </w:tc>
      </w:tr>
      <w:tr w:rsidR="002E16B6" w:rsidRPr="00D7330E" w14:paraId="52056F70" w14:textId="77777777" w:rsidTr="00271289">
        <w:trPr>
          <w:trHeight w:val="394"/>
        </w:trPr>
        <w:tc>
          <w:tcPr>
            <w:tcW w:w="5693" w:type="dxa"/>
          </w:tcPr>
          <w:p w14:paraId="68095BC8" w14:textId="77777777" w:rsidR="002E16B6" w:rsidRPr="00D7330E" w:rsidRDefault="002E16B6" w:rsidP="00271289">
            <w:pPr>
              <w:overflowPunct w:val="0"/>
              <w:autoSpaceDE w:val="0"/>
              <w:autoSpaceDN w:val="0"/>
              <w:adjustRightInd w:val="0"/>
              <w:spacing w:after="0" w:line="240" w:lineRule="auto"/>
              <w:textAlignment w:val="baseline"/>
              <w:rPr>
                <w:rFonts w:eastAsia="Times New Roman"/>
                <w:bCs/>
                <w:szCs w:val="26"/>
              </w:rPr>
            </w:pPr>
          </w:p>
        </w:tc>
        <w:tc>
          <w:tcPr>
            <w:tcW w:w="1902" w:type="dxa"/>
          </w:tcPr>
          <w:p w14:paraId="4A12E5C4" w14:textId="77777777" w:rsidR="002E16B6" w:rsidRPr="00D7330E" w:rsidRDefault="002E16B6" w:rsidP="00271289">
            <w:pPr>
              <w:overflowPunct w:val="0"/>
              <w:autoSpaceDE w:val="0"/>
              <w:autoSpaceDN w:val="0"/>
              <w:adjustRightInd w:val="0"/>
              <w:spacing w:after="0" w:line="240" w:lineRule="auto"/>
              <w:textAlignment w:val="baseline"/>
              <w:rPr>
                <w:rFonts w:eastAsia="Times New Roman"/>
                <w:szCs w:val="26"/>
              </w:rPr>
            </w:pPr>
          </w:p>
        </w:tc>
      </w:tr>
      <w:tr w:rsidR="002E16B6" w:rsidRPr="00D7330E" w14:paraId="1461B6A4" w14:textId="77777777" w:rsidTr="00271289">
        <w:trPr>
          <w:trHeight w:val="350"/>
        </w:trPr>
        <w:tc>
          <w:tcPr>
            <w:tcW w:w="7595" w:type="dxa"/>
            <w:gridSpan w:val="2"/>
          </w:tcPr>
          <w:p w14:paraId="3590F05C" w14:textId="77777777" w:rsidR="002E16B6" w:rsidRPr="00D7330E" w:rsidRDefault="002E16B6" w:rsidP="00271289">
            <w:pPr>
              <w:overflowPunct w:val="0"/>
              <w:autoSpaceDE w:val="0"/>
              <w:autoSpaceDN w:val="0"/>
              <w:adjustRightInd w:val="0"/>
              <w:spacing w:after="0" w:line="240" w:lineRule="auto"/>
              <w:jc w:val="center"/>
              <w:textAlignment w:val="baseline"/>
              <w:rPr>
                <w:rFonts w:eastAsia="Times New Roman"/>
                <w:szCs w:val="26"/>
              </w:rPr>
            </w:pPr>
            <w:r w:rsidRPr="00D7330E">
              <w:rPr>
                <w:rFonts w:eastAsia="Times New Roman"/>
                <w:b/>
                <w:szCs w:val="26"/>
              </w:rPr>
              <w:t>SUMMARY OF CHANGE ORDERS</w:t>
            </w:r>
          </w:p>
        </w:tc>
      </w:tr>
      <w:tr w:rsidR="002E16B6" w:rsidRPr="00D7330E" w14:paraId="017C0675" w14:textId="77777777" w:rsidTr="00271289">
        <w:trPr>
          <w:trHeight w:val="350"/>
        </w:trPr>
        <w:tc>
          <w:tcPr>
            <w:tcW w:w="5693" w:type="dxa"/>
          </w:tcPr>
          <w:p w14:paraId="03A8746B" w14:textId="77777777" w:rsidR="002E16B6" w:rsidRPr="00D7330E" w:rsidRDefault="002E16B6" w:rsidP="00271289">
            <w:pPr>
              <w:tabs>
                <w:tab w:val="left" w:pos="-1440"/>
                <w:tab w:val="left" w:pos="-72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overflowPunct w:val="0"/>
              <w:autoSpaceDE w:val="0"/>
              <w:autoSpaceDN w:val="0"/>
              <w:adjustRightInd w:val="0"/>
              <w:spacing w:after="0" w:line="240" w:lineRule="auto"/>
              <w:textAlignment w:val="baseline"/>
              <w:rPr>
                <w:rFonts w:eastAsia="Times New Roman"/>
                <w:color w:val="000000"/>
                <w:szCs w:val="26"/>
              </w:rPr>
            </w:pPr>
            <w:r w:rsidRPr="00D7330E">
              <w:rPr>
                <w:rFonts w:eastAsia="Times New Roman"/>
                <w:bCs/>
                <w:szCs w:val="26"/>
              </w:rPr>
              <w:t xml:space="preserve">University of Illinois </w:t>
            </w:r>
            <w:r>
              <w:rPr>
                <w:rFonts w:eastAsia="Times New Roman"/>
                <w:bCs/>
                <w:szCs w:val="26"/>
              </w:rPr>
              <w:t>System Office</w:t>
            </w:r>
          </w:p>
        </w:tc>
        <w:tc>
          <w:tcPr>
            <w:tcW w:w="1902" w:type="dxa"/>
          </w:tcPr>
          <w:p w14:paraId="7086E13E" w14:textId="298E685F" w:rsidR="002E16B6" w:rsidRPr="00D7330E" w:rsidRDefault="002E16B6" w:rsidP="00271289">
            <w:pPr>
              <w:overflowPunct w:val="0"/>
              <w:autoSpaceDE w:val="0"/>
              <w:autoSpaceDN w:val="0"/>
              <w:adjustRightInd w:val="0"/>
              <w:spacing w:after="0" w:line="240" w:lineRule="auto"/>
              <w:textAlignment w:val="baseline"/>
              <w:rPr>
                <w:rFonts w:eastAsia="Times New Roman"/>
                <w:szCs w:val="26"/>
              </w:rPr>
            </w:pPr>
            <w:r w:rsidRPr="00D7330E">
              <w:rPr>
                <w:rFonts w:eastAsia="Times New Roman"/>
                <w:szCs w:val="26"/>
              </w:rPr>
              <w:t xml:space="preserve">$ </w:t>
            </w:r>
            <w:r>
              <w:rPr>
                <w:rFonts w:eastAsia="Times New Roman"/>
                <w:szCs w:val="26"/>
              </w:rPr>
              <w:t>1,</w:t>
            </w:r>
            <w:r w:rsidR="002B394E">
              <w:rPr>
                <w:rFonts w:eastAsia="Times New Roman"/>
                <w:szCs w:val="26"/>
              </w:rPr>
              <w:t>600</w:t>
            </w:r>
            <w:r>
              <w:rPr>
                <w:rFonts w:eastAsia="Times New Roman"/>
                <w:szCs w:val="26"/>
              </w:rPr>
              <w:t>,000</w:t>
            </w:r>
          </w:p>
        </w:tc>
      </w:tr>
      <w:tr w:rsidR="002E16B6" w:rsidRPr="00D7330E" w14:paraId="199602D5" w14:textId="77777777" w:rsidTr="00271289">
        <w:trPr>
          <w:trHeight w:val="350"/>
        </w:trPr>
        <w:tc>
          <w:tcPr>
            <w:tcW w:w="5693" w:type="dxa"/>
          </w:tcPr>
          <w:p w14:paraId="0E105E98" w14:textId="77777777" w:rsidR="002E16B6" w:rsidRPr="00D7330E" w:rsidRDefault="002E16B6" w:rsidP="00271289">
            <w:pPr>
              <w:tabs>
                <w:tab w:val="left" w:pos="-1440"/>
                <w:tab w:val="left" w:pos="-72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overflowPunct w:val="0"/>
              <w:autoSpaceDE w:val="0"/>
              <w:autoSpaceDN w:val="0"/>
              <w:adjustRightInd w:val="0"/>
              <w:spacing w:after="0" w:line="240" w:lineRule="auto"/>
              <w:textAlignment w:val="baseline"/>
              <w:rPr>
                <w:rFonts w:eastAsia="Times New Roman"/>
                <w:color w:val="000000"/>
                <w:szCs w:val="26"/>
              </w:rPr>
            </w:pPr>
            <w:r w:rsidRPr="00D7330E">
              <w:rPr>
                <w:rFonts w:eastAsia="Times New Roman"/>
                <w:color w:val="000000"/>
                <w:szCs w:val="26"/>
              </w:rPr>
              <w:t>Recommended from Institutional Funds</w:t>
            </w:r>
          </w:p>
          <w:p w14:paraId="2509A784" w14:textId="77777777" w:rsidR="002E16B6" w:rsidRPr="00D7330E" w:rsidRDefault="002E16B6" w:rsidP="00271289">
            <w:pPr>
              <w:tabs>
                <w:tab w:val="left" w:pos="-1440"/>
                <w:tab w:val="left" w:pos="-72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overflowPunct w:val="0"/>
              <w:autoSpaceDE w:val="0"/>
              <w:autoSpaceDN w:val="0"/>
              <w:adjustRightInd w:val="0"/>
              <w:spacing w:after="0" w:line="240" w:lineRule="auto"/>
              <w:textAlignment w:val="baseline"/>
              <w:rPr>
                <w:rFonts w:eastAsia="Times New Roman"/>
                <w:color w:val="000000"/>
                <w:szCs w:val="26"/>
              </w:rPr>
            </w:pPr>
            <w:r w:rsidRPr="00D7330E">
              <w:rPr>
                <w:rFonts w:eastAsia="Times New Roman"/>
                <w:color w:val="000000"/>
                <w:szCs w:val="26"/>
              </w:rPr>
              <w:t>Grand Total</w:t>
            </w:r>
          </w:p>
        </w:tc>
        <w:tc>
          <w:tcPr>
            <w:tcW w:w="1902" w:type="dxa"/>
          </w:tcPr>
          <w:p w14:paraId="7E6C3E11" w14:textId="60737211" w:rsidR="002E16B6" w:rsidRPr="00D7330E" w:rsidRDefault="002E16B6" w:rsidP="00271289">
            <w:pPr>
              <w:overflowPunct w:val="0"/>
              <w:autoSpaceDE w:val="0"/>
              <w:autoSpaceDN w:val="0"/>
              <w:adjustRightInd w:val="0"/>
              <w:spacing w:after="0" w:line="240" w:lineRule="auto"/>
              <w:textAlignment w:val="baseline"/>
              <w:rPr>
                <w:rFonts w:eastAsia="Times New Roman"/>
                <w:szCs w:val="26"/>
              </w:rPr>
            </w:pPr>
            <w:r w:rsidRPr="00D7330E">
              <w:rPr>
                <w:rFonts w:eastAsia="Times New Roman"/>
                <w:szCs w:val="26"/>
              </w:rPr>
              <w:t xml:space="preserve">$ </w:t>
            </w:r>
            <w:r>
              <w:rPr>
                <w:rFonts w:eastAsia="Times New Roman"/>
                <w:szCs w:val="26"/>
              </w:rPr>
              <w:t>1,</w:t>
            </w:r>
            <w:r w:rsidR="002B394E">
              <w:rPr>
                <w:rFonts w:eastAsia="Times New Roman"/>
                <w:szCs w:val="26"/>
              </w:rPr>
              <w:t>600</w:t>
            </w:r>
            <w:r>
              <w:rPr>
                <w:rFonts w:eastAsia="Times New Roman"/>
                <w:szCs w:val="26"/>
              </w:rPr>
              <w:t>,000</w:t>
            </w:r>
          </w:p>
        </w:tc>
      </w:tr>
    </w:tbl>
    <w:p w14:paraId="15036B6A" w14:textId="3F3C87CA" w:rsidR="00B55900" w:rsidRPr="00353536" w:rsidRDefault="00B55900" w:rsidP="00B37520">
      <w:pPr>
        <w:tabs>
          <w:tab w:val="left" w:pos="-1440"/>
          <w:tab w:val="left" w:pos="-72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overflowPunct w:val="0"/>
        <w:autoSpaceDE w:val="0"/>
        <w:autoSpaceDN w:val="0"/>
        <w:adjustRightInd w:val="0"/>
        <w:spacing w:after="0" w:line="240" w:lineRule="auto"/>
        <w:jc w:val="center"/>
        <w:textAlignment w:val="baseline"/>
        <w:rPr>
          <w:rFonts w:eastAsia="Times New Roman"/>
          <w:szCs w:val="26"/>
        </w:rPr>
      </w:pPr>
    </w:p>
    <w:p w14:paraId="103238C3" w14:textId="71B84549" w:rsidR="00B55900" w:rsidRPr="00353536" w:rsidRDefault="00B55900" w:rsidP="00B37520">
      <w:pPr>
        <w:tabs>
          <w:tab w:val="left" w:pos="-1440"/>
          <w:tab w:val="left" w:pos="-72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overflowPunct w:val="0"/>
        <w:autoSpaceDE w:val="0"/>
        <w:autoSpaceDN w:val="0"/>
        <w:adjustRightInd w:val="0"/>
        <w:spacing w:after="0" w:line="240" w:lineRule="auto"/>
        <w:jc w:val="center"/>
        <w:textAlignment w:val="baseline"/>
        <w:rPr>
          <w:rFonts w:eastAsia="Times New Roman"/>
          <w:szCs w:val="26"/>
        </w:rPr>
      </w:pPr>
    </w:p>
    <w:p w14:paraId="4547076B" w14:textId="77777777" w:rsidR="00B55900" w:rsidRPr="00353536" w:rsidRDefault="00B55900" w:rsidP="00B37520">
      <w:pPr>
        <w:tabs>
          <w:tab w:val="left" w:pos="-1440"/>
          <w:tab w:val="left" w:pos="-72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overflowPunct w:val="0"/>
        <w:autoSpaceDE w:val="0"/>
        <w:autoSpaceDN w:val="0"/>
        <w:adjustRightInd w:val="0"/>
        <w:spacing w:after="0" w:line="240" w:lineRule="auto"/>
        <w:jc w:val="center"/>
        <w:textAlignment w:val="baseline"/>
        <w:rPr>
          <w:rFonts w:eastAsia="Times New Roman"/>
          <w:szCs w:val="26"/>
        </w:rPr>
      </w:pPr>
    </w:p>
    <w:p w14:paraId="3A472772" w14:textId="77777777" w:rsidR="00AC1317" w:rsidRPr="00353536" w:rsidRDefault="00AC1317" w:rsidP="00B37520">
      <w:pPr>
        <w:pStyle w:val="NoSpacing"/>
        <w:rPr>
          <w:sz w:val="26"/>
          <w:szCs w:val="26"/>
        </w:rPr>
      </w:pPr>
    </w:p>
    <w:sectPr w:rsidR="00AC1317" w:rsidRPr="00353536" w:rsidSect="0065149B">
      <w:headerReference w:type="default" r:id="rId8"/>
      <w:pgSz w:w="12240" w:h="15840"/>
      <w:pgMar w:top="72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F462BC" w14:textId="77777777" w:rsidR="00633A48" w:rsidRDefault="00633A48" w:rsidP="00A817DF">
      <w:pPr>
        <w:spacing w:after="0" w:line="240" w:lineRule="auto"/>
      </w:pPr>
      <w:r>
        <w:separator/>
      </w:r>
    </w:p>
  </w:endnote>
  <w:endnote w:type="continuationSeparator" w:id="0">
    <w:p w14:paraId="4BCFFC99" w14:textId="77777777" w:rsidR="00633A48" w:rsidRDefault="00633A48" w:rsidP="00A817D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Segoe UI">
    <w:altName w:val="Arial"/>
    <w:panose1 w:val="020B0502040204020203"/>
    <w:charset w:val="00"/>
    <w:family w:val="swiss"/>
    <w:pitch w:val="variable"/>
    <w:sig w:usb0="E4002EFF" w:usb1="C000E47F" w:usb2="00000009" w:usb3="00000000" w:csb0="000001FF" w:csb1="00000000"/>
  </w:font>
  <w:font w:name="Courier">
    <w:panose1 w:val="02070409020205020404"/>
    <w:charset w:val="00"/>
    <w:family w:val="auto"/>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C0DF53" w14:textId="77777777" w:rsidR="00633A48" w:rsidRDefault="00633A48" w:rsidP="00A817DF">
      <w:pPr>
        <w:spacing w:after="0" w:line="240" w:lineRule="auto"/>
      </w:pPr>
      <w:r>
        <w:separator/>
      </w:r>
    </w:p>
  </w:footnote>
  <w:footnote w:type="continuationSeparator" w:id="0">
    <w:p w14:paraId="3F51173D" w14:textId="77777777" w:rsidR="00633A48" w:rsidRDefault="00633A48" w:rsidP="00A817D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33931216"/>
      <w:docPartObj>
        <w:docPartGallery w:val="Page Numbers (Top of Page)"/>
        <w:docPartUnique/>
      </w:docPartObj>
    </w:sdtPr>
    <w:sdtEndPr>
      <w:rPr>
        <w:noProof/>
      </w:rPr>
    </w:sdtEndPr>
    <w:sdtContent>
      <w:p w14:paraId="453E5F57" w14:textId="0D550C09" w:rsidR="00301F8C" w:rsidRDefault="00301F8C">
        <w:pPr>
          <w:pStyle w:val="Header"/>
          <w:jc w:val="center"/>
        </w:pPr>
        <w:r>
          <w:fldChar w:fldCharType="begin"/>
        </w:r>
        <w:r>
          <w:instrText xml:space="preserve"> PAGE   \* MERGEFORMAT </w:instrText>
        </w:r>
        <w:r>
          <w:fldChar w:fldCharType="separate"/>
        </w:r>
        <w:r>
          <w:rPr>
            <w:noProof/>
          </w:rPr>
          <w:t>2</w:t>
        </w:r>
        <w:r>
          <w:rPr>
            <w:noProof/>
          </w:rPr>
          <w:fldChar w:fldCharType="end"/>
        </w:r>
      </w:p>
    </w:sdtContent>
  </w:sdt>
  <w:p w14:paraId="2D53F6F3" w14:textId="1CCD791D" w:rsidR="00A817DF" w:rsidRDefault="00A817D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0E7DA3"/>
    <w:multiLevelType w:val="hybridMultilevel"/>
    <w:tmpl w:val="5B0A09FA"/>
    <w:lvl w:ilvl="0" w:tplc="F530B88A">
      <w:numFmt w:val="bullet"/>
      <w:lvlText w:val=""/>
      <w:lvlJc w:val="left"/>
      <w:pPr>
        <w:ind w:left="770" w:hanging="360"/>
      </w:pPr>
      <w:rPr>
        <w:rFonts w:ascii="Symbol" w:eastAsia="Symbol" w:hAnsi="Symbol" w:cs="Symbol" w:hint="default"/>
        <w:b w:val="0"/>
        <w:bCs w:val="0"/>
        <w:i w:val="0"/>
        <w:iCs w:val="0"/>
        <w:spacing w:val="0"/>
        <w:w w:val="100"/>
        <w:sz w:val="24"/>
        <w:szCs w:val="24"/>
        <w:lang w:val="en-US" w:eastAsia="en-US" w:bidi="ar-SA"/>
      </w:rPr>
    </w:lvl>
    <w:lvl w:ilvl="1" w:tplc="06D0B582">
      <w:numFmt w:val="bullet"/>
      <w:lvlText w:val="•"/>
      <w:lvlJc w:val="left"/>
      <w:pPr>
        <w:ind w:left="1526" w:hanging="360"/>
      </w:pPr>
      <w:rPr>
        <w:rFonts w:hint="default"/>
        <w:lang w:val="en-US" w:eastAsia="en-US" w:bidi="ar-SA"/>
      </w:rPr>
    </w:lvl>
    <w:lvl w:ilvl="2" w:tplc="F1AE6832">
      <w:numFmt w:val="bullet"/>
      <w:lvlText w:val="•"/>
      <w:lvlJc w:val="left"/>
      <w:pPr>
        <w:ind w:left="2272" w:hanging="360"/>
      </w:pPr>
      <w:rPr>
        <w:rFonts w:hint="default"/>
        <w:lang w:val="en-US" w:eastAsia="en-US" w:bidi="ar-SA"/>
      </w:rPr>
    </w:lvl>
    <w:lvl w:ilvl="3" w:tplc="BFE2D3C6">
      <w:numFmt w:val="bullet"/>
      <w:lvlText w:val="•"/>
      <w:lvlJc w:val="left"/>
      <w:pPr>
        <w:ind w:left="3018" w:hanging="360"/>
      </w:pPr>
      <w:rPr>
        <w:rFonts w:hint="default"/>
        <w:lang w:val="en-US" w:eastAsia="en-US" w:bidi="ar-SA"/>
      </w:rPr>
    </w:lvl>
    <w:lvl w:ilvl="4" w:tplc="FF3C5DF0">
      <w:numFmt w:val="bullet"/>
      <w:lvlText w:val="•"/>
      <w:lvlJc w:val="left"/>
      <w:pPr>
        <w:ind w:left="3764" w:hanging="360"/>
      </w:pPr>
      <w:rPr>
        <w:rFonts w:hint="default"/>
        <w:lang w:val="en-US" w:eastAsia="en-US" w:bidi="ar-SA"/>
      </w:rPr>
    </w:lvl>
    <w:lvl w:ilvl="5" w:tplc="1DDE3EB4">
      <w:numFmt w:val="bullet"/>
      <w:lvlText w:val="•"/>
      <w:lvlJc w:val="left"/>
      <w:pPr>
        <w:ind w:left="4511" w:hanging="360"/>
      </w:pPr>
      <w:rPr>
        <w:rFonts w:hint="default"/>
        <w:lang w:val="en-US" w:eastAsia="en-US" w:bidi="ar-SA"/>
      </w:rPr>
    </w:lvl>
    <w:lvl w:ilvl="6" w:tplc="D3BEB1EC">
      <w:numFmt w:val="bullet"/>
      <w:lvlText w:val="•"/>
      <w:lvlJc w:val="left"/>
      <w:pPr>
        <w:ind w:left="5257" w:hanging="360"/>
      </w:pPr>
      <w:rPr>
        <w:rFonts w:hint="default"/>
        <w:lang w:val="en-US" w:eastAsia="en-US" w:bidi="ar-SA"/>
      </w:rPr>
    </w:lvl>
    <w:lvl w:ilvl="7" w:tplc="4044C530">
      <w:numFmt w:val="bullet"/>
      <w:lvlText w:val="•"/>
      <w:lvlJc w:val="left"/>
      <w:pPr>
        <w:ind w:left="6003" w:hanging="360"/>
      </w:pPr>
      <w:rPr>
        <w:rFonts w:hint="default"/>
        <w:lang w:val="en-US" w:eastAsia="en-US" w:bidi="ar-SA"/>
      </w:rPr>
    </w:lvl>
    <w:lvl w:ilvl="8" w:tplc="63AC3B16">
      <w:numFmt w:val="bullet"/>
      <w:lvlText w:val="•"/>
      <w:lvlJc w:val="left"/>
      <w:pPr>
        <w:ind w:left="6749" w:hanging="360"/>
      </w:pPr>
      <w:rPr>
        <w:rFonts w:hint="default"/>
        <w:lang w:val="en-US" w:eastAsia="en-US" w:bidi="ar-SA"/>
      </w:rPr>
    </w:lvl>
  </w:abstractNum>
  <w:abstractNum w:abstractNumId="1" w15:restartNumberingAfterBreak="0">
    <w:nsid w:val="0E950B53"/>
    <w:multiLevelType w:val="hybridMultilevel"/>
    <w:tmpl w:val="1B4ECFA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11DE3068"/>
    <w:multiLevelType w:val="hybridMultilevel"/>
    <w:tmpl w:val="755490E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2F4659"/>
    <w:multiLevelType w:val="multilevel"/>
    <w:tmpl w:val="2084D5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73053FA"/>
    <w:multiLevelType w:val="hybridMultilevel"/>
    <w:tmpl w:val="D1D6A03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CA76FAF"/>
    <w:multiLevelType w:val="hybridMultilevel"/>
    <w:tmpl w:val="7D0E190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1806EBD"/>
    <w:multiLevelType w:val="hybridMultilevel"/>
    <w:tmpl w:val="36D0180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277E3D04"/>
    <w:multiLevelType w:val="hybridMultilevel"/>
    <w:tmpl w:val="273ECA92"/>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8" w15:restartNumberingAfterBreak="0">
    <w:nsid w:val="32937498"/>
    <w:multiLevelType w:val="hybridMultilevel"/>
    <w:tmpl w:val="36B0820A"/>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9" w15:restartNumberingAfterBreak="0">
    <w:nsid w:val="3CF41188"/>
    <w:multiLevelType w:val="hybridMultilevel"/>
    <w:tmpl w:val="90CEBC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FC93821"/>
    <w:multiLevelType w:val="hybridMultilevel"/>
    <w:tmpl w:val="3850DAD4"/>
    <w:lvl w:ilvl="0" w:tplc="7BE435A4">
      <w:numFmt w:val="bullet"/>
      <w:lvlText w:val=""/>
      <w:lvlJc w:val="left"/>
      <w:pPr>
        <w:ind w:left="2622" w:hanging="360"/>
      </w:pPr>
      <w:rPr>
        <w:rFonts w:ascii="Symbol" w:eastAsia="Symbol" w:hAnsi="Symbol" w:cs="Symbol" w:hint="default"/>
        <w:b w:val="0"/>
        <w:bCs w:val="0"/>
        <w:i w:val="0"/>
        <w:iCs w:val="0"/>
        <w:spacing w:val="0"/>
        <w:w w:val="100"/>
        <w:sz w:val="24"/>
        <w:szCs w:val="24"/>
        <w:lang w:val="en-US" w:eastAsia="en-US" w:bidi="ar-SA"/>
      </w:rPr>
    </w:lvl>
    <w:lvl w:ilvl="1" w:tplc="2200D9A6">
      <w:numFmt w:val="bullet"/>
      <w:lvlText w:val="•"/>
      <w:lvlJc w:val="left"/>
      <w:pPr>
        <w:ind w:left="3390" w:hanging="360"/>
      </w:pPr>
      <w:rPr>
        <w:rFonts w:hint="default"/>
        <w:lang w:val="en-US" w:eastAsia="en-US" w:bidi="ar-SA"/>
      </w:rPr>
    </w:lvl>
    <w:lvl w:ilvl="2" w:tplc="70AE4D4E">
      <w:numFmt w:val="bullet"/>
      <w:lvlText w:val="•"/>
      <w:lvlJc w:val="left"/>
      <w:pPr>
        <w:ind w:left="4160" w:hanging="360"/>
      </w:pPr>
      <w:rPr>
        <w:rFonts w:hint="default"/>
        <w:lang w:val="en-US" w:eastAsia="en-US" w:bidi="ar-SA"/>
      </w:rPr>
    </w:lvl>
    <w:lvl w:ilvl="3" w:tplc="0D12E77E">
      <w:numFmt w:val="bullet"/>
      <w:lvlText w:val="•"/>
      <w:lvlJc w:val="left"/>
      <w:pPr>
        <w:ind w:left="4930" w:hanging="360"/>
      </w:pPr>
      <w:rPr>
        <w:rFonts w:hint="default"/>
        <w:lang w:val="en-US" w:eastAsia="en-US" w:bidi="ar-SA"/>
      </w:rPr>
    </w:lvl>
    <w:lvl w:ilvl="4" w:tplc="7FC0662A">
      <w:numFmt w:val="bullet"/>
      <w:lvlText w:val="•"/>
      <w:lvlJc w:val="left"/>
      <w:pPr>
        <w:ind w:left="5700" w:hanging="360"/>
      </w:pPr>
      <w:rPr>
        <w:rFonts w:hint="default"/>
        <w:lang w:val="en-US" w:eastAsia="en-US" w:bidi="ar-SA"/>
      </w:rPr>
    </w:lvl>
    <w:lvl w:ilvl="5" w:tplc="BB6ED988">
      <w:numFmt w:val="bullet"/>
      <w:lvlText w:val="•"/>
      <w:lvlJc w:val="left"/>
      <w:pPr>
        <w:ind w:left="6470" w:hanging="360"/>
      </w:pPr>
      <w:rPr>
        <w:rFonts w:hint="default"/>
        <w:lang w:val="en-US" w:eastAsia="en-US" w:bidi="ar-SA"/>
      </w:rPr>
    </w:lvl>
    <w:lvl w:ilvl="6" w:tplc="E96428B2">
      <w:numFmt w:val="bullet"/>
      <w:lvlText w:val="•"/>
      <w:lvlJc w:val="left"/>
      <w:pPr>
        <w:ind w:left="7240" w:hanging="360"/>
      </w:pPr>
      <w:rPr>
        <w:rFonts w:hint="default"/>
        <w:lang w:val="en-US" w:eastAsia="en-US" w:bidi="ar-SA"/>
      </w:rPr>
    </w:lvl>
    <w:lvl w:ilvl="7" w:tplc="C108EF0A">
      <w:numFmt w:val="bullet"/>
      <w:lvlText w:val="•"/>
      <w:lvlJc w:val="left"/>
      <w:pPr>
        <w:ind w:left="8010" w:hanging="360"/>
      </w:pPr>
      <w:rPr>
        <w:rFonts w:hint="default"/>
        <w:lang w:val="en-US" w:eastAsia="en-US" w:bidi="ar-SA"/>
      </w:rPr>
    </w:lvl>
    <w:lvl w:ilvl="8" w:tplc="13923E18">
      <w:numFmt w:val="bullet"/>
      <w:lvlText w:val="•"/>
      <w:lvlJc w:val="left"/>
      <w:pPr>
        <w:ind w:left="8780" w:hanging="360"/>
      </w:pPr>
      <w:rPr>
        <w:rFonts w:hint="default"/>
        <w:lang w:val="en-US" w:eastAsia="en-US" w:bidi="ar-SA"/>
      </w:rPr>
    </w:lvl>
  </w:abstractNum>
  <w:abstractNum w:abstractNumId="11" w15:restartNumberingAfterBreak="0">
    <w:nsid w:val="416E62C8"/>
    <w:multiLevelType w:val="hybridMultilevel"/>
    <w:tmpl w:val="A9BAE4DA"/>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62F42F5"/>
    <w:multiLevelType w:val="hybridMultilevel"/>
    <w:tmpl w:val="CFC090EA"/>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A792FD9"/>
    <w:multiLevelType w:val="hybridMultilevel"/>
    <w:tmpl w:val="4378D9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D4C75BC"/>
    <w:multiLevelType w:val="hybridMultilevel"/>
    <w:tmpl w:val="08668104"/>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0696DB1"/>
    <w:multiLevelType w:val="hybridMultilevel"/>
    <w:tmpl w:val="EBFE0C48"/>
    <w:lvl w:ilvl="0" w:tplc="02E0B010">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CDB50BE"/>
    <w:multiLevelType w:val="hybridMultilevel"/>
    <w:tmpl w:val="B7282B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D3F4A48"/>
    <w:multiLevelType w:val="hybridMultilevel"/>
    <w:tmpl w:val="F82EC0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EBF3C54"/>
    <w:multiLevelType w:val="hybridMultilevel"/>
    <w:tmpl w:val="5D2E06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57727823">
    <w:abstractNumId w:val="13"/>
  </w:num>
  <w:num w:numId="2" w16cid:durableId="70201751">
    <w:abstractNumId w:val="15"/>
  </w:num>
  <w:num w:numId="3" w16cid:durableId="1048265266">
    <w:abstractNumId w:val="14"/>
  </w:num>
  <w:num w:numId="4" w16cid:durableId="1585650123">
    <w:abstractNumId w:val="4"/>
  </w:num>
  <w:num w:numId="5" w16cid:durableId="838888282">
    <w:abstractNumId w:val="1"/>
  </w:num>
  <w:num w:numId="6" w16cid:durableId="1045367517">
    <w:abstractNumId w:val="9"/>
  </w:num>
  <w:num w:numId="7" w16cid:durableId="897666194">
    <w:abstractNumId w:val="12"/>
  </w:num>
  <w:num w:numId="8" w16cid:durableId="2017615362">
    <w:abstractNumId w:val="16"/>
  </w:num>
  <w:num w:numId="9" w16cid:durableId="826671625">
    <w:abstractNumId w:val="11"/>
  </w:num>
  <w:num w:numId="10" w16cid:durableId="1128474828">
    <w:abstractNumId w:val="6"/>
  </w:num>
  <w:num w:numId="11" w16cid:durableId="402604075">
    <w:abstractNumId w:val="2"/>
  </w:num>
  <w:num w:numId="12" w16cid:durableId="2074963495">
    <w:abstractNumId w:val="7"/>
  </w:num>
  <w:num w:numId="13" w16cid:durableId="987980008">
    <w:abstractNumId w:val="8"/>
  </w:num>
  <w:num w:numId="14" w16cid:durableId="1276791993">
    <w:abstractNumId w:val="17"/>
  </w:num>
  <w:num w:numId="15" w16cid:durableId="2070229302">
    <w:abstractNumId w:val="5"/>
  </w:num>
  <w:num w:numId="16" w16cid:durableId="1960799502">
    <w:abstractNumId w:val="18"/>
  </w:num>
  <w:num w:numId="17" w16cid:durableId="1029793834">
    <w:abstractNumId w:val="0"/>
  </w:num>
  <w:num w:numId="18" w16cid:durableId="188757344">
    <w:abstractNumId w:val="10"/>
  </w:num>
  <w:num w:numId="19" w16cid:durableId="152590283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2sDQ3trQwMzU0MDYwMjFV0lEKTi0uzszPAykwqgUA6fglgywAAAA="/>
  </w:docVars>
  <w:rsids>
    <w:rsidRoot w:val="00790C45"/>
    <w:rsid w:val="000031A9"/>
    <w:rsid w:val="00004D4E"/>
    <w:rsid w:val="0001031D"/>
    <w:rsid w:val="00010EA7"/>
    <w:rsid w:val="00012052"/>
    <w:rsid w:val="000143EE"/>
    <w:rsid w:val="00015DC9"/>
    <w:rsid w:val="00035646"/>
    <w:rsid w:val="00037C1C"/>
    <w:rsid w:val="00040E89"/>
    <w:rsid w:val="0004427C"/>
    <w:rsid w:val="00044FA0"/>
    <w:rsid w:val="00045674"/>
    <w:rsid w:val="00050736"/>
    <w:rsid w:val="000623F4"/>
    <w:rsid w:val="000628A6"/>
    <w:rsid w:val="000671B9"/>
    <w:rsid w:val="000707D0"/>
    <w:rsid w:val="000715A9"/>
    <w:rsid w:val="000750EE"/>
    <w:rsid w:val="00075885"/>
    <w:rsid w:val="00080C61"/>
    <w:rsid w:val="00081788"/>
    <w:rsid w:val="00081B16"/>
    <w:rsid w:val="000833FC"/>
    <w:rsid w:val="00085CAE"/>
    <w:rsid w:val="00086CBF"/>
    <w:rsid w:val="00090A46"/>
    <w:rsid w:val="00091912"/>
    <w:rsid w:val="00091CFA"/>
    <w:rsid w:val="0009228A"/>
    <w:rsid w:val="00094741"/>
    <w:rsid w:val="0009781F"/>
    <w:rsid w:val="000A0032"/>
    <w:rsid w:val="000A16D9"/>
    <w:rsid w:val="000A6143"/>
    <w:rsid w:val="000B04AB"/>
    <w:rsid w:val="000B3155"/>
    <w:rsid w:val="000B3742"/>
    <w:rsid w:val="000B5B85"/>
    <w:rsid w:val="000B69D6"/>
    <w:rsid w:val="000C2912"/>
    <w:rsid w:val="000C6006"/>
    <w:rsid w:val="000C62D3"/>
    <w:rsid w:val="000D35D5"/>
    <w:rsid w:val="000D5BC3"/>
    <w:rsid w:val="000D6281"/>
    <w:rsid w:val="000D64DB"/>
    <w:rsid w:val="000E15C9"/>
    <w:rsid w:val="000E51D1"/>
    <w:rsid w:val="000F53D3"/>
    <w:rsid w:val="000F72ED"/>
    <w:rsid w:val="00107F78"/>
    <w:rsid w:val="00112E2B"/>
    <w:rsid w:val="00114F6C"/>
    <w:rsid w:val="00115A32"/>
    <w:rsid w:val="00124B96"/>
    <w:rsid w:val="00125422"/>
    <w:rsid w:val="001278A6"/>
    <w:rsid w:val="00130E3F"/>
    <w:rsid w:val="00132F5F"/>
    <w:rsid w:val="00141D9C"/>
    <w:rsid w:val="00151197"/>
    <w:rsid w:val="00152827"/>
    <w:rsid w:val="001610D8"/>
    <w:rsid w:val="00162A4C"/>
    <w:rsid w:val="00165B0B"/>
    <w:rsid w:val="00172D76"/>
    <w:rsid w:val="001730D7"/>
    <w:rsid w:val="00182841"/>
    <w:rsid w:val="00184765"/>
    <w:rsid w:val="00196069"/>
    <w:rsid w:val="00197E32"/>
    <w:rsid w:val="001A0B41"/>
    <w:rsid w:val="001A31BF"/>
    <w:rsid w:val="001A33EE"/>
    <w:rsid w:val="001A4080"/>
    <w:rsid w:val="001A5F67"/>
    <w:rsid w:val="001B2AC1"/>
    <w:rsid w:val="001B4A24"/>
    <w:rsid w:val="001B4AC0"/>
    <w:rsid w:val="001B4D8B"/>
    <w:rsid w:val="001B58A7"/>
    <w:rsid w:val="001B762B"/>
    <w:rsid w:val="001D3AA7"/>
    <w:rsid w:val="001D78B4"/>
    <w:rsid w:val="001E6078"/>
    <w:rsid w:val="001F257D"/>
    <w:rsid w:val="001F3416"/>
    <w:rsid w:val="001F3C70"/>
    <w:rsid w:val="001F55E7"/>
    <w:rsid w:val="001F5883"/>
    <w:rsid w:val="001F7A96"/>
    <w:rsid w:val="001F7E65"/>
    <w:rsid w:val="00201AC3"/>
    <w:rsid w:val="00212C6B"/>
    <w:rsid w:val="0021646C"/>
    <w:rsid w:val="002179D7"/>
    <w:rsid w:val="00232759"/>
    <w:rsid w:val="00236489"/>
    <w:rsid w:val="00241688"/>
    <w:rsid w:val="0024234E"/>
    <w:rsid w:val="002450A1"/>
    <w:rsid w:val="00247931"/>
    <w:rsid w:val="00250572"/>
    <w:rsid w:val="00252F86"/>
    <w:rsid w:val="00255F2C"/>
    <w:rsid w:val="002602E8"/>
    <w:rsid w:val="00264C63"/>
    <w:rsid w:val="00271695"/>
    <w:rsid w:val="00271CE3"/>
    <w:rsid w:val="00274904"/>
    <w:rsid w:val="00274EEF"/>
    <w:rsid w:val="00276FA8"/>
    <w:rsid w:val="00283AEB"/>
    <w:rsid w:val="002870E8"/>
    <w:rsid w:val="002931FB"/>
    <w:rsid w:val="0029340E"/>
    <w:rsid w:val="00293A98"/>
    <w:rsid w:val="002A5B7D"/>
    <w:rsid w:val="002A641F"/>
    <w:rsid w:val="002B0DE6"/>
    <w:rsid w:val="002B1BE5"/>
    <w:rsid w:val="002B394E"/>
    <w:rsid w:val="002B66B6"/>
    <w:rsid w:val="002B7C93"/>
    <w:rsid w:val="002C0DCE"/>
    <w:rsid w:val="002C343C"/>
    <w:rsid w:val="002C47B0"/>
    <w:rsid w:val="002C4BB1"/>
    <w:rsid w:val="002C5F64"/>
    <w:rsid w:val="002D0113"/>
    <w:rsid w:val="002D28AA"/>
    <w:rsid w:val="002D2EBE"/>
    <w:rsid w:val="002D35E7"/>
    <w:rsid w:val="002D4035"/>
    <w:rsid w:val="002E0B93"/>
    <w:rsid w:val="002E1375"/>
    <w:rsid w:val="002E16B6"/>
    <w:rsid w:val="002E30D4"/>
    <w:rsid w:val="002E31C2"/>
    <w:rsid w:val="002E44F4"/>
    <w:rsid w:val="002F04D8"/>
    <w:rsid w:val="002F2D48"/>
    <w:rsid w:val="002F4DAF"/>
    <w:rsid w:val="00301F8C"/>
    <w:rsid w:val="003045AE"/>
    <w:rsid w:val="00306B06"/>
    <w:rsid w:val="00307B8F"/>
    <w:rsid w:val="00307D0C"/>
    <w:rsid w:val="00315A3D"/>
    <w:rsid w:val="003175D4"/>
    <w:rsid w:val="00317DD0"/>
    <w:rsid w:val="00333ECF"/>
    <w:rsid w:val="003376C9"/>
    <w:rsid w:val="00343729"/>
    <w:rsid w:val="00346906"/>
    <w:rsid w:val="00346ABB"/>
    <w:rsid w:val="00353536"/>
    <w:rsid w:val="00354DFE"/>
    <w:rsid w:val="00357D48"/>
    <w:rsid w:val="00361DE1"/>
    <w:rsid w:val="00372028"/>
    <w:rsid w:val="00377765"/>
    <w:rsid w:val="00380E12"/>
    <w:rsid w:val="003859B5"/>
    <w:rsid w:val="003900FD"/>
    <w:rsid w:val="003907E9"/>
    <w:rsid w:val="00390FC0"/>
    <w:rsid w:val="0039204D"/>
    <w:rsid w:val="00395D90"/>
    <w:rsid w:val="003A175C"/>
    <w:rsid w:val="003A2088"/>
    <w:rsid w:val="003A5B58"/>
    <w:rsid w:val="003B7D68"/>
    <w:rsid w:val="003C4265"/>
    <w:rsid w:val="003D06D9"/>
    <w:rsid w:val="003D1DBE"/>
    <w:rsid w:val="003D312D"/>
    <w:rsid w:val="003D5357"/>
    <w:rsid w:val="003D7C25"/>
    <w:rsid w:val="003E14BF"/>
    <w:rsid w:val="003E1FA3"/>
    <w:rsid w:val="003E42E4"/>
    <w:rsid w:val="003E62CF"/>
    <w:rsid w:val="003F3C8D"/>
    <w:rsid w:val="003F4DDE"/>
    <w:rsid w:val="003F6C7A"/>
    <w:rsid w:val="0041505E"/>
    <w:rsid w:val="00416087"/>
    <w:rsid w:val="00420B03"/>
    <w:rsid w:val="00425BB7"/>
    <w:rsid w:val="00426458"/>
    <w:rsid w:val="00427DA3"/>
    <w:rsid w:val="00431751"/>
    <w:rsid w:val="00435F85"/>
    <w:rsid w:val="00437797"/>
    <w:rsid w:val="00442481"/>
    <w:rsid w:val="00450F9C"/>
    <w:rsid w:val="00457CDE"/>
    <w:rsid w:val="00464D6F"/>
    <w:rsid w:val="00467717"/>
    <w:rsid w:val="00470228"/>
    <w:rsid w:val="0047290A"/>
    <w:rsid w:val="00477568"/>
    <w:rsid w:val="00480227"/>
    <w:rsid w:val="00481670"/>
    <w:rsid w:val="0048342A"/>
    <w:rsid w:val="00487510"/>
    <w:rsid w:val="00495256"/>
    <w:rsid w:val="00496CFF"/>
    <w:rsid w:val="004A1335"/>
    <w:rsid w:val="004A6CB4"/>
    <w:rsid w:val="004A7669"/>
    <w:rsid w:val="004A7B2E"/>
    <w:rsid w:val="004B23AD"/>
    <w:rsid w:val="004B2BDA"/>
    <w:rsid w:val="004C0608"/>
    <w:rsid w:val="004C43B8"/>
    <w:rsid w:val="004C5D18"/>
    <w:rsid w:val="004D189C"/>
    <w:rsid w:val="004E2F4F"/>
    <w:rsid w:val="004F31D7"/>
    <w:rsid w:val="004F787F"/>
    <w:rsid w:val="005122F2"/>
    <w:rsid w:val="005145D8"/>
    <w:rsid w:val="00517741"/>
    <w:rsid w:val="00525289"/>
    <w:rsid w:val="00525D4A"/>
    <w:rsid w:val="00526A44"/>
    <w:rsid w:val="00537F38"/>
    <w:rsid w:val="00540E60"/>
    <w:rsid w:val="00542702"/>
    <w:rsid w:val="00543A5A"/>
    <w:rsid w:val="00552EB0"/>
    <w:rsid w:val="00555371"/>
    <w:rsid w:val="0057172C"/>
    <w:rsid w:val="005733AC"/>
    <w:rsid w:val="00573A23"/>
    <w:rsid w:val="005745EF"/>
    <w:rsid w:val="005917CC"/>
    <w:rsid w:val="005978EE"/>
    <w:rsid w:val="005C38D7"/>
    <w:rsid w:val="005C393C"/>
    <w:rsid w:val="005C45AE"/>
    <w:rsid w:val="005D08FB"/>
    <w:rsid w:val="005D3635"/>
    <w:rsid w:val="005D66E5"/>
    <w:rsid w:val="005D6E7E"/>
    <w:rsid w:val="005E0483"/>
    <w:rsid w:val="005E0799"/>
    <w:rsid w:val="005E6979"/>
    <w:rsid w:val="005E70D5"/>
    <w:rsid w:val="005F2A22"/>
    <w:rsid w:val="0060167E"/>
    <w:rsid w:val="00602119"/>
    <w:rsid w:val="0060236D"/>
    <w:rsid w:val="0060572F"/>
    <w:rsid w:val="006059B6"/>
    <w:rsid w:val="00606D2C"/>
    <w:rsid w:val="00607197"/>
    <w:rsid w:val="00610227"/>
    <w:rsid w:val="00616398"/>
    <w:rsid w:val="00621395"/>
    <w:rsid w:val="00631E2A"/>
    <w:rsid w:val="00633A48"/>
    <w:rsid w:val="00642E66"/>
    <w:rsid w:val="0065149B"/>
    <w:rsid w:val="00652AC9"/>
    <w:rsid w:val="00652B42"/>
    <w:rsid w:val="00652F1D"/>
    <w:rsid w:val="00660DBC"/>
    <w:rsid w:val="00664CE2"/>
    <w:rsid w:val="00667303"/>
    <w:rsid w:val="006718D0"/>
    <w:rsid w:val="006722F9"/>
    <w:rsid w:val="00694F56"/>
    <w:rsid w:val="00696A30"/>
    <w:rsid w:val="00697A43"/>
    <w:rsid w:val="006A2B59"/>
    <w:rsid w:val="006A4606"/>
    <w:rsid w:val="006A498C"/>
    <w:rsid w:val="006A4FD8"/>
    <w:rsid w:val="006A5B1A"/>
    <w:rsid w:val="006A77EA"/>
    <w:rsid w:val="006B4216"/>
    <w:rsid w:val="006B7DDF"/>
    <w:rsid w:val="006C0830"/>
    <w:rsid w:val="006C5858"/>
    <w:rsid w:val="006D4B9B"/>
    <w:rsid w:val="006D7B82"/>
    <w:rsid w:val="006E2C01"/>
    <w:rsid w:val="006F037C"/>
    <w:rsid w:val="006F4DF5"/>
    <w:rsid w:val="006F53BA"/>
    <w:rsid w:val="00703E4D"/>
    <w:rsid w:val="00711A18"/>
    <w:rsid w:val="00725371"/>
    <w:rsid w:val="00725DF2"/>
    <w:rsid w:val="00736687"/>
    <w:rsid w:val="007373C0"/>
    <w:rsid w:val="00755CE8"/>
    <w:rsid w:val="0076023D"/>
    <w:rsid w:val="0076251E"/>
    <w:rsid w:val="007666D1"/>
    <w:rsid w:val="0077417A"/>
    <w:rsid w:val="00777270"/>
    <w:rsid w:val="007801FE"/>
    <w:rsid w:val="00780A50"/>
    <w:rsid w:val="00790C45"/>
    <w:rsid w:val="007928FD"/>
    <w:rsid w:val="007955CD"/>
    <w:rsid w:val="00795EBC"/>
    <w:rsid w:val="007A02CB"/>
    <w:rsid w:val="007A46D4"/>
    <w:rsid w:val="007A6006"/>
    <w:rsid w:val="007B0B90"/>
    <w:rsid w:val="007B49EB"/>
    <w:rsid w:val="007B6A11"/>
    <w:rsid w:val="007C715E"/>
    <w:rsid w:val="007D2DAF"/>
    <w:rsid w:val="007D384F"/>
    <w:rsid w:val="007E11BA"/>
    <w:rsid w:val="007E5C88"/>
    <w:rsid w:val="007F0D35"/>
    <w:rsid w:val="007F1BA7"/>
    <w:rsid w:val="007F1E33"/>
    <w:rsid w:val="007F2C48"/>
    <w:rsid w:val="00800461"/>
    <w:rsid w:val="00802220"/>
    <w:rsid w:val="00803F05"/>
    <w:rsid w:val="00804CCE"/>
    <w:rsid w:val="00806DE8"/>
    <w:rsid w:val="00814778"/>
    <w:rsid w:val="00814D1D"/>
    <w:rsid w:val="0081669D"/>
    <w:rsid w:val="00821EB7"/>
    <w:rsid w:val="00822060"/>
    <w:rsid w:val="00824193"/>
    <w:rsid w:val="00831D4B"/>
    <w:rsid w:val="008327E0"/>
    <w:rsid w:val="008331ED"/>
    <w:rsid w:val="00833E5D"/>
    <w:rsid w:val="00834684"/>
    <w:rsid w:val="00837CEB"/>
    <w:rsid w:val="00840758"/>
    <w:rsid w:val="00850E03"/>
    <w:rsid w:val="00852D8E"/>
    <w:rsid w:val="00856201"/>
    <w:rsid w:val="0086174B"/>
    <w:rsid w:val="00862ECF"/>
    <w:rsid w:val="00866607"/>
    <w:rsid w:val="008667B4"/>
    <w:rsid w:val="0088073D"/>
    <w:rsid w:val="00881246"/>
    <w:rsid w:val="008856C6"/>
    <w:rsid w:val="00890239"/>
    <w:rsid w:val="00896404"/>
    <w:rsid w:val="008A0A3A"/>
    <w:rsid w:val="008A49BE"/>
    <w:rsid w:val="008A5F5A"/>
    <w:rsid w:val="008A76F6"/>
    <w:rsid w:val="008B1803"/>
    <w:rsid w:val="008C5291"/>
    <w:rsid w:val="008D3D78"/>
    <w:rsid w:val="008E48B9"/>
    <w:rsid w:val="008E5232"/>
    <w:rsid w:val="0090482B"/>
    <w:rsid w:val="009112AA"/>
    <w:rsid w:val="009140AC"/>
    <w:rsid w:val="00916E9E"/>
    <w:rsid w:val="0091703F"/>
    <w:rsid w:val="009208B6"/>
    <w:rsid w:val="0092193D"/>
    <w:rsid w:val="00923084"/>
    <w:rsid w:val="009239A5"/>
    <w:rsid w:val="0093137B"/>
    <w:rsid w:val="00932F29"/>
    <w:rsid w:val="00934E68"/>
    <w:rsid w:val="00934FC6"/>
    <w:rsid w:val="00937704"/>
    <w:rsid w:val="009412F7"/>
    <w:rsid w:val="009433E2"/>
    <w:rsid w:val="0094759E"/>
    <w:rsid w:val="00947D9A"/>
    <w:rsid w:val="0095135F"/>
    <w:rsid w:val="00951987"/>
    <w:rsid w:val="00953F0C"/>
    <w:rsid w:val="00956A39"/>
    <w:rsid w:val="00960688"/>
    <w:rsid w:val="00964369"/>
    <w:rsid w:val="00967A2D"/>
    <w:rsid w:val="0097228A"/>
    <w:rsid w:val="0097563B"/>
    <w:rsid w:val="00995CB6"/>
    <w:rsid w:val="00996840"/>
    <w:rsid w:val="00996A1C"/>
    <w:rsid w:val="00997329"/>
    <w:rsid w:val="00997940"/>
    <w:rsid w:val="009B1FAA"/>
    <w:rsid w:val="009C04C5"/>
    <w:rsid w:val="009C37EA"/>
    <w:rsid w:val="009C42A4"/>
    <w:rsid w:val="009D191D"/>
    <w:rsid w:val="009D210B"/>
    <w:rsid w:val="009D6C8E"/>
    <w:rsid w:val="009E6403"/>
    <w:rsid w:val="009F0658"/>
    <w:rsid w:val="009F4C20"/>
    <w:rsid w:val="009F54F9"/>
    <w:rsid w:val="009F7098"/>
    <w:rsid w:val="009F7C35"/>
    <w:rsid w:val="00A036DB"/>
    <w:rsid w:val="00A0766E"/>
    <w:rsid w:val="00A10CC8"/>
    <w:rsid w:val="00A11DA2"/>
    <w:rsid w:val="00A15B6B"/>
    <w:rsid w:val="00A16291"/>
    <w:rsid w:val="00A2774E"/>
    <w:rsid w:val="00A33C67"/>
    <w:rsid w:val="00A36B77"/>
    <w:rsid w:val="00A37123"/>
    <w:rsid w:val="00A44D7C"/>
    <w:rsid w:val="00A4617C"/>
    <w:rsid w:val="00A4643B"/>
    <w:rsid w:val="00A53454"/>
    <w:rsid w:val="00A565DF"/>
    <w:rsid w:val="00A57ABA"/>
    <w:rsid w:val="00A612B3"/>
    <w:rsid w:val="00A6468A"/>
    <w:rsid w:val="00A72D4D"/>
    <w:rsid w:val="00A817DF"/>
    <w:rsid w:val="00A84579"/>
    <w:rsid w:val="00A86CF1"/>
    <w:rsid w:val="00A9006A"/>
    <w:rsid w:val="00A93A6B"/>
    <w:rsid w:val="00A940F7"/>
    <w:rsid w:val="00A95116"/>
    <w:rsid w:val="00A96331"/>
    <w:rsid w:val="00AA6905"/>
    <w:rsid w:val="00AB29DC"/>
    <w:rsid w:val="00AB3CE5"/>
    <w:rsid w:val="00AB3F1D"/>
    <w:rsid w:val="00AB46BD"/>
    <w:rsid w:val="00AB5E95"/>
    <w:rsid w:val="00AC037A"/>
    <w:rsid w:val="00AC1317"/>
    <w:rsid w:val="00AC20BC"/>
    <w:rsid w:val="00AC2DA1"/>
    <w:rsid w:val="00AC3D48"/>
    <w:rsid w:val="00AD1DD3"/>
    <w:rsid w:val="00AD2247"/>
    <w:rsid w:val="00AD2AF9"/>
    <w:rsid w:val="00AD6BCE"/>
    <w:rsid w:val="00AE5100"/>
    <w:rsid w:val="00AE655F"/>
    <w:rsid w:val="00AE6FCA"/>
    <w:rsid w:val="00AE7E41"/>
    <w:rsid w:val="00AF1920"/>
    <w:rsid w:val="00AF7580"/>
    <w:rsid w:val="00AF7A7C"/>
    <w:rsid w:val="00B07E57"/>
    <w:rsid w:val="00B16D5F"/>
    <w:rsid w:val="00B175A3"/>
    <w:rsid w:val="00B32B03"/>
    <w:rsid w:val="00B34107"/>
    <w:rsid w:val="00B37520"/>
    <w:rsid w:val="00B400D8"/>
    <w:rsid w:val="00B4111B"/>
    <w:rsid w:val="00B42D4C"/>
    <w:rsid w:val="00B51B04"/>
    <w:rsid w:val="00B53ECD"/>
    <w:rsid w:val="00B557C9"/>
    <w:rsid w:val="00B55900"/>
    <w:rsid w:val="00B57AE3"/>
    <w:rsid w:val="00B61A02"/>
    <w:rsid w:val="00B62DED"/>
    <w:rsid w:val="00B64B99"/>
    <w:rsid w:val="00B64FF8"/>
    <w:rsid w:val="00B7436F"/>
    <w:rsid w:val="00B74CD2"/>
    <w:rsid w:val="00B75F06"/>
    <w:rsid w:val="00B775E6"/>
    <w:rsid w:val="00B77647"/>
    <w:rsid w:val="00B81279"/>
    <w:rsid w:val="00B81529"/>
    <w:rsid w:val="00B93AC4"/>
    <w:rsid w:val="00B973C4"/>
    <w:rsid w:val="00BA1D2D"/>
    <w:rsid w:val="00BA1FD0"/>
    <w:rsid w:val="00BA31FA"/>
    <w:rsid w:val="00BA394D"/>
    <w:rsid w:val="00BB1A68"/>
    <w:rsid w:val="00BB45D5"/>
    <w:rsid w:val="00BD5FE0"/>
    <w:rsid w:val="00BD7A9C"/>
    <w:rsid w:val="00BE0651"/>
    <w:rsid w:val="00BE56D1"/>
    <w:rsid w:val="00BE6129"/>
    <w:rsid w:val="00BF0F74"/>
    <w:rsid w:val="00BF29E2"/>
    <w:rsid w:val="00BF79DF"/>
    <w:rsid w:val="00C124E5"/>
    <w:rsid w:val="00C16DFA"/>
    <w:rsid w:val="00C279B8"/>
    <w:rsid w:val="00C411D8"/>
    <w:rsid w:val="00C413AA"/>
    <w:rsid w:val="00C41497"/>
    <w:rsid w:val="00C4531C"/>
    <w:rsid w:val="00C52EC8"/>
    <w:rsid w:val="00C54A45"/>
    <w:rsid w:val="00C56EDF"/>
    <w:rsid w:val="00C70B26"/>
    <w:rsid w:val="00C71135"/>
    <w:rsid w:val="00C754ED"/>
    <w:rsid w:val="00CA1216"/>
    <w:rsid w:val="00CA6A48"/>
    <w:rsid w:val="00CA7D87"/>
    <w:rsid w:val="00CB17B7"/>
    <w:rsid w:val="00CB625C"/>
    <w:rsid w:val="00CC0310"/>
    <w:rsid w:val="00CD33D1"/>
    <w:rsid w:val="00CD3429"/>
    <w:rsid w:val="00CD4B28"/>
    <w:rsid w:val="00CD6ECE"/>
    <w:rsid w:val="00CE007B"/>
    <w:rsid w:val="00CE657C"/>
    <w:rsid w:val="00CF0EC5"/>
    <w:rsid w:val="00CF6C35"/>
    <w:rsid w:val="00CF7DF5"/>
    <w:rsid w:val="00D0051A"/>
    <w:rsid w:val="00D058D4"/>
    <w:rsid w:val="00D0692B"/>
    <w:rsid w:val="00D11118"/>
    <w:rsid w:val="00D1519C"/>
    <w:rsid w:val="00D20528"/>
    <w:rsid w:val="00D20988"/>
    <w:rsid w:val="00D2252D"/>
    <w:rsid w:val="00D23363"/>
    <w:rsid w:val="00D30961"/>
    <w:rsid w:val="00D33D9D"/>
    <w:rsid w:val="00D452DC"/>
    <w:rsid w:val="00D4686B"/>
    <w:rsid w:val="00D6273A"/>
    <w:rsid w:val="00D71521"/>
    <w:rsid w:val="00D71BB4"/>
    <w:rsid w:val="00D7330E"/>
    <w:rsid w:val="00D743A9"/>
    <w:rsid w:val="00D75780"/>
    <w:rsid w:val="00D8403A"/>
    <w:rsid w:val="00D85698"/>
    <w:rsid w:val="00D86A58"/>
    <w:rsid w:val="00D87860"/>
    <w:rsid w:val="00D87F39"/>
    <w:rsid w:val="00D92467"/>
    <w:rsid w:val="00D9572D"/>
    <w:rsid w:val="00DA3B25"/>
    <w:rsid w:val="00DA5244"/>
    <w:rsid w:val="00DB1DE3"/>
    <w:rsid w:val="00DB4DB5"/>
    <w:rsid w:val="00DC158F"/>
    <w:rsid w:val="00DC1E5A"/>
    <w:rsid w:val="00DC4151"/>
    <w:rsid w:val="00DD2502"/>
    <w:rsid w:val="00DD6334"/>
    <w:rsid w:val="00DE6846"/>
    <w:rsid w:val="00DF4C72"/>
    <w:rsid w:val="00DF4DBC"/>
    <w:rsid w:val="00E026AB"/>
    <w:rsid w:val="00E1112F"/>
    <w:rsid w:val="00E11F13"/>
    <w:rsid w:val="00E13FF1"/>
    <w:rsid w:val="00E31D29"/>
    <w:rsid w:val="00E3408D"/>
    <w:rsid w:val="00E44C01"/>
    <w:rsid w:val="00E44D3C"/>
    <w:rsid w:val="00E50F57"/>
    <w:rsid w:val="00E612F0"/>
    <w:rsid w:val="00E6345C"/>
    <w:rsid w:val="00E65C97"/>
    <w:rsid w:val="00E678BD"/>
    <w:rsid w:val="00E757FE"/>
    <w:rsid w:val="00E805DA"/>
    <w:rsid w:val="00E805FF"/>
    <w:rsid w:val="00E859F8"/>
    <w:rsid w:val="00E935EC"/>
    <w:rsid w:val="00E94B0E"/>
    <w:rsid w:val="00E94C83"/>
    <w:rsid w:val="00EA78BD"/>
    <w:rsid w:val="00EB53EF"/>
    <w:rsid w:val="00EB675E"/>
    <w:rsid w:val="00EC160D"/>
    <w:rsid w:val="00EC188D"/>
    <w:rsid w:val="00EC4354"/>
    <w:rsid w:val="00EC5861"/>
    <w:rsid w:val="00ED2FEE"/>
    <w:rsid w:val="00ED57F4"/>
    <w:rsid w:val="00EF06B3"/>
    <w:rsid w:val="00EF100E"/>
    <w:rsid w:val="00EF2B70"/>
    <w:rsid w:val="00EF33AD"/>
    <w:rsid w:val="00EF47C6"/>
    <w:rsid w:val="00F0150E"/>
    <w:rsid w:val="00F03156"/>
    <w:rsid w:val="00F052D8"/>
    <w:rsid w:val="00F0660E"/>
    <w:rsid w:val="00F073A6"/>
    <w:rsid w:val="00F076EC"/>
    <w:rsid w:val="00F122AF"/>
    <w:rsid w:val="00F129CD"/>
    <w:rsid w:val="00F13CFE"/>
    <w:rsid w:val="00F17643"/>
    <w:rsid w:val="00F22646"/>
    <w:rsid w:val="00F23B9C"/>
    <w:rsid w:val="00F3108F"/>
    <w:rsid w:val="00F32041"/>
    <w:rsid w:val="00F33E3E"/>
    <w:rsid w:val="00F3539B"/>
    <w:rsid w:val="00F35A06"/>
    <w:rsid w:val="00F376EB"/>
    <w:rsid w:val="00F37A72"/>
    <w:rsid w:val="00F4062E"/>
    <w:rsid w:val="00F41ABD"/>
    <w:rsid w:val="00F4322A"/>
    <w:rsid w:val="00F47925"/>
    <w:rsid w:val="00F53080"/>
    <w:rsid w:val="00F53616"/>
    <w:rsid w:val="00F53FA1"/>
    <w:rsid w:val="00F563D3"/>
    <w:rsid w:val="00F601A3"/>
    <w:rsid w:val="00F61739"/>
    <w:rsid w:val="00F61FB1"/>
    <w:rsid w:val="00F6377E"/>
    <w:rsid w:val="00F671E8"/>
    <w:rsid w:val="00F67256"/>
    <w:rsid w:val="00F7418C"/>
    <w:rsid w:val="00F76F2F"/>
    <w:rsid w:val="00F76FEF"/>
    <w:rsid w:val="00F77A9C"/>
    <w:rsid w:val="00F85E11"/>
    <w:rsid w:val="00F87EE6"/>
    <w:rsid w:val="00F91A54"/>
    <w:rsid w:val="00F9536A"/>
    <w:rsid w:val="00FA423B"/>
    <w:rsid w:val="00FB766B"/>
    <w:rsid w:val="00FC4CA9"/>
    <w:rsid w:val="00FC5D5F"/>
    <w:rsid w:val="00FD10D6"/>
    <w:rsid w:val="00FD438A"/>
    <w:rsid w:val="00FE0685"/>
    <w:rsid w:val="00FE3653"/>
    <w:rsid w:val="00FE4204"/>
    <w:rsid w:val="00FF18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CC43D80"/>
  <w15:chartTrackingRefBased/>
  <w15:docId w15:val="{E0E35B74-C5BD-44E8-B1D7-649BC816F8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Calibri" w:hAnsi="Times New Roman" w:cs="Times New Roman"/>
        <w:sz w:val="26"/>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style>
  <w:style w:type="paragraph" w:styleId="Heading2">
    <w:name w:val="heading 2"/>
    <w:basedOn w:val="Normal"/>
    <w:next w:val="Normal"/>
    <w:link w:val="Heading2Char"/>
    <w:qFormat/>
    <w:rsid w:val="001B2AC1"/>
    <w:pPr>
      <w:keepNext/>
      <w:spacing w:before="240" w:after="60" w:line="240" w:lineRule="auto"/>
      <w:outlineLvl w:val="1"/>
    </w:pPr>
    <w:rPr>
      <w:rFonts w:ascii="Cambria" w:eastAsia="Times New Roman" w:hAnsi="Cambria"/>
      <w:b/>
      <w:bCs/>
      <w:i/>
      <w:iCs/>
      <w:sz w:val="28"/>
      <w:szCs w:val="28"/>
    </w:rPr>
  </w:style>
  <w:style w:type="paragraph" w:styleId="Heading4">
    <w:name w:val="heading 4"/>
    <w:basedOn w:val="Normal"/>
    <w:next w:val="Normal"/>
    <w:link w:val="Heading4Char"/>
    <w:qFormat/>
    <w:rsid w:val="002D0113"/>
    <w:pPr>
      <w:keepNext/>
      <w:spacing w:before="240" w:after="60" w:line="240" w:lineRule="auto"/>
      <w:outlineLvl w:val="3"/>
    </w:pPr>
    <w:rPr>
      <w:rFonts w:eastAsia="Times New Roman"/>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AC1317"/>
    <w:rPr>
      <w:sz w:val="22"/>
    </w:rPr>
  </w:style>
  <w:style w:type="character" w:customStyle="1" w:styleId="Heading2Char">
    <w:name w:val="Heading 2 Char"/>
    <w:link w:val="Heading2"/>
    <w:rsid w:val="001B2AC1"/>
    <w:rPr>
      <w:rFonts w:ascii="Cambria" w:eastAsia="Times New Roman" w:hAnsi="Cambria"/>
      <w:b/>
      <w:bCs/>
      <w:i/>
      <w:iCs/>
      <w:sz w:val="28"/>
      <w:szCs w:val="28"/>
    </w:rPr>
  </w:style>
  <w:style w:type="paragraph" w:customStyle="1" w:styleId="StyleLeft081">
    <w:name w:val="Style Left:  0.81&quot;"/>
    <w:basedOn w:val="Normal"/>
    <w:rsid w:val="007928FD"/>
    <w:pPr>
      <w:widowControl w:val="0"/>
      <w:autoSpaceDE w:val="0"/>
      <w:autoSpaceDN w:val="0"/>
      <w:adjustRightInd w:val="0"/>
      <w:spacing w:after="0" w:line="240" w:lineRule="auto"/>
      <w:ind w:left="1170"/>
    </w:pPr>
    <w:rPr>
      <w:rFonts w:ascii="Arial" w:eastAsia="Times New Roman" w:hAnsi="Arial"/>
      <w:sz w:val="24"/>
      <w:szCs w:val="20"/>
    </w:rPr>
  </w:style>
  <w:style w:type="character" w:styleId="CommentReference">
    <w:name w:val="annotation reference"/>
    <w:rsid w:val="00E50F57"/>
    <w:rPr>
      <w:sz w:val="16"/>
      <w:szCs w:val="16"/>
    </w:rPr>
  </w:style>
  <w:style w:type="paragraph" w:styleId="CommentText">
    <w:name w:val="annotation text"/>
    <w:basedOn w:val="Normal"/>
    <w:link w:val="CommentTextChar"/>
    <w:rsid w:val="00E50F57"/>
    <w:pPr>
      <w:spacing w:after="0" w:line="240" w:lineRule="auto"/>
      <w:jc w:val="both"/>
    </w:pPr>
    <w:rPr>
      <w:rFonts w:eastAsia="Times New Roman"/>
      <w:sz w:val="20"/>
      <w:szCs w:val="20"/>
    </w:rPr>
  </w:style>
  <w:style w:type="character" w:customStyle="1" w:styleId="CommentTextChar">
    <w:name w:val="Comment Text Char"/>
    <w:link w:val="CommentText"/>
    <w:rsid w:val="00E50F57"/>
    <w:rPr>
      <w:rFonts w:ascii="Times New Roman" w:eastAsia="Times New Roman" w:hAnsi="Times New Roman"/>
    </w:rPr>
  </w:style>
  <w:style w:type="paragraph" w:styleId="BalloonText">
    <w:name w:val="Balloon Text"/>
    <w:basedOn w:val="Normal"/>
    <w:link w:val="BalloonTextChar"/>
    <w:uiPriority w:val="99"/>
    <w:semiHidden/>
    <w:unhideWhenUsed/>
    <w:rsid w:val="00E50F57"/>
    <w:pPr>
      <w:spacing w:after="0" w:line="240" w:lineRule="auto"/>
    </w:pPr>
    <w:rPr>
      <w:rFonts w:ascii="Segoe UI" w:hAnsi="Segoe UI" w:cs="Segoe UI"/>
      <w:sz w:val="18"/>
      <w:szCs w:val="18"/>
    </w:rPr>
  </w:style>
  <w:style w:type="character" w:customStyle="1" w:styleId="BalloonTextChar">
    <w:name w:val="Balloon Text Char"/>
    <w:link w:val="BalloonText"/>
    <w:uiPriority w:val="99"/>
    <w:semiHidden/>
    <w:rsid w:val="00E50F57"/>
    <w:rPr>
      <w:rFonts w:ascii="Segoe UI" w:hAnsi="Segoe UI" w:cs="Segoe UI"/>
      <w:sz w:val="18"/>
      <w:szCs w:val="18"/>
    </w:rPr>
  </w:style>
  <w:style w:type="paragraph" w:styleId="Header">
    <w:name w:val="header"/>
    <w:basedOn w:val="Normal"/>
    <w:link w:val="HeaderChar"/>
    <w:uiPriority w:val="99"/>
    <w:unhideWhenUsed/>
    <w:rsid w:val="00A817DF"/>
    <w:pPr>
      <w:tabs>
        <w:tab w:val="center" w:pos="4680"/>
        <w:tab w:val="right" w:pos="9360"/>
      </w:tabs>
      <w:spacing w:after="0" w:line="240" w:lineRule="auto"/>
    </w:pPr>
  </w:style>
  <w:style w:type="character" w:customStyle="1" w:styleId="HeaderChar">
    <w:name w:val="Header Char"/>
    <w:basedOn w:val="DefaultParagraphFont"/>
    <w:link w:val="Header"/>
    <w:uiPriority w:val="99"/>
    <w:rsid w:val="00A817DF"/>
    <w:rPr>
      <w:sz w:val="22"/>
      <w:szCs w:val="22"/>
    </w:rPr>
  </w:style>
  <w:style w:type="paragraph" w:styleId="Footer">
    <w:name w:val="footer"/>
    <w:basedOn w:val="Normal"/>
    <w:link w:val="FooterChar"/>
    <w:uiPriority w:val="99"/>
    <w:unhideWhenUsed/>
    <w:rsid w:val="00A817DF"/>
    <w:pPr>
      <w:tabs>
        <w:tab w:val="center" w:pos="4680"/>
        <w:tab w:val="right" w:pos="9360"/>
      </w:tabs>
      <w:spacing w:after="0" w:line="240" w:lineRule="auto"/>
    </w:pPr>
  </w:style>
  <w:style w:type="character" w:customStyle="1" w:styleId="FooterChar">
    <w:name w:val="Footer Char"/>
    <w:basedOn w:val="DefaultParagraphFont"/>
    <w:link w:val="Footer"/>
    <w:uiPriority w:val="99"/>
    <w:rsid w:val="00A817DF"/>
    <w:rPr>
      <w:sz w:val="22"/>
      <w:szCs w:val="22"/>
    </w:rPr>
  </w:style>
  <w:style w:type="paragraph" w:styleId="CommentSubject">
    <w:name w:val="annotation subject"/>
    <w:basedOn w:val="CommentText"/>
    <w:next w:val="CommentText"/>
    <w:link w:val="CommentSubjectChar"/>
    <w:uiPriority w:val="99"/>
    <w:semiHidden/>
    <w:unhideWhenUsed/>
    <w:rsid w:val="00694F56"/>
    <w:pPr>
      <w:spacing w:after="160"/>
      <w:jc w:val="left"/>
    </w:pPr>
    <w:rPr>
      <w:rFonts w:ascii="Calibri" w:eastAsia="Calibri" w:hAnsi="Calibri"/>
      <w:b/>
      <w:bCs/>
    </w:rPr>
  </w:style>
  <w:style w:type="character" w:customStyle="1" w:styleId="CommentSubjectChar">
    <w:name w:val="Comment Subject Char"/>
    <w:basedOn w:val="CommentTextChar"/>
    <w:link w:val="CommentSubject"/>
    <w:uiPriority w:val="99"/>
    <w:semiHidden/>
    <w:rsid w:val="00694F56"/>
    <w:rPr>
      <w:rFonts w:ascii="Times New Roman" w:eastAsia="Times New Roman" w:hAnsi="Times New Roman"/>
      <w:b/>
      <w:bCs/>
    </w:rPr>
  </w:style>
  <w:style w:type="paragraph" w:customStyle="1" w:styleId="WPDefaults">
    <w:name w:val="WP Defaults"/>
    <w:rsid w:val="00B559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overflowPunct w:val="0"/>
      <w:autoSpaceDE w:val="0"/>
      <w:autoSpaceDN w:val="0"/>
      <w:adjustRightInd w:val="0"/>
      <w:spacing w:line="240" w:lineRule="atLeast"/>
      <w:textAlignment w:val="baseline"/>
    </w:pPr>
    <w:rPr>
      <w:rFonts w:ascii="Courier" w:eastAsia="Times New Roman" w:hAnsi="Courier"/>
      <w:color w:val="000000"/>
      <w:sz w:val="24"/>
    </w:rPr>
  </w:style>
  <w:style w:type="character" w:customStyle="1" w:styleId="Heading4Char">
    <w:name w:val="Heading 4 Char"/>
    <w:basedOn w:val="DefaultParagraphFont"/>
    <w:link w:val="Heading4"/>
    <w:rsid w:val="002D0113"/>
    <w:rPr>
      <w:rFonts w:ascii="Times New Roman" w:eastAsia="Times New Roman" w:hAnsi="Times New Roman"/>
      <w:b/>
      <w:bCs/>
      <w:sz w:val="28"/>
      <w:szCs w:val="28"/>
    </w:rPr>
  </w:style>
  <w:style w:type="table" w:styleId="TableGrid">
    <w:name w:val="Table Grid"/>
    <w:basedOn w:val="TableNormal"/>
    <w:uiPriority w:val="39"/>
    <w:rsid w:val="00837CEB"/>
    <w:rPr>
      <w:rFonts w:asciiTheme="minorHAnsi" w:eastAsiaTheme="minorHAnsi" w:hAnsiTheme="minorHAnsi" w:cstheme="minorBid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2">
    <w:name w:val="Body Text 2"/>
    <w:basedOn w:val="Normal"/>
    <w:link w:val="BodyText2Char"/>
    <w:rsid w:val="007D384F"/>
    <w:pPr>
      <w:overflowPunct w:val="0"/>
      <w:autoSpaceDE w:val="0"/>
      <w:autoSpaceDN w:val="0"/>
      <w:adjustRightInd w:val="0"/>
      <w:spacing w:after="0" w:line="240" w:lineRule="auto"/>
      <w:ind w:left="720"/>
      <w:textAlignment w:val="baseline"/>
    </w:pPr>
    <w:rPr>
      <w:rFonts w:eastAsia="Times New Roman"/>
      <w:sz w:val="24"/>
      <w:szCs w:val="20"/>
    </w:rPr>
  </w:style>
  <w:style w:type="character" w:customStyle="1" w:styleId="BodyText2Char">
    <w:name w:val="Body Text 2 Char"/>
    <w:basedOn w:val="DefaultParagraphFont"/>
    <w:link w:val="BodyText2"/>
    <w:rsid w:val="007D384F"/>
    <w:rPr>
      <w:rFonts w:ascii="Times New Roman" w:eastAsia="Times New Roman" w:hAnsi="Times New Roman"/>
      <w:sz w:val="24"/>
    </w:rPr>
  </w:style>
  <w:style w:type="paragraph" w:styleId="NormalWeb">
    <w:name w:val="Normal (Web)"/>
    <w:basedOn w:val="Normal"/>
    <w:uiPriority w:val="99"/>
    <w:unhideWhenUsed/>
    <w:rsid w:val="00A0766E"/>
    <w:pPr>
      <w:spacing w:before="100" w:beforeAutospacing="1" w:after="100" w:afterAutospacing="1" w:line="240" w:lineRule="auto"/>
    </w:pPr>
    <w:rPr>
      <w:rFonts w:eastAsia="Times New Roman"/>
      <w:sz w:val="24"/>
      <w:szCs w:val="24"/>
    </w:rPr>
  </w:style>
  <w:style w:type="paragraph" w:styleId="ListParagraph">
    <w:name w:val="List Paragraph"/>
    <w:basedOn w:val="Normal"/>
    <w:uiPriority w:val="1"/>
    <w:qFormat/>
    <w:rsid w:val="00F122AF"/>
    <w:pPr>
      <w:ind w:left="720"/>
      <w:contextualSpacing/>
    </w:pPr>
    <w:rPr>
      <w:rFonts w:asciiTheme="minorHAnsi" w:eastAsiaTheme="minorHAnsi" w:hAnsiTheme="minorHAnsi" w:cstheme="minorBidi"/>
    </w:rPr>
  </w:style>
  <w:style w:type="character" w:customStyle="1" w:styleId="xcontentpasted0">
    <w:name w:val="x_contentpasted0"/>
    <w:basedOn w:val="DefaultParagraphFont"/>
    <w:rsid w:val="006722F9"/>
  </w:style>
  <w:style w:type="paragraph" w:customStyle="1" w:styleId="Default">
    <w:name w:val="Default"/>
    <w:rsid w:val="00255F2C"/>
    <w:pPr>
      <w:autoSpaceDE w:val="0"/>
      <w:autoSpaceDN w:val="0"/>
      <w:adjustRightInd w:val="0"/>
    </w:pPr>
    <w:rPr>
      <w:color w:val="000000"/>
      <w:sz w:val="24"/>
      <w:szCs w:val="24"/>
    </w:rPr>
  </w:style>
  <w:style w:type="paragraph" w:styleId="Revision">
    <w:name w:val="Revision"/>
    <w:hidden/>
    <w:uiPriority w:val="99"/>
    <w:semiHidden/>
    <w:rsid w:val="00255F2C"/>
    <w:rPr>
      <w:sz w:val="22"/>
    </w:rPr>
  </w:style>
  <w:style w:type="character" w:styleId="HTMLCode">
    <w:name w:val="HTML Code"/>
    <w:basedOn w:val="DefaultParagraphFont"/>
    <w:uiPriority w:val="99"/>
    <w:semiHidden/>
    <w:unhideWhenUsed/>
    <w:rsid w:val="00B64B99"/>
    <w:rPr>
      <w:rFonts w:ascii="Courier New" w:eastAsia="Times New Roman" w:hAnsi="Courier New" w:cs="Courier New"/>
      <w:sz w:val="20"/>
      <w:szCs w:val="20"/>
    </w:rPr>
  </w:style>
  <w:style w:type="paragraph" w:styleId="BodyText">
    <w:name w:val="Body Text"/>
    <w:basedOn w:val="Normal"/>
    <w:link w:val="BodyTextChar"/>
    <w:rsid w:val="0009228A"/>
    <w:pPr>
      <w:spacing w:after="120" w:line="240" w:lineRule="auto"/>
    </w:pPr>
    <w:rPr>
      <w:rFonts w:eastAsia="Times New Roman"/>
      <w:sz w:val="24"/>
      <w:szCs w:val="24"/>
    </w:rPr>
  </w:style>
  <w:style w:type="character" w:customStyle="1" w:styleId="BodyTextChar">
    <w:name w:val="Body Text Char"/>
    <w:basedOn w:val="DefaultParagraphFont"/>
    <w:link w:val="BodyText"/>
    <w:rsid w:val="0009228A"/>
    <w:rPr>
      <w:rFonts w:ascii="Times New Roman" w:eastAsia="Times New Roman" w:hAnsi="Times New Roman"/>
      <w:sz w:val="24"/>
      <w:szCs w:val="24"/>
    </w:rPr>
  </w:style>
  <w:style w:type="paragraph" w:customStyle="1" w:styleId="TableParagraph">
    <w:name w:val="Table Paragraph"/>
    <w:basedOn w:val="Normal"/>
    <w:uiPriority w:val="1"/>
    <w:qFormat/>
    <w:rsid w:val="00E44D3C"/>
    <w:pPr>
      <w:widowControl w:val="0"/>
      <w:autoSpaceDE w:val="0"/>
      <w:autoSpaceDN w:val="0"/>
      <w:spacing w:after="0" w:line="240" w:lineRule="auto"/>
    </w:pPr>
    <w:rPr>
      <w:rFonts w:eastAsia="Times New Roman"/>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173003">
      <w:bodyDiv w:val="1"/>
      <w:marLeft w:val="0"/>
      <w:marRight w:val="0"/>
      <w:marTop w:val="0"/>
      <w:marBottom w:val="0"/>
      <w:divBdr>
        <w:top w:val="none" w:sz="0" w:space="0" w:color="auto"/>
        <w:left w:val="none" w:sz="0" w:space="0" w:color="auto"/>
        <w:bottom w:val="none" w:sz="0" w:space="0" w:color="auto"/>
        <w:right w:val="none" w:sz="0" w:space="0" w:color="auto"/>
      </w:divBdr>
    </w:div>
    <w:div w:id="105777517">
      <w:bodyDiv w:val="1"/>
      <w:marLeft w:val="0"/>
      <w:marRight w:val="0"/>
      <w:marTop w:val="0"/>
      <w:marBottom w:val="0"/>
      <w:divBdr>
        <w:top w:val="none" w:sz="0" w:space="0" w:color="auto"/>
        <w:left w:val="none" w:sz="0" w:space="0" w:color="auto"/>
        <w:bottom w:val="none" w:sz="0" w:space="0" w:color="auto"/>
        <w:right w:val="none" w:sz="0" w:space="0" w:color="auto"/>
      </w:divBdr>
    </w:div>
    <w:div w:id="245044519">
      <w:bodyDiv w:val="1"/>
      <w:marLeft w:val="0"/>
      <w:marRight w:val="0"/>
      <w:marTop w:val="0"/>
      <w:marBottom w:val="0"/>
      <w:divBdr>
        <w:top w:val="none" w:sz="0" w:space="0" w:color="auto"/>
        <w:left w:val="none" w:sz="0" w:space="0" w:color="auto"/>
        <w:bottom w:val="none" w:sz="0" w:space="0" w:color="auto"/>
        <w:right w:val="none" w:sz="0" w:space="0" w:color="auto"/>
      </w:divBdr>
    </w:div>
    <w:div w:id="324818226">
      <w:bodyDiv w:val="1"/>
      <w:marLeft w:val="0"/>
      <w:marRight w:val="0"/>
      <w:marTop w:val="0"/>
      <w:marBottom w:val="0"/>
      <w:divBdr>
        <w:top w:val="none" w:sz="0" w:space="0" w:color="auto"/>
        <w:left w:val="none" w:sz="0" w:space="0" w:color="auto"/>
        <w:bottom w:val="none" w:sz="0" w:space="0" w:color="auto"/>
        <w:right w:val="none" w:sz="0" w:space="0" w:color="auto"/>
      </w:divBdr>
    </w:div>
    <w:div w:id="466314484">
      <w:bodyDiv w:val="1"/>
      <w:marLeft w:val="0"/>
      <w:marRight w:val="0"/>
      <w:marTop w:val="0"/>
      <w:marBottom w:val="0"/>
      <w:divBdr>
        <w:top w:val="none" w:sz="0" w:space="0" w:color="auto"/>
        <w:left w:val="none" w:sz="0" w:space="0" w:color="auto"/>
        <w:bottom w:val="none" w:sz="0" w:space="0" w:color="auto"/>
        <w:right w:val="none" w:sz="0" w:space="0" w:color="auto"/>
      </w:divBdr>
    </w:div>
    <w:div w:id="607157870">
      <w:bodyDiv w:val="1"/>
      <w:marLeft w:val="0"/>
      <w:marRight w:val="0"/>
      <w:marTop w:val="0"/>
      <w:marBottom w:val="0"/>
      <w:divBdr>
        <w:top w:val="none" w:sz="0" w:space="0" w:color="auto"/>
        <w:left w:val="none" w:sz="0" w:space="0" w:color="auto"/>
        <w:bottom w:val="none" w:sz="0" w:space="0" w:color="auto"/>
        <w:right w:val="none" w:sz="0" w:space="0" w:color="auto"/>
      </w:divBdr>
    </w:div>
    <w:div w:id="809518183">
      <w:bodyDiv w:val="1"/>
      <w:marLeft w:val="0"/>
      <w:marRight w:val="0"/>
      <w:marTop w:val="0"/>
      <w:marBottom w:val="0"/>
      <w:divBdr>
        <w:top w:val="none" w:sz="0" w:space="0" w:color="auto"/>
        <w:left w:val="none" w:sz="0" w:space="0" w:color="auto"/>
        <w:bottom w:val="none" w:sz="0" w:space="0" w:color="auto"/>
        <w:right w:val="none" w:sz="0" w:space="0" w:color="auto"/>
      </w:divBdr>
    </w:div>
    <w:div w:id="880551329">
      <w:bodyDiv w:val="1"/>
      <w:marLeft w:val="0"/>
      <w:marRight w:val="0"/>
      <w:marTop w:val="0"/>
      <w:marBottom w:val="0"/>
      <w:divBdr>
        <w:top w:val="none" w:sz="0" w:space="0" w:color="auto"/>
        <w:left w:val="none" w:sz="0" w:space="0" w:color="auto"/>
        <w:bottom w:val="none" w:sz="0" w:space="0" w:color="auto"/>
        <w:right w:val="none" w:sz="0" w:space="0" w:color="auto"/>
      </w:divBdr>
    </w:div>
    <w:div w:id="946618010">
      <w:bodyDiv w:val="1"/>
      <w:marLeft w:val="0"/>
      <w:marRight w:val="0"/>
      <w:marTop w:val="0"/>
      <w:marBottom w:val="0"/>
      <w:divBdr>
        <w:top w:val="none" w:sz="0" w:space="0" w:color="auto"/>
        <w:left w:val="none" w:sz="0" w:space="0" w:color="auto"/>
        <w:bottom w:val="none" w:sz="0" w:space="0" w:color="auto"/>
        <w:right w:val="none" w:sz="0" w:space="0" w:color="auto"/>
      </w:divBdr>
    </w:div>
    <w:div w:id="965165114">
      <w:bodyDiv w:val="1"/>
      <w:marLeft w:val="0"/>
      <w:marRight w:val="0"/>
      <w:marTop w:val="0"/>
      <w:marBottom w:val="0"/>
      <w:divBdr>
        <w:top w:val="none" w:sz="0" w:space="0" w:color="auto"/>
        <w:left w:val="none" w:sz="0" w:space="0" w:color="auto"/>
        <w:bottom w:val="none" w:sz="0" w:space="0" w:color="auto"/>
        <w:right w:val="none" w:sz="0" w:space="0" w:color="auto"/>
      </w:divBdr>
    </w:div>
    <w:div w:id="993726450">
      <w:bodyDiv w:val="1"/>
      <w:marLeft w:val="0"/>
      <w:marRight w:val="0"/>
      <w:marTop w:val="0"/>
      <w:marBottom w:val="0"/>
      <w:divBdr>
        <w:top w:val="none" w:sz="0" w:space="0" w:color="auto"/>
        <w:left w:val="none" w:sz="0" w:space="0" w:color="auto"/>
        <w:bottom w:val="none" w:sz="0" w:space="0" w:color="auto"/>
        <w:right w:val="none" w:sz="0" w:space="0" w:color="auto"/>
      </w:divBdr>
    </w:div>
    <w:div w:id="1000741412">
      <w:bodyDiv w:val="1"/>
      <w:marLeft w:val="0"/>
      <w:marRight w:val="0"/>
      <w:marTop w:val="0"/>
      <w:marBottom w:val="0"/>
      <w:divBdr>
        <w:top w:val="none" w:sz="0" w:space="0" w:color="auto"/>
        <w:left w:val="none" w:sz="0" w:space="0" w:color="auto"/>
        <w:bottom w:val="none" w:sz="0" w:space="0" w:color="auto"/>
        <w:right w:val="none" w:sz="0" w:space="0" w:color="auto"/>
      </w:divBdr>
    </w:div>
    <w:div w:id="1030499043">
      <w:bodyDiv w:val="1"/>
      <w:marLeft w:val="0"/>
      <w:marRight w:val="0"/>
      <w:marTop w:val="0"/>
      <w:marBottom w:val="0"/>
      <w:divBdr>
        <w:top w:val="none" w:sz="0" w:space="0" w:color="auto"/>
        <w:left w:val="none" w:sz="0" w:space="0" w:color="auto"/>
        <w:bottom w:val="none" w:sz="0" w:space="0" w:color="auto"/>
        <w:right w:val="none" w:sz="0" w:space="0" w:color="auto"/>
      </w:divBdr>
    </w:div>
    <w:div w:id="1240752491">
      <w:bodyDiv w:val="1"/>
      <w:marLeft w:val="0"/>
      <w:marRight w:val="0"/>
      <w:marTop w:val="0"/>
      <w:marBottom w:val="0"/>
      <w:divBdr>
        <w:top w:val="none" w:sz="0" w:space="0" w:color="auto"/>
        <w:left w:val="none" w:sz="0" w:space="0" w:color="auto"/>
        <w:bottom w:val="none" w:sz="0" w:space="0" w:color="auto"/>
        <w:right w:val="none" w:sz="0" w:space="0" w:color="auto"/>
      </w:divBdr>
    </w:div>
    <w:div w:id="1255437595">
      <w:bodyDiv w:val="1"/>
      <w:marLeft w:val="0"/>
      <w:marRight w:val="0"/>
      <w:marTop w:val="0"/>
      <w:marBottom w:val="0"/>
      <w:divBdr>
        <w:top w:val="none" w:sz="0" w:space="0" w:color="auto"/>
        <w:left w:val="none" w:sz="0" w:space="0" w:color="auto"/>
        <w:bottom w:val="none" w:sz="0" w:space="0" w:color="auto"/>
        <w:right w:val="none" w:sz="0" w:space="0" w:color="auto"/>
      </w:divBdr>
    </w:div>
    <w:div w:id="1498034549">
      <w:bodyDiv w:val="1"/>
      <w:marLeft w:val="0"/>
      <w:marRight w:val="0"/>
      <w:marTop w:val="0"/>
      <w:marBottom w:val="0"/>
      <w:divBdr>
        <w:top w:val="none" w:sz="0" w:space="0" w:color="auto"/>
        <w:left w:val="none" w:sz="0" w:space="0" w:color="auto"/>
        <w:bottom w:val="none" w:sz="0" w:space="0" w:color="auto"/>
        <w:right w:val="none" w:sz="0" w:space="0" w:color="auto"/>
      </w:divBdr>
    </w:div>
    <w:div w:id="1558585656">
      <w:bodyDiv w:val="1"/>
      <w:marLeft w:val="0"/>
      <w:marRight w:val="0"/>
      <w:marTop w:val="0"/>
      <w:marBottom w:val="0"/>
      <w:divBdr>
        <w:top w:val="none" w:sz="0" w:space="0" w:color="auto"/>
        <w:left w:val="none" w:sz="0" w:space="0" w:color="auto"/>
        <w:bottom w:val="none" w:sz="0" w:space="0" w:color="auto"/>
        <w:right w:val="none" w:sz="0" w:space="0" w:color="auto"/>
      </w:divBdr>
    </w:div>
    <w:div w:id="1679773213">
      <w:bodyDiv w:val="1"/>
      <w:marLeft w:val="0"/>
      <w:marRight w:val="0"/>
      <w:marTop w:val="0"/>
      <w:marBottom w:val="0"/>
      <w:divBdr>
        <w:top w:val="none" w:sz="0" w:space="0" w:color="auto"/>
        <w:left w:val="none" w:sz="0" w:space="0" w:color="auto"/>
        <w:bottom w:val="none" w:sz="0" w:space="0" w:color="auto"/>
        <w:right w:val="none" w:sz="0" w:space="0" w:color="auto"/>
      </w:divBdr>
    </w:div>
    <w:div w:id="1823545573">
      <w:bodyDiv w:val="1"/>
      <w:marLeft w:val="0"/>
      <w:marRight w:val="0"/>
      <w:marTop w:val="0"/>
      <w:marBottom w:val="0"/>
      <w:divBdr>
        <w:top w:val="none" w:sz="0" w:space="0" w:color="auto"/>
        <w:left w:val="none" w:sz="0" w:space="0" w:color="auto"/>
        <w:bottom w:val="none" w:sz="0" w:space="0" w:color="auto"/>
        <w:right w:val="none" w:sz="0" w:space="0" w:color="auto"/>
      </w:divBdr>
    </w:div>
    <w:div w:id="1832065052">
      <w:bodyDiv w:val="1"/>
      <w:marLeft w:val="0"/>
      <w:marRight w:val="0"/>
      <w:marTop w:val="0"/>
      <w:marBottom w:val="0"/>
      <w:divBdr>
        <w:top w:val="none" w:sz="0" w:space="0" w:color="auto"/>
        <w:left w:val="none" w:sz="0" w:space="0" w:color="auto"/>
        <w:bottom w:val="none" w:sz="0" w:space="0" w:color="auto"/>
        <w:right w:val="none" w:sz="0" w:space="0" w:color="auto"/>
      </w:divBdr>
    </w:div>
    <w:div w:id="1840192637">
      <w:bodyDiv w:val="1"/>
      <w:marLeft w:val="0"/>
      <w:marRight w:val="0"/>
      <w:marTop w:val="0"/>
      <w:marBottom w:val="0"/>
      <w:divBdr>
        <w:top w:val="none" w:sz="0" w:space="0" w:color="auto"/>
        <w:left w:val="none" w:sz="0" w:space="0" w:color="auto"/>
        <w:bottom w:val="none" w:sz="0" w:space="0" w:color="auto"/>
        <w:right w:val="none" w:sz="0" w:space="0" w:color="auto"/>
      </w:divBdr>
    </w:div>
    <w:div w:id="1852989640">
      <w:bodyDiv w:val="1"/>
      <w:marLeft w:val="0"/>
      <w:marRight w:val="0"/>
      <w:marTop w:val="0"/>
      <w:marBottom w:val="0"/>
      <w:divBdr>
        <w:top w:val="none" w:sz="0" w:space="0" w:color="auto"/>
        <w:left w:val="none" w:sz="0" w:space="0" w:color="auto"/>
        <w:bottom w:val="none" w:sz="0" w:space="0" w:color="auto"/>
        <w:right w:val="none" w:sz="0" w:space="0" w:color="auto"/>
      </w:divBdr>
    </w:div>
    <w:div w:id="2066105764">
      <w:bodyDiv w:val="1"/>
      <w:marLeft w:val="0"/>
      <w:marRight w:val="0"/>
      <w:marTop w:val="0"/>
      <w:marBottom w:val="0"/>
      <w:divBdr>
        <w:top w:val="none" w:sz="0" w:space="0" w:color="auto"/>
        <w:left w:val="none" w:sz="0" w:space="0" w:color="auto"/>
        <w:bottom w:val="none" w:sz="0" w:space="0" w:color="auto"/>
        <w:right w:val="none" w:sz="0" w:space="0" w:color="auto"/>
      </w:divBdr>
    </w:div>
    <w:div w:id="20949333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1B18890-E8F0-4885-9EC2-EF9CC83B16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6</Pages>
  <Words>1378</Words>
  <Characters>7857</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University of Illinois</Company>
  <LinksUpToDate>false</LinksUpToDate>
  <CharactersWithSpaces>9217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Fields, Rebecca D</dc:creator>
  <cp:keywords/>
  <dc:description/>
  <cp:lastModifiedBy>Todd, Marla Jo</cp:lastModifiedBy>
  <cp:revision>6</cp:revision>
  <cp:lastPrinted>2024-02-21T15:44:00Z</cp:lastPrinted>
  <dcterms:created xsi:type="dcterms:W3CDTF">2025-10-27T21:05:00Z</dcterms:created>
  <dcterms:modified xsi:type="dcterms:W3CDTF">2025-11-05T19:41:00Z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a2adc81a705e0c021f01152de730247318374fbcd8feb4ac4d42a7421ef9ede7</vt:lpwstr>
  </property>
</Properties>
</file>