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64B7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9E0B158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02036214" w14:textId="77777777" w:rsidR="005F7A22" w:rsidRDefault="005F7A22" w:rsidP="005F7A22">
      <w:pPr>
        <w:spacing w:line="506" w:lineRule="exact"/>
        <w:ind w:left="3159" w:right="3187"/>
        <w:jc w:val="center"/>
        <w:rPr>
          <w:b/>
          <w:sz w:val="44"/>
        </w:rPr>
      </w:pPr>
      <w:r>
        <w:rPr>
          <w:b/>
          <w:sz w:val="44"/>
        </w:rPr>
        <w:t>Change Orders</w:t>
      </w:r>
    </w:p>
    <w:p w14:paraId="56D65090" w14:textId="77777777" w:rsidR="005F7A22" w:rsidRDefault="005F7A22" w:rsidP="005F7A22">
      <w:pPr>
        <w:ind w:left="3164" w:right="31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Report to the Board of Trustees </w:t>
      </w:r>
    </w:p>
    <w:p w14:paraId="76DD8019" w14:textId="11E44BFC" w:rsidR="005F7A22" w:rsidRDefault="277EB945" w:rsidP="131097F2">
      <w:pPr>
        <w:ind w:left="3164" w:right="3187"/>
        <w:jc w:val="center"/>
        <w:rPr>
          <w:b/>
          <w:bCs/>
          <w:sz w:val="26"/>
          <w:szCs w:val="26"/>
        </w:rPr>
      </w:pPr>
      <w:r w:rsidRPr="3DCA1B80">
        <w:rPr>
          <w:b/>
          <w:bCs/>
          <w:sz w:val="26"/>
          <w:szCs w:val="26"/>
        </w:rPr>
        <w:t xml:space="preserve">November </w:t>
      </w:r>
      <w:r w:rsidR="00B22BB9">
        <w:rPr>
          <w:b/>
          <w:bCs/>
          <w:sz w:val="26"/>
          <w:szCs w:val="26"/>
        </w:rPr>
        <w:t>13</w:t>
      </w:r>
      <w:r w:rsidR="005F7A22" w:rsidRPr="3DCA1B80">
        <w:rPr>
          <w:b/>
          <w:bCs/>
          <w:sz w:val="26"/>
          <w:szCs w:val="26"/>
        </w:rPr>
        <w:t>, 2025</w:t>
      </w:r>
    </w:p>
    <w:p w14:paraId="2A88437B" w14:textId="77777777" w:rsidR="005F7A22" w:rsidRDefault="005F7A22" w:rsidP="005F7A22">
      <w:pPr>
        <w:ind w:left="3164" w:right="3187"/>
        <w:jc w:val="center"/>
        <w:rPr>
          <w:b/>
          <w:sz w:val="26"/>
        </w:rPr>
      </w:pPr>
    </w:p>
    <w:p w14:paraId="48919E06" w14:textId="77777777" w:rsidR="005F7A22" w:rsidRDefault="005F7A22" w:rsidP="005F7A22">
      <w:pPr>
        <w:pStyle w:val="BodyText"/>
        <w:rPr>
          <w:b w:val="0"/>
          <w:sz w:val="26"/>
        </w:rPr>
      </w:pPr>
    </w:p>
    <w:p w14:paraId="15682BF1" w14:textId="77777777" w:rsidR="005F7A22" w:rsidRDefault="005F7A22" w:rsidP="005F7A22">
      <w:pPr>
        <w:pStyle w:val="BodyText"/>
        <w:rPr>
          <w:b w:val="0"/>
          <w:sz w:val="26"/>
        </w:rPr>
      </w:pPr>
    </w:p>
    <w:p w14:paraId="586A7545" w14:textId="77777777" w:rsidR="005F7A22" w:rsidRDefault="005F7A22" w:rsidP="005F7A22">
      <w:pPr>
        <w:pStyle w:val="BodyText"/>
        <w:spacing w:before="5"/>
        <w:rPr>
          <w:b w:val="0"/>
          <w:sz w:val="26"/>
          <w:szCs w:val="26"/>
        </w:rPr>
      </w:pPr>
    </w:p>
    <w:p w14:paraId="0721C52A" w14:textId="77777777" w:rsidR="005F7A22" w:rsidRDefault="005F7A22" w:rsidP="005F7A22">
      <w:pPr>
        <w:pStyle w:val="BodyText"/>
        <w:spacing w:line="372" w:lineRule="auto"/>
        <w:ind w:left="720" w:right="70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On September 23, 2010, the Board of Trustees delegated authority to the Comptroller to approve change orders to </w:t>
      </w:r>
      <w:proofErr w:type="gramStart"/>
      <w:r>
        <w:rPr>
          <w:b w:val="0"/>
          <w:bCs w:val="0"/>
          <w:sz w:val="26"/>
          <w:szCs w:val="26"/>
        </w:rPr>
        <w:t>University</w:t>
      </w:r>
      <w:proofErr w:type="gramEnd"/>
      <w:r>
        <w:rPr>
          <w:b w:val="0"/>
          <w:bCs w:val="0"/>
          <w:sz w:val="26"/>
          <w:szCs w:val="26"/>
        </w:rPr>
        <w:t xml:space="preserve"> contracts and purchase agreements. Changes related to construction or professional services or original Board approved purchase agreements for supplies or equipment that exceed 5 percent of the original Board approved contract will be reported to the Board at its next scheduled</w:t>
      </w:r>
      <w:r>
        <w:rPr>
          <w:b w:val="0"/>
          <w:bCs w:val="0"/>
          <w:spacing w:val="-2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meeting.  Change orders related to medical center operations that exceed 25 percent of the original Board approved contract or other purchase agreement and change orders will also be presented. </w:t>
      </w:r>
    </w:p>
    <w:p w14:paraId="3595A1B8" w14:textId="77777777" w:rsidR="005F7A22" w:rsidRDefault="005F7A22" w:rsidP="005F7A22">
      <w:pPr>
        <w:pStyle w:val="BodyText"/>
        <w:spacing w:before="203" w:line="372" w:lineRule="auto"/>
        <w:ind w:left="720" w:right="700"/>
        <w:jc w:val="both"/>
        <w:rPr>
          <w:b w:val="0"/>
          <w:bCs w:val="0"/>
        </w:rPr>
      </w:pPr>
      <w:bookmarkStart w:id="0" w:name="_Hlk131407635"/>
      <w:r>
        <w:rPr>
          <w:b w:val="0"/>
          <w:bCs w:val="0"/>
          <w:sz w:val="26"/>
          <w:szCs w:val="26"/>
        </w:rPr>
        <w:t>The intent of this report is to provide the Board of Trustees a review of those contract changes germane to the above criteria for capital projects.</w:t>
      </w:r>
      <w:bookmarkEnd w:id="0"/>
    </w:p>
    <w:p w14:paraId="32A2054C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3C4BBC4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1AF75B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AE0A70F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BFDDC4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46A817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6A18B54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34B7752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790B5D6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4429C9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92B288A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5BB0D4F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EE25D7D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C16751D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A9E1D7C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47F0E96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45C536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3D88B19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CE4C782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D209596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0EA39C8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E2DFC12" w14:textId="35853D03" w:rsidR="00911929" w:rsidRDefault="00911929">
      <w:pPr>
        <w:pStyle w:val="BodyText"/>
        <w:spacing w:before="86"/>
        <w:ind w:left="321"/>
        <w:rPr>
          <w:w w:val="105"/>
          <w:sz w:val="15"/>
          <w:szCs w:val="15"/>
        </w:rPr>
      </w:pPr>
      <w:r>
        <w:rPr>
          <w:w w:val="105"/>
          <w:sz w:val="15"/>
          <w:szCs w:val="15"/>
        </w:rPr>
        <w:br w:type="page"/>
      </w:r>
    </w:p>
    <w:p w14:paraId="1C8AAD98" w14:textId="77777777" w:rsidR="00456785" w:rsidRDefault="00456785">
      <w:pPr>
        <w:pStyle w:val="BodyText"/>
        <w:spacing w:before="86"/>
        <w:ind w:left="321"/>
        <w:rPr>
          <w:w w:val="105"/>
          <w:sz w:val="15"/>
          <w:szCs w:val="15"/>
        </w:rPr>
        <w:sectPr w:rsidR="00456785">
          <w:type w:val="continuous"/>
          <w:pgSz w:w="12240" w:h="15840"/>
          <w:pgMar w:top="1160" w:right="1080" w:bottom="280" w:left="720" w:header="720" w:footer="720" w:gutter="0"/>
          <w:cols w:space="720"/>
        </w:sectPr>
      </w:pPr>
    </w:p>
    <w:tbl>
      <w:tblPr>
        <w:tblW w:w="16503" w:type="dxa"/>
        <w:tblInd w:w="-1062" w:type="dxa"/>
        <w:tblLook w:val="04A0" w:firstRow="1" w:lastRow="0" w:firstColumn="1" w:lastColumn="0" w:noHBand="0" w:noVBand="1"/>
      </w:tblPr>
      <w:tblGrid>
        <w:gridCol w:w="256"/>
        <w:gridCol w:w="256"/>
        <w:gridCol w:w="785"/>
        <w:gridCol w:w="2626"/>
        <w:gridCol w:w="1047"/>
        <w:gridCol w:w="2552"/>
        <w:gridCol w:w="1208"/>
        <w:gridCol w:w="1170"/>
        <w:gridCol w:w="256"/>
        <w:gridCol w:w="824"/>
        <w:gridCol w:w="406"/>
        <w:gridCol w:w="730"/>
        <w:gridCol w:w="1123"/>
        <w:gridCol w:w="561"/>
        <w:gridCol w:w="496"/>
        <w:gridCol w:w="424"/>
        <w:gridCol w:w="424"/>
        <w:gridCol w:w="1980"/>
        <w:gridCol w:w="256"/>
        <w:gridCol w:w="711"/>
      </w:tblGrid>
      <w:tr w:rsidR="007C627C" w:rsidRPr="007C627C" w14:paraId="662B1215" w14:textId="77777777" w:rsidTr="007C627C">
        <w:trPr>
          <w:gridAfter w:val="1"/>
          <w:wAfter w:w="528" w:type="dxa"/>
          <w:trHeight w:val="300"/>
        </w:trPr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6C5606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lastRenderedPageBreak/>
              <w:t>Date Prepared: 10/3/2025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2CC2E7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3DDD87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685F9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2725DC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46BE6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0C1D83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504F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2BE0BB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592279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C732B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03C8D796" w14:textId="77777777" w:rsidTr="007C627C">
        <w:trPr>
          <w:gridAfter w:val="1"/>
          <w:wAfter w:w="528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CCB39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3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511F56E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University of Illinois Urbana-Champaign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D014D8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07582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CEC26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043C7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90554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258B6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61776A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2EC932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E932A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49B59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</w:tr>
      <w:tr w:rsidR="007C627C" w:rsidRPr="007C627C" w14:paraId="6F53B450" w14:textId="77777777" w:rsidTr="007C627C">
        <w:trPr>
          <w:gridAfter w:val="1"/>
          <w:wAfter w:w="528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03504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2B72A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A5212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B81D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00CDFA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EAC47D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80D2FE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2B1D2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0B75C8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B24E1B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6B0A1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70167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1A867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A5FFD1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</w:tr>
      <w:tr w:rsidR="007C627C" w:rsidRPr="007C627C" w14:paraId="7864BD9D" w14:textId="77777777" w:rsidTr="007C62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39548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6C957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ADADCD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F14939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92C89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25AA7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0847E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BB521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A23A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45FCD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0232D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7C627C" w:rsidRPr="007C627C" w14:paraId="38053057" w14:textId="77777777" w:rsidTr="007C627C">
        <w:trPr>
          <w:gridAfter w:val="3"/>
          <w:wAfter w:w="1383" w:type="dxa"/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CB1EA1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62E439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EDA417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Number</w:t>
            </w:r>
          </w:p>
        </w:tc>
        <w:tc>
          <w:tcPr>
            <w:tcW w:w="2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60E352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A1987CA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Award Date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107AFE78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Vendor Name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980E9E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Original Award for Preliminary Design Services (as applicable)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19A387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Amendment to Full Design Services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475A04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Full Design Contract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F9366B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Subsequent Amendments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4D9466A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Amendments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6E6F1D9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Award Amount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7CFBFF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Percent Change (Original to Current)</w:t>
            </w:r>
          </w:p>
        </w:tc>
      </w:tr>
      <w:tr w:rsidR="007C627C" w:rsidRPr="007C627C" w14:paraId="6632C8F8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C54DE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F0ABA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F5174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U20118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8BE0AD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UNDERGRADUATE LIBRARY REDEVELOPMENT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3748C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12/6/2022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EFE4EA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CBRE Heery Inc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2DD10E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264,890.00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B9DD3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1,805,051.42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68DD6E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2,069,941.42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0372E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7BEF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AE30E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2,069,941.42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96F49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681.43 %</w:t>
            </w:r>
          </w:p>
        </w:tc>
      </w:tr>
      <w:tr w:rsidR="007C627C" w:rsidRPr="007C627C" w14:paraId="6D5691FB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4AE71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B50D3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C849C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U20118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C40302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UNDERGRADUATE LIBRARY REDEVELOPMENT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B42CC8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7/12/2021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26D251" w14:textId="77777777" w:rsidR="007C627C" w:rsidRPr="007C627C" w:rsidRDefault="007C627C" w:rsidP="007C627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Ratio Architects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5F4937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953,787.00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888A03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2,336,631.00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23766C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3,290,418.00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82E533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9FB8D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81AA86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3,290,418.00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77C1E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244.98 %</w:t>
            </w:r>
          </w:p>
        </w:tc>
      </w:tr>
      <w:tr w:rsidR="007C627C" w:rsidRPr="007C627C" w14:paraId="2841BCB9" w14:textId="77777777" w:rsidTr="007C627C">
        <w:trPr>
          <w:gridAfter w:val="3"/>
          <w:wAfter w:w="1383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B4CE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33455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6FBC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U21050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25185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ILLINI UNION - ROOF REPLACEMENT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22C94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9/16/2022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9040D8" w14:textId="77777777" w:rsidR="007C627C" w:rsidRPr="007C627C" w:rsidRDefault="007C627C" w:rsidP="007C627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Wiss Janney Elstner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14841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427,739.00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1B8C11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764,100.00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D946D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1,191,839.00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7E5CD9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BCCF0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5EB2A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1,191,839.00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F8A79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178.64 %</w:t>
            </w:r>
          </w:p>
        </w:tc>
      </w:tr>
      <w:tr w:rsidR="007C627C" w:rsidRPr="007C627C" w14:paraId="0A11943E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1C48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0D0ED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FE1C0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U21074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850F0F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SWINE RESEARCH CENTER MODERNIZATION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9F6AD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9/14/2022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D3BE3C" w14:textId="77777777" w:rsidR="007C627C" w:rsidRPr="007C627C" w:rsidRDefault="007C627C" w:rsidP="007C627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Bailey Edward Design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5D9BE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EF0E9C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10668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1,329,754.00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3A9D3D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342,323.00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AF1697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0241C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1,672,077.00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A2152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25.74 %</w:t>
            </w:r>
          </w:p>
        </w:tc>
      </w:tr>
      <w:tr w:rsidR="007C627C" w:rsidRPr="007C627C" w14:paraId="084F77B7" w14:textId="77777777" w:rsidTr="007C627C">
        <w:trPr>
          <w:gridAfter w:val="3"/>
          <w:wAfter w:w="1383" w:type="dxa"/>
          <w:trHeight w:val="1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70CEA9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B515D2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C66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U21076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51F7DE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VETERINARY TEACHING HOSPITAL - SMALL ANIMAL CLINIC ONCOLOGY CENTER ADDITION - DESIGN &amp;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9EDE1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8/12/2022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B9BA32" w14:textId="77777777" w:rsidR="007C627C" w:rsidRPr="007C627C" w:rsidRDefault="007C627C" w:rsidP="007C627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C627C">
              <w:rPr>
                <w:sz w:val="16"/>
                <w:szCs w:val="16"/>
              </w:rPr>
              <w:t>Reifsteck Reid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28D45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673F6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87A4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1,122,789.00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770B0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120,900.00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EE9EE1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51CBF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1,243,689.00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0AC5B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10.77 %</w:t>
            </w:r>
          </w:p>
        </w:tc>
      </w:tr>
      <w:tr w:rsidR="007C627C" w:rsidRPr="007C627C" w14:paraId="6871DF74" w14:textId="77777777" w:rsidTr="007C627C">
        <w:trPr>
          <w:gridAfter w:val="1"/>
          <w:wAfter w:w="528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B05B7A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B259C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6845BB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  <w:p w14:paraId="59913445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36BFF2D7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BEB1F48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AD7EF95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55115D73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E2D0608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3F04356D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8E138B6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59CA2748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4B794A14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4C89FC21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10141299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1E746153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40DFFCB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0F92638A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1820C2C6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2339B4B2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61F186CC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1D2148AD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5DD1A252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7F0628FA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1B30867F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5296D0A5" w14:textId="77777777" w:rsid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  <w:p w14:paraId="402ABD8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67BAD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B3713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0A3A5F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6E12C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D2FB9D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0B8D07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2E1AF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CD2BE7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1A235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CACC6C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1122D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7189F5E8" w14:textId="77777777" w:rsidTr="007C62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964712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3166E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D44FB49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University of Illinois Chicago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9242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9C666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1316B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A1B21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3AA6A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181D4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27E0A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E1E81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91A59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</w:tr>
      <w:tr w:rsidR="007C627C" w:rsidRPr="007C627C" w14:paraId="41188506" w14:textId="77777777" w:rsidTr="007C627C">
        <w:trPr>
          <w:gridAfter w:val="1"/>
          <w:wAfter w:w="528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ABA8A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7149A8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23A71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CD2CBD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3A284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27E88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119BC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91F55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7EC2F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AFB0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4E738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B2A5EF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949BE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2D3A0A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</w:tr>
      <w:tr w:rsidR="007C627C" w:rsidRPr="007C627C" w14:paraId="2F179FD0" w14:textId="77777777" w:rsidTr="007C62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B4068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6B509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FB21B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CONSTRUCTION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609C4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596F1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08CBC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F8BF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29F678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E1551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9A0EE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F9AF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7C627C" w:rsidRPr="007C627C" w14:paraId="1E53C12E" w14:textId="77777777" w:rsidTr="007C627C">
        <w:trPr>
          <w:gridAfter w:val="3"/>
          <w:wAfter w:w="1383" w:type="dxa"/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5AB20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B6FC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6AB437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Number</w:t>
            </w:r>
          </w:p>
        </w:tc>
        <w:tc>
          <w:tcPr>
            <w:tcW w:w="2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346F0F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5397D07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Award Date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224FB5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Vendor Name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FCAF31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Award Original Amt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7DDE72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Previously Approved Change Order Amount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66F9631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Approved Change Order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85B2B5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Award Amt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C9B8FF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Percent Change (Original to Current)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EEAFE6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DEFB18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4DCDF7AE" w14:textId="77777777" w:rsidTr="007C627C">
        <w:trPr>
          <w:gridAfter w:val="3"/>
          <w:wAfter w:w="1383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26C62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8B66E3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F6BAD9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C23112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6B135D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HSPS PHASE 2 STRUCTURAL REPAIRS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D2B7D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6/20/2023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E2AF62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Golf Acquisition Group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6F100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3,109,000.00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C5C23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2,035,390.73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B7A4BF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38103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5,144,390.73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D3369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65.47 %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14D0A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5555EA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4D45C90E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A3A9D8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7C94B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B2059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C22053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8DF076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CEILING BEAM AND JOINT REPAIRS - PSPS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4EC0F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4/25/2023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4CFB34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Maman Corp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4DB3F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3,295,000.00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FDB57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1,519,170.22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26783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DE600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4,814,170.22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1686B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46.11 %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3A1D46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81F2A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4CEE7CCE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3EEB4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D446A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6476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C21103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0F48F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RENOVATE STERILE PROCESSING AND MATERIAL MANAGEMENT - UIH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6EE4D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1/3/2024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4D5C6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FH Paschen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DDB40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3,070,000.00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5052A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1,067,390.99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7E950C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49,363.89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28CDCB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4,186,754.88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6BB5D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34.77 %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2B014C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DD897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14C3C044" w14:textId="77777777" w:rsidTr="007C627C">
        <w:trPr>
          <w:gridAfter w:val="3"/>
          <w:wAfter w:w="1383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36D2F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48F9D1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B2E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C19049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6FF1A8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NPI FACADE REPAIRS - PHASE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6742E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6/21/2022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F3BA64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Industria Inc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425236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13,766,627.00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58D130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690,429.31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5DE3BE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F6F0E6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14,457,056.31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84919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5.02 %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D1B58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2CEE6D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56EDDE9F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B39D10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9D36AB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1F6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C19055</w:t>
            </w:r>
          </w:p>
        </w:tc>
        <w:tc>
          <w:tcPr>
            <w:tcW w:w="2626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nil"/>
            </w:tcBorders>
            <w:shd w:val="clear" w:color="auto" w:fill="auto"/>
            <w:vAlign w:val="bottom"/>
            <w:hideMark/>
          </w:tcPr>
          <w:p w14:paraId="768B9D3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FAÇADE AND ROOF REPAIR AND WINDOW REPLACEMENT - SPHPI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BEE3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3/27/2024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8DE77A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AGAE Contractors, Inc.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F62211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11,051,000.00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85ABA3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854,448.30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164E4D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C6C1C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11,905,448.30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03E48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7.73 %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62D999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429228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33D9EDE7" w14:textId="77777777" w:rsidTr="007C627C">
        <w:trPr>
          <w:gridAfter w:val="3"/>
          <w:wAfter w:w="1383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826EA5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BBDEE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2356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C19070</w:t>
            </w:r>
          </w:p>
        </w:tc>
        <w:tc>
          <w:tcPr>
            <w:tcW w:w="2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9726C0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REPLACE AIR HANDLERS AND BOOSTER COILS - STUDENT CENTER 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B6836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6/26/2023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DB85E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proofErr w:type="spellStart"/>
            <w:r w:rsidRPr="007C627C">
              <w:rPr>
                <w:color w:val="000000"/>
                <w:sz w:val="16"/>
                <w:szCs w:val="16"/>
              </w:rPr>
              <w:t>Kroeschell</w:t>
            </w:r>
            <w:proofErr w:type="spellEnd"/>
            <w:r w:rsidRPr="007C627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27C">
              <w:rPr>
                <w:color w:val="000000"/>
                <w:sz w:val="16"/>
                <w:szCs w:val="16"/>
              </w:rPr>
              <w:t>Enginerring</w:t>
            </w:r>
            <w:proofErr w:type="spellEnd"/>
            <w:r w:rsidRPr="007C627C">
              <w:rPr>
                <w:color w:val="000000"/>
                <w:sz w:val="16"/>
                <w:szCs w:val="16"/>
              </w:rPr>
              <w:t xml:space="preserve"> Company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AC719E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2,550,702.00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8F828F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135,918.45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90585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9A5B9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2,686,620.45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B7D8F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5.33 %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0A546A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554F8F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0E731DFF" w14:textId="77777777" w:rsidTr="007C627C">
        <w:trPr>
          <w:gridAfter w:val="1"/>
          <w:wAfter w:w="528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87F4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887247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950EA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60A02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EC861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E18B67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DE734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8B883D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F6578A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8918A3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82CDFB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24C27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4541FB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01003E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C627C" w:rsidRPr="007C627C" w14:paraId="7D0C982B" w14:textId="77777777" w:rsidTr="007C627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528072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169A31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5F82E" w14:textId="77777777" w:rsidR="007C627C" w:rsidRPr="007C627C" w:rsidRDefault="007C627C" w:rsidP="007C627C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</w:rPr>
            </w:pPr>
            <w:r w:rsidRPr="007C627C">
              <w:rPr>
                <w:b/>
                <w:bCs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AEE74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AB40F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0A584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9517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E637FC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FEB9E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2DC5D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B2EB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7C627C" w:rsidRPr="007C627C" w14:paraId="78564641" w14:textId="77777777" w:rsidTr="007C627C">
        <w:trPr>
          <w:gridAfter w:val="3"/>
          <w:wAfter w:w="1383" w:type="dxa"/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369A76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D08FFD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0309EB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Number</w:t>
            </w:r>
          </w:p>
        </w:tc>
        <w:tc>
          <w:tcPr>
            <w:tcW w:w="2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444FEF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5F502BA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Award Date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3763C44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Vendor Name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9F2B40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Original Award for Preliminary Design Services (as applicable)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EF03FCA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Amendment to Full Design Services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1CBEF6B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Full Design Contract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7AC96D7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Subsequent Amendments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3238E1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Amendments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60E2BD2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Current Award Amount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8B3E49E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7C627C">
              <w:rPr>
                <w:b/>
                <w:bCs/>
                <w:color w:val="FFFFFF"/>
                <w:sz w:val="16"/>
                <w:szCs w:val="16"/>
              </w:rPr>
              <w:t>Percent Change (Original to Current)</w:t>
            </w:r>
          </w:p>
        </w:tc>
      </w:tr>
      <w:tr w:rsidR="007C627C" w:rsidRPr="007C627C" w14:paraId="574B5FDF" w14:textId="77777777" w:rsidTr="007C627C">
        <w:trPr>
          <w:gridAfter w:val="3"/>
          <w:wAfter w:w="1383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2290C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7D6789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F9B2C3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C19049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4B9AF5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NPI FACADE REPAIRS - PHASE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84AB15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2/4/2020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A404B2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proofErr w:type="spellStart"/>
            <w:r w:rsidRPr="007C627C">
              <w:rPr>
                <w:color w:val="000000"/>
                <w:sz w:val="16"/>
                <w:szCs w:val="16"/>
              </w:rPr>
              <w:t>Altusworks</w:t>
            </w:r>
            <w:proofErr w:type="spellEnd"/>
            <w:r w:rsidRPr="007C627C">
              <w:rPr>
                <w:color w:val="000000"/>
                <w:sz w:val="16"/>
                <w:szCs w:val="16"/>
              </w:rPr>
              <w:t xml:space="preserve"> Incorporated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54DFC1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258,050.00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8C6B4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1,055,866.00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8BCE3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1,313,916.00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720FBB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D26249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1163D5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1,313,916.00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2FD000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409.17 %</w:t>
            </w:r>
          </w:p>
        </w:tc>
      </w:tr>
      <w:tr w:rsidR="007C627C" w:rsidRPr="007C627C" w14:paraId="6A9F24F1" w14:textId="77777777" w:rsidTr="007C627C">
        <w:trPr>
          <w:gridAfter w:val="3"/>
          <w:wAfter w:w="1383" w:type="dxa"/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A9DFFB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25E39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9D6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C22017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5FC4" w14:textId="77777777" w:rsidR="007C627C" w:rsidRPr="007C627C" w:rsidRDefault="007C627C" w:rsidP="007C627C">
            <w:pPr>
              <w:widowControl/>
              <w:autoSpaceDE/>
              <w:autoSpaceDN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UI HEALTH CANCER CENTER AND CDU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A59E71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2/23/2023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BC56C1" w14:textId="77777777" w:rsidR="007C627C" w:rsidRPr="007C627C" w:rsidRDefault="007C627C" w:rsidP="007C627C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Gensler Architecture Design &amp; Planning, P.C.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DC7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F9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BD2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1,306,947.00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E03358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519,238.00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1EAFAD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4671A9" w14:textId="77777777" w:rsidR="007C627C" w:rsidRPr="007C627C" w:rsidRDefault="007C627C" w:rsidP="007C627C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</w:rPr>
            </w:pPr>
            <w:r w:rsidRPr="007C627C">
              <w:rPr>
                <w:color w:val="000000"/>
                <w:sz w:val="16"/>
                <w:szCs w:val="16"/>
              </w:rPr>
              <w:t>1,826,185.00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835D4D" w14:textId="77777777" w:rsidR="007C627C" w:rsidRPr="007C627C" w:rsidRDefault="007C627C" w:rsidP="007C627C">
            <w:pPr>
              <w:widowControl/>
              <w:autoSpaceDE/>
              <w:autoSpaceDN/>
              <w:jc w:val="center"/>
              <w:rPr>
                <w:color w:val="333333"/>
                <w:sz w:val="16"/>
                <w:szCs w:val="16"/>
              </w:rPr>
            </w:pPr>
            <w:r w:rsidRPr="007C627C">
              <w:rPr>
                <w:color w:val="333333"/>
                <w:sz w:val="16"/>
                <w:szCs w:val="16"/>
              </w:rPr>
              <w:t>39.73 %</w:t>
            </w:r>
          </w:p>
        </w:tc>
      </w:tr>
    </w:tbl>
    <w:p w14:paraId="53827F38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62BC6BF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892541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sectPr w:rsidR="002B0874" w:rsidSect="00456785">
      <w:type w:val="continuous"/>
      <w:pgSz w:w="15840" w:h="12240" w:orient="landscape"/>
      <w:pgMar w:top="1080" w:right="274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2"/>
    <w:rsid w:val="000C3334"/>
    <w:rsid w:val="000D6E51"/>
    <w:rsid w:val="002B0874"/>
    <w:rsid w:val="003F5A93"/>
    <w:rsid w:val="00456785"/>
    <w:rsid w:val="005F7A22"/>
    <w:rsid w:val="006937C3"/>
    <w:rsid w:val="007C627C"/>
    <w:rsid w:val="00911929"/>
    <w:rsid w:val="00B22BB9"/>
    <w:rsid w:val="00E30C85"/>
    <w:rsid w:val="00E30CF2"/>
    <w:rsid w:val="06F1694B"/>
    <w:rsid w:val="0A24B469"/>
    <w:rsid w:val="12F1E46F"/>
    <w:rsid w:val="131097F2"/>
    <w:rsid w:val="1E798AED"/>
    <w:rsid w:val="277EB945"/>
    <w:rsid w:val="2939A0EF"/>
    <w:rsid w:val="2D24DE17"/>
    <w:rsid w:val="2D8DFDE2"/>
    <w:rsid w:val="2E1C8FB3"/>
    <w:rsid w:val="318083EF"/>
    <w:rsid w:val="372A24EB"/>
    <w:rsid w:val="39F6BBB2"/>
    <w:rsid w:val="3B5F62DF"/>
    <w:rsid w:val="3DCA1B80"/>
    <w:rsid w:val="428FDAE6"/>
    <w:rsid w:val="49B603BF"/>
    <w:rsid w:val="4A7193B0"/>
    <w:rsid w:val="4C2D1073"/>
    <w:rsid w:val="53E3F2FF"/>
    <w:rsid w:val="566D6FA9"/>
    <w:rsid w:val="60DAEF0A"/>
    <w:rsid w:val="635091AB"/>
    <w:rsid w:val="6A7A6CEE"/>
    <w:rsid w:val="724B1215"/>
    <w:rsid w:val="74C34AEA"/>
    <w:rsid w:val="76E38B67"/>
    <w:rsid w:val="7E5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41E9"/>
  <w15:docId w15:val="{756CCCB9-B3DA-48CF-A9C0-410C4D5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7282-E815-48B9-9B0D-132DBC315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4920E-C67B-494D-AE26-7B28C0C7D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6F276-F1C4-47B8-874E-C48992F0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8E306-75D6-4F31-B8DB-E02F6F0B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Todd, Marla Jo</cp:lastModifiedBy>
  <cp:revision>2</cp:revision>
  <dcterms:created xsi:type="dcterms:W3CDTF">2025-10-30T14:29:00Z</dcterms:created>
  <dcterms:modified xsi:type="dcterms:W3CDTF">2025-10-30T14:29:00Z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0x0101007BAEA1B5F1A97E4584059F469CAEFA19</vt:lpwstr>
  </property>
  <property fmtid="{D5CDD505-2E9C-101B-9397-08002B2CF9AE}" pid="7" name="docLang">
    <vt:lpwstr>en</vt:lpwstr>
  </property>
</Properties>
</file>