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DDA8" w14:textId="6442BC6E" w:rsidR="002F2D48" w:rsidRPr="006F284F" w:rsidRDefault="002255A1"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tLeast"/>
        <w:jc w:val="right"/>
        <w:textAlignment w:val="baseline"/>
        <w:rPr>
          <w:rFonts w:eastAsia="Times New Roman"/>
          <w:b/>
          <w:color w:val="000000"/>
          <w:sz w:val="60"/>
          <w:szCs w:val="60"/>
        </w:rPr>
      </w:pPr>
      <w:r>
        <w:rPr>
          <w:rFonts w:eastAsia="Times New Roman"/>
          <w:b/>
          <w:color w:val="000000"/>
          <w:sz w:val="60"/>
          <w:szCs w:val="60"/>
        </w:rPr>
        <w:t>27</w:t>
      </w:r>
      <w:r w:rsidR="00D743A9">
        <w:rPr>
          <w:rFonts w:eastAsia="Times New Roman"/>
          <w:b/>
          <w:color w:val="000000"/>
          <w:sz w:val="60"/>
          <w:szCs w:val="60"/>
        </w:rPr>
        <w:t xml:space="preserve"> </w:t>
      </w:r>
    </w:p>
    <w:p w14:paraId="49E25591" w14:textId="77777777" w:rsidR="002F2D48" w:rsidRPr="006F284F"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right"/>
        <w:textAlignment w:val="baseline"/>
        <w:rPr>
          <w:rFonts w:eastAsia="Times New Roman"/>
          <w:color w:val="000000"/>
          <w:szCs w:val="26"/>
        </w:rPr>
      </w:pPr>
    </w:p>
    <w:p w14:paraId="0AF965EF" w14:textId="77777777" w:rsidR="002F2D48" w:rsidRPr="006F284F"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right"/>
        <w:textAlignment w:val="baseline"/>
        <w:rPr>
          <w:rFonts w:eastAsia="Times New Roman"/>
          <w:color w:val="000000"/>
          <w:szCs w:val="26"/>
        </w:rPr>
      </w:pPr>
    </w:p>
    <w:p w14:paraId="1CC83587" w14:textId="77777777" w:rsidR="002F2D48" w:rsidRPr="006F284F" w:rsidRDefault="002F2D48" w:rsidP="00D743A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090"/>
          <w:tab w:val="left" w:pos="10080"/>
          <w:tab w:val="left" w:pos="10800"/>
        </w:tabs>
        <w:overflowPunct w:val="0"/>
        <w:autoSpaceDE w:val="0"/>
        <w:autoSpaceDN w:val="0"/>
        <w:adjustRightInd w:val="0"/>
        <w:spacing w:after="0" w:line="240" w:lineRule="auto"/>
        <w:ind w:left="7200"/>
        <w:textAlignment w:val="baseline"/>
        <w:rPr>
          <w:rFonts w:eastAsia="Times New Roman"/>
          <w:color w:val="000000"/>
          <w:szCs w:val="26"/>
        </w:rPr>
      </w:pPr>
      <w:r w:rsidRPr="006F284F">
        <w:rPr>
          <w:rFonts w:eastAsia="Times New Roman"/>
          <w:color w:val="000000"/>
          <w:szCs w:val="26"/>
        </w:rPr>
        <w:t>Board Meeting</w:t>
      </w:r>
    </w:p>
    <w:p w14:paraId="47BA3C42" w14:textId="7CFA71ED" w:rsidR="002F2D48" w:rsidRPr="006F284F" w:rsidRDefault="00C72355" w:rsidP="00D743A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090"/>
          <w:tab w:val="left" w:pos="10080"/>
          <w:tab w:val="left" w:pos="10800"/>
        </w:tabs>
        <w:overflowPunct w:val="0"/>
        <w:autoSpaceDE w:val="0"/>
        <w:autoSpaceDN w:val="0"/>
        <w:adjustRightInd w:val="0"/>
        <w:spacing w:after="0" w:line="240" w:lineRule="auto"/>
        <w:ind w:left="7200"/>
        <w:textAlignment w:val="baseline"/>
        <w:rPr>
          <w:rFonts w:eastAsia="Times New Roman"/>
          <w:szCs w:val="26"/>
        </w:rPr>
      </w:pPr>
      <w:r>
        <w:rPr>
          <w:rFonts w:eastAsia="Times New Roman"/>
          <w:szCs w:val="26"/>
        </w:rPr>
        <w:t>January 15, 2026</w:t>
      </w:r>
    </w:p>
    <w:p w14:paraId="4EA67D01" w14:textId="77777777" w:rsidR="002F2D48" w:rsidRPr="006F284F"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right"/>
        <w:textAlignment w:val="baseline"/>
        <w:rPr>
          <w:rFonts w:eastAsia="Times New Roman"/>
          <w:szCs w:val="26"/>
        </w:rPr>
      </w:pPr>
    </w:p>
    <w:p w14:paraId="64165EB6" w14:textId="77777777" w:rsidR="002F2D48" w:rsidRPr="006F284F"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right"/>
        <w:textAlignment w:val="baseline"/>
        <w:rPr>
          <w:rFonts w:eastAsia="Times New Roman"/>
          <w:szCs w:val="26"/>
        </w:rPr>
      </w:pPr>
    </w:p>
    <w:p w14:paraId="493C53AB" w14:textId="77777777" w:rsidR="002F2D48" w:rsidRPr="006F284F"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center"/>
        <w:textAlignment w:val="baseline"/>
        <w:rPr>
          <w:rFonts w:eastAsia="Times New Roman"/>
          <w:color w:val="000000"/>
          <w:szCs w:val="26"/>
        </w:rPr>
      </w:pPr>
      <w:r w:rsidRPr="006F284F">
        <w:rPr>
          <w:rFonts w:eastAsia="Times New Roman"/>
          <w:color w:val="000000"/>
          <w:szCs w:val="26"/>
        </w:rPr>
        <w:t>ROLL CALL</w:t>
      </w:r>
    </w:p>
    <w:p w14:paraId="2A62A203" w14:textId="77777777" w:rsidR="002F2D48" w:rsidRPr="006F284F"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center"/>
        <w:textAlignment w:val="baseline"/>
        <w:rPr>
          <w:rFonts w:eastAsia="Times New Roman"/>
          <w:color w:val="000000"/>
          <w:szCs w:val="26"/>
        </w:rPr>
      </w:pPr>
    </w:p>
    <w:p w14:paraId="24EE0D3B" w14:textId="77777777" w:rsidR="002F2D48" w:rsidRPr="00D7330E" w:rsidRDefault="002F2D48" w:rsidP="002F2D48">
      <w:pPr>
        <w:keepNext/>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center"/>
        <w:textAlignment w:val="baseline"/>
        <w:outlineLvl w:val="3"/>
        <w:rPr>
          <w:rFonts w:eastAsia="Times New Roman"/>
          <w:color w:val="000000"/>
          <w:szCs w:val="26"/>
        </w:rPr>
      </w:pPr>
      <w:r w:rsidRPr="00D7330E">
        <w:rPr>
          <w:rFonts w:eastAsia="Times New Roman"/>
          <w:color w:val="000000"/>
          <w:szCs w:val="26"/>
        </w:rPr>
        <w:t>PURCHASE RECOMMENDATIONS</w:t>
      </w:r>
    </w:p>
    <w:p w14:paraId="5B7E567D" w14:textId="77777777" w:rsidR="002F2D48" w:rsidRPr="00D7330E"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center"/>
        <w:textAlignment w:val="baseline"/>
        <w:rPr>
          <w:rFonts w:eastAsia="Times New Roman"/>
          <w:color w:val="000000"/>
          <w:szCs w:val="26"/>
        </w:rPr>
      </w:pPr>
    </w:p>
    <w:p w14:paraId="18C8F33F" w14:textId="68A1BA9D" w:rsidR="002F2D48" w:rsidRPr="00D7330E"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textAlignment w:val="baseline"/>
        <w:rPr>
          <w:rFonts w:eastAsia="Times New Roman"/>
          <w:i/>
          <w:color w:val="000000"/>
          <w:szCs w:val="26"/>
        </w:rPr>
      </w:pPr>
      <w:r w:rsidRPr="00D7330E">
        <w:rPr>
          <w:rFonts w:eastAsia="Times New Roman"/>
          <w:color w:val="000000"/>
          <w:szCs w:val="26"/>
        </w:rPr>
        <w:t xml:space="preserve">Following are purchase recommendations proposed by each </w:t>
      </w:r>
      <w:r w:rsidR="00814D1D" w:rsidRPr="00D7330E">
        <w:rPr>
          <w:rFonts w:eastAsia="Times New Roman"/>
          <w:color w:val="000000"/>
          <w:szCs w:val="26"/>
        </w:rPr>
        <w:t>u</w:t>
      </w:r>
      <w:r w:rsidRPr="00D7330E">
        <w:rPr>
          <w:rFonts w:eastAsia="Times New Roman"/>
          <w:color w:val="000000"/>
          <w:szCs w:val="26"/>
        </w:rPr>
        <w:t>niversity and the System Office.</w:t>
      </w:r>
      <w:r w:rsidR="00D743A9" w:rsidRPr="00D7330E">
        <w:rPr>
          <w:rFonts w:eastAsia="Times New Roman"/>
          <w:color w:val="000000"/>
          <w:szCs w:val="26"/>
        </w:rPr>
        <w:t xml:space="preserve"> </w:t>
      </w:r>
      <w:r w:rsidRPr="00D7330E">
        <w:rPr>
          <w:rFonts w:eastAsia="Times New Roman"/>
          <w:color w:val="000000"/>
          <w:szCs w:val="26"/>
        </w:rPr>
        <w:t>The purchases are to be funded from State appropriations or institutional funds as appropriate.</w:t>
      </w:r>
      <w:r w:rsidR="00D743A9" w:rsidRPr="00D7330E">
        <w:rPr>
          <w:rFonts w:eastAsia="Times New Roman"/>
          <w:color w:val="000000"/>
          <w:szCs w:val="26"/>
        </w:rPr>
        <w:t xml:space="preserve"> </w:t>
      </w:r>
      <w:r w:rsidRPr="00D7330E">
        <w:rPr>
          <w:rFonts w:eastAsia="Times New Roman"/>
          <w:color w:val="000000"/>
          <w:szCs w:val="26"/>
        </w:rPr>
        <w:t>Unless otherwise specified or indicated, purchases are based on the lowest acceptable bid.</w:t>
      </w:r>
      <w:r w:rsidR="00D743A9" w:rsidRPr="00D7330E">
        <w:rPr>
          <w:rFonts w:eastAsia="Times New Roman"/>
          <w:color w:val="000000"/>
          <w:szCs w:val="26"/>
        </w:rPr>
        <w:t xml:space="preserve"> </w:t>
      </w:r>
      <w:r w:rsidRPr="00D7330E">
        <w:rPr>
          <w:rFonts w:eastAsia="Times New Roman"/>
          <w:color w:val="000000"/>
          <w:szCs w:val="26"/>
        </w:rPr>
        <w:t xml:space="preserve">The </w:t>
      </w:r>
      <w:r w:rsidR="00814D1D" w:rsidRPr="00D7330E">
        <w:rPr>
          <w:rFonts w:eastAsia="Times New Roman"/>
          <w:color w:val="000000"/>
          <w:szCs w:val="26"/>
        </w:rPr>
        <w:t>v</w:t>
      </w:r>
      <w:r w:rsidRPr="00D7330E">
        <w:rPr>
          <w:rFonts w:eastAsia="Times New Roman"/>
          <w:color w:val="000000"/>
          <w:szCs w:val="26"/>
        </w:rPr>
        <w:t xml:space="preserve">ice </w:t>
      </w:r>
      <w:r w:rsidR="00814D1D" w:rsidRPr="00D7330E">
        <w:rPr>
          <w:rFonts w:eastAsia="Times New Roman"/>
          <w:color w:val="000000"/>
          <w:szCs w:val="26"/>
        </w:rPr>
        <w:t>p</w:t>
      </w:r>
      <w:r w:rsidRPr="00D7330E">
        <w:rPr>
          <w:rFonts w:eastAsia="Times New Roman"/>
          <w:color w:val="000000"/>
          <w:szCs w:val="26"/>
        </w:rPr>
        <w:t>resident</w:t>
      </w:r>
      <w:r w:rsidR="00814D1D" w:rsidRPr="00D7330E">
        <w:rPr>
          <w:rFonts w:eastAsia="Times New Roman"/>
          <w:color w:val="000000"/>
          <w:szCs w:val="26"/>
        </w:rPr>
        <w:t>/c</w:t>
      </w:r>
      <w:r w:rsidRPr="00D7330E">
        <w:rPr>
          <w:rFonts w:eastAsia="Times New Roman"/>
          <w:color w:val="000000"/>
          <w:szCs w:val="26"/>
        </w:rPr>
        <w:t xml:space="preserve">hief </w:t>
      </w:r>
      <w:r w:rsidR="00814D1D" w:rsidRPr="00D7330E">
        <w:rPr>
          <w:rFonts w:eastAsia="Times New Roman"/>
          <w:color w:val="000000"/>
          <w:szCs w:val="26"/>
        </w:rPr>
        <w:t>f</w:t>
      </w:r>
      <w:r w:rsidRPr="00D7330E">
        <w:rPr>
          <w:rFonts w:eastAsia="Times New Roman"/>
          <w:color w:val="000000"/>
          <w:szCs w:val="26"/>
        </w:rPr>
        <w:t xml:space="preserve">inancial </w:t>
      </w:r>
      <w:r w:rsidR="00814D1D" w:rsidRPr="00D7330E">
        <w:rPr>
          <w:rFonts w:eastAsia="Times New Roman"/>
          <w:color w:val="000000"/>
          <w:szCs w:val="26"/>
        </w:rPr>
        <w:t>o</w:t>
      </w:r>
      <w:r w:rsidRPr="00D7330E">
        <w:rPr>
          <w:rFonts w:eastAsia="Times New Roman"/>
          <w:color w:val="000000"/>
          <w:szCs w:val="26"/>
        </w:rPr>
        <w:t xml:space="preserve">fficer and </w:t>
      </w:r>
      <w:r w:rsidR="00814D1D" w:rsidRPr="00D7330E">
        <w:rPr>
          <w:rFonts w:eastAsia="Times New Roman"/>
          <w:color w:val="000000"/>
          <w:szCs w:val="26"/>
        </w:rPr>
        <w:t>c</w:t>
      </w:r>
      <w:r w:rsidRPr="00D7330E">
        <w:rPr>
          <w:rFonts w:eastAsia="Times New Roman"/>
          <w:color w:val="000000"/>
          <w:szCs w:val="26"/>
        </w:rPr>
        <w:t xml:space="preserve">omptroller has approved all purchases to be funded from State appropriations in accordance with the </w:t>
      </w:r>
      <w:r w:rsidRPr="00D7330E">
        <w:rPr>
          <w:rFonts w:eastAsia="Times New Roman"/>
          <w:i/>
          <w:color w:val="000000"/>
          <w:szCs w:val="26"/>
        </w:rPr>
        <w:t xml:space="preserve">Bylaws of the Board of Trustees </w:t>
      </w:r>
      <w:r w:rsidRPr="00D7330E">
        <w:rPr>
          <w:rFonts w:eastAsia="Times New Roman"/>
          <w:color w:val="000000"/>
          <w:szCs w:val="26"/>
        </w:rPr>
        <w:t xml:space="preserve">and the </w:t>
      </w:r>
      <w:r w:rsidRPr="00D7330E">
        <w:rPr>
          <w:rFonts w:eastAsia="Times New Roman"/>
          <w:i/>
          <w:color w:val="000000"/>
          <w:szCs w:val="26"/>
        </w:rPr>
        <w:t>General Rules Concerning University Organization and Procedure.</w:t>
      </w:r>
    </w:p>
    <w:p w14:paraId="702878B2" w14:textId="77777777" w:rsidR="002F2D48" w:rsidRPr="00D7330E"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textAlignment w:val="baseline"/>
        <w:rPr>
          <w:rFonts w:eastAsia="Times New Roman"/>
          <w:color w:val="000000"/>
          <w:szCs w:val="26"/>
        </w:rPr>
      </w:pPr>
    </w:p>
    <w:p w14:paraId="5BAB4970" w14:textId="43D7B87D" w:rsidR="002F2D48" w:rsidRPr="00D7330E"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textAlignment w:val="baseline"/>
        <w:rPr>
          <w:rFonts w:eastAsia="Times New Roman"/>
          <w:color w:val="000000"/>
          <w:szCs w:val="26"/>
        </w:rPr>
      </w:pPr>
      <w:r w:rsidRPr="00D7330E">
        <w:rPr>
          <w:rFonts w:eastAsia="Times New Roman"/>
          <w:color w:val="000000"/>
          <w:szCs w:val="26"/>
        </w:rPr>
        <w:t xml:space="preserve">The Board action recommended in this item complies in all material respects with applicable State and </w:t>
      </w:r>
      <w:r w:rsidR="00814D1D" w:rsidRPr="00D7330E">
        <w:rPr>
          <w:rFonts w:eastAsia="Times New Roman"/>
          <w:color w:val="000000"/>
          <w:szCs w:val="26"/>
        </w:rPr>
        <w:t>f</w:t>
      </w:r>
      <w:r w:rsidRPr="00D7330E">
        <w:rPr>
          <w:rFonts w:eastAsia="Times New Roman"/>
          <w:color w:val="000000"/>
          <w:szCs w:val="26"/>
        </w:rPr>
        <w:t xml:space="preserve">ederal laws, University of Illinois </w:t>
      </w:r>
      <w:r w:rsidRPr="00D7330E">
        <w:rPr>
          <w:rFonts w:eastAsia="Times New Roman"/>
          <w:i/>
          <w:color w:val="000000"/>
          <w:szCs w:val="26"/>
        </w:rPr>
        <w:t>Statutes</w:t>
      </w:r>
      <w:r w:rsidRPr="00D7330E">
        <w:rPr>
          <w:rFonts w:eastAsia="Times New Roman"/>
          <w:iCs/>
          <w:color w:val="000000"/>
          <w:szCs w:val="26"/>
        </w:rPr>
        <w:t xml:space="preserve">, </w:t>
      </w:r>
      <w:r w:rsidRPr="00D7330E">
        <w:rPr>
          <w:rFonts w:eastAsia="Times New Roman"/>
          <w:i/>
          <w:color w:val="000000"/>
          <w:szCs w:val="26"/>
        </w:rPr>
        <w:t>The General Rules Concerning University Organization and Procedure</w:t>
      </w:r>
      <w:r w:rsidRPr="00D7330E">
        <w:rPr>
          <w:rFonts w:eastAsia="Times New Roman"/>
          <w:color w:val="000000"/>
          <w:szCs w:val="26"/>
        </w:rPr>
        <w:t>, and Board of Trustees policies and directives.</w:t>
      </w:r>
    </w:p>
    <w:p w14:paraId="552D226E" w14:textId="77777777" w:rsidR="002F2D48" w:rsidRPr="00D7330E"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both"/>
        <w:textAlignment w:val="baseline"/>
        <w:rPr>
          <w:rFonts w:eastAsia="Times New Roman"/>
          <w:color w:val="000000"/>
          <w:szCs w:val="26"/>
        </w:rPr>
      </w:pPr>
    </w:p>
    <w:p w14:paraId="3F8EC082" w14:textId="77777777" w:rsidR="002F2D48" w:rsidRPr="00D7330E"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both"/>
        <w:textAlignment w:val="baseline"/>
        <w:rPr>
          <w:rFonts w:eastAsia="Times New Roman"/>
          <w:color w:val="000000"/>
          <w:szCs w:val="26"/>
        </w:rPr>
      </w:pPr>
      <w:r w:rsidRPr="00D7330E">
        <w:rPr>
          <w:rFonts w:eastAsia="Times New Roman"/>
          <w:color w:val="000000"/>
          <w:szCs w:val="26"/>
        </w:rPr>
        <w:t>The president of the University of Illinois System concurs.</w:t>
      </w:r>
    </w:p>
    <w:p w14:paraId="19EA8323" w14:textId="54B584C5" w:rsidR="00252F86" w:rsidRPr="00D7330E" w:rsidRDefault="00252F86" w:rsidP="00EC586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both"/>
        <w:textAlignment w:val="baseline"/>
        <w:rPr>
          <w:rFonts w:eastAsia="Times New Roman"/>
          <w:color w:val="000000"/>
          <w:szCs w:val="26"/>
        </w:rPr>
      </w:pPr>
    </w:p>
    <w:p w14:paraId="0BDB4969" w14:textId="7ECED5C2" w:rsidR="00EB675E" w:rsidRPr="00D7330E" w:rsidRDefault="00252F86" w:rsidP="00252F86">
      <w:pPr>
        <w:spacing w:after="0" w:line="240" w:lineRule="auto"/>
        <w:jc w:val="center"/>
        <w:rPr>
          <w:b/>
          <w:szCs w:val="26"/>
        </w:rPr>
      </w:pPr>
      <w:r w:rsidRPr="00D7330E">
        <w:rPr>
          <w:b/>
          <w:szCs w:val="26"/>
        </w:rPr>
        <w:t>PURCHASES RECOMMENDED</w:t>
      </w:r>
    </w:p>
    <w:p w14:paraId="5FEB6345" w14:textId="77777777" w:rsidR="006722F9" w:rsidRPr="00D7330E" w:rsidRDefault="006722F9" w:rsidP="00252F86">
      <w:pPr>
        <w:spacing w:after="0" w:line="240" w:lineRule="auto"/>
        <w:jc w:val="center"/>
        <w:rPr>
          <w:b/>
          <w:szCs w:val="26"/>
        </w:rPr>
      </w:pPr>
    </w:p>
    <w:tbl>
      <w:tblPr>
        <w:tblW w:w="9450" w:type="dxa"/>
        <w:tblLayout w:type="fixed"/>
        <w:tblCellMar>
          <w:left w:w="72" w:type="dxa"/>
          <w:right w:w="72" w:type="dxa"/>
        </w:tblCellMar>
        <w:tblLook w:val="0000" w:firstRow="0" w:lastRow="0" w:firstColumn="0" w:lastColumn="0" w:noHBand="0" w:noVBand="0"/>
      </w:tblPr>
      <w:tblGrid>
        <w:gridCol w:w="342"/>
        <w:gridCol w:w="990"/>
        <w:gridCol w:w="8118"/>
      </w:tblGrid>
      <w:tr w:rsidR="00091CFA" w:rsidRPr="00D7330E" w14:paraId="434E2894" w14:textId="77777777" w:rsidTr="00361DE1">
        <w:trPr>
          <w:trHeight w:val="120"/>
        </w:trPr>
        <w:tc>
          <w:tcPr>
            <w:tcW w:w="342" w:type="dxa"/>
          </w:tcPr>
          <w:p w14:paraId="401F0F7F" w14:textId="77777777" w:rsidR="00091CFA" w:rsidRPr="00D7330E" w:rsidRDefault="00091CFA" w:rsidP="00091CFA">
            <w:pPr>
              <w:pStyle w:val="NoSpacing"/>
              <w:rPr>
                <w:sz w:val="26"/>
                <w:szCs w:val="26"/>
              </w:rPr>
            </w:pPr>
          </w:p>
        </w:tc>
        <w:tc>
          <w:tcPr>
            <w:tcW w:w="990" w:type="dxa"/>
          </w:tcPr>
          <w:p w14:paraId="02A261B8" w14:textId="77777777" w:rsidR="00091CFA" w:rsidRPr="00D7330E" w:rsidRDefault="00091CFA" w:rsidP="00091CFA">
            <w:pPr>
              <w:pStyle w:val="NoSpacing"/>
              <w:rPr>
                <w:sz w:val="26"/>
                <w:szCs w:val="26"/>
              </w:rPr>
            </w:pPr>
          </w:p>
        </w:tc>
        <w:tc>
          <w:tcPr>
            <w:tcW w:w="8118" w:type="dxa"/>
          </w:tcPr>
          <w:p w14:paraId="2A8B7682" w14:textId="77777777" w:rsidR="00091CFA" w:rsidRPr="00D7330E" w:rsidRDefault="00091CFA" w:rsidP="00091CFA">
            <w:pPr>
              <w:pStyle w:val="NoSpacing"/>
              <w:rPr>
                <w:spacing w:val="-3"/>
                <w:sz w:val="26"/>
                <w:szCs w:val="26"/>
              </w:rPr>
            </w:pPr>
          </w:p>
        </w:tc>
      </w:tr>
      <w:tr w:rsidR="00091CFA" w:rsidRPr="00D7330E" w14:paraId="3E8AF208" w14:textId="77777777" w:rsidTr="00F21A6D">
        <w:trPr>
          <w:trHeight w:val="120"/>
        </w:trPr>
        <w:tc>
          <w:tcPr>
            <w:tcW w:w="9450" w:type="dxa"/>
            <w:gridSpan w:val="3"/>
          </w:tcPr>
          <w:tbl>
            <w:tblPr>
              <w:tblpPr w:leftFromText="180" w:rightFromText="180" w:vertAnchor="text" w:tblpY="1"/>
              <w:tblOverlap w:val="never"/>
              <w:tblW w:w="9454" w:type="dxa"/>
              <w:tblLayout w:type="fixed"/>
              <w:tblCellMar>
                <w:left w:w="43" w:type="dxa"/>
                <w:right w:w="43" w:type="dxa"/>
              </w:tblCellMar>
              <w:tblLook w:val="0000" w:firstRow="0" w:lastRow="0" w:firstColumn="0" w:lastColumn="0" w:noHBand="0" w:noVBand="0"/>
            </w:tblPr>
            <w:tblGrid>
              <w:gridCol w:w="9454"/>
            </w:tblGrid>
            <w:tr w:rsidR="00091CFA" w:rsidRPr="00D7330E" w14:paraId="209C5A9A" w14:textId="77777777" w:rsidTr="0025577D">
              <w:trPr>
                <w:trHeight w:val="114"/>
              </w:trPr>
              <w:tc>
                <w:tcPr>
                  <w:tcW w:w="9454" w:type="dxa"/>
                  <w:tcBorders>
                    <w:top w:val="single" w:sz="18" w:space="0" w:color="auto"/>
                    <w:bottom w:val="single" w:sz="18" w:space="0" w:color="auto"/>
                  </w:tcBorders>
                </w:tcPr>
                <w:p w14:paraId="55B87639" w14:textId="3AE09425" w:rsidR="00091CFA" w:rsidRPr="00D7330E" w:rsidRDefault="00091CFA" w:rsidP="00091CFA">
                  <w:pPr>
                    <w:tabs>
                      <w:tab w:val="left" w:pos="-720"/>
                      <w:tab w:val="left" w:pos="9090"/>
                    </w:tabs>
                    <w:suppressAutoHyphens/>
                    <w:overflowPunct w:val="0"/>
                    <w:autoSpaceDE w:val="0"/>
                    <w:autoSpaceDN w:val="0"/>
                    <w:adjustRightInd w:val="0"/>
                    <w:spacing w:after="0" w:line="240" w:lineRule="auto"/>
                    <w:jc w:val="center"/>
                    <w:textAlignment w:val="baseline"/>
                    <w:rPr>
                      <w:rFonts w:eastAsia="Times New Roman"/>
                      <w:b/>
                      <w:szCs w:val="26"/>
                    </w:rPr>
                  </w:pPr>
                  <w:r w:rsidRPr="00D7330E">
                    <w:rPr>
                      <w:rFonts w:eastAsia="Times New Roman"/>
                      <w:b/>
                      <w:szCs w:val="26"/>
                    </w:rPr>
                    <w:t>University of Illinois</w:t>
                  </w:r>
                  <w:r w:rsidR="00130E3F" w:rsidRPr="00D7330E">
                    <w:rPr>
                      <w:rFonts w:eastAsia="Times New Roman"/>
                      <w:b/>
                      <w:szCs w:val="26"/>
                    </w:rPr>
                    <w:t xml:space="preserve"> </w:t>
                  </w:r>
                  <w:r w:rsidR="00C72355">
                    <w:rPr>
                      <w:rFonts w:eastAsia="Times New Roman"/>
                      <w:b/>
                      <w:szCs w:val="26"/>
                    </w:rPr>
                    <w:t>Chicago</w:t>
                  </w:r>
                </w:p>
              </w:tc>
            </w:tr>
          </w:tbl>
          <w:p w14:paraId="107DA0B5" w14:textId="77777777" w:rsidR="00091CFA" w:rsidRPr="00D7330E" w:rsidRDefault="00091CFA" w:rsidP="00091CFA">
            <w:pPr>
              <w:pStyle w:val="NoSpacing"/>
              <w:rPr>
                <w:spacing w:val="-3"/>
                <w:sz w:val="26"/>
                <w:szCs w:val="26"/>
              </w:rPr>
            </w:pPr>
          </w:p>
        </w:tc>
      </w:tr>
      <w:tr w:rsidR="00B775E6" w:rsidRPr="00D7330E" w14:paraId="0E86D7C9" w14:textId="77777777" w:rsidTr="00361DE1">
        <w:trPr>
          <w:trHeight w:val="120"/>
        </w:trPr>
        <w:tc>
          <w:tcPr>
            <w:tcW w:w="342" w:type="dxa"/>
            <w:tcBorders>
              <w:bottom w:val="double" w:sz="6" w:space="0" w:color="auto"/>
            </w:tcBorders>
          </w:tcPr>
          <w:p w14:paraId="2A853B15" w14:textId="3D6DFDD0" w:rsidR="00B775E6" w:rsidRPr="00D7330E" w:rsidRDefault="00B32B03" w:rsidP="00B775E6">
            <w:pPr>
              <w:pStyle w:val="NoSpacing"/>
              <w:rPr>
                <w:sz w:val="26"/>
                <w:szCs w:val="26"/>
              </w:rPr>
            </w:pPr>
            <w:r w:rsidRPr="00D7330E">
              <w:rPr>
                <w:sz w:val="26"/>
                <w:szCs w:val="26"/>
              </w:rPr>
              <w:t>1</w:t>
            </w:r>
          </w:p>
        </w:tc>
        <w:tc>
          <w:tcPr>
            <w:tcW w:w="990" w:type="dxa"/>
            <w:tcBorders>
              <w:bottom w:val="double" w:sz="6" w:space="0" w:color="auto"/>
            </w:tcBorders>
          </w:tcPr>
          <w:p w14:paraId="54386F5E" w14:textId="77777777" w:rsidR="00B775E6" w:rsidRPr="00D7330E" w:rsidRDefault="00B775E6" w:rsidP="00B775E6">
            <w:pPr>
              <w:pStyle w:val="NoSpacing"/>
              <w:rPr>
                <w:sz w:val="26"/>
                <w:szCs w:val="26"/>
              </w:rPr>
            </w:pPr>
            <w:r w:rsidRPr="00D7330E">
              <w:rPr>
                <w:sz w:val="26"/>
                <w:szCs w:val="26"/>
              </w:rPr>
              <w:t>Unit</w:t>
            </w:r>
          </w:p>
        </w:tc>
        <w:tc>
          <w:tcPr>
            <w:tcW w:w="8118" w:type="dxa"/>
            <w:tcBorders>
              <w:bottom w:val="double" w:sz="6" w:space="0" w:color="auto"/>
            </w:tcBorders>
          </w:tcPr>
          <w:p w14:paraId="141541B7" w14:textId="7B75C7CA" w:rsidR="00A44D7C" w:rsidRPr="00D7330E" w:rsidRDefault="00323CF2" w:rsidP="002F2D48">
            <w:pPr>
              <w:pStyle w:val="NoSpacing"/>
              <w:rPr>
                <w:sz w:val="26"/>
                <w:szCs w:val="26"/>
              </w:rPr>
            </w:pPr>
            <w:r>
              <w:rPr>
                <w:spacing w:val="-3"/>
                <w:sz w:val="26"/>
                <w:szCs w:val="26"/>
              </w:rPr>
              <w:t>UI Hospital and Clinics</w:t>
            </w:r>
          </w:p>
        </w:tc>
      </w:tr>
      <w:tr w:rsidR="00B775E6" w:rsidRPr="00D7330E" w14:paraId="16D04378" w14:textId="77777777" w:rsidTr="00BC0630">
        <w:trPr>
          <w:trHeight w:val="648"/>
        </w:trPr>
        <w:tc>
          <w:tcPr>
            <w:tcW w:w="342" w:type="dxa"/>
          </w:tcPr>
          <w:p w14:paraId="6610E660" w14:textId="77777777" w:rsidR="00B775E6" w:rsidRPr="00D7330E" w:rsidRDefault="00B775E6" w:rsidP="00B775E6">
            <w:pPr>
              <w:pStyle w:val="NoSpacing"/>
              <w:rPr>
                <w:sz w:val="26"/>
                <w:szCs w:val="26"/>
              </w:rPr>
            </w:pPr>
          </w:p>
        </w:tc>
        <w:tc>
          <w:tcPr>
            <w:tcW w:w="990" w:type="dxa"/>
          </w:tcPr>
          <w:p w14:paraId="21F9BBE9" w14:textId="77777777" w:rsidR="002F2D48" w:rsidRPr="00D7330E" w:rsidRDefault="002F2D48" w:rsidP="00B775E6">
            <w:pPr>
              <w:pStyle w:val="NoSpacing"/>
              <w:rPr>
                <w:sz w:val="26"/>
                <w:szCs w:val="26"/>
              </w:rPr>
            </w:pPr>
          </w:p>
          <w:p w14:paraId="39157CFA" w14:textId="468DA79B" w:rsidR="00B775E6" w:rsidRPr="00D7330E" w:rsidRDefault="00B775E6" w:rsidP="00B775E6">
            <w:pPr>
              <w:pStyle w:val="NoSpacing"/>
              <w:rPr>
                <w:sz w:val="26"/>
                <w:szCs w:val="26"/>
              </w:rPr>
            </w:pPr>
            <w:r w:rsidRPr="00D7330E">
              <w:rPr>
                <w:sz w:val="26"/>
                <w:szCs w:val="26"/>
              </w:rPr>
              <w:t>Item</w:t>
            </w:r>
            <w:r w:rsidR="00D743A9" w:rsidRPr="00D7330E">
              <w:rPr>
                <w:sz w:val="26"/>
                <w:szCs w:val="26"/>
              </w:rPr>
              <w:t xml:space="preserve">   </w:t>
            </w:r>
          </w:p>
        </w:tc>
        <w:tc>
          <w:tcPr>
            <w:tcW w:w="8118" w:type="dxa"/>
          </w:tcPr>
          <w:p w14:paraId="1F61BF83" w14:textId="77777777" w:rsidR="002F2D48" w:rsidRPr="00D7330E" w:rsidRDefault="002F2D48" w:rsidP="002F2D48">
            <w:pPr>
              <w:pStyle w:val="NoSpacing"/>
              <w:rPr>
                <w:sz w:val="26"/>
                <w:szCs w:val="26"/>
              </w:rPr>
            </w:pPr>
          </w:p>
          <w:p w14:paraId="25646054" w14:textId="3B92DCCD" w:rsidR="00B775E6" w:rsidRPr="00D7330E" w:rsidRDefault="00323CF2" w:rsidP="002F2D48">
            <w:pPr>
              <w:pStyle w:val="NoSpacing"/>
              <w:rPr>
                <w:sz w:val="26"/>
                <w:szCs w:val="26"/>
              </w:rPr>
            </w:pPr>
            <w:r w:rsidRPr="0080563D">
              <w:rPr>
                <w:sz w:val="26"/>
                <w:szCs w:val="26"/>
              </w:rPr>
              <w:t xml:space="preserve">Purchase of Specialty Pharmaceutical </w:t>
            </w:r>
            <w:proofErr w:type="spellStart"/>
            <w:r w:rsidRPr="0080563D">
              <w:rPr>
                <w:sz w:val="26"/>
                <w:szCs w:val="26"/>
              </w:rPr>
              <w:t>Lantidra</w:t>
            </w:r>
            <w:proofErr w:type="spellEnd"/>
            <w:r w:rsidRPr="0080563D">
              <w:rPr>
                <w:sz w:val="26"/>
                <w:szCs w:val="26"/>
              </w:rPr>
              <w:t xml:space="preserve">, </w:t>
            </w:r>
            <w:r>
              <w:rPr>
                <w:sz w:val="26"/>
                <w:szCs w:val="26"/>
              </w:rPr>
              <w:t xml:space="preserve">for </w:t>
            </w:r>
            <w:r w:rsidRPr="0080563D">
              <w:rPr>
                <w:sz w:val="26"/>
                <w:szCs w:val="26"/>
              </w:rPr>
              <w:t>Islet Cell Transplant</w:t>
            </w:r>
            <w:r>
              <w:rPr>
                <w:sz w:val="26"/>
                <w:szCs w:val="26"/>
              </w:rPr>
              <w:t>s</w:t>
            </w:r>
            <w:r w:rsidRPr="0080563D">
              <w:rPr>
                <w:sz w:val="26"/>
                <w:szCs w:val="26"/>
              </w:rPr>
              <w:t xml:space="preserve"> at UI Hospital and Clinics</w:t>
            </w:r>
          </w:p>
        </w:tc>
      </w:tr>
      <w:tr w:rsidR="00B775E6" w:rsidRPr="00D7330E" w14:paraId="65073756" w14:textId="77777777" w:rsidTr="00BC0630">
        <w:trPr>
          <w:trHeight w:val="315"/>
        </w:trPr>
        <w:tc>
          <w:tcPr>
            <w:tcW w:w="342" w:type="dxa"/>
          </w:tcPr>
          <w:p w14:paraId="4EB91AF9" w14:textId="77777777" w:rsidR="00B775E6" w:rsidRPr="00D7330E" w:rsidRDefault="00B775E6" w:rsidP="00B775E6">
            <w:pPr>
              <w:pStyle w:val="NoSpacing"/>
              <w:rPr>
                <w:sz w:val="26"/>
                <w:szCs w:val="26"/>
              </w:rPr>
            </w:pPr>
            <w:r w:rsidRPr="00D7330E">
              <w:rPr>
                <w:sz w:val="26"/>
                <w:szCs w:val="26"/>
              </w:rPr>
              <w:t xml:space="preserve"> </w:t>
            </w:r>
          </w:p>
        </w:tc>
        <w:tc>
          <w:tcPr>
            <w:tcW w:w="990" w:type="dxa"/>
          </w:tcPr>
          <w:p w14:paraId="2E4CAE21" w14:textId="77777777" w:rsidR="00B775E6" w:rsidRPr="00D7330E" w:rsidRDefault="00B775E6" w:rsidP="00B775E6">
            <w:pPr>
              <w:pStyle w:val="NoSpacing"/>
              <w:rPr>
                <w:sz w:val="26"/>
                <w:szCs w:val="26"/>
              </w:rPr>
            </w:pPr>
          </w:p>
          <w:p w14:paraId="4EC10280" w14:textId="77777777" w:rsidR="00B775E6" w:rsidRPr="00D7330E" w:rsidRDefault="00B775E6" w:rsidP="00B775E6">
            <w:pPr>
              <w:pStyle w:val="NoSpacing"/>
              <w:rPr>
                <w:sz w:val="26"/>
                <w:szCs w:val="26"/>
              </w:rPr>
            </w:pPr>
            <w:r w:rsidRPr="00D7330E">
              <w:rPr>
                <w:sz w:val="26"/>
                <w:szCs w:val="26"/>
              </w:rPr>
              <w:t>Cost</w:t>
            </w:r>
          </w:p>
        </w:tc>
        <w:tc>
          <w:tcPr>
            <w:tcW w:w="8118" w:type="dxa"/>
          </w:tcPr>
          <w:p w14:paraId="16BB3D59" w14:textId="77777777" w:rsidR="00B775E6" w:rsidRPr="00D7330E" w:rsidRDefault="00B775E6" w:rsidP="00B775E6">
            <w:pPr>
              <w:pStyle w:val="NoSpacing"/>
              <w:rPr>
                <w:spacing w:val="-3"/>
                <w:sz w:val="26"/>
                <w:szCs w:val="26"/>
              </w:rPr>
            </w:pPr>
          </w:p>
          <w:p w14:paraId="508EE9D7" w14:textId="77777777" w:rsidR="00B775E6" w:rsidRDefault="00323CF2" w:rsidP="00323CF2">
            <w:pPr>
              <w:spacing w:after="0" w:line="240" w:lineRule="auto"/>
              <w:rPr>
                <w:spacing w:val="-3"/>
                <w:szCs w:val="26"/>
              </w:rPr>
            </w:pPr>
            <w:r w:rsidRPr="00323CF2">
              <w:rPr>
                <w:spacing w:val="-3"/>
                <w:szCs w:val="26"/>
              </w:rPr>
              <w:t xml:space="preserve">$13,500,000 (estimated) for a three-year period from February 1, </w:t>
            </w:r>
            <w:proofErr w:type="gramStart"/>
            <w:r w:rsidRPr="00323CF2">
              <w:rPr>
                <w:spacing w:val="-3"/>
                <w:szCs w:val="26"/>
              </w:rPr>
              <w:t>2026</w:t>
            </w:r>
            <w:proofErr w:type="gramEnd"/>
            <w:r w:rsidRPr="00323CF2">
              <w:rPr>
                <w:spacing w:val="-3"/>
                <w:szCs w:val="26"/>
              </w:rPr>
              <w:t xml:space="preserve">             to January 31, 2029</w:t>
            </w:r>
          </w:p>
          <w:p w14:paraId="2112B06E" w14:textId="4EA688EC" w:rsidR="00323CF2" w:rsidRPr="00D7330E" w:rsidRDefault="00323CF2" w:rsidP="00323CF2">
            <w:pPr>
              <w:spacing w:after="0" w:line="240" w:lineRule="auto"/>
              <w:rPr>
                <w:spacing w:val="-3"/>
                <w:szCs w:val="26"/>
              </w:rPr>
            </w:pPr>
          </w:p>
        </w:tc>
      </w:tr>
      <w:tr w:rsidR="00B775E6" w:rsidRPr="00D7330E" w14:paraId="2DD649F2" w14:textId="77777777" w:rsidTr="00934FC6">
        <w:trPr>
          <w:trHeight w:val="657"/>
        </w:trPr>
        <w:tc>
          <w:tcPr>
            <w:tcW w:w="342" w:type="dxa"/>
          </w:tcPr>
          <w:p w14:paraId="6B4C7E29" w14:textId="77777777" w:rsidR="00B775E6" w:rsidRPr="00D7330E" w:rsidRDefault="00B775E6" w:rsidP="00B775E6">
            <w:pPr>
              <w:pStyle w:val="NoSpacing"/>
              <w:rPr>
                <w:sz w:val="26"/>
                <w:szCs w:val="26"/>
              </w:rPr>
            </w:pPr>
          </w:p>
        </w:tc>
        <w:tc>
          <w:tcPr>
            <w:tcW w:w="990" w:type="dxa"/>
          </w:tcPr>
          <w:p w14:paraId="7090DF1B" w14:textId="30741569" w:rsidR="00B775E6" w:rsidRPr="00D7330E" w:rsidRDefault="00B775E6" w:rsidP="00B775E6">
            <w:pPr>
              <w:pStyle w:val="NoSpacing"/>
              <w:rPr>
                <w:sz w:val="26"/>
                <w:szCs w:val="26"/>
              </w:rPr>
            </w:pPr>
            <w:r w:rsidRPr="00D7330E">
              <w:rPr>
                <w:sz w:val="26"/>
                <w:szCs w:val="26"/>
              </w:rPr>
              <w:t>Vendor</w:t>
            </w:r>
          </w:p>
        </w:tc>
        <w:tc>
          <w:tcPr>
            <w:tcW w:w="8118" w:type="dxa"/>
          </w:tcPr>
          <w:p w14:paraId="00CC0486" w14:textId="5953B378" w:rsidR="00B775E6" w:rsidRPr="00D7330E" w:rsidRDefault="00323CF2" w:rsidP="00256A21">
            <w:pPr>
              <w:spacing w:after="0" w:line="240" w:lineRule="auto"/>
              <w:jc w:val="both"/>
              <w:rPr>
                <w:szCs w:val="26"/>
              </w:rPr>
            </w:pPr>
            <w:proofErr w:type="spellStart"/>
            <w:proofErr w:type="gramStart"/>
            <w:r w:rsidRPr="00323CF2">
              <w:rPr>
                <w:bCs/>
                <w:szCs w:val="26"/>
              </w:rPr>
              <w:t>CellTrans</w:t>
            </w:r>
            <w:proofErr w:type="spellEnd"/>
            <w:r w:rsidRPr="00323CF2">
              <w:rPr>
                <w:bCs/>
                <w:szCs w:val="26"/>
              </w:rPr>
              <w:t>,</w:t>
            </w:r>
            <w:proofErr w:type="gramEnd"/>
            <w:r w:rsidRPr="00323CF2">
              <w:rPr>
                <w:bCs/>
                <w:szCs w:val="26"/>
              </w:rPr>
              <w:t xml:space="preserve"> Inc.                          </w:t>
            </w:r>
            <w:r w:rsidR="00256A21">
              <w:rPr>
                <w:bCs/>
                <w:szCs w:val="26"/>
              </w:rPr>
              <w:t xml:space="preserve">                                         </w:t>
            </w:r>
            <w:r w:rsidRPr="00323CF2">
              <w:rPr>
                <w:bCs/>
                <w:szCs w:val="26"/>
              </w:rPr>
              <w:t xml:space="preserve"> Chicago, Illinois </w:t>
            </w:r>
          </w:p>
        </w:tc>
      </w:tr>
      <w:tr w:rsidR="00B775E6" w:rsidRPr="00D7330E" w14:paraId="2DE86FAC" w14:textId="77777777" w:rsidTr="0009228A">
        <w:trPr>
          <w:trHeight w:val="990"/>
        </w:trPr>
        <w:tc>
          <w:tcPr>
            <w:tcW w:w="342" w:type="dxa"/>
          </w:tcPr>
          <w:p w14:paraId="259A8EB8" w14:textId="77777777" w:rsidR="00B775E6" w:rsidRPr="00D7330E" w:rsidRDefault="00B775E6" w:rsidP="00B775E6">
            <w:pPr>
              <w:pStyle w:val="NoSpacing"/>
              <w:rPr>
                <w:sz w:val="26"/>
                <w:szCs w:val="26"/>
              </w:rPr>
            </w:pPr>
          </w:p>
        </w:tc>
        <w:tc>
          <w:tcPr>
            <w:tcW w:w="990" w:type="dxa"/>
          </w:tcPr>
          <w:p w14:paraId="3561F559" w14:textId="77777777" w:rsidR="00B775E6" w:rsidRPr="00D7330E" w:rsidRDefault="00B775E6" w:rsidP="00B775E6">
            <w:pPr>
              <w:pStyle w:val="NoSpacing"/>
              <w:rPr>
                <w:sz w:val="26"/>
                <w:szCs w:val="26"/>
              </w:rPr>
            </w:pPr>
          </w:p>
        </w:tc>
        <w:tc>
          <w:tcPr>
            <w:tcW w:w="8118" w:type="dxa"/>
          </w:tcPr>
          <w:p w14:paraId="2F628616" w14:textId="77777777" w:rsidR="00323CF2" w:rsidRDefault="00323CF2" w:rsidP="00323CF2">
            <w:pPr>
              <w:jc w:val="both"/>
              <w:rPr>
                <w:szCs w:val="26"/>
              </w:rPr>
            </w:pPr>
            <w:proofErr w:type="spellStart"/>
            <w:r w:rsidRPr="00323CF2">
              <w:rPr>
                <w:szCs w:val="26"/>
              </w:rPr>
              <w:t>Lantidra</w:t>
            </w:r>
            <w:proofErr w:type="spellEnd"/>
            <w:r w:rsidRPr="00323CF2">
              <w:rPr>
                <w:szCs w:val="26"/>
              </w:rPr>
              <w:t xml:space="preserve"> was approved by the FDA in June 2023 for </w:t>
            </w:r>
            <w:proofErr w:type="gramStart"/>
            <w:r w:rsidRPr="00323CF2">
              <w:rPr>
                <w:szCs w:val="26"/>
              </w:rPr>
              <w:t>minimally-invasive</w:t>
            </w:r>
            <w:proofErr w:type="gramEnd"/>
            <w:r w:rsidRPr="00323CF2">
              <w:rPr>
                <w:szCs w:val="26"/>
              </w:rPr>
              <w:t xml:space="preserve"> islet cell transplant for the treatment of Brittle Type 1 Diabetes disease in patients 18 years and older. </w:t>
            </w:r>
            <w:bookmarkStart w:id="0" w:name="_Hlk214634432"/>
            <w:r w:rsidRPr="00323CF2">
              <w:rPr>
                <w:szCs w:val="26"/>
              </w:rPr>
              <w:t xml:space="preserve">It was developed over 20 years by a team at UI Hospital and is currently only offered at UI Hospital.  Successful treatment with </w:t>
            </w:r>
            <w:proofErr w:type="spellStart"/>
            <w:r w:rsidRPr="00323CF2">
              <w:rPr>
                <w:szCs w:val="26"/>
              </w:rPr>
              <w:lastRenderedPageBreak/>
              <w:t>Lantidra</w:t>
            </w:r>
            <w:proofErr w:type="spellEnd"/>
            <w:r w:rsidRPr="00323CF2">
              <w:rPr>
                <w:szCs w:val="26"/>
              </w:rPr>
              <w:t xml:space="preserve"> restores the body’s ability to regulate blood sugar without the regular use of insulin.</w:t>
            </w:r>
          </w:p>
          <w:p w14:paraId="172895CA" w14:textId="470AC0FA" w:rsidR="00323CF2" w:rsidRPr="00323CF2" w:rsidRDefault="00323CF2" w:rsidP="00323CF2">
            <w:pPr>
              <w:jc w:val="both"/>
              <w:rPr>
                <w:szCs w:val="26"/>
              </w:rPr>
            </w:pPr>
            <w:r w:rsidRPr="00E620B4">
              <w:rPr>
                <w:szCs w:val="26"/>
              </w:rPr>
              <w:t>This purchase is exempt from competitive selection procedures in accordance with the Illinois Procurement Code (30ILCS 500/1-13(b-5)).</w:t>
            </w:r>
          </w:p>
          <w:bookmarkEnd w:id="0"/>
          <w:p w14:paraId="1DF728E4" w14:textId="1DFCECEC" w:rsidR="00B775E6" w:rsidRPr="004C5D18" w:rsidRDefault="00323CF2" w:rsidP="00D7330E">
            <w:pPr>
              <w:rPr>
                <w:szCs w:val="26"/>
              </w:rPr>
            </w:pPr>
            <w:r w:rsidRPr="00E620B4">
              <w:rPr>
                <w:rFonts w:eastAsia="Times New Roman"/>
                <w:b/>
                <w:color w:val="000000"/>
                <w:szCs w:val="26"/>
              </w:rPr>
              <w:t xml:space="preserve">Business Enterprise Program (BEP) </w:t>
            </w:r>
            <w:r w:rsidRPr="00E620B4">
              <w:rPr>
                <w:rFonts w:eastAsia="Times New Roman"/>
                <w:bCs/>
                <w:color w:val="000000"/>
                <w:szCs w:val="26"/>
              </w:rPr>
              <w:t>goals are not established for   contracts which are exempt from the requirements of the Illinois Procurement Code.</w:t>
            </w:r>
          </w:p>
        </w:tc>
      </w:tr>
      <w:tr w:rsidR="00B62DED" w:rsidRPr="00D7330E" w14:paraId="0B25B887" w14:textId="77777777" w:rsidTr="0009228A">
        <w:trPr>
          <w:trHeight w:val="150"/>
        </w:trPr>
        <w:tc>
          <w:tcPr>
            <w:tcW w:w="342" w:type="dxa"/>
          </w:tcPr>
          <w:p w14:paraId="66652AFA" w14:textId="77777777" w:rsidR="00B62DED" w:rsidRPr="00D7330E" w:rsidRDefault="00B62DED" w:rsidP="00B775E6">
            <w:pPr>
              <w:pStyle w:val="NoSpacing"/>
              <w:rPr>
                <w:sz w:val="26"/>
                <w:szCs w:val="26"/>
              </w:rPr>
            </w:pPr>
          </w:p>
        </w:tc>
        <w:tc>
          <w:tcPr>
            <w:tcW w:w="990" w:type="dxa"/>
          </w:tcPr>
          <w:p w14:paraId="522E9F06" w14:textId="77777777" w:rsidR="00B62DED" w:rsidRPr="00D7330E" w:rsidRDefault="00B62DED" w:rsidP="00B775E6">
            <w:pPr>
              <w:pStyle w:val="NoSpacing"/>
              <w:rPr>
                <w:sz w:val="26"/>
                <w:szCs w:val="26"/>
              </w:rPr>
            </w:pPr>
          </w:p>
        </w:tc>
        <w:tc>
          <w:tcPr>
            <w:tcW w:w="8118" w:type="dxa"/>
          </w:tcPr>
          <w:p w14:paraId="619779BA" w14:textId="77777777" w:rsidR="00B62DED" w:rsidRPr="00D7330E" w:rsidRDefault="00B62DED" w:rsidP="00B775E6">
            <w:pPr>
              <w:spacing w:after="0" w:line="240" w:lineRule="auto"/>
              <w:ind w:left="1478"/>
              <w:rPr>
                <w:szCs w:val="26"/>
              </w:rPr>
            </w:pPr>
          </w:p>
        </w:tc>
      </w:tr>
      <w:tr w:rsidR="00B775E6" w:rsidRPr="00D7330E" w14:paraId="6FAD3153" w14:textId="77777777" w:rsidTr="0009228A">
        <w:trPr>
          <w:trHeight w:val="150"/>
        </w:trPr>
        <w:tc>
          <w:tcPr>
            <w:tcW w:w="342" w:type="dxa"/>
            <w:tcBorders>
              <w:bottom w:val="double" w:sz="4" w:space="0" w:color="auto"/>
            </w:tcBorders>
          </w:tcPr>
          <w:p w14:paraId="414628F7" w14:textId="3372E8CF" w:rsidR="00B775E6" w:rsidRPr="00D7330E" w:rsidRDefault="00B32B03" w:rsidP="00B775E6">
            <w:pPr>
              <w:pStyle w:val="NoSpacing"/>
              <w:rPr>
                <w:sz w:val="26"/>
                <w:szCs w:val="26"/>
              </w:rPr>
            </w:pPr>
            <w:r w:rsidRPr="00D7330E">
              <w:rPr>
                <w:sz w:val="26"/>
                <w:szCs w:val="26"/>
              </w:rPr>
              <w:t>2</w:t>
            </w:r>
          </w:p>
        </w:tc>
        <w:tc>
          <w:tcPr>
            <w:tcW w:w="990" w:type="dxa"/>
            <w:tcBorders>
              <w:bottom w:val="double" w:sz="4" w:space="0" w:color="auto"/>
            </w:tcBorders>
          </w:tcPr>
          <w:p w14:paraId="3B9E5490" w14:textId="4969B5B4" w:rsidR="00B775E6" w:rsidRPr="00D7330E" w:rsidRDefault="00B775E6" w:rsidP="00B775E6">
            <w:pPr>
              <w:pStyle w:val="NoSpacing"/>
              <w:rPr>
                <w:sz w:val="26"/>
                <w:szCs w:val="26"/>
              </w:rPr>
            </w:pPr>
            <w:r w:rsidRPr="00D7330E">
              <w:rPr>
                <w:sz w:val="26"/>
                <w:szCs w:val="26"/>
              </w:rPr>
              <w:t>Unit</w:t>
            </w:r>
          </w:p>
        </w:tc>
        <w:tc>
          <w:tcPr>
            <w:tcW w:w="8118" w:type="dxa"/>
            <w:tcBorders>
              <w:bottom w:val="double" w:sz="4" w:space="0" w:color="auto"/>
            </w:tcBorders>
          </w:tcPr>
          <w:p w14:paraId="441EE111" w14:textId="1A8A78C4" w:rsidR="00A44D7C" w:rsidRPr="00D7330E" w:rsidRDefault="00256A21" w:rsidP="00B775E6">
            <w:pPr>
              <w:spacing w:after="0" w:line="240" w:lineRule="auto"/>
              <w:jc w:val="both"/>
              <w:rPr>
                <w:szCs w:val="26"/>
              </w:rPr>
            </w:pPr>
            <w:r>
              <w:rPr>
                <w:spacing w:val="-3"/>
                <w:szCs w:val="26"/>
              </w:rPr>
              <w:t>UI Hospital and Clinics</w:t>
            </w:r>
          </w:p>
        </w:tc>
      </w:tr>
      <w:tr w:rsidR="00B775E6" w:rsidRPr="00D7330E" w14:paraId="56000687" w14:textId="77777777" w:rsidTr="0009228A">
        <w:trPr>
          <w:trHeight w:val="150"/>
        </w:trPr>
        <w:tc>
          <w:tcPr>
            <w:tcW w:w="342" w:type="dxa"/>
            <w:tcBorders>
              <w:top w:val="double" w:sz="4" w:space="0" w:color="auto"/>
            </w:tcBorders>
          </w:tcPr>
          <w:p w14:paraId="3242B2D0" w14:textId="77777777" w:rsidR="00B775E6" w:rsidRPr="00D7330E" w:rsidRDefault="00B775E6" w:rsidP="00B775E6">
            <w:pPr>
              <w:pStyle w:val="NoSpacing"/>
              <w:rPr>
                <w:sz w:val="26"/>
                <w:szCs w:val="26"/>
              </w:rPr>
            </w:pPr>
          </w:p>
        </w:tc>
        <w:tc>
          <w:tcPr>
            <w:tcW w:w="990" w:type="dxa"/>
            <w:tcBorders>
              <w:top w:val="double" w:sz="4" w:space="0" w:color="auto"/>
            </w:tcBorders>
          </w:tcPr>
          <w:p w14:paraId="426D2FF5" w14:textId="77777777" w:rsidR="00F53FA1" w:rsidRPr="00D7330E" w:rsidRDefault="00F53FA1" w:rsidP="00B775E6">
            <w:pPr>
              <w:pStyle w:val="NoSpacing"/>
              <w:rPr>
                <w:sz w:val="26"/>
                <w:szCs w:val="26"/>
              </w:rPr>
            </w:pPr>
          </w:p>
          <w:p w14:paraId="43D29374" w14:textId="2AED385E" w:rsidR="00B775E6" w:rsidRPr="00D7330E" w:rsidRDefault="00B775E6" w:rsidP="00B775E6">
            <w:pPr>
              <w:pStyle w:val="NoSpacing"/>
              <w:rPr>
                <w:sz w:val="26"/>
                <w:szCs w:val="26"/>
              </w:rPr>
            </w:pPr>
            <w:r w:rsidRPr="00D7330E">
              <w:rPr>
                <w:sz w:val="26"/>
                <w:szCs w:val="26"/>
              </w:rPr>
              <w:t>Item</w:t>
            </w:r>
            <w:r w:rsidR="00D743A9" w:rsidRPr="00D7330E">
              <w:rPr>
                <w:sz w:val="26"/>
                <w:szCs w:val="26"/>
              </w:rPr>
              <w:t xml:space="preserve">   </w:t>
            </w:r>
          </w:p>
        </w:tc>
        <w:tc>
          <w:tcPr>
            <w:tcW w:w="8118" w:type="dxa"/>
            <w:tcBorders>
              <w:top w:val="double" w:sz="4" w:space="0" w:color="auto"/>
            </w:tcBorders>
          </w:tcPr>
          <w:p w14:paraId="2B0CD1E0" w14:textId="77777777" w:rsidR="00F53FA1" w:rsidRPr="00D7330E" w:rsidRDefault="00F53FA1" w:rsidP="00F53FA1">
            <w:pPr>
              <w:pStyle w:val="NoSpacing"/>
              <w:rPr>
                <w:sz w:val="26"/>
                <w:szCs w:val="26"/>
              </w:rPr>
            </w:pPr>
          </w:p>
          <w:p w14:paraId="6B38247D" w14:textId="77777777" w:rsidR="007373C0" w:rsidRDefault="00256A21" w:rsidP="00A44D7C">
            <w:pPr>
              <w:spacing w:after="0" w:line="240" w:lineRule="auto"/>
              <w:rPr>
                <w:rFonts w:eastAsia="Times New Roman"/>
                <w:b/>
                <w:color w:val="000000"/>
                <w:szCs w:val="26"/>
              </w:rPr>
            </w:pPr>
            <w:r w:rsidRPr="003442F6">
              <w:rPr>
                <w:bCs/>
                <w:szCs w:val="26"/>
              </w:rPr>
              <w:t xml:space="preserve">Purchase of </w:t>
            </w:r>
            <w:r>
              <w:rPr>
                <w:bCs/>
                <w:szCs w:val="26"/>
              </w:rPr>
              <w:t>Laboratory Reagents</w:t>
            </w:r>
            <w:r w:rsidRPr="003442F6">
              <w:rPr>
                <w:bCs/>
                <w:szCs w:val="26"/>
              </w:rPr>
              <w:t xml:space="preserve"> for UI Hospital and Clinics</w:t>
            </w:r>
            <w:r w:rsidRPr="00D7330E">
              <w:rPr>
                <w:rFonts w:eastAsia="Times New Roman"/>
                <w:b/>
                <w:color w:val="000000"/>
                <w:szCs w:val="26"/>
              </w:rPr>
              <w:t xml:space="preserve"> </w:t>
            </w:r>
          </w:p>
          <w:p w14:paraId="006FA455" w14:textId="038512F7" w:rsidR="00256A21" w:rsidRPr="00D7330E" w:rsidRDefault="00256A21" w:rsidP="00A44D7C">
            <w:pPr>
              <w:spacing w:after="0" w:line="240" w:lineRule="auto"/>
              <w:rPr>
                <w:rFonts w:eastAsia="Times New Roman"/>
                <w:b/>
                <w:color w:val="000000"/>
                <w:szCs w:val="26"/>
              </w:rPr>
            </w:pPr>
          </w:p>
        </w:tc>
      </w:tr>
      <w:tr w:rsidR="00B775E6" w:rsidRPr="00D7330E" w14:paraId="156E60B7" w14:textId="77777777" w:rsidTr="005274CF">
        <w:trPr>
          <w:trHeight w:val="150"/>
        </w:trPr>
        <w:tc>
          <w:tcPr>
            <w:tcW w:w="342" w:type="dxa"/>
          </w:tcPr>
          <w:p w14:paraId="07998497" w14:textId="59FE1609" w:rsidR="00B775E6" w:rsidRPr="00D7330E" w:rsidRDefault="00B775E6" w:rsidP="00B775E6">
            <w:pPr>
              <w:pStyle w:val="NoSpacing"/>
              <w:rPr>
                <w:sz w:val="26"/>
                <w:szCs w:val="26"/>
              </w:rPr>
            </w:pPr>
            <w:r w:rsidRPr="00D7330E">
              <w:rPr>
                <w:sz w:val="26"/>
                <w:szCs w:val="26"/>
              </w:rPr>
              <w:t xml:space="preserve"> </w:t>
            </w:r>
          </w:p>
        </w:tc>
        <w:tc>
          <w:tcPr>
            <w:tcW w:w="990" w:type="dxa"/>
          </w:tcPr>
          <w:p w14:paraId="278055F8" w14:textId="33B6CEC7" w:rsidR="00B775E6" w:rsidRPr="00D7330E" w:rsidRDefault="00B775E6" w:rsidP="00B775E6">
            <w:pPr>
              <w:pStyle w:val="NoSpacing"/>
              <w:rPr>
                <w:sz w:val="26"/>
                <w:szCs w:val="26"/>
              </w:rPr>
            </w:pPr>
            <w:r w:rsidRPr="00D7330E">
              <w:rPr>
                <w:sz w:val="26"/>
                <w:szCs w:val="26"/>
              </w:rPr>
              <w:t>Cost</w:t>
            </w:r>
          </w:p>
        </w:tc>
        <w:tc>
          <w:tcPr>
            <w:tcW w:w="8118" w:type="dxa"/>
          </w:tcPr>
          <w:p w14:paraId="25C2D7FF" w14:textId="77777777" w:rsidR="00256A21" w:rsidRPr="00256A21" w:rsidRDefault="00256A21" w:rsidP="00256A21">
            <w:pPr>
              <w:spacing w:after="0" w:line="240" w:lineRule="auto"/>
              <w:rPr>
                <w:spacing w:val="-3"/>
                <w:szCs w:val="26"/>
              </w:rPr>
            </w:pPr>
            <w:r w:rsidRPr="00256A21">
              <w:rPr>
                <w:spacing w:val="-3"/>
                <w:szCs w:val="26"/>
              </w:rPr>
              <w:t xml:space="preserve">$15,000,000 (estimated) for a 41-month term from February 1, </w:t>
            </w:r>
            <w:proofErr w:type="gramStart"/>
            <w:r w:rsidRPr="00256A21">
              <w:rPr>
                <w:spacing w:val="-3"/>
                <w:szCs w:val="26"/>
              </w:rPr>
              <w:t>2026</w:t>
            </w:r>
            <w:proofErr w:type="gramEnd"/>
            <w:r w:rsidRPr="00256A21">
              <w:rPr>
                <w:spacing w:val="-3"/>
                <w:szCs w:val="26"/>
              </w:rPr>
              <w:t xml:space="preserve">                      to June 30, 2029</w:t>
            </w:r>
          </w:p>
          <w:p w14:paraId="016EDF05" w14:textId="4C38C190" w:rsidR="001B58A7" w:rsidRPr="00D7330E" w:rsidRDefault="001B58A7" w:rsidP="00125422">
            <w:pPr>
              <w:spacing w:after="0" w:line="240" w:lineRule="auto"/>
              <w:rPr>
                <w:rFonts w:eastAsia="Times New Roman"/>
                <w:b/>
                <w:color w:val="000000"/>
                <w:szCs w:val="26"/>
              </w:rPr>
            </w:pPr>
          </w:p>
        </w:tc>
      </w:tr>
      <w:tr w:rsidR="00B775E6" w:rsidRPr="00D7330E" w14:paraId="305870E5" w14:textId="77777777" w:rsidTr="005274CF">
        <w:trPr>
          <w:trHeight w:val="150"/>
        </w:trPr>
        <w:tc>
          <w:tcPr>
            <w:tcW w:w="342" w:type="dxa"/>
          </w:tcPr>
          <w:p w14:paraId="6DAC217B" w14:textId="77777777" w:rsidR="00B775E6" w:rsidRPr="00D7330E" w:rsidRDefault="00B775E6" w:rsidP="00B775E6">
            <w:pPr>
              <w:pStyle w:val="NoSpacing"/>
              <w:rPr>
                <w:sz w:val="26"/>
                <w:szCs w:val="26"/>
              </w:rPr>
            </w:pPr>
          </w:p>
        </w:tc>
        <w:tc>
          <w:tcPr>
            <w:tcW w:w="990" w:type="dxa"/>
          </w:tcPr>
          <w:p w14:paraId="7F8D6EBB" w14:textId="58E05C92" w:rsidR="00B775E6" w:rsidRPr="00D7330E" w:rsidRDefault="00B775E6" w:rsidP="00B775E6">
            <w:pPr>
              <w:pStyle w:val="NoSpacing"/>
              <w:rPr>
                <w:sz w:val="26"/>
                <w:szCs w:val="26"/>
              </w:rPr>
            </w:pPr>
            <w:r w:rsidRPr="00D7330E">
              <w:rPr>
                <w:sz w:val="26"/>
                <w:szCs w:val="26"/>
              </w:rPr>
              <w:t>Vendor</w:t>
            </w:r>
          </w:p>
        </w:tc>
        <w:tc>
          <w:tcPr>
            <w:tcW w:w="8118" w:type="dxa"/>
          </w:tcPr>
          <w:p w14:paraId="3DB4DDD8" w14:textId="7B18DED4" w:rsidR="00B775E6" w:rsidRDefault="00256A21" w:rsidP="00256A21">
            <w:pPr>
              <w:spacing w:after="0" w:line="240" w:lineRule="auto"/>
              <w:jc w:val="both"/>
              <w:rPr>
                <w:bCs/>
                <w:szCs w:val="26"/>
              </w:rPr>
            </w:pPr>
            <w:r w:rsidRPr="00256A21">
              <w:rPr>
                <w:bCs/>
                <w:szCs w:val="26"/>
              </w:rPr>
              <w:t xml:space="preserve">One Lambda, Inc.           </w:t>
            </w:r>
            <w:r>
              <w:rPr>
                <w:bCs/>
                <w:szCs w:val="26"/>
              </w:rPr>
              <w:t xml:space="preserve">                                  </w:t>
            </w:r>
            <w:r w:rsidRPr="00256A21">
              <w:rPr>
                <w:bCs/>
                <w:szCs w:val="26"/>
              </w:rPr>
              <w:t>Canoga Park, California</w:t>
            </w:r>
          </w:p>
          <w:p w14:paraId="6FDDF04B" w14:textId="2821EB9D" w:rsidR="00256A21" w:rsidRPr="00256A21" w:rsidRDefault="00256A21" w:rsidP="00256A21">
            <w:pPr>
              <w:spacing w:after="0" w:line="240" w:lineRule="auto"/>
              <w:jc w:val="both"/>
              <w:rPr>
                <w:bCs/>
                <w:szCs w:val="26"/>
              </w:rPr>
            </w:pPr>
          </w:p>
        </w:tc>
      </w:tr>
      <w:tr w:rsidR="00B775E6" w:rsidRPr="00D7330E" w14:paraId="76979B6C" w14:textId="77777777" w:rsidTr="00B62DED">
        <w:trPr>
          <w:trHeight w:val="150"/>
        </w:trPr>
        <w:tc>
          <w:tcPr>
            <w:tcW w:w="342" w:type="dxa"/>
          </w:tcPr>
          <w:p w14:paraId="10350B94" w14:textId="77777777" w:rsidR="00B775E6" w:rsidRPr="00D7330E" w:rsidRDefault="00B775E6" w:rsidP="00B775E6">
            <w:pPr>
              <w:pStyle w:val="NoSpacing"/>
              <w:rPr>
                <w:sz w:val="26"/>
                <w:szCs w:val="26"/>
              </w:rPr>
            </w:pPr>
          </w:p>
        </w:tc>
        <w:tc>
          <w:tcPr>
            <w:tcW w:w="990" w:type="dxa"/>
          </w:tcPr>
          <w:p w14:paraId="5E09DAD8" w14:textId="77777777" w:rsidR="00B775E6" w:rsidRPr="00D7330E" w:rsidRDefault="00B775E6" w:rsidP="00B775E6">
            <w:pPr>
              <w:pStyle w:val="NoSpacing"/>
              <w:rPr>
                <w:sz w:val="26"/>
                <w:szCs w:val="26"/>
              </w:rPr>
            </w:pPr>
          </w:p>
        </w:tc>
        <w:tc>
          <w:tcPr>
            <w:tcW w:w="8118" w:type="dxa"/>
          </w:tcPr>
          <w:p w14:paraId="6D78DC37" w14:textId="320D0867" w:rsidR="00256A21" w:rsidRPr="00256A21" w:rsidRDefault="00256A21" w:rsidP="00256A21">
            <w:pPr>
              <w:rPr>
                <w:szCs w:val="26"/>
              </w:rPr>
            </w:pPr>
            <w:r w:rsidRPr="00256A21">
              <w:rPr>
                <w:szCs w:val="26"/>
              </w:rPr>
              <w:t>Reagents from One Lambda are used in the UI Hospital’s Tissue Typing Laboratory to perform complex compatibility testing on patients in need of organ transplants.  Accurate antibody results are crucial for selecting donor organs to ensure successful patient outcomes.  Once a patient receives a transplant, antibody testing is also used to monitor for organ rejection.</w:t>
            </w:r>
          </w:p>
          <w:p w14:paraId="6B55DE8F" w14:textId="39082438" w:rsidR="00256A21" w:rsidRPr="00256A21" w:rsidRDefault="00256A21" w:rsidP="00256A21">
            <w:pPr>
              <w:jc w:val="both"/>
              <w:rPr>
                <w:szCs w:val="26"/>
              </w:rPr>
            </w:pPr>
            <w:r w:rsidRPr="00256A21">
              <w:rPr>
                <w:szCs w:val="26"/>
              </w:rPr>
              <w:t>This purchase is exempt from competitive selection procedures in accordance with the Illinois Procurement Code (30ILCS 500/1-13(b-5)).</w:t>
            </w:r>
          </w:p>
          <w:p w14:paraId="3B1D8582" w14:textId="5848126D" w:rsidR="00CD6ECE" w:rsidRPr="00D7330E" w:rsidRDefault="00256A21" w:rsidP="00256A21">
            <w:pPr>
              <w:spacing w:after="0" w:line="240" w:lineRule="auto"/>
              <w:rPr>
                <w:rFonts w:eastAsia="Times New Roman"/>
                <w:b/>
                <w:color w:val="000000"/>
                <w:szCs w:val="26"/>
              </w:rPr>
            </w:pPr>
            <w:r w:rsidRPr="00256A21">
              <w:rPr>
                <w:rFonts w:eastAsia="Times New Roman"/>
                <w:b/>
                <w:color w:val="000000"/>
                <w:szCs w:val="26"/>
              </w:rPr>
              <w:t xml:space="preserve">Business Enterprise Program (BEP) </w:t>
            </w:r>
            <w:r w:rsidRPr="00256A21">
              <w:rPr>
                <w:rFonts w:eastAsia="Times New Roman"/>
                <w:bCs/>
                <w:color w:val="000000"/>
                <w:szCs w:val="26"/>
              </w:rPr>
              <w:t>goals are not established for purchases which are exempt from the requirements of the Illinois Procurement Code.</w:t>
            </w:r>
          </w:p>
        </w:tc>
      </w:tr>
      <w:tr w:rsidR="00A44D7C" w:rsidRPr="00D7330E" w14:paraId="720DDE9A" w14:textId="77777777" w:rsidTr="00B62DED">
        <w:trPr>
          <w:trHeight w:val="150"/>
        </w:trPr>
        <w:tc>
          <w:tcPr>
            <w:tcW w:w="342" w:type="dxa"/>
          </w:tcPr>
          <w:p w14:paraId="105A1895" w14:textId="77777777" w:rsidR="00A44D7C" w:rsidRPr="00D7330E" w:rsidRDefault="00A44D7C" w:rsidP="00B775E6">
            <w:pPr>
              <w:pStyle w:val="NoSpacing"/>
              <w:rPr>
                <w:sz w:val="26"/>
                <w:szCs w:val="26"/>
              </w:rPr>
            </w:pPr>
          </w:p>
        </w:tc>
        <w:tc>
          <w:tcPr>
            <w:tcW w:w="990" w:type="dxa"/>
          </w:tcPr>
          <w:p w14:paraId="6B6DC0F3" w14:textId="77777777" w:rsidR="00A44D7C" w:rsidRPr="00D7330E" w:rsidRDefault="00A44D7C" w:rsidP="00B775E6">
            <w:pPr>
              <w:pStyle w:val="NoSpacing"/>
              <w:rPr>
                <w:sz w:val="26"/>
                <w:szCs w:val="26"/>
              </w:rPr>
            </w:pPr>
          </w:p>
        </w:tc>
        <w:tc>
          <w:tcPr>
            <w:tcW w:w="8118" w:type="dxa"/>
          </w:tcPr>
          <w:p w14:paraId="6C902CA6" w14:textId="77777777" w:rsidR="00A44D7C" w:rsidRPr="00D7330E" w:rsidRDefault="00A44D7C" w:rsidP="00B775E6">
            <w:pPr>
              <w:spacing w:after="0" w:line="240" w:lineRule="auto"/>
              <w:rPr>
                <w:rFonts w:eastAsia="Times New Roman"/>
                <w:b/>
                <w:color w:val="000000"/>
                <w:szCs w:val="26"/>
              </w:rPr>
            </w:pPr>
          </w:p>
        </w:tc>
      </w:tr>
      <w:tr w:rsidR="00F052D8" w:rsidRPr="00D7330E" w14:paraId="7A096C94" w14:textId="77777777" w:rsidTr="003E1FA3">
        <w:trPr>
          <w:trHeight w:val="333"/>
        </w:trPr>
        <w:tc>
          <w:tcPr>
            <w:tcW w:w="342" w:type="dxa"/>
            <w:tcBorders>
              <w:bottom w:val="double" w:sz="4" w:space="0" w:color="auto"/>
            </w:tcBorders>
          </w:tcPr>
          <w:p w14:paraId="7CCA554E" w14:textId="238091E0" w:rsidR="00F052D8" w:rsidRPr="00D7330E" w:rsidRDefault="000750EE" w:rsidP="00F052D8">
            <w:pPr>
              <w:pStyle w:val="NoSpacing"/>
              <w:jc w:val="both"/>
              <w:rPr>
                <w:sz w:val="26"/>
                <w:szCs w:val="26"/>
              </w:rPr>
            </w:pPr>
            <w:r>
              <w:rPr>
                <w:sz w:val="26"/>
                <w:szCs w:val="26"/>
              </w:rPr>
              <w:t>3</w:t>
            </w:r>
          </w:p>
        </w:tc>
        <w:tc>
          <w:tcPr>
            <w:tcW w:w="990" w:type="dxa"/>
            <w:tcBorders>
              <w:bottom w:val="double" w:sz="4" w:space="0" w:color="auto"/>
            </w:tcBorders>
          </w:tcPr>
          <w:p w14:paraId="7937997A" w14:textId="74F70072" w:rsidR="00F052D8" w:rsidRPr="00D7330E" w:rsidRDefault="00F052D8" w:rsidP="00F052D8">
            <w:pPr>
              <w:pStyle w:val="NoSpacing"/>
              <w:jc w:val="both"/>
              <w:rPr>
                <w:sz w:val="26"/>
                <w:szCs w:val="26"/>
              </w:rPr>
            </w:pPr>
            <w:r w:rsidRPr="00D7330E">
              <w:rPr>
                <w:sz w:val="26"/>
                <w:szCs w:val="26"/>
              </w:rPr>
              <w:t>Unit</w:t>
            </w:r>
          </w:p>
        </w:tc>
        <w:tc>
          <w:tcPr>
            <w:tcW w:w="8118" w:type="dxa"/>
            <w:tcBorders>
              <w:bottom w:val="double" w:sz="4" w:space="0" w:color="auto"/>
            </w:tcBorders>
          </w:tcPr>
          <w:p w14:paraId="6507DF2B" w14:textId="767B2DCB" w:rsidR="00F052D8" w:rsidRPr="00D7330E" w:rsidRDefault="00D75780" w:rsidP="00F052D8">
            <w:pPr>
              <w:spacing w:after="0"/>
              <w:jc w:val="both"/>
              <w:rPr>
                <w:szCs w:val="26"/>
              </w:rPr>
            </w:pPr>
            <w:r>
              <w:rPr>
                <w:spacing w:val="-3"/>
                <w:szCs w:val="26"/>
              </w:rPr>
              <w:t>UI Hospital and Clinics</w:t>
            </w:r>
          </w:p>
        </w:tc>
      </w:tr>
      <w:tr w:rsidR="00F052D8" w:rsidRPr="00D7330E" w14:paraId="0BBEAEF1" w14:textId="77777777" w:rsidTr="003E1FA3">
        <w:trPr>
          <w:trHeight w:val="333"/>
        </w:trPr>
        <w:tc>
          <w:tcPr>
            <w:tcW w:w="342" w:type="dxa"/>
            <w:tcBorders>
              <w:top w:val="double" w:sz="4" w:space="0" w:color="auto"/>
            </w:tcBorders>
          </w:tcPr>
          <w:p w14:paraId="37049EC9" w14:textId="77777777" w:rsidR="00F052D8" w:rsidRPr="00D7330E" w:rsidRDefault="00F052D8" w:rsidP="00F052D8">
            <w:pPr>
              <w:pStyle w:val="NoSpacing"/>
              <w:jc w:val="both"/>
              <w:rPr>
                <w:sz w:val="26"/>
                <w:szCs w:val="26"/>
              </w:rPr>
            </w:pPr>
          </w:p>
        </w:tc>
        <w:tc>
          <w:tcPr>
            <w:tcW w:w="990" w:type="dxa"/>
            <w:tcBorders>
              <w:top w:val="double" w:sz="4" w:space="0" w:color="auto"/>
            </w:tcBorders>
          </w:tcPr>
          <w:p w14:paraId="42D904FC" w14:textId="77777777" w:rsidR="00F052D8" w:rsidRPr="00D7330E" w:rsidRDefault="00F052D8" w:rsidP="00F052D8">
            <w:pPr>
              <w:pStyle w:val="NoSpacing"/>
              <w:rPr>
                <w:sz w:val="26"/>
                <w:szCs w:val="26"/>
              </w:rPr>
            </w:pPr>
          </w:p>
          <w:p w14:paraId="474C636E" w14:textId="1AA0FCDC" w:rsidR="00F052D8" w:rsidRPr="00D7330E" w:rsidRDefault="00F052D8" w:rsidP="00F052D8">
            <w:pPr>
              <w:pStyle w:val="NoSpacing"/>
              <w:jc w:val="both"/>
              <w:rPr>
                <w:sz w:val="26"/>
                <w:szCs w:val="26"/>
              </w:rPr>
            </w:pPr>
            <w:r w:rsidRPr="00D7330E">
              <w:rPr>
                <w:sz w:val="26"/>
                <w:szCs w:val="26"/>
              </w:rPr>
              <w:t>Item</w:t>
            </w:r>
          </w:p>
        </w:tc>
        <w:tc>
          <w:tcPr>
            <w:tcW w:w="8118" w:type="dxa"/>
            <w:tcBorders>
              <w:top w:val="double" w:sz="4" w:space="0" w:color="auto"/>
            </w:tcBorders>
          </w:tcPr>
          <w:p w14:paraId="3F2F7796" w14:textId="77777777" w:rsidR="00F052D8" w:rsidRPr="00D7330E" w:rsidRDefault="00F052D8" w:rsidP="00F052D8">
            <w:pPr>
              <w:pStyle w:val="NoSpacing"/>
              <w:rPr>
                <w:sz w:val="26"/>
                <w:szCs w:val="26"/>
              </w:rPr>
            </w:pPr>
          </w:p>
          <w:p w14:paraId="588F47B4" w14:textId="3DBC7BF5" w:rsidR="00F052D8" w:rsidRPr="00D7330E" w:rsidRDefault="00256A21" w:rsidP="00F052D8">
            <w:pPr>
              <w:spacing w:after="0"/>
              <w:jc w:val="both"/>
              <w:rPr>
                <w:szCs w:val="26"/>
              </w:rPr>
            </w:pPr>
            <w:r w:rsidRPr="00256A21">
              <w:rPr>
                <w:szCs w:val="26"/>
              </w:rPr>
              <w:t>Comprehensive Radiation Oncology Professional Services for UI Hospital &amp; Clinics</w:t>
            </w:r>
          </w:p>
        </w:tc>
      </w:tr>
      <w:tr w:rsidR="00F052D8" w:rsidRPr="00D7330E" w14:paraId="6AD4E238" w14:textId="77777777" w:rsidTr="003E1FA3">
        <w:trPr>
          <w:trHeight w:val="333"/>
        </w:trPr>
        <w:tc>
          <w:tcPr>
            <w:tcW w:w="342" w:type="dxa"/>
          </w:tcPr>
          <w:p w14:paraId="1903403F" w14:textId="77777777" w:rsidR="00F052D8" w:rsidRPr="00D7330E" w:rsidRDefault="00F052D8" w:rsidP="00F052D8">
            <w:pPr>
              <w:pStyle w:val="NoSpacing"/>
              <w:jc w:val="both"/>
              <w:rPr>
                <w:sz w:val="26"/>
                <w:szCs w:val="26"/>
              </w:rPr>
            </w:pPr>
          </w:p>
        </w:tc>
        <w:tc>
          <w:tcPr>
            <w:tcW w:w="990" w:type="dxa"/>
          </w:tcPr>
          <w:p w14:paraId="2D113813" w14:textId="77777777" w:rsidR="00F052D8" w:rsidRPr="00D7330E" w:rsidRDefault="00F052D8" w:rsidP="00F052D8">
            <w:pPr>
              <w:pStyle w:val="NoSpacing"/>
              <w:rPr>
                <w:sz w:val="26"/>
                <w:szCs w:val="26"/>
              </w:rPr>
            </w:pPr>
          </w:p>
          <w:p w14:paraId="2CC4803D" w14:textId="08A0F491" w:rsidR="00F052D8" w:rsidRPr="00D7330E" w:rsidRDefault="00F052D8" w:rsidP="00F052D8">
            <w:pPr>
              <w:pStyle w:val="NoSpacing"/>
              <w:jc w:val="both"/>
              <w:rPr>
                <w:sz w:val="26"/>
                <w:szCs w:val="26"/>
              </w:rPr>
            </w:pPr>
            <w:r w:rsidRPr="00D7330E">
              <w:rPr>
                <w:sz w:val="26"/>
                <w:szCs w:val="26"/>
              </w:rPr>
              <w:t>Cost</w:t>
            </w:r>
          </w:p>
        </w:tc>
        <w:tc>
          <w:tcPr>
            <w:tcW w:w="8118" w:type="dxa"/>
          </w:tcPr>
          <w:p w14:paraId="27B14898" w14:textId="77777777" w:rsidR="00F052D8" w:rsidRPr="00D7330E" w:rsidRDefault="00F052D8" w:rsidP="00F052D8">
            <w:pPr>
              <w:pStyle w:val="NoSpacing"/>
              <w:rPr>
                <w:sz w:val="26"/>
                <w:szCs w:val="26"/>
              </w:rPr>
            </w:pPr>
          </w:p>
          <w:p w14:paraId="0978655A" w14:textId="4A5E5039" w:rsidR="00F052D8" w:rsidRPr="00D7330E" w:rsidRDefault="00256A21" w:rsidP="00256A21">
            <w:pPr>
              <w:rPr>
                <w:szCs w:val="26"/>
              </w:rPr>
            </w:pPr>
            <w:r w:rsidRPr="00256A21">
              <w:rPr>
                <w:szCs w:val="26"/>
              </w:rPr>
              <w:t xml:space="preserve">$19,500,000 (estimated) for a five-year term from October 1, </w:t>
            </w:r>
            <w:proofErr w:type="gramStart"/>
            <w:r w:rsidRPr="00256A21">
              <w:rPr>
                <w:szCs w:val="26"/>
              </w:rPr>
              <w:t>2026</w:t>
            </w:r>
            <w:proofErr w:type="gramEnd"/>
            <w:r w:rsidRPr="00256A21">
              <w:rPr>
                <w:szCs w:val="26"/>
              </w:rPr>
              <w:t xml:space="preserve"> to September 30, 2031</w:t>
            </w:r>
          </w:p>
        </w:tc>
      </w:tr>
      <w:tr w:rsidR="00F052D8" w:rsidRPr="00D7330E" w14:paraId="0E234F1E" w14:textId="77777777" w:rsidTr="003E1FA3">
        <w:trPr>
          <w:trHeight w:val="333"/>
        </w:trPr>
        <w:tc>
          <w:tcPr>
            <w:tcW w:w="342" w:type="dxa"/>
          </w:tcPr>
          <w:p w14:paraId="0B2E18D9" w14:textId="77777777" w:rsidR="00F052D8" w:rsidRPr="00D7330E" w:rsidRDefault="00F052D8" w:rsidP="00F052D8">
            <w:pPr>
              <w:pStyle w:val="NoSpacing"/>
              <w:jc w:val="both"/>
              <w:rPr>
                <w:sz w:val="26"/>
                <w:szCs w:val="26"/>
              </w:rPr>
            </w:pPr>
          </w:p>
        </w:tc>
        <w:tc>
          <w:tcPr>
            <w:tcW w:w="990" w:type="dxa"/>
          </w:tcPr>
          <w:p w14:paraId="027BE1C7" w14:textId="21D312FA" w:rsidR="00F052D8" w:rsidRPr="00D7330E" w:rsidRDefault="00F052D8" w:rsidP="00F052D8">
            <w:pPr>
              <w:pStyle w:val="NoSpacing"/>
              <w:jc w:val="both"/>
              <w:rPr>
                <w:sz w:val="26"/>
                <w:szCs w:val="26"/>
              </w:rPr>
            </w:pPr>
            <w:r w:rsidRPr="00D7330E">
              <w:rPr>
                <w:sz w:val="26"/>
                <w:szCs w:val="26"/>
              </w:rPr>
              <w:t>Vendor</w:t>
            </w:r>
          </w:p>
        </w:tc>
        <w:tc>
          <w:tcPr>
            <w:tcW w:w="8118" w:type="dxa"/>
          </w:tcPr>
          <w:p w14:paraId="053CBC97" w14:textId="77777777" w:rsidR="00256A21" w:rsidRPr="00256A21" w:rsidRDefault="00256A21" w:rsidP="00256A21">
            <w:pPr>
              <w:spacing w:after="0" w:line="240" w:lineRule="auto"/>
              <w:rPr>
                <w:szCs w:val="26"/>
              </w:rPr>
            </w:pPr>
            <w:r w:rsidRPr="00256A21">
              <w:rPr>
                <w:szCs w:val="26"/>
              </w:rPr>
              <w:t>University of Chicago Radiation &amp; Cellular Oncology                Chicago, IL</w:t>
            </w:r>
          </w:p>
          <w:p w14:paraId="65913175" w14:textId="77777777" w:rsidR="00F052D8" w:rsidRPr="00D7330E" w:rsidRDefault="00F052D8" w:rsidP="00F052D8">
            <w:pPr>
              <w:spacing w:after="0"/>
              <w:jc w:val="both"/>
              <w:rPr>
                <w:szCs w:val="26"/>
              </w:rPr>
            </w:pPr>
          </w:p>
        </w:tc>
      </w:tr>
      <w:tr w:rsidR="00F052D8" w:rsidRPr="00D7330E" w14:paraId="0F8FD728" w14:textId="77777777" w:rsidTr="003E1FA3">
        <w:trPr>
          <w:trHeight w:val="333"/>
        </w:trPr>
        <w:tc>
          <w:tcPr>
            <w:tcW w:w="342" w:type="dxa"/>
          </w:tcPr>
          <w:p w14:paraId="57958A15" w14:textId="77777777" w:rsidR="00F052D8" w:rsidRPr="00D7330E" w:rsidRDefault="00F052D8" w:rsidP="00F052D8">
            <w:pPr>
              <w:pStyle w:val="NoSpacing"/>
              <w:jc w:val="both"/>
              <w:rPr>
                <w:sz w:val="26"/>
                <w:szCs w:val="26"/>
              </w:rPr>
            </w:pPr>
          </w:p>
        </w:tc>
        <w:tc>
          <w:tcPr>
            <w:tcW w:w="990" w:type="dxa"/>
          </w:tcPr>
          <w:p w14:paraId="1EDF1F5F" w14:textId="77777777" w:rsidR="00F052D8" w:rsidRPr="00D7330E" w:rsidRDefault="00F052D8" w:rsidP="00F052D8">
            <w:pPr>
              <w:pStyle w:val="NoSpacing"/>
              <w:jc w:val="both"/>
              <w:rPr>
                <w:sz w:val="26"/>
                <w:szCs w:val="26"/>
              </w:rPr>
            </w:pPr>
          </w:p>
        </w:tc>
        <w:tc>
          <w:tcPr>
            <w:tcW w:w="8118" w:type="dxa"/>
          </w:tcPr>
          <w:p w14:paraId="3DEF3E71" w14:textId="77777777" w:rsidR="00256A21" w:rsidRPr="00256A21" w:rsidRDefault="00256A21" w:rsidP="00256A2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textAlignment w:val="baseline"/>
              <w:rPr>
                <w:szCs w:val="26"/>
              </w:rPr>
            </w:pPr>
            <w:bookmarkStart w:id="1" w:name="_Hlk214958231"/>
            <w:r w:rsidRPr="00256A21">
              <w:rPr>
                <w:szCs w:val="26"/>
              </w:rPr>
              <w:t xml:space="preserve">UI Hospital and Clinics does not employ Radiation Oncology physicians and has a limited number of medical physicists. </w:t>
            </w:r>
            <w:bookmarkEnd w:id="1"/>
            <w:r w:rsidRPr="00256A21">
              <w:rPr>
                <w:szCs w:val="26"/>
              </w:rPr>
              <w:t xml:space="preserve">To effectively provide services to its patients, the Hospital and Clinics require third party staffing for professional services in its Radiation Oncology department.  UI Hospital and University of Chicago currently have a co-management model that </w:t>
            </w:r>
            <w:r w:rsidRPr="00256A21">
              <w:rPr>
                <w:szCs w:val="26"/>
              </w:rPr>
              <w:lastRenderedPageBreak/>
              <w:t xml:space="preserve">encourages inpatient and outpatient care coordination, supports the improvement of quality and medical outcomes and the development of new radiotherapy programs for Hospital patients in a cost-effective manner. Through this relationship, the Hospital </w:t>
            </w:r>
            <w:proofErr w:type="gramStart"/>
            <w:r w:rsidRPr="00256A21">
              <w:rPr>
                <w:szCs w:val="26"/>
              </w:rPr>
              <w:t>is able to</w:t>
            </w:r>
            <w:proofErr w:type="gramEnd"/>
            <w:r w:rsidRPr="00256A21">
              <w:rPr>
                <w:szCs w:val="26"/>
              </w:rPr>
              <w:t xml:space="preserve"> support 11,000 patient visits and over 8,000 image-guided radiation treatments annually. This recommendation continues the current relationship for another five-year period.</w:t>
            </w:r>
          </w:p>
          <w:p w14:paraId="1E3B459A" w14:textId="77777777" w:rsidR="00256A21" w:rsidRPr="00256A21" w:rsidRDefault="00256A21" w:rsidP="00256A2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ind w:left="1440"/>
              <w:textAlignment w:val="baseline"/>
              <w:rPr>
                <w:szCs w:val="26"/>
              </w:rPr>
            </w:pPr>
          </w:p>
          <w:p w14:paraId="62E9E289" w14:textId="77777777" w:rsidR="00256A21" w:rsidRPr="00256A21" w:rsidRDefault="00256A21" w:rsidP="00256A21">
            <w:pPr>
              <w:jc w:val="both"/>
              <w:rPr>
                <w:szCs w:val="26"/>
              </w:rPr>
            </w:pPr>
            <w:r w:rsidRPr="00256A21">
              <w:rPr>
                <w:szCs w:val="26"/>
              </w:rPr>
              <w:t>This purchase is exempt from competitive selection procedures in accordance with the Illinois Procurement Code (30ILCS 500/1-13(b-5)).</w:t>
            </w:r>
          </w:p>
          <w:p w14:paraId="70C34DE2" w14:textId="41A48773" w:rsidR="00F052D8" w:rsidRPr="00D7330E" w:rsidRDefault="00256A21" w:rsidP="00256A21">
            <w:pPr>
              <w:spacing w:after="0"/>
              <w:jc w:val="both"/>
              <w:rPr>
                <w:szCs w:val="26"/>
              </w:rPr>
            </w:pPr>
            <w:r w:rsidRPr="00256A21">
              <w:rPr>
                <w:b/>
                <w:bCs/>
                <w:szCs w:val="26"/>
              </w:rPr>
              <w:t>Business Enterprise Program (BEP)</w:t>
            </w:r>
            <w:r w:rsidRPr="00256A21">
              <w:rPr>
                <w:szCs w:val="26"/>
              </w:rPr>
              <w:t xml:space="preserve"> goals are not established for contracts which are exempt from the requirements of the Illinois Procurement Code.</w:t>
            </w:r>
          </w:p>
        </w:tc>
      </w:tr>
      <w:tr w:rsidR="00F052D8" w:rsidRPr="00D7330E" w14:paraId="241580D9" w14:textId="77777777" w:rsidTr="003E1FA3">
        <w:trPr>
          <w:trHeight w:val="333"/>
        </w:trPr>
        <w:tc>
          <w:tcPr>
            <w:tcW w:w="342" w:type="dxa"/>
          </w:tcPr>
          <w:p w14:paraId="39E7186C" w14:textId="77777777" w:rsidR="00F052D8" w:rsidRPr="00D7330E" w:rsidRDefault="00F052D8" w:rsidP="00F052D8">
            <w:pPr>
              <w:pStyle w:val="NoSpacing"/>
              <w:jc w:val="both"/>
              <w:rPr>
                <w:sz w:val="26"/>
                <w:szCs w:val="26"/>
              </w:rPr>
            </w:pPr>
          </w:p>
        </w:tc>
        <w:tc>
          <w:tcPr>
            <w:tcW w:w="990" w:type="dxa"/>
          </w:tcPr>
          <w:p w14:paraId="71A0B6CE" w14:textId="77777777" w:rsidR="00F052D8" w:rsidRPr="00D7330E" w:rsidRDefault="00F052D8" w:rsidP="00F052D8">
            <w:pPr>
              <w:pStyle w:val="NoSpacing"/>
              <w:jc w:val="both"/>
              <w:rPr>
                <w:sz w:val="26"/>
                <w:szCs w:val="26"/>
              </w:rPr>
            </w:pPr>
          </w:p>
        </w:tc>
        <w:tc>
          <w:tcPr>
            <w:tcW w:w="8118" w:type="dxa"/>
          </w:tcPr>
          <w:p w14:paraId="3D91F94B" w14:textId="77777777" w:rsidR="00F052D8" w:rsidRPr="00D7330E" w:rsidRDefault="00F052D8" w:rsidP="00F052D8">
            <w:pPr>
              <w:spacing w:after="0"/>
              <w:jc w:val="both"/>
              <w:rPr>
                <w:szCs w:val="26"/>
              </w:rPr>
            </w:pPr>
          </w:p>
        </w:tc>
      </w:tr>
      <w:tr w:rsidR="00D85698" w:rsidRPr="00D7330E" w14:paraId="14C932D8" w14:textId="77777777" w:rsidTr="00891355">
        <w:trPr>
          <w:trHeight w:val="333"/>
        </w:trPr>
        <w:tc>
          <w:tcPr>
            <w:tcW w:w="9450" w:type="dxa"/>
            <w:gridSpan w:val="3"/>
          </w:tcPr>
          <w:tbl>
            <w:tblPr>
              <w:tblpPr w:leftFromText="180" w:rightFromText="180" w:vertAnchor="text" w:tblpY="1"/>
              <w:tblOverlap w:val="never"/>
              <w:tblW w:w="9454" w:type="dxa"/>
              <w:tblLayout w:type="fixed"/>
              <w:tblCellMar>
                <w:left w:w="43" w:type="dxa"/>
                <w:right w:w="43" w:type="dxa"/>
              </w:tblCellMar>
              <w:tblLook w:val="0000" w:firstRow="0" w:lastRow="0" w:firstColumn="0" w:lastColumn="0" w:noHBand="0" w:noVBand="0"/>
            </w:tblPr>
            <w:tblGrid>
              <w:gridCol w:w="9454"/>
            </w:tblGrid>
            <w:tr w:rsidR="00D85698" w:rsidRPr="00D7330E" w14:paraId="753764D1" w14:textId="77777777" w:rsidTr="00891355">
              <w:trPr>
                <w:trHeight w:val="114"/>
              </w:trPr>
              <w:tc>
                <w:tcPr>
                  <w:tcW w:w="9454" w:type="dxa"/>
                  <w:tcBorders>
                    <w:top w:val="single" w:sz="18" w:space="0" w:color="auto"/>
                    <w:bottom w:val="single" w:sz="18" w:space="0" w:color="auto"/>
                  </w:tcBorders>
                </w:tcPr>
                <w:p w14:paraId="5B3757FD" w14:textId="2ACE06FC" w:rsidR="00D85698" w:rsidRPr="00D7330E" w:rsidRDefault="00D85698" w:rsidP="00891355">
                  <w:pPr>
                    <w:tabs>
                      <w:tab w:val="left" w:pos="-720"/>
                      <w:tab w:val="left" w:pos="9090"/>
                    </w:tabs>
                    <w:suppressAutoHyphens/>
                    <w:overflowPunct w:val="0"/>
                    <w:autoSpaceDE w:val="0"/>
                    <w:autoSpaceDN w:val="0"/>
                    <w:adjustRightInd w:val="0"/>
                    <w:spacing w:after="0" w:line="240" w:lineRule="auto"/>
                    <w:jc w:val="center"/>
                    <w:textAlignment w:val="baseline"/>
                    <w:rPr>
                      <w:rFonts w:eastAsia="Times New Roman"/>
                      <w:b/>
                      <w:szCs w:val="26"/>
                    </w:rPr>
                  </w:pPr>
                  <w:r w:rsidRPr="00D7330E">
                    <w:rPr>
                      <w:rFonts w:eastAsia="Times New Roman"/>
                      <w:b/>
                      <w:szCs w:val="26"/>
                    </w:rPr>
                    <w:t xml:space="preserve">University of Illinois </w:t>
                  </w:r>
                  <w:r w:rsidR="00323CF2">
                    <w:rPr>
                      <w:rFonts w:eastAsia="Times New Roman"/>
                      <w:b/>
                      <w:szCs w:val="26"/>
                    </w:rPr>
                    <w:t>Urbana-Champaign</w:t>
                  </w:r>
                </w:p>
              </w:tc>
            </w:tr>
          </w:tbl>
          <w:p w14:paraId="692392F2" w14:textId="77777777" w:rsidR="00D85698" w:rsidRPr="00D7330E" w:rsidRDefault="00D85698" w:rsidP="00891355">
            <w:pPr>
              <w:spacing w:after="0"/>
              <w:jc w:val="both"/>
              <w:rPr>
                <w:szCs w:val="26"/>
              </w:rPr>
            </w:pPr>
          </w:p>
        </w:tc>
      </w:tr>
      <w:tr w:rsidR="00D85698" w:rsidRPr="00D7330E" w14:paraId="4D28ECE0" w14:textId="77777777" w:rsidTr="00891355">
        <w:trPr>
          <w:trHeight w:val="333"/>
        </w:trPr>
        <w:tc>
          <w:tcPr>
            <w:tcW w:w="342" w:type="dxa"/>
          </w:tcPr>
          <w:p w14:paraId="05B055A6" w14:textId="77777777" w:rsidR="00D85698" w:rsidRPr="00D7330E" w:rsidRDefault="00D85698" w:rsidP="00891355">
            <w:pPr>
              <w:pStyle w:val="NoSpacing"/>
              <w:jc w:val="both"/>
              <w:rPr>
                <w:sz w:val="26"/>
                <w:szCs w:val="26"/>
              </w:rPr>
            </w:pPr>
          </w:p>
        </w:tc>
        <w:tc>
          <w:tcPr>
            <w:tcW w:w="990" w:type="dxa"/>
          </w:tcPr>
          <w:p w14:paraId="58D2783A" w14:textId="77777777" w:rsidR="00D85698" w:rsidRPr="00D7330E" w:rsidRDefault="00D85698" w:rsidP="00891355">
            <w:pPr>
              <w:pStyle w:val="NoSpacing"/>
              <w:jc w:val="both"/>
              <w:rPr>
                <w:sz w:val="26"/>
                <w:szCs w:val="26"/>
              </w:rPr>
            </w:pPr>
          </w:p>
        </w:tc>
        <w:tc>
          <w:tcPr>
            <w:tcW w:w="8118" w:type="dxa"/>
          </w:tcPr>
          <w:p w14:paraId="1D5B2862" w14:textId="77777777" w:rsidR="00D85698" w:rsidRPr="00D7330E" w:rsidRDefault="00D85698" w:rsidP="00891355">
            <w:pPr>
              <w:spacing w:after="0"/>
              <w:jc w:val="both"/>
              <w:rPr>
                <w:szCs w:val="26"/>
              </w:rPr>
            </w:pPr>
          </w:p>
        </w:tc>
      </w:tr>
      <w:tr w:rsidR="00D85698" w:rsidRPr="00D7330E" w14:paraId="00E576E3" w14:textId="77777777" w:rsidTr="00891355">
        <w:trPr>
          <w:trHeight w:val="333"/>
        </w:trPr>
        <w:tc>
          <w:tcPr>
            <w:tcW w:w="342" w:type="dxa"/>
            <w:tcBorders>
              <w:bottom w:val="double" w:sz="4" w:space="0" w:color="auto"/>
            </w:tcBorders>
          </w:tcPr>
          <w:p w14:paraId="36142CD6" w14:textId="45E7C9E7" w:rsidR="00D85698" w:rsidRPr="00D7330E" w:rsidRDefault="00323CF2" w:rsidP="00891355">
            <w:pPr>
              <w:pStyle w:val="NoSpacing"/>
              <w:jc w:val="both"/>
              <w:rPr>
                <w:sz w:val="26"/>
                <w:szCs w:val="26"/>
              </w:rPr>
            </w:pPr>
            <w:r>
              <w:rPr>
                <w:sz w:val="26"/>
                <w:szCs w:val="26"/>
              </w:rPr>
              <w:t>4</w:t>
            </w:r>
          </w:p>
        </w:tc>
        <w:tc>
          <w:tcPr>
            <w:tcW w:w="990" w:type="dxa"/>
            <w:tcBorders>
              <w:bottom w:val="double" w:sz="4" w:space="0" w:color="auto"/>
            </w:tcBorders>
          </w:tcPr>
          <w:p w14:paraId="3F08D0F4" w14:textId="77777777" w:rsidR="00D85698" w:rsidRPr="00D7330E" w:rsidRDefault="00D85698" w:rsidP="00891355">
            <w:pPr>
              <w:pStyle w:val="NoSpacing"/>
              <w:jc w:val="both"/>
              <w:rPr>
                <w:sz w:val="26"/>
                <w:szCs w:val="26"/>
              </w:rPr>
            </w:pPr>
            <w:r w:rsidRPr="00D7330E">
              <w:rPr>
                <w:sz w:val="26"/>
                <w:szCs w:val="26"/>
              </w:rPr>
              <w:t>Unit</w:t>
            </w:r>
          </w:p>
        </w:tc>
        <w:tc>
          <w:tcPr>
            <w:tcW w:w="8118" w:type="dxa"/>
            <w:tcBorders>
              <w:bottom w:val="double" w:sz="4" w:space="0" w:color="auto"/>
            </w:tcBorders>
          </w:tcPr>
          <w:p w14:paraId="5044F7DB" w14:textId="27D1CC54" w:rsidR="00D85698" w:rsidRPr="00D7330E" w:rsidRDefault="00256E75" w:rsidP="00891355">
            <w:pPr>
              <w:spacing w:after="0"/>
              <w:jc w:val="both"/>
              <w:rPr>
                <w:szCs w:val="26"/>
              </w:rPr>
            </w:pPr>
            <w:r>
              <w:rPr>
                <w:szCs w:val="26"/>
              </w:rPr>
              <w:t>Division of Intercollegiate Athletics (DIA)</w:t>
            </w:r>
          </w:p>
        </w:tc>
      </w:tr>
      <w:tr w:rsidR="00D85698" w:rsidRPr="00D7330E" w14:paraId="657499B0" w14:textId="77777777" w:rsidTr="00891355">
        <w:trPr>
          <w:trHeight w:val="510"/>
        </w:trPr>
        <w:tc>
          <w:tcPr>
            <w:tcW w:w="342" w:type="dxa"/>
            <w:tcBorders>
              <w:top w:val="double" w:sz="4" w:space="0" w:color="auto"/>
            </w:tcBorders>
          </w:tcPr>
          <w:p w14:paraId="7E0E8C45" w14:textId="77777777" w:rsidR="00D85698" w:rsidRPr="00D7330E" w:rsidRDefault="00D85698" w:rsidP="00891355">
            <w:pPr>
              <w:pStyle w:val="NoSpacing"/>
              <w:rPr>
                <w:sz w:val="26"/>
                <w:szCs w:val="26"/>
              </w:rPr>
            </w:pPr>
          </w:p>
        </w:tc>
        <w:tc>
          <w:tcPr>
            <w:tcW w:w="990" w:type="dxa"/>
            <w:tcBorders>
              <w:top w:val="double" w:sz="4" w:space="0" w:color="auto"/>
            </w:tcBorders>
          </w:tcPr>
          <w:p w14:paraId="0F2840E9" w14:textId="77777777" w:rsidR="00D85698" w:rsidRPr="00D7330E" w:rsidRDefault="00D85698" w:rsidP="00891355">
            <w:pPr>
              <w:pStyle w:val="NoSpacing"/>
              <w:rPr>
                <w:sz w:val="26"/>
                <w:szCs w:val="26"/>
              </w:rPr>
            </w:pPr>
          </w:p>
          <w:p w14:paraId="164EE3D1" w14:textId="77777777" w:rsidR="00D85698" w:rsidRPr="00D7330E" w:rsidRDefault="00D85698" w:rsidP="00891355">
            <w:pPr>
              <w:pStyle w:val="NoSpacing"/>
              <w:rPr>
                <w:sz w:val="26"/>
                <w:szCs w:val="26"/>
              </w:rPr>
            </w:pPr>
            <w:r w:rsidRPr="00D7330E">
              <w:rPr>
                <w:sz w:val="26"/>
                <w:szCs w:val="26"/>
              </w:rPr>
              <w:t>Item</w:t>
            </w:r>
          </w:p>
        </w:tc>
        <w:tc>
          <w:tcPr>
            <w:tcW w:w="8118" w:type="dxa"/>
            <w:tcBorders>
              <w:top w:val="double" w:sz="4" w:space="0" w:color="auto"/>
            </w:tcBorders>
            <w:vAlign w:val="center"/>
          </w:tcPr>
          <w:p w14:paraId="6B86931A" w14:textId="77777777" w:rsidR="00D85698" w:rsidRPr="00D7330E" w:rsidRDefault="00D85698" w:rsidP="00891355">
            <w:pPr>
              <w:pStyle w:val="NoSpacing"/>
              <w:rPr>
                <w:sz w:val="26"/>
                <w:szCs w:val="26"/>
              </w:rPr>
            </w:pPr>
          </w:p>
          <w:p w14:paraId="24C645E8" w14:textId="2875D515" w:rsidR="00D85698" w:rsidRPr="00D7330E" w:rsidRDefault="00256E75" w:rsidP="00891355">
            <w:pPr>
              <w:pStyle w:val="NoSpacing"/>
              <w:rPr>
                <w:sz w:val="26"/>
                <w:szCs w:val="26"/>
              </w:rPr>
            </w:pPr>
            <w:proofErr w:type="spellStart"/>
            <w:r w:rsidRPr="00256E75">
              <w:rPr>
                <w:sz w:val="26"/>
                <w:szCs w:val="26"/>
              </w:rPr>
              <w:t>Vortek</w:t>
            </w:r>
            <w:proofErr w:type="spellEnd"/>
            <w:r w:rsidRPr="00256E75">
              <w:rPr>
                <w:sz w:val="26"/>
                <w:szCs w:val="26"/>
              </w:rPr>
              <w:t xml:space="preserve"> Control System Upgrade</w:t>
            </w:r>
          </w:p>
        </w:tc>
      </w:tr>
      <w:tr w:rsidR="00D85698" w:rsidRPr="00D7330E" w14:paraId="5989EC04" w14:textId="77777777" w:rsidTr="00891355">
        <w:trPr>
          <w:trHeight w:val="150"/>
        </w:trPr>
        <w:tc>
          <w:tcPr>
            <w:tcW w:w="342" w:type="dxa"/>
          </w:tcPr>
          <w:p w14:paraId="4538EEEC" w14:textId="77777777" w:rsidR="00D85698" w:rsidRPr="00D7330E" w:rsidRDefault="00D85698" w:rsidP="00891355">
            <w:pPr>
              <w:pStyle w:val="NoSpacing"/>
              <w:rPr>
                <w:sz w:val="26"/>
                <w:szCs w:val="26"/>
              </w:rPr>
            </w:pPr>
          </w:p>
        </w:tc>
        <w:tc>
          <w:tcPr>
            <w:tcW w:w="990" w:type="dxa"/>
          </w:tcPr>
          <w:p w14:paraId="3432A27C" w14:textId="77777777" w:rsidR="00D85698" w:rsidRPr="00D7330E" w:rsidRDefault="00D85698" w:rsidP="00891355">
            <w:pPr>
              <w:pStyle w:val="NoSpacing"/>
              <w:rPr>
                <w:sz w:val="26"/>
                <w:szCs w:val="26"/>
              </w:rPr>
            </w:pPr>
          </w:p>
          <w:p w14:paraId="15904538" w14:textId="77777777" w:rsidR="00D85698" w:rsidRPr="00D7330E" w:rsidRDefault="00D85698" w:rsidP="00891355">
            <w:pPr>
              <w:pStyle w:val="NoSpacing"/>
              <w:rPr>
                <w:sz w:val="26"/>
                <w:szCs w:val="26"/>
              </w:rPr>
            </w:pPr>
            <w:r w:rsidRPr="00D7330E">
              <w:rPr>
                <w:sz w:val="26"/>
                <w:szCs w:val="26"/>
              </w:rPr>
              <w:t>Cost</w:t>
            </w:r>
          </w:p>
        </w:tc>
        <w:tc>
          <w:tcPr>
            <w:tcW w:w="8118" w:type="dxa"/>
          </w:tcPr>
          <w:p w14:paraId="5ABC2479" w14:textId="77777777" w:rsidR="00D85698" w:rsidRPr="00D7330E" w:rsidRDefault="00D85698" w:rsidP="00891355">
            <w:pPr>
              <w:spacing w:after="0"/>
              <w:rPr>
                <w:szCs w:val="26"/>
              </w:rPr>
            </w:pPr>
          </w:p>
          <w:p w14:paraId="106DA61A" w14:textId="72EC1EC8" w:rsidR="00D85698" w:rsidRPr="00D7330E" w:rsidRDefault="000A6143" w:rsidP="00891355">
            <w:pPr>
              <w:tabs>
                <w:tab w:val="left" w:pos="-720"/>
                <w:tab w:val="left" w:pos="0"/>
                <w:tab w:val="left" w:pos="720"/>
                <w:tab w:val="left" w:pos="1080"/>
                <w:tab w:val="left" w:pos="1440"/>
              </w:tabs>
              <w:suppressAutoHyphens/>
              <w:jc w:val="both"/>
              <w:rPr>
                <w:szCs w:val="26"/>
              </w:rPr>
            </w:pPr>
            <w:r w:rsidRPr="000A6143">
              <w:rPr>
                <w:szCs w:val="26"/>
              </w:rPr>
              <w:t>$</w:t>
            </w:r>
            <w:r w:rsidR="00256E75">
              <w:rPr>
                <w:szCs w:val="26"/>
              </w:rPr>
              <w:t>1,221,272 One-Time Purchase</w:t>
            </w:r>
          </w:p>
        </w:tc>
      </w:tr>
      <w:tr w:rsidR="00D85698" w:rsidRPr="00D7330E" w14:paraId="232DD321" w14:textId="77777777" w:rsidTr="00891355">
        <w:trPr>
          <w:trHeight w:val="150"/>
        </w:trPr>
        <w:tc>
          <w:tcPr>
            <w:tcW w:w="342" w:type="dxa"/>
          </w:tcPr>
          <w:p w14:paraId="1B30349D" w14:textId="77777777" w:rsidR="00D85698" w:rsidRPr="00D7330E" w:rsidRDefault="00D85698" w:rsidP="00891355">
            <w:pPr>
              <w:pStyle w:val="NoSpacing"/>
              <w:rPr>
                <w:sz w:val="26"/>
                <w:szCs w:val="26"/>
              </w:rPr>
            </w:pPr>
          </w:p>
        </w:tc>
        <w:tc>
          <w:tcPr>
            <w:tcW w:w="990" w:type="dxa"/>
          </w:tcPr>
          <w:p w14:paraId="235F38BD" w14:textId="77777777" w:rsidR="00D85698" w:rsidRPr="00D7330E" w:rsidRDefault="00D85698" w:rsidP="00891355">
            <w:pPr>
              <w:pStyle w:val="NoSpacing"/>
              <w:rPr>
                <w:sz w:val="26"/>
                <w:szCs w:val="26"/>
              </w:rPr>
            </w:pPr>
            <w:r w:rsidRPr="00D7330E">
              <w:rPr>
                <w:sz w:val="26"/>
                <w:szCs w:val="26"/>
              </w:rPr>
              <w:t>Vendor</w:t>
            </w:r>
          </w:p>
        </w:tc>
        <w:tc>
          <w:tcPr>
            <w:tcW w:w="8118" w:type="dxa"/>
          </w:tcPr>
          <w:p w14:paraId="1AE65C1B" w14:textId="77777777" w:rsidR="000A6143" w:rsidRDefault="00256E75" w:rsidP="00891355">
            <w:pPr>
              <w:spacing w:after="0"/>
              <w:rPr>
                <w:rFonts w:eastAsia="Times New Roman"/>
                <w:bCs/>
                <w:iCs/>
                <w:szCs w:val="26"/>
              </w:rPr>
            </w:pPr>
            <w:r w:rsidRPr="00256E75">
              <w:rPr>
                <w:rFonts w:eastAsia="Times New Roman"/>
                <w:bCs/>
                <w:iCs/>
                <w:szCs w:val="26"/>
              </w:rPr>
              <w:t xml:space="preserve">Hoist Sales &amp; Services </w:t>
            </w:r>
            <w:r>
              <w:rPr>
                <w:rFonts w:eastAsia="Times New Roman"/>
                <w:bCs/>
                <w:iCs/>
                <w:szCs w:val="26"/>
              </w:rPr>
              <w:t xml:space="preserve">                                                       </w:t>
            </w:r>
            <w:proofErr w:type="spellStart"/>
            <w:r w:rsidRPr="00256E75">
              <w:rPr>
                <w:rFonts w:eastAsia="Times New Roman"/>
                <w:bCs/>
                <w:iCs/>
                <w:szCs w:val="26"/>
              </w:rPr>
              <w:t>Sarasotta</w:t>
            </w:r>
            <w:proofErr w:type="spellEnd"/>
            <w:r w:rsidRPr="00256E75">
              <w:rPr>
                <w:rFonts w:eastAsia="Times New Roman"/>
                <w:bCs/>
                <w:iCs/>
                <w:szCs w:val="26"/>
              </w:rPr>
              <w:t>, FL</w:t>
            </w:r>
          </w:p>
          <w:p w14:paraId="6C0BFE76" w14:textId="618F9985" w:rsidR="00256E75" w:rsidRPr="00D7330E" w:rsidRDefault="00256E75" w:rsidP="00891355">
            <w:pPr>
              <w:spacing w:after="0"/>
              <w:rPr>
                <w:szCs w:val="26"/>
              </w:rPr>
            </w:pPr>
          </w:p>
        </w:tc>
      </w:tr>
      <w:tr w:rsidR="00D85698" w:rsidRPr="00D7330E" w14:paraId="7D0EA83A" w14:textId="77777777" w:rsidTr="00891355">
        <w:trPr>
          <w:trHeight w:val="150"/>
        </w:trPr>
        <w:tc>
          <w:tcPr>
            <w:tcW w:w="342" w:type="dxa"/>
          </w:tcPr>
          <w:p w14:paraId="30095FF2" w14:textId="77777777" w:rsidR="00D85698" w:rsidRPr="00D7330E" w:rsidRDefault="00D85698" w:rsidP="00891355">
            <w:pPr>
              <w:pStyle w:val="NoSpacing"/>
              <w:rPr>
                <w:sz w:val="26"/>
                <w:szCs w:val="26"/>
              </w:rPr>
            </w:pPr>
          </w:p>
        </w:tc>
        <w:tc>
          <w:tcPr>
            <w:tcW w:w="990" w:type="dxa"/>
          </w:tcPr>
          <w:p w14:paraId="72B2A146" w14:textId="77777777" w:rsidR="00D85698" w:rsidRPr="00D7330E" w:rsidRDefault="00D85698" w:rsidP="00891355">
            <w:pPr>
              <w:pStyle w:val="NoSpacing"/>
              <w:rPr>
                <w:sz w:val="26"/>
                <w:szCs w:val="26"/>
              </w:rPr>
            </w:pPr>
          </w:p>
        </w:tc>
        <w:tc>
          <w:tcPr>
            <w:tcW w:w="8118" w:type="dxa"/>
          </w:tcPr>
          <w:p w14:paraId="019B27BF" w14:textId="348C406B" w:rsidR="00256E75" w:rsidRPr="00256E75" w:rsidRDefault="00256E75" w:rsidP="00256E75">
            <w:pPr>
              <w:rPr>
                <w:szCs w:val="26"/>
              </w:rPr>
            </w:pPr>
            <w:r w:rsidRPr="006C550A">
              <w:rPr>
                <w:szCs w:val="26"/>
              </w:rPr>
              <w:t>This purchase is exempt from the usual selection process of the procurement code because the procurement expenditure is for events or activities paid for exclusively by revenues generated by the event or activity, gifts, or donations for the event or activity, private grants, or any combination thereof, per 30 ILCS 500 / 1-13(b)(2).</w:t>
            </w:r>
          </w:p>
          <w:p w14:paraId="02F39939" w14:textId="76A9FC96" w:rsidR="00256E75" w:rsidRPr="00256E75" w:rsidRDefault="00256E75" w:rsidP="00256E75">
            <w:pPr>
              <w:rPr>
                <w:szCs w:val="26"/>
              </w:rPr>
            </w:pPr>
            <w:r w:rsidRPr="000B7EE5">
              <w:rPr>
                <w:szCs w:val="26"/>
              </w:rPr>
              <w:t>The vendor will prov</w:t>
            </w:r>
            <w:r>
              <w:rPr>
                <w:szCs w:val="26"/>
              </w:rPr>
              <w:t>i</w:t>
            </w:r>
            <w:r w:rsidRPr="000B7EE5">
              <w:rPr>
                <w:szCs w:val="26"/>
              </w:rPr>
              <w:t>d</w:t>
            </w:r>
            <w:r>
              <w:rPr>
                <w:szCs w:val="26"/>
              </w:rPr>
              <w:t xml:space="preserve">e a new </w:t>
            </w:r>
            <w:proofErr w:type="spellStart"/>
            <w:r>
              <w:rPr>
                <w:szCs w:val="26"/>
              </w:rPr>
              <w:t>Vortek</w:t>
            </w:r>
            <w:proofErr w:type="spellEnd"/>
            <w:r>
              <w:rPr>
                <w:szCs w:val="26"/>
              </w:rPr>
              <w:t xml:space="preserve"> Control System at the State Farm Center.  Purchase will replace the over-stage rigging system that was installed in 2009.  The controls for this system are largely technology </w:t>
            </w:r>
            <w:r w:rsidR="007963A9">
              <w:rPr>
                <w:szCs w:val="26"/>
              </w:rPr>
              <w:t>based,</w:t>
            </w:r>
            <w:r>
              <w:rPr>
                <w:szCs w:val="26"/>
              </w:rPr>
              <w:t xml:space="preserve"> and the technology is no longer reliable and unable to accept updates.  The new control upgrades will provide current technology needed to have a more reliable functioning system.</w:t>
            </w:r>
          </w:p>
          <w:p w14:paraId="5649C013" w14:textId="77777777" w:rsidR="00256E75" w:rsidRPr="00974E79" w:rsidRDefault="00256E75" w:rsidP="00256E75">
            <w:pPr>
              <w:pStyle w:val="BodyText"/>
              <w:spacing w:after="0"/>
              <w:rPr>
                <w:sz w:val="26"/>
                <w:szCs w:val="26"/>
              </w:rPr>
            </w:pPr>
            <w:r w:rsidRPr="00974E79">
              <w:rPr>
                <w:sz w:val="26"/>
                <w:szCs w:val="26"/>
              </w:rPr>
              <w:t xml:space="preserve">A notice will be published in the Illinois Procurement Bulletin for Public Institutions of Higher Education within 14 days of the execution of this contract after receipt of Board of </w:t>
            </w:r>
            <w:proofErr w:type="gramStart"/>
            <w:r w:rsidRPr="00974E79">
              <w:rPr>
                <w:sz w:val="26"/>
                <w:szCs w:val="26"/>
              </w:rPr>
              <w:t>Trustees</w:t>
            </w:r>
            <w:proofErr w:type="gramEnd"/>
            <w:r w:rsidRPr="00974E79">
              <w:rPr>
                <w:sz w:val="26"/>
                <w:szCs w:val="26"/>
              </w:rPr>
              <w:t xml:space="preserve"> approval for this purchase. </w:t>
            </w:r>
          </w:p>
          <w:p w14:paraId="665A84B9" w14:textId="77777777" w:rsidR="00256E75" w:rsidRDefault="00256E75" w:rsidP="00256E75">
            <w:pPr>
              <w:pStyle w:val="BodyText"/>
              <w:spacing w:after="0"/>
            </w:pPr>
          </w:p>
          <w:p w14:paraId="39A2ACA9" w14:textId="77777777" w:rsidR="00256E75" w:rsidRPr="00974E79" w:rsidRDefault="00256E75" w:rsidP="00256E75">
            <w:pPr>
              <w:pStyle w:val="BodyText"/>
              <w:spacing w:before="1"/>
              <w:rPr>
                <w:sz w:val="26"/>
                <w:szCs w:val="26"/>
              </w:rPr>
            </w:pPr>
            <w:r w:rsidRPr="00974E79">
              <w:rPr>
                <w:b/>
                <w:sz w:val="26"/>
                <w:szCs w:val="26"/>
              </w:rPr>
              <w:t xml:space="preserve">Business Enterprise Program (BEP) </w:t>
            </w:r>
            <w:r w:rsidRPr="00974E79">
              <w:rPr>
                <w:bCs/>
                <w:sz w:val="26"/>
                <w:szCs w:val="26"/>
              </w:rPr>
              <w:t>goals are not established for contracts which are exempt from the requirements of the Illinois Procurement Code.</w:t>
            </w:r>
          </w:p>
          <w:p w14:paraId="502380BD" w14:textId="6C21E832" w:rsidR="00D85698" w:rsidRPr="00D7330E" w:rsidRDefault="00D85698" w:rsidP="002E30D4">
            <w:pPr>
              <w:spacing w:after="0"/>
              <w:rPr>
                <w:szCs w:val="26"/>
              </w:rPr>
            </w:pPr>
          </w:p>
        </w:tc>
      </w:tr>
    </w:tbl>
    <w:p w14:paraId="29359927" w14:textId="61189D96" w:rsidR="00D743A9" w:rsidRPr="00D7330E" w:rsidRDefault="00D743A9">
      <w:pPr>
        <w:spacing w:after="0" w:line="240" w:lineRule="auto"/>
        <w:rPr>
          <w:szCs w:val="26"/>
        </w:rPr>
      </w:pPr>
    </w:p>
    <w:tbl>
      <w:tblPr>
        <w:tblW w:w="9450" w:type="dxa"/>
        <w:tblLayout w:type="fixed"/>
        <w:tblCellMar>
          <w:left w:w="72" w:type="dxa"/>
          <w:right w:w="72" w:type="dxa"/>
        </w:tblCellMar>
        <w:tblLook w:val="0000" w:firstRow="0" w:lastRow="0" w:firstColumn="0" w:lastColumn="0" w:noHBand="0" w:noVBand="0"/>
      </w:tblPr>
      <w:tblGrid>
        <w:gridCol w:w="342"/>
        <w:gridCol w:w="990"/>
        <w:gridCol w:w="8118"/>
      </w:tblGrid>
      <w:tr w:rsidR="00881246" w:rsidRPr="00D7330E" w14:paraId="00DCA86F" w14:textId="77777777" w:rsidTr="008856C6">
        <w:trPr>
          <w:trHeight w:val="567"/>
        </w:trPr>
        <w:tc>
          <w:tcPr>
            <w:tcW w:w="342" w:type="dxa"/>
          </w:tcPr>
          <w:p w14:paraId="2FED4914" w14:textId="77777777" w:rsidR="00881246" w:rsidRPr="00D7330E" w:rsidRDefault="00881246" w:rsidP="005274CF">
            <w:pPr>
              <w:pStyle w:val="NoSpacing"/>
              <w:jc w:val="both"/>
              <w:rPr>
                <w:sz w:val="26"/>
                <w:szCs w:val="26"/>
              </w:rPr>
            </w:pPr>
          </w:p>
        </w:tc>
        <w:tc>
          <w:tcPr>
            <w:tcW w:w="990" w:type="dxa"/>
          </w:tcPr>
          <w:p w14:paraId="3D1945D4" w14:textId="77777777" w:rsidR="00881246" w:rsidRPr="00D7330E" w:rsidRDefault="00881246" w:rsidP="005274CF">
            <w:pPr>
              <w:pStyle w:val="NoSpacing"/>
              <w:jc w:val="both"/>
              <w:rPr>
                <w:sz w:val="26"/>
                <w:szCs w:val="26"/>
              </w:rPr>
            </w:pPr>
          </w:p>
        </w:tc>
        <w:tc>
          <w:tcPr>
            <w:tcW w:w="8118" w:type="dxa"/>
          </w:tcPr>
          <w:p w14:paraId="35405A80" w14:textId="2B034A45" w:rsidR="00881246" w:rsidRPr="00D7330E" w:rsidRDefault="0081669D" w:rsidP="00F47925">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textAlignment w:val="baseline"/>
              <w:rPr>
                <w:szCs w:val="26"/>
              </w:rPr>
            </w:pPr>
            <w:r w:rsidRPr="00D7330E">
              <w:rPr>
                <w:rFonts w:eastAsia="Times New Roman"/>
                <w:b/>
                <w:color w:val="000000"/>
                <w:szCs w:val="26"/>
              </w:rPr>
              <w:tab/>
            </w:r>
            <w:r w:rsidR="00D743A9" w:rsidRPr="00D7330E">
              <w:rPr>
                <w:rFonts w:eastAsia="Times New Roman"/>
                <w:b/>
                <w:color w:val="000000"/>
                <w:szCs w:val="26"/>
              </w:rPr>
              <w:t xml:space="preserve">        </w:t>
            </w:r>
            <w:r w:rsidR="00D6273A" w:rsidRPr="00D7330E">
              <w:rPr>
                <w:rFonts w:eastAsia="Times New Roman"/>
                <w:b/>
                <w:color w:val="000000"/>
                <w:szCs w:val="26"/>
              </w:rPr>
              <w:t xml:space="preserve"> </w:t>
            </w:r>
            <w:r w:rsidRPr="00D7330E">
              <w:rPr>
                <w:rFonts w:eastAsia="Times New Roman"/>
                <w:b/>
                <w:color w:val="000000"/>
                <w:szCs w:val="26"/>
              </w:rPr>
              <w:t xml:space="preserve">CHANGE ORDER </w:t>
            </w:r>
            <w:r w:rsidR="00881246" w:rsidRPr="00D7330E">
              <w:rPr>
                <w:rFonts w:eastAsia="Times New Roman"/>
                <w:b/>
                <w:color w:val="000000"/>
                <w:szCs w:val="26"/>
              </w:rPr>
              <w:t>RECOMMENDED</w:t>
            </w:r>
          </w:p>
        </w:tc>
      </w:tr>
    </w:tbl>
    <w:tbl>
      <w:tblPr>
        <w:tblpPr w:leftFromText="180" w:rightFromText="180" w:vertAnchor="text" w:tblpY="1"/>
        <w:tblOverlap w:val="never"/>
        <w:tblW w:w="9454" w:type="dxa"/>
        <w:tblLayout w:type="fixed"/>
        <w:tblCellMar>
          <w:left w:w="43" w:type="dxa"/>
          <w:right w:w="43" w:type="dxa"/>
        </w:tblCellMar>
        <w:tblLook w:val="0000" w:firstRow="0" w:lastRow="0" w:firstColumn="0" w:lastColumn="0" w:noHBand="0" w:noVBand="0"/>
      </w:tblPr>
      <w:tblGrid>
        <w:gridCol w:w="9454"/>
      </w:tblGrid>
      <w:tr w:rsidR="00FE4204" w:rsidRPr="00D7330E" w14:paraId="23EE4603" w14:textId="77777777" w:rsidTr="00503D31">
        <w:trPr>
          <w:trHeight w:val="114"/>
        </w:trPr>
        <w:tc>
          <w:tcPr>
            <w:tcW w:w="9454" w:type="dxa"/>
            <w:tcBorders>
              <w:top w:val="single" w:sz="18" w:space="0" w:color="auto"/>
              <w:bottom w:val="single" w:sz="18" w:space="0" w:color="auto"/>
            </w:tcBorders>
          </w:tcPr>
          <w:p w14:paraId="3F8672C8" w14:textId="27838A2C" w:rsidR="00FE4204" w:rsidRPr="00D7330E" w:rsidRDefault="00FE4204" w:rsidP="00503D31">
            <w:pPr>
              <w:tabs>
                <w:tab w:val="left" w:pos="-720"/>
                <w:tab w:val="left" w:pos="9090"/>
              </w:tabs>
              <w:suppressAutoHyphens/>
              <w:overflowPunct w:val="0"/>
              <w:autoSpaceDE w:val="0"/>
              <w:autoSpaceDN w:val="0"/>
              <w:adjustRightInd w:val="0"/>
              <w:spacing w:after="0" w:line="240" w:lineRule="auto"/>
              <w:jc w:val="center"/>
              <w:textAlignment w:val="baseline"/>
              <w:rPr>
                <w:rFonts w:eastAsia="Times New Roman"/>
                <w:b/>
                <w:szCs w:val="26"/>
              </w:rPr>
            </w:pPr>
            <w:bookmarkStart w:id="2" w:name="_Hlk190079908"/>
            <w:r w:rsidRPr="00D7330E">
              <w:rPr>
                <w:rFonts w:eastAsia="Times New Roman"/>
                <w:b/>
                <w:szCs w:val="26"/>
              </w:rPr>
              <w:t>University of Illinois</w:t>
            </w:r>
            <w:r w:rsidR="008856C6" w:rsidRPr="00D7330E">
              <w:rPr>
                <w:rFonts w:eastAsia="Times New Roman"/>
                <w:b/>
                <w:szCs w:val="26"/>
              </w:rPr>
              <w:t xml:space="preserve"> </w:t>
            </w:r>
            <w:r w:rsidR="00442481">
              <w:rPr>
                <w:rFonts w:eastAsia="Times New Roman"/>
                <w:b/>
                <w:szCs w:val="26"/>
              </w:rPr>
              <w:t>System Office</w:t>
            </w:r>
          </w:p>
        </w:tc>
      </w:tr>
    </w:tbl>
    <w:tbl>
      <w:tblPr>
        <w:tblW w:w="9360" w:type="dxa"/>
        <w:tblLayout w:type="fixed"/>
        <w:tblCellMar>
          <w:left w:w="72" w:type="dxa"/>
          <w:right w:w="72" w:type="dxa"/>
        </w:tblCellMar>
        <w:tblLook w:val="0000" w:firstRow="0" w:lastRow="0" w:firstColumn="0" w:lastColumn="0" w:noHBand="0" w:noVBand="0"/>
      </w:tblPr>
      <w:tblGrid>
        <w:gridCol w:w="450"/>
        <w:gridCol w:w="990"/>
        <w:gridCol w:w="7920"/>
      </w:tblGrid>
      <w:tr w:rsidR="00F6377E" w:rsidRPr="00D7330E" w14:paraId="3BB2299D" w14:textId="77777777" w:rsidTr="00BD5FE0">
        <w:trPr>
          <w:trHeight w:val="120"/>
        </w:trPr>
        <w:tc>
          <w:tcPr>
            <w:tcW w:w="450" w:type="dxa"/>
            <w:tcBorders>
              <w:bottom w:val="double" w:sz="6" w:space="0" w:color="auto"/>
            </w:tcBorders>
          </w:tcPr>
          <w:bookmarkEnd w:id="2"/>
          <w:p w14:paraId="1F8AFA6C" w14:textId="5A8C1F37" w:rsidR="00F6377E" w:rsidRPr="00D7330E" w:rsidRDefault="00702ED5" w:rsidP="00F6377E">
            <w:pPr>
              <w:pStyle w:val="NoSpacing"/>
              <w:rPr>
                <w:sz w:val="26"/>
                <w:szCs w:val="26"/>
              </w:rPr>
            </w:pPr>
            <w:r>
              <w:rPr>
                <w:sz w:val="26"/>
                <w:szCs w:val="26"/>
              </w:rPr>
              <w:t>5</w:t>
            </w:r>
          </w:p>
        </w:tc>
        <w:tc>
          <w:tcPr>
            <w:tcW w:w="990" w:type="dxa"/>
            <w:tcBorders>
              <w:bottom w:val="double" w:sz="6" w:space="0" w:color="auto"/>
            </w:tcBorders>
          </w:tcPr>
          <w:p w14:paraId="31B5CEDC" w14:textId="77777777" w:rsidR="00F6377E" w:rsidRPr="00D7330E" w:rsidRDefault="00F6377E" w:rsidP="00F6377E">
            <w:pPr>
              <w:pStyle w:val="NoSpacing"/>
              <w:rPr>
                <w:sz w:val="26"/>
                <w:szCs w:val="26"/>
              </w:rPr>
            </w:pPr>
            <w:r w:rsidRPr="00D7330E">
              <w:rPr>
                <w:sz w:val="26"/>
                <w:szCs w:val="26"/>
              </w:rPr>
              <w:t>Unit</w:t>
            </w:r>
          </w:p>
        </w:tc>
        <w:tc>
          <w:tcPr>
            <w:tcW w:w="7920" w:type="dxa"/>
            <w:tcBorders>
              <w:bottom w:val="double" w:sz="6" w:space="0" w:color="auto"/>
            </w:tcBorders>
          </w:tcPr>
          <w:p w14:paraId="26CDAEA8" w14:textId="719DE47A" w:rsidR="00F6377E" w:rsidRPr="00D7330E" w:rsidRDefault="00442481" w:rsidP="00F6377E">
            <w:pPr>
              <w:pStyle w:val="NoSpacing"/>
              <w:rPr>
                <w:sz w:val="26"/>
                <w:szCs w:val="26"/>
              </w:rPr>
            </w:pPr>
            <w:r>
              <w:rPr>
                <w:sz w:val="26"/>
              </w:rPr>
              <w:t>Office of Medicaid Innovation</w:t>
            </w:r>
          </w:p>
        </w:tc>
      </w:tr>
      <w:tr w:rsidR="00F6377E" w:rsidRPr="00D7330E" w14:paraId="55FAE87F" w14:textId="77777777" w:rsidTr="00BD5FE0">
        <w:trPr>
          <w:trHeight w:val="648"/>
        </w:trPr>
        <w:tc>
          <w:tcPr>
            <w:tcW w:w="450" w:type="dxa"/>
          </w:tcPr>
          <w:p w14:paraId="3CF349EC" w14:textId="77777777" w:rsidR="00F6377E" w:rsidRPr="00D7330E" w:rsidRDefault="00F6377E" w:rsidP="00F6377E">
            <w:pPr>
              <w:pStyle w:val="NoSpacing"/>
              <w:rPr>
                <w:sz w:val="26"/>
                <w:szCs w:val="26"/>
              </w:rPr>
            </w:pPr>
          </w:p>
        </w:tc>
        <w:tc>
          <w:tcPr>
            <w:tcW w:w="990" w:type="dxa"/>
          </w:tcPr>
          <w:p w14:paraId="5C67AD10" w14:textId="77777777" w:rsidR="00F6377E" w:rsidRPr="00D7330E" w:rsidRDefault="00F6377E" w:rsidP="00F6377E">
            <w:pPr>
              <w:pStyle w:val="NoSpacing"/>
              <w:rPr>
                <w:sz w:val="26"/>
                <w:szCs w:val="26"/>
              </w:rPr>
            </w:pPr>
          </w:p>
          <w:p w14:paraId="10671FD9" w14:textId="77777777" w:rsidR="00F6377E" w:rsidRPr="00D7330E" w:rsidRDefault="00F6377E" w:rsidP="00F6377E">
            <w:pPr>
              <w:pStyle w:val="NoSpacing"/>
              <w:rPr>
                <w:sz w:val="26"/>
                <w:szCs w:val="26"/>
              </w:rPr>
            </w:pPr>
            <w:r w:rsidRPr="00D7330E">
              <w:rPr>
                <w:sz w:val="26"/>
                <w:szCs w:val="26"/>
              </w:rPr>
              <w:t>Item</w:t>
            </w:r>
          </w:p>
        </w:tc>
        <w:tc>
          <w:tcPr>
            <w:tcW w:w="7920" w:type="dxa"/>
            <w:vAlign w:val="center"/>
          </w:tcPr>
          <w:p w14:paraId="7AE818BC" w14:textId="77777777" w:rsidR="002F2D48" w:rsidRPr="00D7330E" w:rsidRDefault="002F2D48" w:rsidP="00F6377E">
            <w:pPr>
              <w:pStyle w:val="NoSpacing"/>
              <w:rPr>
                <w:sz w:val="26"/>
                <w:szCs w:val="26"/>
              </w:rPr>
            </w:pPr>
          </w:p>
          <w:p w14:paraId="5F3D83EC" w14:textId="1EFA87CF" w:rsidR="00F6377E" w:rsidRPr="00D7330E" w:rsidRDefault="00702ED5" w:rsidP="00F6377E">
            <w:pPr>
              <w:pStyle w:val="NoSpacing"/>
              <w:rPr>
                <w:sz w:val="26"/>
                <w:szCs w:val="26"/>
              </w:rPr>
            </w:pPr>
            <w:r>
              <w:rPr>
                <w:sz w:val="26"/>
              </w:rPr>
              <w:t xml:space="preserve">Change order for </w:t>
            </w:r>
            <w:proofErr w:type="gramStart"/>
            <w:r>
              <w:rPr>
                <w:sz w:val="26"/>
              </w:rPr>
              <w:t>consultant</w:t>
            </w:r>
            <w:proofErr w:type="gramEnd"/>
            <w:r>
              <w:rPr>
                <w:sz w:val="26"/>
              </w:rPr>
              <w:t xml:space="preserve"> to assist with understanding the Medicaid industry landscape and its challenges. This includes knowledge of national approaches toward the use of managed care contractual arrangements that improve quality for youth in care services.</w:t>
            </w:r>
          </w:p>
        </w:tc>
      </w:tr>
      <w:tr w:rsidR="00F6377E" w:rsidRPr="00D7330E" w14:paraId="29935A0B" w14:textId="77777777" w:rsidTr="00BD5FE0">
        <w:trPr>
          <w:trHeight w:val="315"/>
        </w:trPr>
        <w:tc>
          <w:tcPr>
            <w:tcW w:w="450" w:type="dxa"/>
          </w:tcPr>
          <w:p w14:paraId="15B64255" w14:textId="77777777" w:rsidR="00F6377E" w:rsidRPr="00D7330E" w:rsidRDefault="00F6377E" w:rsidP="00F6377E">
            <w:pPr>
              <w:pStyle w:val="NoSpacing"/>
              <w:rPr>
                <w:sz w:val="26"/>
                <w:szCs w:val="26"/>
              </w:rPr>
            </w:pPr>
          </w:p>
        </w:tc>
        <w:tc>
          <w:tcPr>
            <w:tcW w:w="990" w:type="dxa"/>
          </w:tcPr>
          <w:p w14:paraId="0C1B6377" w14:textId="77777777" w:rsidR="00F6377E" w:rsidRPr="00D7330E" w:rsidRDefault="00F6377E" w:rsidP="00F6377E">
            <w:pPr>
              <w:pStyle w:val="NoSpacing"/>
              <w:rPr>
                <w:sz w:val="26"/>
                <w:szCs w:val="26"/>
              </w:rPr>
            </w:pPr>
          </w:p>
          <w:p w14:paraId="11C382A2" w14:textId="77777777" w:rsidR="00F6377E" w:rsidRPr="00D7330E" w:rsidRDefault="00F6377E" w:rsidP="00F6377E">
            <w:pPr>
              <w:pStyle w:val="NoSpacing"/>
              <w:rPr>
                <w:sz w:val="26"/>
                <w:szCs w:val="26"/>
              </w:rPr>
            </w:pPr>
            <w:r w:rsidRPr="00D7330E">
              <w:rPr>
                <w:sz w:val="26"/>
                <w:szCs w:val="26"/>
              </w:rPr>
              <w:t>Cost</w:t>
            </w:r>
          </w:p>
        </w:tc>
        <w:tc>
          <w:tcPr>
            <w:tcW w:w="7920" w:type="dxa"/>
          </w:tcPr>
          <w:p w14:paraId="6526F004" w14:textId="77777777" w:rsidR="001B4A24" w:rsidRPr="00D7330E" w:rsidRDefault="001B4A24" w:rsidP="001B4A24">
            <w:pPr>
              <w:pStyle w:val="NoSpacing"/>
              <w:rPr>
                <w:sz w:val="26"/>
                <w:szCs w:val="26"/>
              </w:rPr>
            </w:pPr>
          </w:p>
          <w:p w14:paraId="3B6194B9" w14:textId="4CB633E9" w:rsidR="00934FC6" w:rsidRPr="00D7330E" w:rsidRDefault="00702ED5" w:rsidP="00CD6ECE">
            <w:pPr>
              <w:tabs>
                <w:tab w:val="left" w:pos="-720"/>
                <w:tab w:val="left" w:pos="0"/>
                <w:tab w:val="left" w:pos="720"/>
                <w:tab w:val="left" w:pos="1080"/>
                <w:tab w:val="left" w:pos="1440"/>
              </w:tabs>
              <w:suppressAutoHyphens/>
              <w:spacing w:after="0"/>
              <w:jc w:val="both"/>
              <w:rPr>
                <w:szCs w:val="26"/>
              </w:rPr>
            </w:pPr>
            <w:r>
              <w:rPr>
                <w:szCs w:val="26"/>
              </w:rPr>
              <w:t>Approximately $</w:t>
            </w:r>
            <w:r w:rsidR="00853D11">
              <w:rPr>
                <w:szCs w:val="26"/>
              </w:rPr>
              <w:t>2,725</w:t>
            </w:r>
            <w:r>
              <w:rPr>
                <w:szCs w:val="26"/>
              </w:rPr>
              <w:t>,000 for up to a 14-month period</w:t>
            </w:r>
            <w:r w:rsidRPr="00D7330E">
              <w:rPr>
                <w:szCs w:val="26"/>
              </w:rPr>
              <w:t xml:space="preserve"> </w:t>
            </w:r>
          </w:p>
        </w:tc>
      </w:tr>
      <w:tr w:rsidR="00F6377E" w:rsidRPr="00D7330E" w14:paraId="766A4E98" w14:textId="77777777" w:rsidTr="00BD5FE0">
        <w:trPr>
          <w:trHeight w:val="150"/>
        </w:trPr>
        <w:tc>
          <w:tcPr>
            <w:tcW w:w="450" w:type="dxa"/>
          </w:tcPr>
          <w:p w14:paraId="14F233DC" w14:textId="77777777" w:rsidR="00F6377E" w:rsidRPr="00D7330E" w:rsidRDefault="00F6377E" w:rsidP="00F6377E">
            <w:pPr>
              <w:pStyle w:val="NoSpacing"/>
              <w:rPr>
                <w:sz w:val="26"/>
                <w:szCs w:val="26"/>
              </w:rPr>
            </w:pPr>
          </w:p>
        </w:tc>
        <w:tc>
          <w:tcPr>
            <w:tcW w:w="990" w:type="dxa"/>
          </w:tcPr>
          <w:p w14:paraId="7C865FCA" w14:textId="77777777" w:rsidR="001B4A24" w:rsidRPr="00D7330E" w:rsidRDefault="001B4A24" w:rsidP="00F6377E">
            <w:pPr>
              <w:pStyle w:val="NoSpacing"/>
              <w:rPr>
                <w:sz w:val="26"/>
                <w:szCs w:val="26"/>
              </w:rPr>
            </w:pPr>
          </w:p>
          <w:p w14:paraId="14DFD6F3" w14:textId="4072507B" w:rsidR="00F6377E" w:rsidRPr="00D7330E" w:rsidRDefault="00F6377E" w:rsidP="00F6377E">
            <w:pPr>
              <w:pStyle w:val="NoSpacing"/>
              <w:rPr>
                <w:sz w:val="26"/>
                <w:szCs w:val="26"/>
              </w:rPr>
            </w:pPr>
            <w:r w:rsidRPr="00D7330E">
              <w:rPr>
                <w:sz w:val="26"/>
                <w:szCs w:val="26"/>
              </w:rPr>
              <w:t>Vendor</w:t>
            </w:r>
          </w:p>
        </w:tc>
        <w:tc>
          <w:tcPr>
            <w:tcW w:w="7920" w:type="dxa"/>
          </w:tcPr>
          <w:p w14:paraId="4CAA0428" w14:textId="77777777" w:rsidR="00442481" w:rsidRDefault="00442481" w:rsidP="00442481">
            <w:pPr>
              <w:pStyle w:val="NoSpacing"/>
              <w:jc w:val="both"/>
              <w:rPr>
                <w:bCs/>
                <w:sz w:val="26"/>
                <w:szCs w:val="26"/>
              </w:rPr>
            </w:pPr>
          </w:p>
          <w:p w14:paraId="693D5CBF" w14:textId="77777777" w:rsidR="00702ED5" w:rsidRPr="00447B2C" w:rsidRDefault="00702ED5" w:rsidP="00702ED5">
            <w:pPr>
              <w:pStyle w:val="NoSpacing"/>
              <w:jc w:val="both"/>
              <w:rPr>
                <w:bCs/>
                <w:sz w:val="26"/>
                <w:szCs w:val="26"/>
              </w:rPr>
            </w:pPr>
            <w:r w:rsidRPr="00447B2C">
              <w:rPr>
                <w:bCs/>
                <w:sz w:val="26"/>
                <w:szCs w:val="26"/>
              </w:rPr>
              <w:t xml:space="preserve">McKinsey &amp; Company, Inc.                                                Washington, D.C. </w:t>
            </w:r>
          </w:p>
          <w:p w14:paraId="14D2CF60" w14:textId="77777777" w:rsidR="00F6377E" w:rsidRPr="00D7330E" w:rsidRDefault="00F6377E" w:rsidP="00F6377E">
            <w:pPr>
              <w:pStyle w:val="NoSpacing"/>
              <w:jc w:val="both"/>
              <w:rPr>
                <w:sz w:val="26"/>
                <w:szCs w:val="26"/>
              </w:rPr>
            </w:pPr>
          </w:p>
        </w:tc>
      </w:tr>
      <w:tr w:rsidR="00F6377E" w:rsidRPr="00D7330E" w14:paraId="0CC80085" w14:textId="77777777" w:rsidTr="00BD5FE0">
        <w:trPr>
          <w:trHeight w:val="150"/>
        </w:trPr>
        <w:tc>
          <w:tcPr>
            <w:tcW w:w="450" w:type="dxa"/>
          </w:tcPr>
          <w:p w14:paraId="67560A50" w14:textId="77777777" w:rsidR="00F6377E" w:rsidRPr="00D7330E" w:rsidRDefault="00F6377E" w:rsidP="00F6377E">
            <w:pPr>
              <w:pStyle w:val="NoSpacing"/>
              <w:rPr>
                <w:sz w:val="26"/>
                <w:szCs w:val="26"/>
              </w:rPr>
            </w:pPr>
          </w:p>
        </w:tc>
        <w:tc>
          <w:tcPr>
            <w:tcW w:w="990" w:type="dxa"/>
          </w:tcPr>
          <w:p w14:paraId="6AD68AE2" w14:textId="77777777" w:rsidR="00F6377E" w:rsidRPr="00D7330E" w:rsidRDefault="00F6377E" w:rsidP="00F6377E">
            <w:pPr>
              <w:pStyle w:val="NoSpacing"/>
              <w:rPr>
                <w:sz w:val="26"/>
                <w:szCs w:val="26"/>
              </w:rPr>
            </w:pPr>
          </w:p>
        </w:tc>
        <w:tc>
          <w:tcPr>
            <w:tcW w:w="7920" w:type="dxa"/>
          </w:tcPr>
          <w:p w14:paraId="5B25A953" w14:textId="77777777" w:rsidR="00702ED5" w:rsidRPr="00447B2C" w:rsidRDefault="00702ED5" w:rsidP="00702ED5">
            <w:pPr>
              <w:pStyle w:val="NoSpacing"/>
              <w:rPr>
                <w:sz w:val="26"/>
                <w:szCs w:val="26"/>
              </w:rPr>
            </w:pPr>
            <w:r w:rsidRPr="00447B2C">
              <w:rPr>
                <w:sz w:val="26"/>
                <w:szCs w:val="26"/>
              </w:rPr>
              <w:t xml:space="preserve">This is </w:t>
            </w:r>
            <w:r>
              <w:rPr>
                <w:sz w:val="26"/>
                <w:szCs w:val="26"/>
              </w:rPr>
              <w:t>a change order to</w:t>
            </w:r>
            <w:r w:rsidRPr="00447B2C">
              <w:rPr>
                <w:sz w:val="26"/>
                <w:szCs w:val="26"/>
              </w:rPr>
              <w:t xml:space="preserve"> a task order </w:t>
            </w:r>
            <w:r>
              <w:rPr>
                <w:sz w:val="26"/>
                <w:szCs w:val="26"/>
              </w:rPr>
              <w:t xml:space="preserve">awarded </w:t>
            </w:r>
            <w:r w:rsidRPr="00447B2C">
              <w:rPr>
                <w:sz w:val="26"/>
                <w:szCs w:val="26"/>
              </w:rPr>
              <w:t xml:space="preserve">to McKinsey &amp; Company, Inc. based on the request for proposal (RFP) 1JWS1805 for Consulting for Strategic/Financial Planning and Related Services.  </w:t>
            </w:r>
          </w:p>
          <w:p w14:paraId="4EDDBEF3" w14:textId="77777777" w:rsidR="00702ED5" w:rsidRPr="00447B2C" w:rsidRDefault="00702ED5" w:rsidP="00702ED5">
            <w:pPr>
              <w:pStyle w:val="NoSpacing"/>
              <w:rPr>
                <w:sz w:val="26"/>
                <w:szCs w:val="26"/>
              </w:rPr>
            </w:pPr>
          </w:p>
          <w:p w14:paraId="2BF35C67" w14:textId="77777777" w:rsidR="00702ED5" w:rsidRPr="00447B2C" w:rsidRDefault="00702ED5" w:rsidP="00702ED5">
            <w:pPr>
              <w:pStyle w:val="NoSpacing"/>
              <w:rPr>
                <w:sz w:val="26"/>
                <w:szCs w:val="26"/>
              </w:rPr>
            </w:pPr>
            <w:r w:rsidRPr="00447B2C">
              <w:rPr>
                <w:sz w:val="26"/>
                <w:szCs w:val="26"/>
              </w:rPr>
              <w:t>In May of 2018, the University published solicitation reference number 1JWS1805, a request for proposal (RFP) to provide consulting services in two categories: 1) strategic planning and related services and 2) financial and process analysis.  Proposals were opened on June 28, 2018.</w:t>
            </w:r>
          </w:p>
          <w:p w14:paraId="322C9304" w14:textId="77777777" w:rsidR="00702ED5" w:rsidRPr="00447B2C" w:rsidRDefault="00702ED5" w:rsidP="00702ED5">
            <w:pPr>
              <w:pStyle w:val="NoSpacing"/>
              <w:rPr>
                <w:sz w:val="26"/>
                <w:szCs w:val="26"/>
              </w:rPr>
            </w:pPr>
          </w:p>
          <w:p w14:paraId="7310D1BF" w14:textId="77777777" w:rsidR="00702ED5" w:rsidRPr="00447B2C" w:rsidRDefault="00702ED5" w:rsidP="00702ED5">
            <w:pPr>
              <w:pStyle w:val="NoSpacing"/>
              <w:rPr>
                <w:sz w:val="26"/>
                <w:szCs w:val="26"/>
              </w:rPr>
            </w:pPr>
            <w:r w:rsidRPr="00447B2C">
              <w:rPr>
                <w:sz w:val="26"/>
                <w:szCs w:val="26"/>
              </w:rPr>
              <w:t xml:space="preserve">A team of five evaluators evaluated the 23 qualified proposals. The University’s RFP stated that it would select up to five awardees for each of the identified categories (strategic planning and related services, and financial and process analysis).  The award would establish a qualified pool of vendors.  When an individual project becomes available under the award, the University would send a task order outlining the scope of work to the respondents in the relevant category for the services being requested.  The RFP did not request pricing information.  Pricing was to be requested and evaluated at the time of a specific task order evaluation.  </w:t>
            </w:r>
            <w:r w:rsidRPr="00447B2C">
              <w:rPr>
                <w:sz w:val="26"/>
                <w:szCs w:val="26"/>
              </w:rPr>
              <w:br/>
            </w:r>
          </w:p>
          <w:p w14:paraId="674B8FA9" w14:textId="77777777" w:rsidR="00702ED5" w:rsidRPr="00447B2C" w:rsidRDefault="00702ED5" w:rsidP="00702ED5">
            <w:pPr>
              <w:pStyle w:val="NoSpacing"/>
              <w:rPr>
                <w:sz w:val="26"/>
                <w:szCs w:val="26"/>
              </w:rPr>
            </w:pPr>
            <w:r w:rsidRPr="00447B2C">
              <w:rPr>
                <w:sz w:val="26"/>
                <w:szCs w:val="26"/>
              </w:rPr>
              <w:t>In December 2018, the University published its intent to award the top five scoring respondents, which were the same for both categories.  The awarded vendors are:</w:t>
            </w:r>
          </w:p>
          <w:p w14:paraId="58D32939" w14:textId="77777777" w:rsidR="00702ED5" w:rsidRPr="00447B2C" w:rsidRDefault="00702ED5" w:rsidP="00702ED5">
            <w:pPr>
              <w:pStyle w:val="NoSpacing"/>
              <w:numPr>
                <w:ilvl w:val="0"/>
                <w:numId w:val="14"/>
              </w:numPr>
              <w:rPr>
                <w:sz w:val="26"/>
                <w:szCs w:val="26"/>
              </w:rPr>
            </w:pPr>
            <w:r w:rsidRPr="00447B2C">
              <w:rPr>
                <w:sz w:val="26"/>
                <w:szCs w:val="26"/>
              </w:rPr>
              <w:t>Baker Tilly Virchow Krause, LLP</w:t>
            </w:r>
          </w:p>
          <w:p w14:paraId="37E15FF3" w14:textId="77777777" w:rsidR="00702ED5" w:rsidRPr="00447B2C" w:rsidRDefault="00702ED5" w:rsidP="00702ED5">
            <w:pPr>
              <w:pStyle w:val="NoSpacing"/>
              <w:numPr>
                <w:ilvl w:val="0"/>
                <w:numId w:val="14"/>
              </w:numPr>
              <w:rPr>
                <w:sz w:val="26"/>
                <w:szCs w:val="26"/>
              </w:rPr>
            </w:pPr>
            <w:r w:rsidRPr="00447B2C">
              <w:rPr>
                <w:sz w:val="26"/>
                <w:szCs w:val="26"/>
              </w:rPr>
              <w:t>The Boston Consulting Group, Inc.</w:t>
            </w:r>
          </w:p>
          <w:p w14:paraId="5C2ACADD" w14:textId="77777777" w:rsidR="00702ED5" w:rsidRPr="00447B2C" w:rsidRDefault="00702ED5" w:rsidP="00702ED5">
            <w:pPr>
              <w:pStyle w:val="NoSpacing"/>
              <w:numPr>
                <w:ilvl w:val="0"/>
                <w:numId w:val="14"/>
              </w:numPr>
              <w:rPr>
                <w:sz w:val="26"/>
                <w:szCs w:val="26"/>
              </w:rPr>
            </w:pPr>
            <w:r w:rsidRPr="00447B2C">
              <w:rPr>
                <w:sz w:val="26"/>
                <w:szCs w:val="26"/>
              </w:rPr>
              <w:t>Ernst &amp; Young LLP</w:t>
            </w:r>
          </w:p>
          <w:p w14:paraId="70B5551A" w14:textId="77777777" w:rsidR="00702ED5" w:rsidRPr="00447B2C" w:rsidRDefault="00702ED5" w:rsidP="00702ED5">
            <w:pPr>
              <w:pStyle w:val="NoSpacing"/>
              <w:numPr>
                <w:ilvl w:val="0"/>
                <w:numId w:val="14"/>
              </w:numPr>
              <w:rPr>
                <w:sz w:val="26"/>
                <w:szCs w:val="26"/>
              </w:rPr>
            </w:pPr>
            <w:r w:rsidRPr="00447B2C">
              <w:rPr>
                <w:sz w:val="26"/>
                <w:szCs w:val="26"/>
              </w:rPr>
              <w:t>Huron Consulting Services LLC</w:t>
            </w:r>
          </w:p>
          <w:p w14:paraId="778EB7F5" w14:textId="77777777" w:rsidR="00702ED5" w:rsidRDefault="00702ED5" w:rsidP="00702ED5">
            <w:pPr>
              <w:pStyle w:val="NoSpacing"/>
              <w:numPr>
                <w:ilvl w:val="0"/>
                <w:numId w:val="14"/>
              </w:numPr>
              <w:rPr>
                <w:sz w:val="26"/>
                <w:szCs w:val="26"/>
              </w:rPr>
            </w:pPr>
            <w:r w:rsidRPr="00447B2C">
              <w:rPr>
                <w:sz w:val="26"/>
                <w:szCs w:val="26"/>
              </w:rPr>
              <w:t>McKinsey &amp; Company, Inc.</w:t>
            </w:r>
          </w:p>
          <w:p w14:paraId="2AA429DB" w14:textId="77777777" w:rsidR="00702ED5" w:rsidRPr="00447B2C" w:rsidRDefault="00702ED5" w:rsidP="00702ED5">
            <w:pPr>
              <w:pStyle w:val="NoSpacing"/>
              <w:ind w:left="720"/>
              <w:rPr>
                <w:sz w:val="26"/>
                <w:szCs w:val="26"/>
              </w:rPr>
            </w:pPr>
          </w:p>
          <w:p w14:paraId="17986002" w14:textId="4A4F605B" w:rsidR="00702ED5" w:rsidRPr="00447B2C" w:rsidRDefault="00702ED5" w:rsidP="00702ED5">
            <w:pPr>
              <w:pStyle w:val="NoSpacing"/>
              <w:rPr>
                <w:sz w:val="26"/>
                <w:szCs w:val="26"/>
              </w:rPr>
            </w:pPr>
            <w:r w:rsidRPr="00447B2C">
              <w:rPr>
                <w:sz w:val="26"/>
                <w:szCs w:val="26"/>
              </w:rPr>
              <w:t xml:space="preserve">In June of 2021, the University published its intent to renew the five awards under solicitation 1JWS1805.  The </w:t>
            </w:r>
            <w:r>
              <w:rPr>
                <w:sz w:val="26"/>
                <w:szCs w:val="26"/>
              </w:rPr>
              <w:t>second</w:t>
            </w:r>
            <w:r w:rsidRPr="00447B2C">
              <w:rPr>
                <w:sz w:val="26"/>
                <w:szCs w:val="26"/>
              </w:rPr>
              <w:t xml:space="preserve"> renewal term is from 7/1/202</w:t>
            </w:r>
            <w:r>
              <w:rPr>
                <w:sz w:val="26"/>
                <w:szCs w:val="26"/>
              </w:rPr>
              <w:t>4</w:t>
            </w:r>
            <w:r w:rsidRPr="00447B2C">
              <w:rPr>
                <w:sz w:val="26"/>
                <w:szCs w:val="26"/>
              </w:rPr>
              <w:t xml:space="preserve"> through 6/30/202</w:t>
            </w:r>
            <w:r>
              <w:rPr>
                <w:sz w:val="26"/>
                <w:szCs w:val="26"/>
              </w:rPr>
              <w:t>7</w:t>
            </w:r>
            <w:r w:rsidRPr="00447B2C">
              <w:rPr>
                <w:sz w:val="26"/>
                <w:szCs w:val="26"/>
              </w:rPr>
              <w:t>.  The costs of this renewal were estimated at $</w:t>
            </w:r>
            <w:r>
              <w:rPr>
                <w:sz w:val="26"/>
                <w:szCs w:val="26"/>
              </w:rPr>
              <w:t>28</w:t>
            </w:r>
            <w:r w:rsidRPr="00447B2C">
              <w:rPr>
                <w:sz w:val="26"/>
                <w:szCs w:val="26"/>
              </w:rPr>
              <w:t xml:space="preserve"> Million. There </w:t>
            </w:r>
            <w:r>
              <w:rPr>
                <w:sz w:val="26"/>
                <w:szCs w:val="26"/>
              </w:rPr>
              <w:t>are no</w:t>
            </w:r>
            <w:r w:rsidRPr="00447B2C">
              <w:rPr>
                <w:sz w:val="26"/>
                <w:szCs w:val="26"/>
              </w:rPr>
              <w:t xml:space="preserve"> renewal option</w:t>
            </w:r>
            <w:r>
              <w:rPr>
                <w:sz w:val="26"/>
                <w:szCs w:val="26"/>
              </w:rPr>
              <w:t>s</w:t>
            </w:r>
            <w:r w:rsidRPr="00447B2C">
              <w:rPr>
                <w:sz w:val="26"/>
                <w:szCs w:val="26"/>
              </w:rPr>
              <w:t xml:space="preserve"> remaining.</w:t>
            </w:r>
          </w:p>
          <w:p w14:paraId="4BA7F7BB" w14:textId="77777777" w:rsidR="00702ED5" w:rsidRPr="00447B2C" w:rsidRDefault="00702ED5" w:rsidP="00702ED5">
            <w:pPr>
              <w:pStyle w:val="NoSpacing"/>
              <w:rPr>
                <w:sz w:val="26"/>
                <w:szCs w:val="26"/>
              </w:rPr>
            </w:pPr>
          </w:p>
          <w:p w14:paraId="05D793F5" w14:textId="77777777" w:rsidR="00702ED5" w:rsidRPr="00447B2C" w:rsidRDefault="00702ED5" w:rsidP="00702ED5">
            <w:pPr>
              <w:pStyle w:val="NoSpacing"/>
              <w:rPr>
                <w:sz w:val="26"/>
                <w:szCs w:val="26"/>
              </w:rPr>
            </w:pPr>
            <w:r w:rsidRPr="00447B2C">
              <w:rPr>
                <w:sz w:val="26"/>
                <w:szCs w:val="26"/>
              </w:rPr>
              <w:t xml:space="preserve">A task order specific to the </w:t>
            </w:r>
            <w:r w:rsidRPr="008E2416">
              <w:rPr>
                <w:sz w:val="26"/>
                <w:szCs w:val="26"/>
              </w:rPr>
              <w:t>Office of Medicaid Innovation (OMI) and Illinois Department of Healthcare and Family Services (HFS) enhancements to Medicaid youth program</w:t>
            </w:r>
            <w:r>
              <w:rPr>
                <w:sz w:val="26"/>
                <w:szCs w:val="26"/>
              </w:rPr>
              <w:t xml:space="preserve"> </w:t>
            </w:r>
            <w:r w:rsidRPr="00447B2C">
              <w:rPr>
                <w:sz w:val="26"/>
                <w:szCs w:val="26"/>
              </w:rPr>
              <w:t>was sent to the five awardees. Two (2) awardees responded</w:t>
            </w:r>
            <w:r>
              <w:rPr>
                <w:sz w:val="26"/>
                <w:szCs w:val="26"/>
              </w:rPr>
              <w:t>,</w:t>
            </w:r>
            <w:r w:rsidRPr="00447B2C">
              <w:rPr>
                <w:sz w:val="26"/>
                <w:szCs w:val="26"/>
              </w:rPr>
              <w:t xml:space="preserve"> McKinsey and Company, Inc. </w:t>
            </w:r>
            <w:r>
              <w:rPr>
                <w:sz w:val="26"/>
                <w:szCs w:val="26"/>
              </w:rPr>
              <w:t>and</w:t>
            </w:r>
            <w:r w:rsidRPr="00447B2C">
              <w:rPr>
                <w:sz w:val="26"/>
                <w:szCs w:val="26"/>
              </w:rPr>
              <w:t xml:space="preserve"> Boston Consulting Group.  </w:t>
            </w:r>
            <w:r>
              <w:rPr>
                <w:sz w:val="26"/>
                <w:szCs w:val="26"/>
              </w:rPr>
              <w:t>McKinsey was the highest-ranked respondent, and the University issued a purchase order to begin the work for $999,000.  To complete the full project, the</w:t>
            </w:r>
            <w:r w:rsidRPr="00447B2C">
              <w:rPr>
                <w:sz w:val="26"/>
                <w:szCs w:val="26"/>
              </w:rPr>
              <w:t xml:space="preserve"> University </w:t>
            </w:r>
            <w:r>
              <w:rPr>
                <w:sz w:val="26"/>
                <w:szCs w:val="26"/>
              </w:rPr>
              <w:t xml:space="preserve">needs to add an additional $2,725,000 for the work </w:t>
            </w:r>
            <w:r w:rsidRPr="00447B2C">
              <w:rPr>
                <w:sz w:val="26"/>
                <w:szCs w:val="26"/>
              </w:rPr>
              <w:t xml:space="preserve">McKinsey and Company, Inc. </w:t>
            </w:r>
            <w:r>
              <w:rPr>
                <w:sz w:val="26"/>
                <w:szCs w:val="26"/>
              </w:rPr>
              <w:t>is performing under Task Order #27</w:t>
            </w:r>
            <w:r w:rsidRPr="00447B2C">
              <w:rPr>
                <w:sz w:val="26"/>
                <w:szCs w:val="26"/>
              </w:rPr>
              <w:t>.</w:t>
            </w:r>
            <w:r w:rsidRPr="00447B2C">
              <w:rPr>
                <w:sz w:val="26"/>
                <w:szCs w:val="26"/>
              </w:rPr>
              <w:br/>
            </w:r>
          </w:p>
          <w:p w14:paraId="3A53DB5F" w14:textId="77777777" w:rsidR="00702ED5" w:rsidRPr="00447B2C" w:rsidRDefault="00702ED5" w:rsidP="00702ED5">
            <w:pPr>
              <w:pStyle w:val="NoSpacing"/>
              <w:rPr>
                <w:sz w:val="26"/>
                <w:szCs w:val="26"/>
              </w:rPr>
            </w:pPr>
            <w:r>
              <w:rPr>
                <w:sz w:val="26"/>
                <w:szCs w:val="26"/>
              </w:rPr>
              <w:t xml:space="preserve">The </w:t>
            </w:r>
            <w:r w:rsidRPr="00447B2C">
              <w:rPr>
                <w:sz w:val="26"/>
                <w:szCs w:val="26"/>
              </w:rPr>
              <w:t>Board of Trustees of the University of Illinois (University)</w:t>
            </w:r>
            <w:r>
              <w:rPr>
                <w:sz w:val="26"/>
                <w:szCs w:val="26"/>
              </w:rPr>
              <w:t>, in strategic partnership with HFS, established OMI via an intergovernmental agreement in 2012. Since then, OMI has developed a portfolio of projects and initiatives authorized and funded by HFS directly supporting Illinois’ Medical Assistance Program (including the state’s Medicaid program. OMI’s efforts to provide</w:t>
            </w:r>
            <w:r w:rsidRPr="00447B2C">
              <w:rPr>
                <w:sz w:val="26"/>
                <w:szCs w:val="26"/>
              </w:rPr>
              <w:t xml:space="preserve"> </w:t>
            </w:r>
            <w:r>
              <w:rPr>
                <w:sz w:val="26"/>
                <w:szCs w:val="26"/>
              </w:rPr>
              <w:t xml:space="preserve">direct consultative services combined with its collaborations established across the various University of Illinois campuses, colleges, and locations, allow OMI to provide clinical and policy support to HFS by aligning the resources of the University with the Illinois’ Medical Assistance Program. The support OMI provides to HFS is consistent with the University of Illinois Mission to enhance the lives of the citizens of Illinois through leadership in learning, discovery, engagement, and economic development, and to put knowledge to work on a large scale with excellence. </w:t>
            </w:r>
            <w:r w:rsidRPr="00447B2C">
              <w:rPr>
                <w:sz w:val="26"/>
                <w:szCs w:val="26"/>
              </w:rPr>
              <w:t xml:space="preserve"> </w:t>
            </w:r>
          </w:p>
          <w:p w14:paraId="3E139C49" w14:textId="77777777" w:rsidR="00702ED5" w:rsidRPr="00447B2C" w:rsidRDefault="00702ED5" w:rsidP="00702ED5">
            <w:pPr>
              <w:pStyle w:val="NoSpacing"/>
              <w:rPr>
                <w:sz w:val="26"/>
                <w:szCs w:val="26"/>
              </w:rPr>
            </w:pPr>
          </w:p>
          <w:p w14:paraId="28D84B28" w14:textId="115F6F05" w:rsidR="00080C61" w:rsidRPr="00D7330E" w:rsidRDefault="00702ED5" w:rsidP="00702ED5">
            <w:pPr>
              <w:pStyle w:val="NoSpacing"/>
              <w:tabs>
                <w:tab w:val="left" w:pos="975"/>
              </w:tabs>
              <w:rPr>
                <w:color w:val="000000"/>
                <w:sz w:val="26"/>
                <w:szCs w:val="26"/>
              </w:rPr>
            </w:pPr>
            <w:r w:rsidRPr="00447B2C">
              <w:rPr>
                <w:sz w:val="26"/>
                <w:szCs w:val="26"/>
              </w:rPr>
              <w:t xml:space="preserve">A 25% aspirational BEP goal was established for this procurement.  McKinsey &amp; Company, Inc. will use </w:t>
            </w:r>
            <w:r>
              <w:rPr>
                <w:sz w:val="26"/>
                <w:szCs w:val="26"/>
              </w:rPr>
              <w:t xml:space="preserve">Seventeenth Addition, LLC </w:t>
            </w:r>
            <w:r w:rsidRPr="00447B2C">
              <w:rPr>
                <w:sz w:val="26"/>
                <w:szCs w:val="26"/>
              </w:rPr>
              <w:t xml:space="preserve">&amp; for an estimated </w:t>
            </w:r>
            <w:r>
              <w:rPr>
                <w:sz w:val="26"/>
                <w:szCs w:val="26"/>
              </w:rPr>
              <w:t>25</w:t>
            </w:r>
            <w:r w:rsidRPr="00447B2C">
              <w:rPr>
                <w:sz w:val="26"/>
                <w:szCs w:val="26"/>
              </w:rPr>
              <w:t>% of the services.</w:t>
            </w:r>
          </w:p>
        </w:tc>
      </w:tr>
      <w:tr w:rsidR="002F2D48" w:rsidRPr="00D7330E" w14:paraId="31D27605" w14:textId="77777777" w:rsidTr="00BD5FE0">
        <w:trPr>
          <w:trHeight w:val="432"/>
        </w:trPr>
        <w:tc>
          <w:tcPr>
            <w:tcW w:w="450" w:type="dxa"/>
            <w:tcBorders>
              <w:bottom w:val="single" w:sz="18" w:space="0" w:color="auto"/>
            </w:tcBorders>
          </w:tcPr>
          <w:p w14:paraId="4B44AAE9" w14:textId="77777777" w:rsidR="002F2D48" w:rsidRPr="00D7330E" w:rsidRDefault="002F2D48" w:rsidP="00F6377E">
            <w:pPr>
              <w:pStyle w:val="NoSpacing"/>
              <w:rPr>
                <w:sz w:val="26"/>
                <w:szCs w:val="26"/>
              </w:rPr>
            </w:pPr>
          </w:p>
        </w:tc>
        <w:tc>
          <w:tcPr>
            <w:tcW w:w="990" w:type="dxa"/>
            <w:tcBorders>
              <w:bottom w:val="single" w:sz="18" w:space="0" w:color="auto"/>
            </w:tcBorders>
          </w:tcPr>
          <w:p w14:paraId="245D903A" w14:textId="77777777" w:rsidR="002F2D48" w:rsidRPr="00D7330E" w:rsidRDefault="002F2D48" w:rsidP="00F6377E">
            <w:pPr>
              <w:pStyle w:val="NoSpacing"/>
              <w:rPr>
                <w:sz w:val="26"/>
                <w:szCs w:val="26"/>
              </w:rPr>
            </w:pPr>
          </w:p>
        </w:tc>
        <w:tc>
          <w:tcPr>
            <w:tcW w:w="7920" w:type="dxa"/>
            <w:tcBorders>
              <w:bottom w:val="single" w:sz="18" w:space="0" w:color="auto"/>
            </w:tcBorders>
          </w:tcPr>
          <w:p w14:paraId="3472C3E8" w14:textId="77777777" w:rsidR="00080C61" w:rsidRPr="00D7330E" w:rsidRDefault="00080C61" w:rsidP="00080C61">
            <w:pPr>
              <w:tabs>
                <w:tab w:val="left" w:pos="-720"/>
                <w:tab w:val="left" w:pos="9090"/>
              </w:tabs>
              <w:suppressAutoHyphens/>
              <w:overflowPunct w:val="0"/>
              <w:autoSpaceDE w:val="0"/>
              <w:autoSpaceDN w:val="0"/>
              <w:adjustRightInd w:val="0"/>
              <w:spacing w:after="0" w:line="240" w:lineRule="auto"/>
              <w:textAlignment w:val="baseline"/>
              <w:rPr>
                <w:szCs w:val="26"/>
              </w:rPr>
            </w:pPr>
          </w:p>
        </w:tc>
      </w:tr>
    </w:tbl>
    <w:p w14:paraId="33C686F8" w14:textId="6BA49FE8" w:rsidR="00D743A9" w:rsidRPr="00D7330E" w:rsidRDefault="00D743A9" w:rsidP="002C343C">
      <w:pPr>
        <w:pStyle w:val="NoSpacing"/>
        <w:rPr>
          <w:rFonts w:eastAsia="Times New Roman"/>
          <w:sz w:val="26"/>
          <w:szCs w:val="26"/>
        </w:rPr>
      </w:pPr>
    </w:p>
    <w:p w14:paraId="25977787" w14:textId="77777777" w:rsidR="00D743A9" w:rsidRPr="00D7330E" w:rsidRDefault="00D743A9">
      <w:pPr>
        <w:spacing w:after="0" w:line="240" w:lineRule="auto"/>
        <w:rPr>
          <w:rFonts w:eastAsia="Times New Roman"/>
          <w:szCs w:val="26"/>
        </w:rPr>
      </w:pPr>
      <w:r w:rsidRPr="00D7330E">
        <w:rPr>
          <w:rFonts w:eastAsia="Times New Roman"/>
          <w:szCs w:val="26"/>
        </w:rPr>
        <w:br w:type="page"/>
      </w:r>
    </w:p>
    <w:p w14:paraId="4A063824" w14:textId="77777777" w:rsidR="0076023D" w:rsidRPr="00D7330E" w:rsidRDefault="0076023D" w:rsidP="002C343C">
      <w:pPr>
        <w:pStyle w:val="NoSpacing"/>
        <w:rPr>
          <w:rFonts w:eastAsia="Times New Roman"/>
          <w:sz w:val="26"/>
          <w:szCs w:val="26"/>
        </w:rPr>
      </w:pPr>
    </w:p>
    <w:tbl>
      <w:tblPr>
        <w:tblpPr w:leftFromText="180" w:rightFromText="180" w:vertAnchor="text" w:horzAnchor="margin" w:tblpXSpec="center" w:tblpY="90"/>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5693"/>
        <w:gridCol w:w="1902"/>
      </w:tblGrid>
      <w:tr w:rsidR="002E16B6" w:rsidRPr="00D7330E" w14:paraId="1F21279B" w14:textId="77777777" w:rsidTr="00271289">
        <w:trPr>
          <w:cantSplit/>
          <w:trHeight w:val="314"/>
        </w:trPr>
        <w:tc>
          <w:tcPr>
            <w:tcW w:w="7595" w:type="dxa"/>
            <w:gridSpan w:val="2"/>
          </w:tcPr>
          <w:p w14:paraId="5546FB3D" w14:textId="77777777" w:rsidR="002E16B6" w:rsidRPr="00D7330E" w:rsidRDefault="002E16B6" w:rsidP="0027128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jc w:val="center"/>
              <w:textAlignment w:val="baseline"/>
              <w:rPr>
                <w:rFonts w:eastAsia="Times New Roman"/>
                <w:b/>
                <w:szCs w:val="26"/>
              </w:rPr>
            </w:pPr>
            <w:r w:rsidRPr="00D7330E">
              <w:rPr>
                <w:rFonts w:eastAsia="Times New Roman"/>
                <w:b/>
                <w:szCs w:val="26"/>
              </w:rPr>
              <w:t>SUMMARY OF PURCHASES</w:t>
            </w:r>
          </w:p>
        </w:tc>
      </w:tr>
      <w:tr w:rsidR="002E16B6" w:rsidRPr="00D7330E" w14:paraId="6DCA621F" w14:textId="77777777" w:rsidTr="00271289">
        <w:trPr>
          <w:trHeight w:val="394"/>
        </w:trPr>
        <w:tc>
          <w:tcPr>
            <w:tcW w:w="5693" w:type="dxa"/>
          </w:tcPr>
          <w:p w14:paraId="26487922" w14:textId="77777777" w:rsidR="002E16B6" w:rsidRPr="00D7330E" w:rsidRDefault="002E16B6" w:rsidP="00271289">
            <w:pPr>
              <w:overflowPunct w:val="0"/>
              <w:autoSpaceDE w:val="0"/>
              <w:autoSpaceDN w:val="0"/>
              <w:adjustRightInd w:val="0"/>
              <w:spacing w:after="0" w:line="240" w:lineRule="auto"/>
              <w:textAlignment w:val="baseline"/>
              <w:rPr>
                <w:rFonts w:eastAsia="Times New Roman"/>
                <w:szCs w:val="26"/>
              </w:rPr>
            </w:pPr>
            <w:r>
              <w:rPr>
                <w:rFonts w:eastAsia="Times New Roman"/>
                <w:szCs w:val="26"/>
              </w:rPr>
              <w:t>University of Illinois Chicago</w:t>
            </w:r>
          </w:p>
        </w:tc>
        <w:tc>
          <w:tcPr>
            <w:tcW w:w="1902" w:type="dxa"/>
          </w:tcPr>
          <w:p w14:paraId="455BCCBE" w14:textId="2D90B50F" w:rsidR="002E16B6" w:rsidRPr="00D7330E" w:rsidRDefault="002E16B6" w:rsidP="00271289">
            <w:pPr>
              <w:overflowPunct w:val="0"/>
              <w:autoSpaceDE w:val="0"/>
              <w:autoSpaceDN w:val="0"/>
              <w:adjustRightInd w:val="0"/>
              <w:spacing w:after="0" w:line="240" w:lineRule="auto"/>
              <w:textAlignment w:val="baseline"/>
              <w:rPr>
                <w:rFonts w:eastAsia="Times New Roman"/>
                <w:szCs w:val="26"/>
              </w:rPr>
            </w:pPr>
            <w:r>
              <w:rPr>
                <w:rFonts w:eastAsia="Times New Roman"/>
                <w:szCs w:val="26"/>
              </w:rPr>
              <w:t>$</w:t>
            </w:r>
            <w:r w:rsidR="00FE3CEC">
              <w:rPr>
                <w:rFonts w:eastAsia="Times New Roman"/>
                <w:szCs w:val="26"/>
              </w:rPr>
              <w:t>48,000</w:t>
            </w:r>
            <w:r>
              <w:rPr>
                <w:rFonts w:eastAsia="Times New Roman"/>
                <w:szCs w:val="26"/>
              </w:rPr>
              <w:t>,000</w:t>
            </w:r>
          </w:p>
        </w:tc>
      </w:tr>
      <w:tr w:rsidR="002E16B6" w:rsidRPr="00D7330E" w14:paraId="2D37CB73" w14:textId="77777777" w:rsidTr="00271289">
        <w:trPr>
          <w:trHeight w:val="394"/>
        </w:trPr>
        <w:tc>
          <w:tcPr>
            <w:tcW w:w="5693" w:type="dxa"/>
          </w:tcPr>
          <w:p w14:paraId="08233BF2" w14:textId="40EC0F8C" w:rsidR="002E16B6" w:rsidRDefault="002E16B6" w:rsidP="00271289">
            <w:pPr>
              <w:overflowPunct w:val="0"/>
              <w:autoSpaceDE w:val="0"/>
              <w:autoSpaceDN w:val="0"/>
              <w:adjustRightInd w:val="0"/>
              <w:spacing w:after="0" w:line="240" w:lineRule="auto"/>
              <w:textAlignment w:val="baseline"/>
              <w:rPr>
                <w:rFonts w:eastAsia="Times New Roman"/>
                <w:szCs w:val="26"/>
              </w:rPr>
            </w:pPr>
            <w:r>
              <w:rPr>
                <w:rFonts w:eastAsia="Times New Roman"/>
                <w:szCs w:val="26"/>
              </w:rPr>
              <w:t xml:space="preserve">University of Illinois </w:t>
            </w:r>
            <w:r w:rsidR="00FE3CEC">
              <w:rPr>
                <w:rFonts w:eastAsia="Times New Roman"/>
                <w:szCs w:val="26"/>
              </w:rPr>
              <w:t>Urbana-Champaign</w:t>
            </w:r>
          </w:p>
        </w:tc>
        <w:tc>
          <w:tcPr>
            <w:tcW w:w="1902" w:type="dxa"/>
          </w:tcPr>
          <w:p w14:paraId="4ABF6FFB" w14:textId="3F1C8A0B" w:rsidR="002E16B6" w:rsidRDefault="002E16B6" w:rsidP="00271289">
            <w:pPr>
              <w:overflowPunct w:val="0"/>
              <w:autoSpaceDE w:val="0"/>
              <w:autoSpaceDN w:val="0"/>
              <w:adjustRightInd w:val="0"/>
              <w:spacing w:after="0" w:line="240" w:lineRule="auto"/>
              <w:textAlignment w:val="baseline"/>
              <w:rPr>
                <w:rFonts w:eastAsia="Times New Roman"/>
                <w:szCs w:val="26"/>
              </w:rPr>
            </w:pPr>
            <w:r>
              <w:rPr>
                <w:rFonts w:eastAsia="Times New Roman"/>
                <w:szCs w:val="26"/>
              </w:rPr>
              <w:t xml:space="preserve">$ </w:t>
            </w:r>
            <w:r w:rsidR="00FE3CEC">
              <w:rPr>
                <w:rFonts w:eastAsia="Times New Roman"/>
                <w:szCs w:val="26"/>
              </w:rPr>
              <w:t>1,221,272</w:t>
            </w:r>
          </w:p>
        </w:tc>
      </w:tr>
      <w:tr w:rsidR="002E16B6" w:rsidRPr="00D7330E" w14:paraId="4ED8A39B" w14:textId="77777777" w:rsidTr="00271289">
        <w:trPr>
          <w:trHeight w:val="394"/>
        </w:trPr>
        <w:tc>
          <w:tcPr>
            <w:tcW w:w="5693" w:type="dxa"/>
          </w:tcPr>
          <w:p w14:paraId="5084B765" w14:textId="77777777" w:rsidR="002E16B6" w:rsidRPr="00D7330E" w:rsidRDefault="002E16B6" w:rsidP="0027128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textAlignment w:val="baseline"/>
              <w:rPr>
                <w:rFonts w:eastAsia="Times New Roman"/>
                <w:color w:val="000000"/>
                <w:szCs w:val="26"/>
              </w:rPr>
            </w:pPr>
            <w:r w:rsidRPr="00D7330E">
              <w:rPr>
                <w:rFonts w:eastAsia="Times New Roman"/>
                <w:color w:val="000000"/>
                <w:szCs w:val="26"/>
              </w:rPr>
              <w:t xml:space="preserve">Recommended </w:t>
            </w:r>
            <w:proofErr w:type="gramStart"/>
            <w:r w:rsidRPr="00D7330E">
              <w:rPr>
                <w:rFonts w:eastAsia="Times New Roman"/>
                <w:color w:val="000000"/>
                <w:szCs w:val="26"/>
              </w:rPr>
              <w:t>from</w:t>
            </w:r>
            <w:proofErr w:type="gramEnd"/>
            <w:r w:rsidRPr="00D7330E">
              <w:rPr>
                <w:rFonts w:eastAsia="Times New Roman"/>
                <w:color w:val="000000"/>
                <w:szCs w:val="26"/>
              </w:rPr>
              <w:t xml:space="preserve"> Institutional Funds</w:t>
            </w:r>
          </w:p>
          <w:p w14:paraId="0E7C7583" w14:textId="77777777" w:rsidR="002E16B6" w:rsidRPr="00D7330E" w:rsidRDefault="002E16B6" w:rsidP="00271289">
            <w:pPr>
              <w:overflowPunct w:val="0"/>
              <w:autoSpaceDE w:val="0"/>
              <w:autoSpaceDN w:val="0"/>
              <w:adjustRightInd w:val="0"/>
              <w:spacing w:after="0" w:line="240" w:lineRule="auto"/>
              <w:textAlignment w:val="baseline"/>
              <w:rPr>
                <w:rFonts w:eastAsia="Times New Roman"/>
                <w:szCs w:val="26"/>
              </w:rPr>
            </w:pPr>
            <w:r w:rsidRPr="00D7330E">
              <w:rPr>
                <w:rFonts w:eastAsia="Times New Roman"/>
                <w:color w:val="000000"/>
                <w:szCs w:val="26"/>
              </w:rPr>
              <w:t>Grand Total</w:t>
            </w:r>
          </w:p>
        </w:tc>
        <w:tc>
          <w:tcPr>
            <w:tcW w:w="1902" w:type="dxa"/>
          </w:tcPr>
          <w:p w14:paraId="57B4D192" w14:textId="392DA3DD" w:rsidR="002E16B6" w:rsidRPr="00D7330E" w:rsidRDefault="002E16B6" w:rsidP="00271289">
            <w:pPr>
              <w:overflowPunct w:val="0"/>
              <w:autoSpaceDE w:val="0"/>
              <w:autoSpaceDN w:val="0"/>
              <w:adjustRightInd w:val="0"/>
              <w:spacing w:after="0" w:line="240" w:lineRule="auto"/>
              <w:textAlignment w:val="baseline"/>
              <w:rPr>
                <w:rFonts w:eastAsia="Times New Roman"/>
                <w:szCs w:val="26"/>
              </w:rPr>
            </w:pPr>
            <w:r w:rsidRPr="00D7330E">
              <w:rPr>
                <w:rFonts w:eastAsia="Times New Roman"/>
                <w:szCs w:val="26"/>
              </w:rPr>
              <w:t>$</w:t>
            </w:r>
            <w:r w:rsidR="00FE3CEC">
              <w:rPr>
                <w:rFonts w:eastAsia="Times New Roman"/>
                <w:szCs w:val="26"/>
              </w:rPr>
              <w:t>49,221,272</w:t>
            </w:r>
          </w:p>
        </w:tc>
      </w:tr>
      <w:tr w:rsidR="002E16B6" w:rsidRPr="00D7330E" w14:paraId="52056F70" w14:textId="77777777" w:rsidTr="00271289">
        <w:trPr>
          <w:trHeight w:val="394"/>
        </w:trPr>
        <w:tc>
          <w:tcPr>
            <w:tcW w:w="5693" w:type="dxa"/>
          </w:tcPr>
          <w:p w14:paraId="68095BC8" w14:textId="77777777" w:rsidR="002E16B6" w:rsidRPr="00D7330E" w:rsidRDefault="002E16B6" w:rsidP="00271289">
            <w:pPr>
              <w:overflowPunct w:val="0"/>
              <w:autoSpaceDE w:val="0"/>
              <w:autoSpaceDN w:val="0"/>
              <w:adjustRightInd w:val="0"/>
              <w:spacing w:after="0" w:line="240" w:lineRule="auto"/>
              <w:textAlignment w:val="baseline"/>
              <w:rPr>
                <w:rFonts w:eastAsia="Times New Roman"/>
                <w:bCs/>
                <w:szCs w:val="26"/>
              </w:rPr>
            </w:pPr>
          </w:p>
        </w:tc>
        <w:tc>
          <w:tcPr>
            <w:tcW w:w="1902" w:type="dxa"/>
          </w:tcPr>
          <w:p w14:paraId="4A12E5C4" w14:textId="77777777" w:rsidR="002E16B6" w:rsidRPr="00D7330E" w:rsidRDefault="002E16B6" w:rsidP="00271289">
            <w:pPr>
              <w:overflowPunct w:val="0"/>
              <w:autoSpaceDE w:val="0"/>
              <w:autoSpaceDN w:val="0"/>
              <w:adjustRightInd w:val="0"/>
              <w:spacing w:after="0" w:line="240" w:lineRule="auto"/>
              <w:textAlignment w:val="baseline"/>
              <w:rPr>
                <w:rFonts w:eastAsia="Times New Roman"/>
                <w:szCs w:val="26"/>
              </w:rPr>
            </w:pPr>
          </w:p>
        </w:tc>
      </w:tr>
      <w:tr w:rsidR="002E16B6" w:rsidRPr="00D7330E" w14:paraId="1461B6A4" w14:textId="77777777" w:rsidTr="00271289">
        <w:trPr>
          <w:trHeight w:val="350"/>
        </w:trPr>
        <w:tc>
          <w:tcPr>
            <w:tcW w:w="7595" w:type="dxa"/>
            <w:gridSpan w:val="2"/>
          </w:tcPr>
          <w:p w14:paraId="3590F05C" w14:textId="77777777" w:rsidR="002E16B6" w:rsidRPr="00D7330E" w:rsidRDefault="002E16B6" w:rsidP="00271289">
            <w:pPr>
              <w:overflowPunct w:val="0"/>
              <w:autoSpaceDE w:val="0"/>
              <w:autoSpaceDN w:val="0"/>
              <w:adjustRightInd w:val="0"/>
              <w:spacing w:after="0" w:line="240" w:lineRule="auto"/>
              <w:jc w:val="center"/>
              <w:textAlignment w:val="baseline"/>
              <w:rPr>
                <w:rFonts w:eastAsia="Times New Roman"/>
                <w:szCs w:val="26"/>
              </w:rPr>
            </w:pPr>
            <w:r w:rsidRPr="00D7330E">
              <w:rPr>
                <w:rFonts w:eastAsia="Times New Roman"/>
                <w:b/>
                <w:szCs w:val="26"/>
              </w:rPr>
              <w:t>SUMMARY OF CHANGE ORDERS</w:t>
            </w:r>
          </w:p>
        </w:tc>
      </w:tr>
      <w:tr w:rsidR="002E16B6" w:rsidRPr="00D7330E" w14:paraId="017C0675" w14:textId="77777777" w:rsidTr="00271289">
        <w:trPr>
          <w:trHeight w:val="350"/>
        </w:trPr>
        <w:tc>
          <w:tcPr>
            <w:tcW w:w="5693" w:type="dxa"/>
          </w:tcPr>
          <w:p w14:paraId="03A8746B" w14:textId="77777777" w:rsidR="002E16B6" w:rsidRPr="00D7330E" w:rsidRDefault="002E16B6" w:rsidP="0027128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textAlignment w:val="baseline"/>
              <w:rPr>
                <w:rFonts w:eastAsia="Times New Roman"/>
                <w:color w:val="000000"/>
                <w:szCs w:val="26"/>
              </w:rPr>
            </w:pPr>
            <w:r w:rsidRPr="00D7330E">
              <w:rPr>
                <w:rFonts w:eastAsia="Times New Roman"/>
                <w:bCs/>
                <w:szCs w:val="26"/>
              </w:rPr>
              <w:t xml:space="preserve">University of Illinois </w:t>
            </w:r>
            <w:r>
              <w:rPr>
                <w:rFonts w:eastAsia="Times New Roman"/>
                <w:bCs/>
                <w:szCs w:val="26"/>
              </w:rPr>
              <w:t>System Office</w:t>
            </w:r>
          </w:p>
        </w:tc>
        <w:tc>
          <w:tcPr>
            <w:tcW w:w="1902" w:type="dxa"/>
          </w:tcPr>
          <w:p w14:paraId="7086E13E" w14:textId="41E02002" w:rsidR="002E16B6" w:rsidRPr="00D7330E" w:rsidRDefault="002E16B6" w:rsidP="00271289">
            <w:pPr>
              <w:overflowPunct w:val="0"/>
              <w:autoSpaceDE w:val="0"/>
              <w:autoSpaceDN w:val="0"/>
              <w:adjustRightInd w:val="0"/>
              <w:spacing w:after="0" w:line="240" w:lineRule="auto"/>
              <w:textAlignment w:val="baseline"/>
              <w:rPr>
                <w:rFonts w:eastAsia="Times New Roman"/>
                <w:szCs w:val="26"/>
              </w:rPr>
            </w:pPr>
            <w:r w:rsidRPr="00D7330E">
              <w:rPr>
                <w:rFonts w:eastAsia="Times New Roman"/>
                <w:szCs w:val="26"/>
              </w:rPr>
              <w:t xml:space="preserve">$ </w:t>
            </w:r>
            <w:r w:rsidR="00BA3140">
              <w:rPr>
                <w:rFonts w:eastAsia="Times New Roman"/>
                <w:szCs w:val="26"/>
              </w:rPr>
              <w:t>2,725</w:t>
            </w:r>
            <w:r w:rsidR="00FE3CEC">
              <w:rPr>
                <w:rFonts w:eastAsia="Times New Roman"/>
                <w:szCs w:val="26"/>
              </w:rPr>
              <w:t>,000</w:t>
            </w:r>
          </w:p>
        </w:tc>
      </w:tr>
      <w:tr w:rsidR="002E16B6" w:rsidRPr="00D7330E" w14:paraId="199602D5" w14:textId="77777777" w:rsidTr="00271289">
        <w:trPr>
          <w:trHeight w:val="350"/>
        </w:trPr>
        <w:tc>
          <w:tcPr>
            <w:tcW w:w="5693" w:type="dxa"/>
          </w:tcPr>
          <w:p w14:paraId="0E105E98" w14:textId="77777777" w:rsidR="002E16B6" w:rsidRPr="00D7330E" w:rsidRDefault="002E16B6" w:rsidP="0027128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textAlignment w:val="baseline"/>
              <w:rPr>
                <w:rFonts w:eastAsia="Times New Roman"/>
                <w:color w:val="000000"/>
                <w:szCs w:val="26"/>
              </w:rPr>
            </w:pPr>
            <w:r w:rsidRPr="00D7330E">
              <w:rPr>
                <w:rFonts w:eastAsia="Times New Roman"/>
                <w:color w:val="000000"/>
                <w:szCs w:val="26"/>
              </w:rPr>
              <w:t xml:space="preserve">Recommended </w:t>
            </w:r>
            <w:proofErr w:type="gramStart"/>
            <w:r w:rsidRPr="00D7330E">
              <w:rPr>
                <w:rFonts w:eastAsia="Times New Roman"/>
                <w:color w:val="000000"/>
                <w:szCs w:val="26"/>
              </w:rPr>
              <w:t>from</w:t>
            </w:r>
            <w:proofErr w:type="gramEnd"/>
            <w:r w:rsidRPr="00D7330E">
              <w:rPr>
                <w:rFonts w:eastAsia="Times New Roman"/>
                <w:color w:val="000000"/>
                <w:szCs w:val="26"/>
              </w:rPr>
              <w:t xml:space="preserve"> Institutional Funds</w:t>
            </w:r>
          </w:p>
          <w:p w14:paraId="2509A784" w14:textId="77777777" w:rsidR="002E16B6" w:rsidRPr="00D7330E" w:rsidRDefault="002E16B6" w:rsidP="0027128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textAlignment w:val="baseline"/>
              <w:rPr>
                <w:rFonts w:eastAsia="Times New Roman"/>
                <w:color w:val="000000"/>
                <w:szCs w:val="26"/>
              </w:rPr>
            </w:pPr>
            <w:r w:rsidRPr="00D7330E">
              <w:rPr>
                <w:rFonts w:eastAsia="Times New Roman"/>
                <w:color w:val="000000"/>
                <w:szCs w:val="26"/>
              </w:rPr>
              <w:t>Grand Total</w:t>
            </w:r>
          </w:p>
        </w:tc>
        <w:tc>
          <w:tcPr>
            <w:tcW w:w="1902" w:type="dxa"/>
          </w:tcPr>
          <w:p w14:paraId="7E6C3E11" w14:textId="65FCF84A" w:rsidR="002E16B6" w:rsidRPr="00D7330E" w:rsidRDefault="002E16B6" w:rsidP="00271289">
            <w:pPr>
              <w:overflowPunct w:val="0"/>
              <w:autoSpaceDE w:val="0"/>
              <w:autoSpaceDN w:val="0"/>
              <w:adjustRightInd w:val="0"/>
              <w:spacing w:after="0" w:line="240" w:lineRule="auto"/>
              <w:textAlignment w:val="baseline"/>
              <w:rPr>
                <w:rFonts w:eastAsia="Times New Roman"/>
                <w:szCs w:val="26"/>
              </w:rPr>
            </w:pPr>
            <w:r w:rsidRPr="00D7330E">
              <w:rPr>
                <w:rFonts w:eastAsia="Times New Roman"/>
                <w:szCs w:val="26"/>
              </w:rPr>
              <w:t xml:space="preserve">$ </w:t>
            </w:r>
            <w:r w:rsidR="00BA3140">
              <w:rPr>
                <w:rFonts w:eastAsia="Times New Roman"/>
                <w:szCs w:val="26"/>
              </w:rPr>
              <w:t>2,725</w:t>
            </w:r>
            <w:r w:rsidR="00FE3CEC">
              <w:rPr>
                <w:rFonts w:eastAsia="Times New Roman"/>
                <w:szCs w:val="26"/>
              </w:rPr>
              <w:t>,000</w:t>
            </w:r>
          </w:p>
        </w:tc>
      </w:tr>
    </w:tbl>
    <w:p w14:paraId="15036B6A" w14:textId="3F3C87CA" w:rsidR="00B55900" w:rsidRPr="00353536" w:rsidRDefault="00B55900" w:rsidP="00B37520">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jc w:val="center"/>
        <w:textAlignment w:val="baseline"/>
        <w:rPr>
          <w:rFonts w:eastAsia="Times New Roman"/>
          <w:szCs w:val="26"/>
        </w:rPr>
      </w:pPr>
    </w:p>
    <w:p w14:paraId="103238C3" w14:textId="71B84549" w:rsidR="00B55900" w:rsidRPr="00353536" w:rsidRDefault="00B55900" w:rsidP="00B37520">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jc w:val="center"/>
        <w:textAlignment w:val="baseline"/>
        <w:rPr>
          <w:rFonts w:eastAsia="Times New Roman"/>
          <w:szCs w:val="26"/>
        </w:rPr>
      </w:pPr>
    </w:p>
    <w:p w14:paraId="4547076B" w14:textId="77777777" w:rsidR="00B55900" w:rsidRPr="00353536" w:rsidRDefault="00B55900" w:rsidP="00B37520">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jc w:val="center"/>
        <w:textAlignment w:val="baseline"/>
        <w:rPr>
          <w:rFonts w:eastAsia="Times New Roman"/>
          <w:szCs w:val="26"/>
        </w:rPr>
      </w:pPr>
    </w:p>
    <w:p w14:paraId="3A472772" w14:textId="77777777" w:rsidR="00AC1317" w:rsidRPr="00353536" w:rsidRDefault="00AC1317" w:rsidP="00B37520">
      <w:pPr>
        <w:pStyle w:val="NoSpacing"/>
        <w:rPr>
          <w:sz w:val="26"/>
          <w:szCs w:val="26"/>
        </w:rPr>
      </w:pPr>
    </w:p>
    <w:sectPr w:rsidR="00AC1317" w:rsidRPr="00353536" w:rsidSect="00F052D8">
      <w:head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07BB6" w14:textId="77777777" w:rsidR="009009B2" w:rsidRDefault="009009B2" w:rsidP="00A817DF">
      <w:pPr>
        <w:spacing w:after="0" w:line="240" w:lineRule="auto"/>
      </w:pPr>
      <w:r>
        <w:separator/>
      </w:r>
    </w:p>
  </w:endnote>
  <w:endnote w:type="continuationSeparator" w:id="0">
    <w:p w14:paraId="650D7052" w14:textId="77777777" w:rsidR="009009B2" w:rsidRDefault="009009B2" w:rsidP="00A81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17B84" w14:textId="77777777" w:rsidR="009009B2" w:rsidRDefault="009009B2" w:rsidP="00A817DF">
      <w:pPr>
        <w:spacing w:after="0" w:line="240" w:lineRule="auto"/>
      </w:pPr>
      <w:r>
        <w:separator/>
      </w:r>
    </w:p>
  </w:footnote>
  <w:footnote w:type="continuationSeparator" w:id="0">
    <w:p w14:paraId="245E2801" w14:textId="77777777" w:rsidR="009009B2" w:rsidRDefault="009009B2" w:rsidP="00A81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F6F3" w14:textId="77777777" w:rsidR="00A817DF" w:rsidRDefault="00A817DF">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DA3"/>
    <w:multiLevelType w:val="hybridMultilevel"/>
    <w:tmpl w:val="5B0A09FA"/>
    <w:lvl w:ilvl="0" w:tplc="F530B88A">
      <w:numFmt w:val="bullet"/>
      <w:lvlText w:val=""/>
      <w:lvlJc w:val="left"/>
      <w:pPr>
        <w:ind w:left="770" w:hanging="360"/>
      </w:pPr>
      <w:rPr>
        <w:rFonts w:ascii="Symbol" w:eastAsia="Symbol" w:hAnsi="Symbol" w:cs="Symbol" w:hint="default"/>
        <w:b w:val="0"/>
        <w:bCs w:val="0"/>
        <w:i w:val="0"/>
        <w:iCs w:val="0"/>
        <w:spacing w:val="0"/>
        <w:w w:val="100"/>
        <w:sz w:val="24"/>
        <w:szCs w:val="24"/>
        <w:lang w:val="en-US" w:eastAsia="en-US" w:bidi="ar-SA"/>
      </w:rPr>
    </w:lvl>
    <w:lvl w:ilvl="1" w:tplc="06D0B582">
      <w:numFmt w:val="bullet"/>
      <w:lvlText w:val="•"/>
      <w:lvlJc w:val="left"/>
      <w:pPr>
        <w:ind w:left="1526" w:hanging="360"/>
      </w:pPr>
      <w:rPr>
        <w:rFonts w:hint="default"/>
        <w:lang w:val="en-US" w:eastAsia="en-US" w:bidi="ar-SA"/>
      </w:rPr>
    </w:lvl>
    <w:lvl w:ilvl="2" w:tplc="F1AE6832">
      <w:numFmt w:val="bullet"/>
      <w:lvlText w:val="•"/>
      <w:lvlJc w:val="left"/>
      <w:pPr>
        <w:ind w:left="2272" w:hanging="360"/>
      </w:pPr>
      <w:rPr>
        <w:rFonts w:hint="default"/>
        <w:lang w:val="en-US" w:eastAsia="en-US" w:bidi="ar-SA"/>
      </w:rPr>
    </w:lvl>
    <w:lvl w:ilvl="3" w:tplc="BFE2D3C6">
      <w:numFmt w:val="bullet"/>
      <w:lvlText w:val="•"/>
      <w:lvlJc w:val="left"/>
      <w:pPr>
        <w:ind w:left="3018" w:hanging="360"/>
      </w:pPr>
      <w:rPr>
        <w:rFonts w:hint="default"/>
        <w:lang w:val="en-US" w:eastAsia="en-US" w:bidi="ar-SA"/>
      </w:rPr>
    </w:lvl>
    <w:lvl w:ilvl="4" w:tplc="FF3C5DF0">
      <w:numFmt w:val="bullet"/>
      <w:lvlText w:val="•"/>
      <w:lvlJc w:val="left"/>
      <w:pPr>
        <w:ind w:left="3764" w:hanging="360"/>
      </w:pPr>
      <w:rPr>
        <w:rFonts w:hint="default"/>
        <w:lang w:val="en-US" w:eastAsia="en-US" w:bidi="ar-SA"/>
      </w:rPr>
    </w:lvl>
    <w:lvl w:ilvl="5" w:tplc="1DDE3EB4">
      <w:numFmt w:val="bullet"/>
      <w:lvlText w:val="•"/>
      <w:lvlJc w:val="left"/>
      <w:pPr>
        <w:ind w:left="4511" w:hanging="360"/>
      </w:pPr>
      <w:rPr>
        <w:rFonts w:hint="default"/>
        <w:lang w:val="en-US" w:eastAsia="en-US" w:bidi="ar-SA"/>
      </w:rPr>
    </w:lvl>
    <w:lvl w:ilvl="6" w:tplc="D3BEB1EC">
      <w:numFmt w:val="bullet"/>
      <w:lvlText w:val="•"/>
      <w:lvlJc w:val="left"/>
      <w:pPr>
        <w:ind w:left="5257" w:hanging="360"/>
      </w:pPr>
      <w:rPr>
        <w:rFonts w:hint="default"/>
        <w:lang w:val="en-US" w:eastAsia="en-US" w:bidi="ar-SA"/>
      </w:rPr>
    </w:lvl>
    <w:lvl w:ilvl="7" w:tplc="4044C530">
      <w:numFmt w:val="bullet"/>
      <w:lvlText w:val="•"/>
      <w:lvlJc w:val="left"/>
      <w:pPr>
        <w:ind w:left="6003" w:hanging="360"/>
      </w:pPr>
      <w:rPr>
        <w:rFonts w:hint="default"/>
        <w:lang w:val="en-US" w:eastAsia="en-US" w:bidi="ar-SA"/>
      </w:rPr>
    </w:lvl>
    <w:lvl w:ilvl="8" w:tplc="63AC3B16">
      <w:numFmt w:val="bullet"/>
      <w:lvlText w:val="•"/>
      <w:lvlJc w:val="left"/>
      <w:pPr>
        <w:ind w:left="6749" w:hanging="360"/>
      </w:pPr>
      <w:rPr>
        <w:rFonts w:hint="default"/>
        <w:lang w:val="en-US" w:eastAsia="en-US" w:bidi="ar-SA"/>
      </w:rPr>
    </w:lvl>
  </w:abstractNum>
  <w:abstractNum w:abstractNumId="1" w15:restartNumberingAfterBreak="0">
    <w:nsid w:val="0E950B53"/>
    <w:multiLevelType w:val="hybridMultilevel"/>
    <w:tmpl w:val="1B4EC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DE3068"/>
    <w:multiLevelType w:val="hybridMultilevel"/>
    <w:tmpl w:val="75549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053FA"/>
    <w:multiLevelType w:val="hybridMultilevel"/>
    <w:tmpl w:val="D1D6A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76FAF"/>
    <w:multiLevelType w:val="hybridMultilevel"/>
    <w:tmpl w:val="7D0E1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06EBD"/>
    <w:multiLevelType w:val="hybridMultilevel"/>
    <w:tmpl w:val="36D01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7E3D04"/>
    <w:multiLevelType w:val="hybridMultilevel"/>
    <w:tmpl w:val="273ECA9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2937498"/>
    <w:multiLevelType w:val="hybridMultilevel"/>
    <w:tmpl w:val="36B082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CF41188"/>
    <w:multiLevelType w:val="hybridMultilevel"/>
    <w:tmpl w:val="90CE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C93821"/>
    <w:multiLevelType w:val="hybridMultilevel"/>
    <w:tmpl w:val="3850DAD4"/>
    <w:lvl w:ilvl="0" w:tplc="7BE435A4">
      <w:numFmt w:val="bullet"/>
      <w:lvlText w:val=""/>
      <w:lvlJc w:val="left"/>
      <w:pPr>
        <w:ind w:left="2622" w:hanging="360"/>
      </w:pPr>
      <w:rPr>
        <w:rFonts w:ascii="Symbol" w:eastAsia="Symbol" w:hAnsi="Symbol" w:cs="Symbol" w:hint="default"/>
        <w:b w:val="0"/>
        <w:bCs w:val="0"/>
        <w:i w:val="0"/>
        <w:iCs w:val="0"/>
        <w:spacing w:val="0"/>
        <w:w w:val="100"/>
        <w:sz w:val="24"/>
        <w:szCs w:val="24"/>
        <w:lang w:val="en-US" w:eastAsia="en-US" w:bidi="ar-SA"/>
      </w:rPr>
    </w:lvl>
    <w:lvl w:ilvl="1" w:tplc="2200D9A6">
      <w:numFmt w:val="bullet"/>
      <w:lvlText w:val="•"/>
      <w:lvlJc w:val="left"/>
      <w:pPr>
        <w:ind w:left="3390" w:hanging="360"/>
      </w:pPr>
      <w:rPr>
        <w:rFonts w:hint="default"/>
        <w:lang w:val="en-US" w:eastAsia="en-US" w:bidi="ar-SA"/>
      </w:rPr>
    </w:lvl>
    <w:lvl w:ilvl="2" w:tplc="70AE4D4E">
      <w:numFmt w:val="bullet"/>
      <w:lvlText w:val="•"/>
      <w:lvlJc w:val="left"/>
      <w:pPr>
        <w:ind w:left="4160" w:hanging="360"/>
      </w:pPr>
      <w:rPr>
        <w:rFonts w:hint="default"/>
        <w:lang w:val="en-US" w:eastAsia="en-US" w:bidi="ar-SA"/>
      </w:rPr>
    </w:lvl>
    <w:lvl w:ilvl="3" w:tplc="0D12E77E">
      <w:numFmt w:val="bullet"/>
      <w:lvlText w:val="•"/>
      <w:lvlJc w:val="left"/>
      <w:pPr>
        <w:ind w:left="4930" w:hanging="360"/>
      </w:pPr>
      <w:rPr>
        <w:rFonts w:hint="default"/>
        <w:lang w:val="en-US" w:eastAsia="en-US" w:bidi="ar-SA"/>
      </w:rPr>
    </w:lvl>
    <w:lvl w:ilvl="4" w:tplc="7FC0662A">
      <w:numFmt w:val="bullet"/>
      <w:lvlText w:val="•"/>
      <w:lvlJc w:val="left"/>
      <w:pPr>
        <w:ind w:left="5700" w:hanging="360"/>
      </w:pPr>
      <w:rPr>
        <w:rFonts w:hint="default"/>
        <w:lang w:val="en-US" w:eastAsia="en-US" w:bidi="ar-SA"/>
      </w:rPr>
    </w:lvl>
    <w:lvl w:ilvl="5" w:tplc="BB6ED988">
      <w:numFmt w:val="bullet"/>
      <w:lvlText w:val="•"/>
      <w:lvlJc w:val="left"/>
      <w:pPr>
        <w:ind w:left="6470" w:hanging="360"/>
      </w:pPr>
      <w:rPr>
        <w:rFonts w:hint="default"/>
        <w:lang w:val="en-US" w:eastAsia="en-US" w:bidi="ar-SA"/>
      </w:rPr>
    </w:lvl>
    <w:lvl w:ilvl="6" w:tplc="E96428B2">
      <w:numFmt w:val="bullet"/>
      <w:lvlText w:val="•"/>
      <w:lvlJc w:val="left"/>
      <w:pPr>
        <w:ind w:left="7240" w:hanging="360"/>
      </w:pPr>
      <w:rPr>
        <w:rFonts w:hint="default"/>
        <w:lang w:val="en-US" w:eastAsia="en-US" w:bidi="ar-SA"/>
      </w:rPr>
    </w:lvl>
    <w:lvl w:ilvl="7" w:tplc="C108EF0A">
      <w:numFmt w:val="bullet"/>
      <w:lvlText w:val="•"/>
      <w:lvlJc w:val="left"/>
      <w:pPr>
        <w:ind w:left="8010" w:hanging="360"/>
      </w:pPr>
      <w:rPr>
        <w:rFonts w:hint="default"/>
        <w:lang w:val="en-US" w:eastAsia="en-US" w:bidi="ar-SA"/>
      </w:rPr>
    </w:lvl>
    <w:lvl w:ilvl="8" w:tplc="13923E18">
      <w:numFmt w:val="bullet"/>
      <w:lvlText w:val="•"/>
      <w:lvlJc w:val="left"/>
      <w:pPr>
        <w:ind w:left="8780" w:hanging="360"/>
      </w:pPr>
      <w:rPr>
        <w:rFonts w:hint="default"/>
        <w:lang w:val="en-US" w:eastAsia="en-US" w:bidi="ar-SA"/>
      </w:rPr>
    </w:lvl>
  </w:abstractNum>
  <w:abstractNum w:abstractNumId="10" w15:restartNumberingAfterBreak="0">
    <w:nsid w:val="416E62C8"/>
    <w:multiLevelType w:val="hybridMultilevel"/>
    <w:tmpl w:val="A9BAE4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2F42F5"/>
    <w:multiLevelType w:val="hybridMultilevel"/>
    <w:tmpl w:val="CFC090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92FD9"/>
    <w:multiLevelType w:val="hybridMultilevel"/>
    <w:tmpl w:val="4378D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4C75BC"/>
    <w:multiLevelType w:val="hybridMultilevel"/>
    <w:tmpl w:val="086681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696DB1"/>
    <w:multiLevelType w:val="hybridMultilevel"/>
    <w:tmpl w:val="EBFE0C48"/>
    <w:lvl w:ilvl="0" w:tplc="02E0B0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DB50BE"/>
    <w:multiLevelType w:val="hybridMultilevel"/>
    <w:tmpl w:val="B7282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3F4A48"/>
    <w:multiLevelType w:val="hybridMultilevel"/>
    <w:tmpl w:val="F82E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BF3C54"/>
    <w:multiLevelType w:val="hybridMultilevel"/>
    <w:tmpl w:val="5D2E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727823">
    <w:abstractNumId w:val="12"/>
  </w:num>
  <w:num w:numId="2" w16cid:durableId="70201751">
    <w:abstractNumId w:val="14"/>
  </w:num>
  <w:num w:numId="3" w16cid:durableId="1048265266">
    <w:abstractNumId w:val="13"/>
  </w:num>
  <w:num w:numId="4" w16cid:durableId="1585650123">
    <w:abstractNumId w:val="3"/>
  </w:num>
  <w:num w:numId="5" w16cid:durableId="838888282">
    <w:abstractNumId w:val="1"/>
  </w:num>
  <w:num w:numId="6" w16cid:durableId="1045367517">
    <w:abstractNumId w:val="8"/>
  </w:num>
  <w:num w:numId="7" w16cid:durableId="897666194">
    <w:abstractNumId w:val="11"/>
  </w:num>
  <w:num w:numId="8" w16cid:durableId="2017615362">
    <w:abstractNumId w:val="15"/>
  </w:num>
  <w:num w:numId="9" w16cid:durableId="826671625">
    <w:abstractNumId w:val="10"/>
  </w:num>
  <w:num w:numId="10" w16cid:durableId="1128474828">
    <w:abstractNumId w:val="5"/>
  </w:num>
  <w:num w:numId="11" w16cid:durableId="402604075">
    <w:abstractNumId w:val="2"/>
  </w:num>
  <w:num w:numId="12" w16cid:durableId="2074963495">
    <w:abstractNumId w:val="6"/>
  </w:num>
  <w:num w:numId="13" w16cid:durableId="987980008">
    <w:abstractNumId w:val="7"/>
  </w:num>
  <w:num w:numId="14" w16cid:durableId="1276791993">
    <w:abstractNumId w:val="16"/>
  </w:num>
  <w:num w:numId="15" w16cid:durableId="2070229302">
    <w:abstractNumId w:val="4"/>
  </w:num>
  <w:num w:numId="16" w16cid:durableId="1960799502">
    <w:abstractNumId w:val="17"/>
  </w:num>
  <w:num w:numId="17" w16cid:durableId="1029793834">
    <w:abstractNumId w:val="0"/>
  </w:num>
  <w:num w:numId="18" w16cid:durableId="1887573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3trQwMzU0MDYwMjFV0lEKTi0uzszPAykwrAUAKqsIqCwAAAA="/>
  </w:docVars>
  <w:rsids>
    <w:rsidRoot w:val="00790C45"/>
    <w:rsid w:val="000031A9"/>
    <w:rsid w:val="00004D4E"/>
    <w:rsid w:val="0001031D"/>
    <w:rsid w:val="00010EA7"/>
    <w:rsid w:val="00012052"/>
    <w:rsid w:val="000143EE"/>
    <w:rsid w:val="00015DC9"/>
    <w:rsid w:val="00035646"/>
    <w:rsid w:val="00037C1C"/>
    <w:rsid w:val="00040E89"/>
    <w:rsid w:val="0004427C"/>
    <w:rsid w:val="00044FA0"/>
    <w:rsid w:val="00045674"/>
    <w:rsid w:val="00050736"/>
    <w:rsid w:val="000623F4"/>
    <w:rsid w:val="000628A6"/>
    <w:rsid w:val="000671B9"/>
    <w:rsid w:val="000707D0"/>
    <w:rsid w:val="000715A9"/>
    <w:rsid w:val="000750EE"/>
    <w:rsid w:val="00075885"/>
    <w:rsid w:val="00080C61"/>
    <w:rsid w:val="00081788"/>
    <w:rsid w:val="00081B16"/>
    <w:rsid w:val="000833FC"/>
    <w:rsid w:val="00085CAE"/>
    <w:rsid w:val="00086CBF"/>
    <w:rsid w:val="00090A46"/>
    <w:rsid w:val="00091912"/>
    <w:rsid w:val="00091CFA"/>
    <w:rsid w:val="0009228A"/>
    <w:rsid w:val="00094741"/>
    <w:rsid w:val="0009781F"/>
    <w:rsid w:val="000A0032"/>
    <w:rsid w:val="000A16D9"/>
    <w:rsid w:val="000A6143"/>
    <w:rsid w:val="000B04AB"/>
    <w:rsid w:val="000B3155"/>
    <w:rsid w:val="000B3742"/>
    <w:rsid w:val="000B5B85"/>
    <w:rsid w:val="000B69D6"/>
    <w:rsid w:val="000C2912"/>
    <w:rsid w:val="000C6006"/>
    <w:rsid w:val="000D35D5"/>
    <w:rsid w:val="000D5BC3"/>
    <w:rsid w:val="000D6281"/>
    <w:rsid w:val="000E15C9"/>
    <w:rsid w:val="000E51D1"/>
    <w:rsid w:val="000F53D3"/>
    <w:rsid w:val="000F72ED"/>
    <w:rsid w:val="00112E2B"/>
    <w:rsid w:val="00114F6C"/>
    <w:rsid w:val="00115A32"/>
    <w:rsid w:val="00124B96"/>
    <w:rsid w:val="00125422"/>
    <w:rsid w:val="001278A6"/>
    <w:rsid w:val="00130E3F"/>
    <w:rsid w:val="00141D9C"/>
    <w:rsid w:val="00151197"/>
    <w:rsid w:val="00152827"/>
    <w:rsid w:val="001610D8"/>
    <w:rsid w:val="00162A4C"/>
    <w:rsid w:val="00165B0B"/>
    <w:rsid w:val="00172D76"/>
    <w:rsid w:val="001730D7"/>
    <w:rsid w:val="00182841"/>
    <w:rsid w:val="00184765"/>
    <w:rsid w:val="00196069"/>
    <w:rsid w:val="001A0B41"/>
    <w:rsid w:val="001A31BF"/>
    <w:rsid w:val="001A33EE"/>
    <w:rsid w:val="001A4080"/>
    <w:rsid w:val="001A5F67"/>
    <w:rsid w:val="001B2AC1"/>
    <w:rsid w:val="001B4A24"/>
    <w:rsid w:val="001B4AC0"/>
    <w:rsid w:val="001B4D8B"/>
    <w:rsid w:val="001B58A7"/>
    <w:rsid w:val="001B762B"/>
    <w:rsid w:val="001D3AA7"/>
    <w:rsid w:val="001D78B4"/>
    <w:rsid w:val="001E4506"/>
    <w:rsid w:val="001E6078"/>
    <w:rsid w:val="001F257D"/>
    <w:rsid w:val="001F3416"/>
    <w:rsid w:val="001F3C70"/>
    <w:rsid w:val="001F55E7"/>
    <w:rsid w:val="001F5883"/>
    <w:rsid w:val="001F7A96"/>
    <w:rsid w:val="001F7E65"/>
    <w:rsid w:val="00201AC3"/>
    <w:rsid w:val="00212C6B"/>
    <w:rsid w:val="0021646C"/>
    <w:rsid w:val="002179D7"/>
    <w:rsid w:val="002255A1"/>
    <w:rsid w:val="00232759"/>
    <w:rsid w:val="00236489"/>
    <w:rsid w:val="00241688"/>
    <w:rsid w:val="0024234E"/>
    <w:rsid w:val="002450A1"/>
    <w:rsid w:val="00247931"/>
    <w:rsid w:val="00250572"/>
    <w:rsid w:val="00252F86"/>
    <w:rsid w:val="00255F2C"/>
    <w:rsid w:val="00256A21"/>
    <w:rsid w:val="00256E75"/>
    <w:rsid w:val="002602E8"/>
    <w:rsid w:val="00264C63"/>
    <w:rsid w:val="00271695"/>
    <w:rsid w:val="00271CE3"/>
    <w:rsid w:val="00274904"/>
    <w:rsid w:val="00274EEF"/>
    <w:rsid w:val="00276FA8"/>
    <w:rsid w:val="00283AEB"/>
    <w:rsid w:val="002870E8"/>
    <w:rsid w:val="002931FB"/>
    <w:rsid w:val="0029340E"/>
    <w:rsid w:val="00293A98"/>
    <w:rsid w:val="002A5B7D"/>
    <w:rsid w:val="002A641F"/>
    <w:rsid w:val="002B0DE6"/>
    <w:rsid w:val="002B1BE5"/>
    <w:rsid w:val="002B66B6"/>
    <w:rsid w:val="002B7C93"/>
    <w:rsid w:val="002C343C"/>
    <w:rsid w:val="002C47B0"/>
    <w:rsid w:val="002C4BB1"/>
    <w:rsid w:val="002C5F64"/>
    <w:rsid w:val="002D0113"/>
    <w:rsid w:val="002D28AA"/>
    <w:rsid w:val="002D35E7"/>
    <w:rsid w:val="002D4035"/>
    <w:rsid w:val="002E0B93"/>
    <w:rsid w:val="002E1375"/>
    <w:rsid w:val="002E16B6"/>
    <w:rsid w:val="002E30D4"/>
    <w:rsid w:val="002E31C2"/>
    <w:rsid w:val="002E44F4"/>
    <w:rsid w:val="002F04D8"/>
    <w:rsid w:val="002F2D48"/>
    <w:rsid w:val="002F4DAF"/>
    <w:rsid w:val="003045AE"/>
    <w:rsid w:val="00306B06"/>
    <w:rsid w:val="00307B8F"/>
    <w:rsid w:val="00307D0C"/>
    <w:rsid w:val="00315A3D"/>
    <w:rsid w:val="003175D4"/>
    <w:rsid w:val="00317DD0"/>
    <w:rsid w:val="00323CF2"/>
    <w:rsid w:val="00333ECF"/>
    <w:rsid w:val="003376C9"/>
    <w:rsid w:val="00343729"/>
    <w:rsid w:val="00346ABB"/>
    <w:rsid w:val="00353536"/>
    <w:rsid w:val="00354DFE"/>
    <w:rsid w:val="00357D48"/>
    <w:rsid w:val="00361DE1"/>
    <w:rsid w:val="00372028"/>
    <w:rsid w:val="00375C60"/>
    <w:rsid w:val="00377765"/>
    <w:rsid w:val="00380E12"/>
    <w:rsid w:val="003900FD"/>
    <w:rsid w:val="003907E9"/>
    <w:rsid w:val="00390FC0"/>
    <w:rsid w:val="0039204D"/>
    <w:rsid w:val="00395D90"/>
    <w:rsid w:val="003A175C"/>
    <w:rsid w:val="003A2088"/>
    <w:rsid w:val="003A5B58"/>
    <w:rsid w:val="003B7D68"/>
    <w:rsid w:val="003C4265"/>
    <w:rsid w:val="003D06D9"/>
    <w:rsid w:val="003D1DBE"/>
    <w:rsid w:val="003D312D"/>
    <w:rsid w:val="003D5357"/>
    <w:rsid w:val="003D7C25"/>
    <w:rsid w:val="003E14BF"/>
    <w:rsid w:val="003E1FA3"/>
    <w:rsid w:val="003E42E4"/>
    <w:rsid w:val="003E62CF"/>
    <w:rsid w:val="003F3C8D"/>
    <w:rsid w:val="003F4DDE"/>
    <w:rsid w:val="003F6C7A"/>
    <w:rsid w:val="0041505E"/>
    <w:rsid w:val="00416087"/>
    <w:rsid w:val="00420B03"/>
    <w:rsid w:val="00425BB7"/>
    <w:rsid w:val="00426458"/>
    <w:rsid w:val="00427DA3"/>
    <w:rsid w:val="00431751"/>
    <w:rsid w:val="00435F85"/>
    <w:rsid w:val="00437797"/>
    <w:rsid w:val="00442481"/>
    <w:rsid w:val="00450F9C"/>
    <w:rsid w:val="00457CDE"/>
    <w:rsid w:val="00464D6F"/>
    <w:rsid w:val="00467717"/>
    <w:rsid w:val="00470228"/>
    <w:rsid w:val="0047290A"/>
    <w:rsid w:val="00477568"/>
    <w:rsid w:val="00480227"/>
    <w:rsid w:val="00481670"/>
    <w:rsid w:val="0048342A"/>
    <w:rsid w:val="00487510"/>
    <w:rsid w:val="00495256"/>
    <w:rsid w:val="004A1335"/>
    <w:rsid w:val="004A6CB4"/>
    <w:rsid w:val="004A7669"/>
    <w:rsid w:val="004A7B2E"/>
    <w:rsid w:val="004B23AD"/>
    <w:rsid w:val="004B2BDA"/>
    <w:rsid w:val="004C0608"/>
    <w:rsid w:val="004C43B8"/>
    <w:rsid w:val="004C5D18"/>
    <w:rsid w:val="004D189C"/>
    <w:rsid w:val="004E2F4F"/>
    <w:rsid w:val="004F31D7"/>
    <w:rsid w:val="004F787F"/>
    <w:rsid w:val="005122F2"/>
    <w:rsid w:val="005145D8"/>
    <w:rsid w:val="00517741"/>
    <w:rsid w:val="00525289"/>
    <w:rsid w:val="00525D4A"/>
    <w:rsid w:val="00526A44"/>
    <w:rsid w:val="00537F38"/>
    <w:rsid w:val="00540E60"/>
    <w:rsid w:val="00542702"/>
    <w:rsid w:val="00543A5A"/>
    <w:rsid w:val="00552EB0"/>
    <w:rsid w:val="00555371"/>
    <w:rsid w:val="0057172C"/>
    <w:rsid w:val="005733AC"/>
    <w:rsid w:val="00573A23"/>
    <w:rsid w:val="005745EF"/>
    <w:rsid w:val="005917CC"/>
    <w:rsid w:val="005978EE"/>
    <w:rsid w:val="005C38D7"/>
    <w:rsid w:val="005C393C"/>
    <w:rsid w:val="005C45AE"/>
    <w:rsid w:val="005D08FB"/>
    <w:rsid w:val="005D3635"/>
    <w:rsid w:val="005D66E5"/>
    <w:rsid w:val="005D6E7E"/>
    <w:rsid w:val="005E0483"/>
    <w:rsid w:val="005E0799"/>
    <w:rsid w:val="005E6979"/>
    <w:rsid w:val="005E70D5"/>
    <w:rsid w:val="00602119"/>
    <w:rsid w:val="0060572F"/>
    <w:rsid w:val="006059B6"/>
    <w:rsid w:val="00606D2C"/>
    <w:rsid w:val="00610227"/>
    <w:rsid w:val="00616398"/>
    <w:rsid w:val="00621395"/>
    <w:rsid w:val="00631E2A"/>
    <w:rsid w:val="00640329"/>
    <w:rsid w:val="00642E66"/>
    <w:rsid w:val="00652AC9"/>
    <w:rsid w:val="00652B42"/>
    <w:rsid w:val="00652F1D"/>
    <w:rsid w:val="00660DBC"/>
    <w:rsid w:val="00664CE2"/>
    <w:rsid w:val="006718D0"/>
    <w:rsid w:val="006722F9"/>
    <w:rsid w:val="00694F56"/>
    <w:rsid w:val="00696A30"/>
    <w:rsid w:val="00697A43"/>
    <w:rsid w:val="006A2B59"/>
    <w:rsid w:val="006A4606"/>
    <w:rsid w:val="006A498C"/>
    <w:rsid w:val="006A4FD8"/>
    <w:rsid w:val="006A5B1A"/>
    <w:rsid w:val="006A77EA"/>
    <w:rsid w:val="006B4216"/>
    <w:rsid w:val="006C0830"/>
    <w:rsid w:val="006C5858"/>
    <w:rsid w:val="006D207F"/>
    <w:rsid w:val="006D4B9B"/>
    <w:rsid w:val="006D7B82"/>
    <w:rsid w:val="006E2C01"/>
    <w:rsid w:val="006F037C"/>
    <w:rsid w:val="006F4DF5"/>
    <w:rsid w:val="006F53BA"/>
    <w:rsid w:val="00702ED5"/>
    <w:rsid w:val="00703E4D"/>
    <w:rsid w:val="00711A18"/>
    <w:rsid w:val="00725371"/>
    <w:rsid w:val="00725DF2"/>
    <w:rsid w:val="007373C0"/>
    <w:rsid w:val="00755CE8"/>
    <w:rsid w:val="0076023D"/>
    <w:rsid w:val="0076251E"/>
    <w:rsid w:val="007666D1"/>
    <w:rsid w:val="0077417A"/>
    <w:rsid w:val="00777270"/>
    <w:rsid w:val="007801FE"/>
    <w:rsid w:val="00780A50"/>
    <w:rsid w:val="00790C45"/>
    <w:rsid w:val="007928FD"/>
    <w:rsid w:val="007933C0"/>
    <w:rsid w:val="007955CD"/>
    <w:rsid w:val="00795EBC"/>
    <w:rsid w:val="007963A9"/>
    <w:rsid w:val="007A02CB"/>
    <w:rsid w:val="007A46D4"/>
    <w:rsid w:val="007B49EB"/>
    <w:rsid w:val="007B6A11"/>
    <w:rsid w:val="007C715E"/>
    <w:rsid w:val="007D2DAF"/>
    <w:rsid w:val="007D384F"/>
    <w:rsid w:val="007E11BA"/>
    <w:rsid w:val="007E5C88"/>
    <w:rsid w:val="007F0D35"/>
    <w:rsid w:val="007F1BA7"/>
    <w:rsid w:val="007F1E33"/>
    <w:rsid w:val="007F2C48"/>
    <w:rsid w:val="00800461"/>
    <w:rsid w:val="00802220"/>
    <w:rsid w:val="00803F05"/>
    <w:rsid w:val="00804CCE"/>
    <w:rsid w:val="00806DE8"/>
    <w:rsid w:val="00814D1D"/>
    <w:rsid w:val="0081669D"/>
    <w:rsid w:val="00821EB7"/>
    <w:rsid w:val="00822060"/>
    <w:rsid w:val="00824193"/>
    <w:rsid w:val="008327E0"/>
    <w:rsid w:val="008331ED"/>
    <w:rsid w:val="00833E5D"/>
    <w:rsid w:val="00834684"/>
    <w:rsid w:val="00837CEB"/>
    <w:rsid w:val="00840758"/>
    <w:rsid w:val="00850E03"/>
    <w:rsid w:val="00852D8E"/>
    <w:rsid w:val="00853D11"/>
    <w:rsid w:val="00856201"/>
    <w:rsid w:val="0086174B"/>
    <w:rsid w:val="00862ECF"/>
    <w:rsid w:val="00866607"/>
    <w:rsid w:val="008667B4"/>
    <w:rsid w:val="0088073D"/>
    <w:rsid w:val="00881246"/>
    <w:rsid w:val="008856C6"/>
    <w:rsid w:val="00890239"/>
    <w:rsid w:val="00896404"/>
    <w:rsid w:val="008A0A3A"/>
    <w:rsid w:val="008A49BE"/>
    <w:rsid w:val="008A5F5A"/>
    <w:rsid w:val="008A76F6"/>
    <w:rsid w:val="008B1803"/>
    <w:rsid w:val="008C5291"/>
    <w:rsid w:val="008D3D78"/>
    <w:rsid w:val="008E48B9"/>
    <w:rsid w:val="008E5232"/>
    <w:rsid w:val="009009B2"/>
    <w:rsid w:val="0090482B"/>
    <w:rsid w:val="009112AA"/>
    <w:rsid w:val="009140AC"/>
    <w:rsid w:val="00916E9E"/>
    <w:rsid w:val="0091703F"/>
    <w:rsid w:val="009208B6"/>
    <w:rsid w:val="0092193D"/>
    <w:rsid w:val="00923084"/>
    <w:rsid w:val="009239A5"/>
    <w:rsid w:val="0093137B"/>
    <w:rsid w:val="00932F29"/>
    <w:rsid w:val="00934E68"/>
    <w:rsid w:val="00934FC6"/>
    <w:rsid w:val="00937704"/>
    <w:rsid w:val="009412F7"/>
    <w:rsid w:val="009433E2"/>
    <w:rsid w:val="0094759E"/>
    <w:rsid w:val="00947D9A"/>
    <w:rsid w:val="0095135F"/>
    <w:rsid w:val="00951987"/>
    <w:rsid w:val="00956A39"/>
    <w:rsid w:val="00960688"/>
    <w:rsid w:val="00964369"/>
    <w:rsid w:val="0097228A"/>
    <w:rsid w:val="0097563B"/>
    <w:rsid w:val="00995CB6"/>
    <w:rsid w:val="00996840"/>
    <w:rsid w:val="00996A1C"/>
    <w:rsid w:val="00997329"/>
    <w:rsid w:val="00997940"/>
    <w:rsid w:val="009B1FAA"/>
    <w:rsid w:val="009C04C5"/>
    <w:rsid w:val="009C37EA"/>
    <w:rsid w:val="009C42A4"/>
    <w:rsid w:val="009D191D"/>
    <w:rsid w:val="009D210B"/>
    <w:rsid w:val="009D6C8E"/>
    <w:rsid w:val="009E6403"/>
    <w:rsid w:val="009F0658"/>
    <w:rsid w:val="009F4C20"/>
    <w:rsid w:val="009F54F9"/>
    <w:rsid w:val="009F7098"/>
    <w:rsid w:val="009F7C35"/>
    <w:rsid w:val="00A036DB"/>
    <w:rsid w:val="00A0766E"/>
    <w:rsid w:val="00A10CC8"/>
    <w:rsid w:val="00A11DA2"/>
    <w:rsid w:val="00A15B6B"/>
    <w:rsid w:val="00A16291"/>
    <w:rsid w:val="00A2774E"/>
    <w:rsid w:val="00A33C67"/>
    <w:rsid w:val="00A36B77"/>
    <w:rsid w:val="00A37123"/>
    <w:rsid w:val="00A44D7C"/>
    <w:rsid w:val="00A4617C"/>
    <w:rsid w:val="00A4643B"/>
    <w:rsid w:val="00A53454"/>
    <w:rsid w:val="00A565DF"/>
    <w:rsid w:val="00A57ABA"/>
    <w:rsid w:val="00A612B3"/>
    <w:rsid w:val="00A6468A"/>
    <w:rsid w:val="00A72D4D"/>
    <w:rsid w:val="00A817DF"/>
    <w:rsid w:val="00A84579"/>
    <w:rsid w:val="00A86CF1"/>
    <w:rsid w:val="00A9006A"/>
    <w:rsid w:val="00A93A6B"/>
    <w:rsid w:val="00A940F7"/>
    <w:rsid w:val="00A95116"/>
    <w:rsid w:val="00A96331"/>
    <w:rsid w:val="00AA6905"/>
    <w:rsid w:val="00AA725C"/>
    <w:rsid w:val="00AB3CE5"/>
    <w:rsid w:val="00AB3F1D"/>
    <w:rsid w:val="00AB46BD"/>
    <w:rsid w:val="00AB5E95"/>
    <w:rsid w:val="00AC037A"/>
    <w:rsid w:val="00AC1317"/>
    <w:rsid w:val="00AC20BC"/>
    <w:rsid w:val="00AC2DA1"/>
    <w:rsid w:val="00AC3D48"/>
    <w:rsid w:val="00AD1DD3"/>
    <w:rsid w:val="00AD2247"/>
    <w:rsid w:val="00AD2AF9"/>
    <w:rsid w:val="00AD6BCE"/>
    <w:rsid w:val="00AE5100"/>
    <w:rsid w:val="00AE655F"/>
    <w:rsid w:val="00AE6FCA"/>
    <w:rsid w:val="00AE7E41"/>
    <w:rsid w:val="00AF1920"/>
    <w:rsid w:val="00AF7580"/>
    <w:rsid w:val="00AF7A7C"/>
    <w:rsid w:val="00B07E57"/>
    <w:rsid w:val="00B16D5F"/>
    <w:rsid w:val="00B175A3"/>
    <w:rsid w:val="00B32B03"/>
    <w:rsid w:val="00B34107"/>
    <w:rsid w:val="00B37520"/>
    <w:rsid w:val="00B4111B"/>
    <w:rsid w:val="00B42D4C"/>
    <w:rsid w:val="00B51B04"/>
    <w:rsid w:val="00B53ECD"/>
    <w:rsid w:val="00B557C9"/>
    <w:rsid w:val="00B55900"/>
    <w:rsid w:val="00B57AE3"/>
    <w:rsid w:val="00B61A02"/>
    <w:rsid w:val="00B62DED"/>
    <w:rsid w:val="00B64B99"/>
    <w:rsid w:val="00B64FF8"/>
    <w:rsid w:val="00B7436F"/>
    <w:rsid w:val="00B74CD2"/>
    <w:rsid w:val="00B75F06"/>
    <w:rsid w:val="00B775E6"/>
    <w:rsid w:val="00B77647"/>
    <w:rsid w:val="00B81279"/>
    <w:rsid w:val="00B81529"/>
    <w:rsid w:val="00B93AC4"/>
    <w:rsid w:val="00B973C4"/>
    <w:rsid w:val="00BA1D2D"/>
    <w:rsid w:val="00BA1FD0"/>
    <w:rsid w:val="00BA3140"/>
    <w:rsid w:val="00BA31FA"/>
    <w:rsid w:val="00BB1A68"/>
    <w:rsid w:val="00BB45D5"/>
    <w:rsid w:val="00BD5FE0"/>
    <w:rsid w:val="00BE6129"/>
    <w:rsid w:val="00BF0F74"/>
    <w:rsid w:val="00BF29E2"/>
    <w:rsid w:val="00BF79DF"/>
    <w:rsid w:val="00C16DFA"/>
    <w:rsid w:val="00C2597C"/>
    <w:rsid w:val="00C279B8"/>
    <w:rsid w:val="00C411D8"/>
    <w:rsid w:val="00C413AA"/>
    <w:rsid w:val="00C41497"/>
    <w:rsid w:val="00C4531C"/>
    <w:rsid w:val="00C54A45"/>
    <w:rsid w:val="00C56EDF"/>
    <w:rsid w:val="00C70B26"/>
    <w:rsid w:val="00C71135"/>
    <w:rsid w:val="00C72355"/>
    <w:rsid w:val="00C754ED"/>
    <w:rsid w:val="00CA1216"/>
    <w:rsid w:val="00CA6A48"/>
    <w:rsid w:val="00CA7D87"/>
    <w:rsid w:val="00CB17B7"/>
    <w:rsid w:val="00CB625C"/>
    <w:rsid w:val="00CC0310"/>
    <w:rsid w:val="00CD33D1"/>
    <w:rsid w:val="00CD3429"/>
    <w:rsid w:val="00CD4B28"/>
    <w:rsid w:val="00CD6ECE"/>
    <w:rsid w:val="00CE007B"/>
    <w:rsid w:val="00CE657C"/>
    <w:rsid w:val="00CF0EC5"/>
    <w:rsid w:val="00CF6C35"/>
    <w:rsid w:val="00CF7DF5"/>
    <w:rsid w:val="00D0051A"/>
    <w:rsid w:val="00D058D4"/>
    <w:rsid w:val="00D0692B"/>
    <w:rsid w:val="00D11118"/>
    <w:rsid w:val="00D1519C"/>
    <w:rsid w:val="00D20528"/>
    <w:rsid w:val="00D20988"/>
    <w:rsid w:val="00D2252D"/>
    <w:rsid w:val="00D23363"/>
    <w:rsid w:val="00D30961"/>
    <w:rsid w:val="00D33D9D"/>
    <w:rsid w:val="00D452DC"/>
    <w:rsid w:val="00D4686B"/>
    <w:rsid w:val="00D6273A"/>
    <w:rsid w:val="00D7143C"/>
    <w:rsid w:val="00D71BB4"/>
    <w:rsid w:val="00D7330E"/>
    <w:rsid w:val="00D743A9"/>
    <w:rsid w:val="00D75780"/>
    <w:rsid w:val="00D8403A"/>
    <w:rsid w:val="00D85698"/>
    <w:rsid w:val="00D86A58"/>
    <w:rsid w:val="00D87860"/>
    <w:rsid w:val="00D87F39"/>
    <w:rsid w:val="00D92467"/>
    <w:rsid w:val="00D9572D"/>
    <w:rsid w:val="00DA3B25"/>
    <w:rsid w:val="00DA5244"/>
    <w:rsid w:val="00DB1DE3"/>
    <w:rsid w:val="00DB4DB5"/>
    <w:rsid w:val="00DC158F"/>
    <w:rsid w:val="00DC1E5A"/>
    <w:rsid w:val="00DC4151"/>
    <w:rsid w:val="00DD2502"/>
    <w:rsid w:val="00DD6334"/>
    <w:rsid w:val="00DE6846"/>
    <w:rsid w:val="00DF4C72"/>
    <w:rsid w:val="00DF4DBC"/>
    <w:rsid w:val="00E026AB"/>
    <w:rsid w:val="00E1112F"/>
    <w:rsid w:val="00E11F13"/>
    <w:rsid w:val="00E25EAE"/>
    <w:rsid w:val="00E31D29"/>
    <w:rsid w:val="00E3408D"/>
    <w:rsid w:val="00E44C01"/>
    <w:rsid w:val="00E44D3C"/>
    <w:rsid w:val="00E50F57"/>
    <w:rsid w:val="00E612F0"/>
    <w:rsid w:val="00E6345C"/>
    <w:rsid w:val="00E65C97"/>
    <w:rsid w:val="00E678BD"/>
    <w:rsid w:val="00E757FE"/>
    <w:rsid w:val="00E805DA"/>
    <w:rsid w:val="00E805FF"/>
    <w:rsid w:val="00E859F8"/>
    <w:rsid w:val="00E935EC"/>
    <w:rsid w:val="00E94B0E"/>
    <w:rsid w:val="00EA78BD"/>
    <w:rsid w:val="00EB675E"/>
    <w:rsid w:val="00EC160D"/>
    <w:rsid w:val="00EC188D"/>
    <w:rsid w:val="00EC4354"/>
    <w:rsid w:val="00EC5861"/>
    <w:rsid w:val="00ED2FEE"/>
    <w:rsid w:val="00ED57F4"/>
    <w:rsid w:val="00EF06B3"/>
    <w:rsid w:val="00EF100E"/>
    <w:rsid w:val="00EF2B70"/>
    <w:rsid w:val="00EF33AD"/>
    <w:rsid w:val="00EF47C6"/>
    <w:rsid w:val="00F0150E"/>
    <w:rsid w:val="00F03156"/>
    <w:rsid w:val="00F052D8"/>
    <w:rsid w:val="00F073A6"/>
    <w:rsid w:val="00F076EC"/>
    <w:rsid w:val="00F122AF"/>
    <w:rsid w:val="00F13CFE"/>
    <w:rsid w:val="00F17643"/>
    <w:rsid w:val="00F22646"/>
    <w:rsid w:val="00F23B9C"/>
    <w:rsid w:val="00F3108F"/>
    <w:rsid w:val="00F32041"/>
    <w:rsid w:val="00F33E3E"/>
    <w:rsid w:val="00F3539B"/>
    <w:rsid w:val="00F35A06"/>
    <w:rsid w:val="00F376EB"/>
    <w:rsid w:val="00F37A72"/>
    <w:rsid w:val="00F41ABD"/>
    <w:rsid w:val="00F4322A"/>
    <w:rsid w:val="00F47925"/>
    <w:rsid w:val="00F53080"/>
    <w:rsid w:val="00F53616"/>
    <w:rsid w:val="00F53FA1"/>
    <w:rsid w:val="00F563D3"/>
    <w:rsid w:val="00F601A3"/>
    <w:rsid w:val="00F61739"/>
    <w:rsid w:val="00F61FB1"/>
    <w:rsid w:val="00F6377E"/>
    <w:rsid w:val="00F671E8"/>
    <w:rsid w:val="00F7418C"/>
    <w:rsid w:val="00F76F2F"/>
    <w:rsid w:val="00F76FEF"/>
    <w:rsid w:val="00F77A9C"/>
    <w:rsid w:val="00F85E11"/>
    <w:rsid w:val="00F87EE6"/>
    <w:rsid w:val="00F91A54"/>
    <w:rsid w:val="00F9536A"/>
    <w:rsid w:val="00FA423B"/>
    <w:rsid w:val="00FB766B"/>
    <w:rsid w:val="00FC4CA9"/>
    <w:rsid w:val="00FC5D5F"/>
    <w:rsid w:val="00FD10D6"/>
    <w:rsid w:val="00FD438A"/>
    <w:rsid w:val="00FE0685"/>
    <w:rsid w:val="00FE3653"/>
    <w:rsid w:val="00FE3CEC"/>
    <w:rsid w:val="00FE4204"/>
    <w:rsid w:val="00FF1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43D80"/>
  <w15:chartTrackingRefBased/>
  <w15:docId w15:val="{E0E35B74-C5BD-44E8-B1D7-649BC816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2">
    <w:name w:val="heading 2"/>
    <w:basedOn w:val="Normal"/>
    <w:next w:val="Normal"/>
    <w:link w:val="Heading2Char"/>
    <w:qFormat/>
    <w:rsid w:val="001B2AC1"/>
    <w:pPr>
      <w:keepNext/>
      <w:spacing w:before="240" w:after="60" w:line="240" w:lineRule="auto"/>
      <w:outlineLvl w:val="1"/>
    </w:pPr>
    <w:rPr>
      <w:rFonts w:ascii="Cambria" w:eastAsia="Times New Roman" w:hAnsi="Cambria"/>
      <w:b/>
      <w:bCs/>
      <w:i/>
      <w:iCs/>
      <w:sz w:val="28"/>
      <w:szCs w:val="28"/>
    </w:rPr>
  </w:style>
  <w:style w:type="paragraph" w:styleId="Heading4">
    <w:name w:val="heading 4"/>
    <w:basedOn w:val="Normal"/>
    <w:next w:val="Normal"/>
    <w:link w:val="Heading4Char"/>
    <w:qFormat/>
    <w:rsid w:val="002D0113"/>
    <w:pPr>
      <w:keepNext/>
      <w:spacing w:before="240" w:after="60" w:line="240" w:lineRule="auto"/>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1317"/>
    <w:rPr>
      <w:sz w:val="22"/>
    </w:rPr>
  </w:style>
  <w:style w:type="character" w:customStyle="1" w:styleId="Heading2Char">
    <w:name w:val="Heading 2 Char"/>
    <w:link w:val="Heading2"/>
    <w:rsid w:val="001B2AC1"/>
    <w:rPr>
      <w:rFonts w:ascii="Cambria" w:eastAsia="Times New Roman" w:hAnsi="Cambria"/>
      <w:b/>
      <w:bCs/>
      <w:i/>
      <w:iCs/>
      <w:sz w:val="28"/>
      <w:szCs w:val="28"/>
    </w:rPr>
  </w:style>
  <w:style w:type="paragraph" w:customStyle="1" w:styleId="StyleLeft081">
    <w:name w:val="Style Left:  0.81&quot;"/>
    <w:basedOn w:val="Normal"/>
    <w:rsid w:val="007928FD"/>
    <w:pPr>
      <w:widowControl w:val="0"/>
      <w:autoSpaceDE w:val="0"/>
      <w:autoSpaceDN w:val="0"/>
      <w:adjustRightInd w:val="0"/>
      <w:spacing w:after="0" w:line="240" w:lineRule="auto"/>
      <w:ind w:left="1170"/>
    </w:pPr>
    <w:rPr>
      <w:rFonts w:ascii="Arial" w:eastAsia="Times New Roman" w:hAnsi="Arial"/>
      <w:sz w:val="24"/>
      <w:szCs w:val="20"/>
    </w:rPr>
  </w:style>
  <w:style w:type="character" w:styleId="CommentReference">
    <w:name w:val="annotation reference"/>
    <w:rsid w:val="00E50F57"/>
    <w:rPr>
      <w:sz w:val="16"/>
      <w:szCs w:val="16"/>
    </w:rPr>
  </w:style>
  <w:style w:type="paragraph" w:styleId="CommentText">
    <w:name w:val="annotation text"/>
    <w:basedOn w:val="Normal"/>
    <w:link w:val="CommentTextChar"/>
    <w:rsid w:val="00E50F57"/>
    <w:pPr>
      <w:spacing w:after="0" w:line="240" w:lineRule="auto"/>
      <w:jc w:val="both"/>
    </w:pPr>
    <w:rPr>
      <w:rFonts w:eastAsia="Times New Roman"/>
      <w:sz w:val="20"/>
      <w:szCs w:val="20"/>
    </w:rPr>
  </w:style>
  <w:style w:type="character" w:customStyle="1" w:styleId="CommentTextChar">
    <w:name w:val="Comment Text Char"/>
    <w:link w:val="CommentText"/>
    <w:rsid w:val="00E50F57"/>
    <w:rPr>
      <w:rFonts w:ascii="Times New Roman" w:eastAsia="Times New Roman" w:hAnsi="Times New Roman"/>
    </w:rPr>
  </w:style>
  <w:style w:type="paragraph" w:styleId="BalloonText">
    <w:name w:val="Balloon Text"/>
    <w:basedOn w:val="Normal"/>
    <w:link w:val="BalloonTextChar"/>
    <w:uiPriority w:val="99"/>
    <w:semiHidden/>
    <w:unhideWhenUsed/>
    <w:rsid w:val="00E50F5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50F57"/>
    <w:rPr>
      <w:rFonts w:ascii="Segoe UI" w:hAnsi="Segoe UI" w:cs="Segoe UI"/>
      <w:sz w:val="18"/>
      <w:szCs w:val="18"/>
    </w:rPr>
  </w:style>
  <w:style w:type="paragraph" w:styleId="Header">
    <w:name w:val="header"/>
    <w:basedOn w:val="Normal"/>
    <w:link w:val="HeaderChar"/>
    <w:uiPriority w:val="99"/>
    <w:unhideWhenUsed/>
    <w:rsid w:val="00A81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7DF"/>
    <w:rPr>
      <w:sz w:val="22"/>
      <w:szCs w:val="22"/>
    </w:rPr>
  </w:style>
  <w:style w:type="paragraph" w:styleId="Footer">
    <w:name w:val="footer"/>
    <w:basedOn w:val="Normal"/>
    <w:link w:val="FooterChar"/>
    <w:uiPriority w:val="99"/>
    <w:unhideWhenUsed/>
    <w:rsid w:val="00A81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7DF"/>
    <w:rPr>
      <w:sz w:val="22"/>
      <w:szCs w:val="22"/>
    </w:rPr>
  </w:style>
  <w:style w:type="paragraph" w:styleId="CommentSubject">
    <w:name w:val="annotation subject"/>
    <w:basedOn w:val="CommentText"/>
    <w:next w:val="CommentText"/>
    <w:link w:val="CommentSubjectChar"/>
    <w:uiPriority w:val="99"/>
    <w:semiHidden/>
    <w:unhideWhenUsed/>
    <w:rsid w:val="00694F56"/>
    <w:pPr>
      <w:spacing w:after="160"/>
      <w:jc w:val="left"/>
    </w:pPr>
    <w:rPr>
      <w:rFonts w:ascii="Calibri" w:eastAsia="Calibri" w:hAnsi="Calibri"/>
      <w:b/>
      <w:bCs/>
    </w:rPr>
  </w:style>
  <w:style w:type="character" w:customStyle="1" w:styleId="CommentSubjectChar">
    <w:name w:val="Comment Subject Char"/>
    <w:basedOn w:val="CommentTextChar"/>
    <w:link w:val="CommentSubject"/>
    <w:uiPriority w:val="99"/>
    <w:semiHidden/>
    <w:rsid w:val="00694F56"/>
    <w:rPr>
      <w:rFonts w:ascii="Times New Roman" w:eastAsia="Times New Roman" w:hAnsi="Times New Roman"/>
      <w:b/>
      <w:bCs/>
    </w:rPr>
  </w:style>
  <w:style w:type="paragraph" w:customStyle="1" w:styleId="WPDefaults">
    <w:name w:val="WP Defaults"/>
    <w:rsid w:val="00B559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utoSpaceDE w:val="0"/>
      <w:autoSpaceDN w:val="0"/>
      <w:adjustRightInd w:val="0"/>
      <w:spacing w:line="240" w:lineRule="atLeast"/>
      <w:textAlignment w:val="baseline"/>
    </w:pPr>
    <w:rPr>
      <w:rFonts w:ascii="Courier" w:eastAsia="Times New Roman" w:hAnsi="Courier"/>
      <w:color w:val="000000"/>
      <w:sz w:val="24"/>
    </w:rPr>
  </w:style>
  <w:style w:type="character" w:customStyle="1" w:styleId="Heading4Char">
    <w:name w:val="Heading 4 Char"/>
    <w:basedOn w:val="DefaultParagraphFont"/>
    <w:link w:val="Heading4"/>
    <w:rsid w:val="002D0113"/>
    <w:rPr>
      <w:rFonts w:ascii="Times New Roman" w:eastAsia="Times New Roman" w:hAnsi="Times New Roman"/>
      <w:b/>
      <w:bCs/>
      <w:sz w:val="28"/>
      <w:szCs w:val="28"/>
    </w:rPr>
  </w:style>
  <w:style w:type="table" w:styleId="TableGrid">
    <w:name w:val="Table Grid"/>
    <w:basedOn w:val="TableNormal"/>
    <w:uiPriority w:val="39"/>
    <w:rsid w:val="00837CEB"/>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D384F"/>
    <w:pPr>
      <w:overflowPunct w:val="0"/>
      <w:autoSpaceDE w:val="0"/>
      <w:autoSpaceDN w:val="0"/>
      <w:adjustRightInd w:val="0"/>
      <w:spacing w:after="0" w:line="240" w:lineRule="auto"/>
      <w:ind w:left="720"/>
      <w:textAlignment w:val="baseline"/>
    </w:pPr>
    <w:rPr>
      <w:rFonts w:eastAsia="Times New Roman"/>
      <w:sz w:val="24"/>
      <w:szCs w:val="20"/>
    </w:rPr>
  </w:style>
  <w:style w:type="character" w:customStyle="1" w:styleId="BodyText2Char">
    <w:name w:val="Body Text 2 Char"/>
    <w:basedOn w:val="DefaultParagraphFont"/>
    <w:link w:val="BodyText2"/>
    <w:rsid w:val="007D384F"/>
    <w:rPr>
      <w:rFonts w:ascii="Times New Roman" w:eastAsia="Times New Roman" w:hAnsi="Times New Roman"/>
      <w:sz w:val="24"/>
    </w:rPr>
  </w:style>
  <w:style w:type="paragraph" w:styleId="NormalWeb">
    <w:name w:val="Normal (Web)"/>
    <w:basedOn w:val="Normal"/>
    <w:uiPriority w:val="99"/>
    <w:unhideWhenUsed/>
    <w:rsid w:val="00A0766E"/>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1"/>
    <w:qFormat/>
    <w:rsid w:val="00F122AF"/>
    <w:pPr>
      <w:ind w:left="720"/>
      <w:contextualSpacing/>
    </w:pPr>
    <w:rPr>
      <w:rFonts w:asciiTheme="minorHAnsi" w:eastAsiaTheme="minorHAnsi" w:hAnsiTheme="minorHAnsi" w:cstheme="minorBidi"/>
    </w:rPr>
  </w:style>
  <w:style w:type="character" w:customStyle="1" w:styleId="xcontentpasted0">
    <w:name w:val="x_contentpasted0"/>
    <w:basedOn w:val="DefaultParagraphFont"/>
    <w:rsid w:val="006722F9"/>
  </w:style>
  <w:style w:type="paragraph" w:customStyle="1" w:styleId="Default">
    <w:name w:val="Default"/>
    <w:rsid w:val="00255F2C"/>
    <w:pPr>
      <w:autoSpaceDE w:val="0"/>
      <w:autoSpaceDN w:val="0"/>
      <w:adjustRightInd w:val="0"/>
    </w:pPr>
    <w:rPr>
      <w:color w:val="000000"/>
      <w:sz w:val="24"/>
      <w:szCs w:val="24"/>
    </w:rPr>
  </w:style>
  <w:style w:type="paragraph" w:styleId="Revision">
    <w:name w:val="Revision"/>
    <w:hidden/>
    <w:uiPriority w:val="99"/>
    <w:semiHidden/>
    <w:rsid w:val="00255F2C"/>
    <w:rPr>
      <w:sz w:val="22"/>
    </w:rPr>
  </w:style>
  <w:style w:type="character" w:styleId="HTMLCode">
    <w:name w:val="HTML Code"/>
    <w:basedOn w:val="DefaultParagraphFont"/>
    <w:uiPriority w:val="99"/>
    <w:semiHidden/>
    <w:unhideWhenUsed/>
    <w:rsid w:val="00B64B99"/>
    <w:rPr>
      <w:rFonts w:ascii="Courier New" w:eastAsia="Times New Roman" w:hAnsi="Courier New" w:cs="Courier New"/>
      <w:sz w:val="20"/>
      <w:szCs w:val="20"/>
    </w:rPr>
  </w:style>
  <w:style w:type="paragraph" w:styleId="BodyText">
    <w:name w:val="Body Text"/>
    <w:basedOn w:val="Normal"/>
    <w:link w:val="BodyTextChar"/>
    <w:rsid w:val="0009228A"/>
    <w:pPr>
      <w:spacing w:after="120" w:line="240" w:lineRule="auto"/>
    </w:pPr>
    <w:rPr>
      <w:rFonts w:eastAsia="Times New Roman"/>
      <w:sz w:val="24"/>
      <w:szCs w:val="24"/>
    </w:rPr>
  </w:style>
  <w:style w:type="character" w:customStyle="1" w:styleId="BodyTextChar">
    <w:name w:val="Body Text Char"/>
    <w:basedOn w:val="DefaultParagraphFont"/>
    <w:link w:val="BodyText"/>
    <w:rsid w:val="0009228A"/>
    <w:rPr>
      <w:rFonts w:ascii="Times New Roman" w:eastAsia="Times New Roman" w:hAnsi="Times New Roman"/>
      <w:sz w:val="24"/>
      <w:szCs w:val="24"/>
    </w:rPr>
  </w:style>
  <w:style w:type="paragraph" w:customStyle="1" w:styleId="TableParagraph">
    <w:name w:val="Table Paragraph"/>
    <w:basedOn w:val="Normal"/>
    <w:uiPriority w:val="1"/>
    <w:qFormat/>
    <w:rsid w:val="00E44D3C"/>
    <w:pPr>
      <w:widowControl w:val="0"/>
      <w:autoSpaceDE w:val="0"/>
      <w:autoSpaceDN w:val="0"/>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3003">
      <w:bodyDiv w:val="1"/>
      <w:marLeft w:val="0"/>
      <w:marRight w:val="0"/>
      <w:marTop w:val="0"/>
      <w:marBottom w:val="0"/>
      <w:divBdr>
        <w:top w:val="none" w:sz="0" w:space="0" w:color="auto"/>
        <w:left w:val="none" w:sz="0" w:space="0" w:color="auto"/>
        <w:bottom w:val="none" w:sz="0" w:space="0" w:color="auto"/>
        <w:right w:val="none" w:sz="0" w:space="0" w:color="auto"/>
      </w:divBdr>
    </w:div>
    <w:div w:id="245044519">
      <w:bodyDiv w:val="1"/>
      <w:marLeft w:val="0"/>
      <w:marRight w:val="0"/>
      <w:marTop w:val="0"/>
      <w:marBottom w:val="0"/>
      <w:divBdr>
        <w:top w:val="none" w:sz="0" w:space="0" w:color="auto"/>
        <w:left w:val="none" w:sz="0" w:space="0" w:color="auto"/>
        <w:bottom w:val="none" w:sz="0" w:space="0" w:color="auto"/>
        <w:right w:val="none" w:sz="0" w:space="0" w:color="auto"/>
      </w:divBdr>
    </w:div>
    <w:div w:id="809518183">
      <w:bodyDiv w:val="1"/>
      <w:marLeft w:val="0"/>
      <w:marRight w:val="0"/>
      <w:marTop w:val="0"/>
      <w:marBottom w:val="0"/>
      <w:divBdr>
        <w:top w:val="none" w:sz="0" w:space="0" w:color="auto"/>
        <w:left w:val="none" w:sz="0" w:space="0" w:color="auto"/>
        <w:bottom w:val="none" w:sz="0" w:space="0" w:color="auto"/>
        <w:right w:val="none" w:sz="0" w:space="0" w:color="auto"/>
      </w:divBdr>
    </w:div>
    <w:div w:id="880551329">
      <w:bodyDiv w:val="1"/>
      <w:marLeft w:val="0"/>
      <w:marRight w:val="0"/>
      <w:marTop w:val="0"/>
      <w:marBottom w:val="0"/>
      <w:divBdr>
        <w:top w:val="none" w:sz="0" w:space="0" w:color="auto"/>
        <w:left w:val="none" w:sz="0" w:space="0" w:color="auto"/>
        <w:bottom w:val="none" w:sz="0" w:space="0" w:color="auto"/>
        <w:right w:val="none" w:sz="0" w:space="0" w:color="auto"/>
      </w:divBdr>
    </w:div>
    <w:div w:id="946618010">
      <w:bodyDiv w:val="1"/>
      <w:marLeft w:val="0"/>
      <w:marRight w:val="0"/>
      <w:marTop w:val="0"/>
      <w:marBottom w:val="0"/>
      <w:divBdr>
        <w:top w:val="none" w:sz="0" w:space="0" w:color="auto"/>
        <w:left w:val="none" w:sz="0" w:space="0" w:color="auto"/>
        <w:bottom w:val="none" w:sz="0" w:space="0" w:color="auto"/>
        <w:right w:val="none" w:sz="0" w:space="0" w:color="auto"/>
      </w:divBdr>
    </w:div>
    <w:div w:id="1000741412">
      <w:bodyDiv w:val="1"/>
      <w:marLeft w:val="0"/>
      <w:marRight w:val="0"/>
      <w:marTop w:val="0"/>
      <w:marBottom w:val="0"/>
      <w:divBdr>
        <w:top w:val="none" w:sz="0" w:space="0" w:color="auto"/>
        <w:left w:val="none" w:sz="0" w:space="0" w:color="auto"/>
        <w:bottom w:val="none" w:sz="0" w:space="0" w:color="auto"/>
        <w:right w:val="none" w:sz="0" w:space="0" w:color="auto"/>
      </w:divBdr>
    </w:div>
    <w:div w:id="1255437595">
      <w:bodyDiv w:val="1"/>
      <w:marLeft w:val="0"/>
      <w:marRight w:val="0"/>
      <w:marTop w:val="0"/>
      <w:marBottom w:val="0"/>
      <w:divBdr>
        <w:top w:val="none" w:sz="0" w:space="0" w:color="auto"/>
        <w:left w:val="none" w:sz="0" w:space="0" w:color="auto"/>
        <w:bottom w:val="none" w:sz="0" w:space="0" w:color="auto"/>
        <w:right w:val="none" w:sz="0" w:space="0" w:color="auto"/>
      </w:divBdr>
    </w:div>
    <w:div w:id="1558585656">
      <w:bodyDiv w:val="1"/>
      <w:marLeft w:val="0"/>
      <w:marRight w:val="0"/>
      <w:marTop w:val="0"/>
      <w:marBottom w:val="0"/>
      <w:divBdr>
        <w:top w:val="none" w:sz="0" w:space="0" w:color="auto"/>
        <w:left w:val="none" w:sz="0" w:space="0" w:color="auto"/>
        <w:bottom w:val="none" w:sz="0" w:space="0" w:color="auto"/>
        <w:right w:val="none" w:sz="0" w:space="0" w:color="auto"/>
      </w:divBdr>
    </w:div>
    <w:div w:id="1679773213">
      <w:bodyDiv w:val="1"/>
      <w:marLeft w:val="0"/>
      <w:marRight w:val="0"/>
      <w:marTop w:val="0"/>
      <w:marBottom w:val="0"/>
      <w:divBdr>
        <w:top w:val="none" w:sz="0" w:space="0" w:color="auto"/>
        <w:left w:val="none" w:sz="0" w:space="0" w:color="auto"/>
        <w:bottom w:val="none" w:sz="0" w:space="0" w:color="auto"/>
        <w:right w:val="none" w:sz="0" w:space="0" w:color="auto"/>
      </w:divBdr>
    </w:div>
    <w:div w:id="1823545573">
      <w:bodyDiv w:val="1"/>
      <w:marLeft w:val="0"/>
      <w:marRight w:val="0"/>
      <w:marTop w:val="0"/>
      <w:marBottom w:val="0"/>
      <w:divBdr>
        <w:top w:val="none" w:sz="0" w:space="0" w:color="auto"/>
        <w:left w:val="none" w:sz="0" w:space="0" w:color="auto"/>
        <w:bottom w:val="none" w:sz="0" w:space="0" w:color="auto"/>
        <w:right w:val="none" w:sz="0" w:space="0" w:color="auto"/>
      </w:divBdr>
    </w:div>
    <w:div w:id="1832065052">
      <w:bodyDiv w:val="1"/>
      <w:marLeft w:val="0"/>
      <w:marRight w:val="0"/>
      <w:marTop w:val="0"/>
      <w:marBottom w:val="0"/>
      <w:divBdr>
        <w:top w:val="none" w:sz="0" w:space="0" w:color="auto"/>
        <w:left w:val="none" w:sz="0" w:space="0" w:color="auto"/>
        <w:bottom w:val="none" w:sz="0" w:space="0" w:color="auto"/>
        <w:right w:val="none" w:sz="0" w:space="0" w:color="auto"/>
      </w:divBdr>
    </w:div>
    <w:div w:id="1840192637">
      <w:bodyDiv w:val="1"/>
      <w:marLeft w:val="0"/>
      <w:marRight w:val="0"/>
      <w:marTop w:val="0"/>
      <w:marBottom w:val="0"/>
      <w:divBdr>
        <w:top w:val="none" w:sz="0" w:space="0" w:color="auto"/>
        <w:left w:val="none" w:sz="0" w:space="0" w:color="auto"/>
        <w:bottom w:val="none" w:sz="0" w:space="0" w:color="auto"/>
        <w:right w:val="none" w:sz="0" w:space="0" w:color="auto"/>
      </w:divBdr>
    </w:div>
    <w:div w:id="1852989640">
      <w:bodyDiv w:val="1"/>
      <w:marLeft w:val="0"/>
      <w:marRight w:val="0"/>
      <w:marTop w:val="0"/>
      <w:marBottom w:val="0"/>
      <w:divBdr>
        <w:top w:val="none" w:sz="0" w:space="0" w:color="auto"/>
        <w:left w:val="none" w:sz="0" w:space="0" w:color="auto"/>
        <w:bottom w:val="none" w:sz="0" w:space="0" w:color="auto"/>
        <w:right w:val="none" w:sz="0" w:space="0" w:color="auto"/>
      </w:divBdr>
    </w:div>
    <w:div w:id="206610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18890-E8F0-4885-9EC2-EF9CC83B1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Rebecca D</dc:creator>
  <cp:keywords/>
  <dc:description/>
  <cp:lastModifiedBy>Todd, Marla Jo</cp:lastModifiedBy>
  <cp:revision>3</cp:revision>
  <cp:lastPrinted>2024-02-21T15:44:00Z</cp:lastPrinted>
  <dcterms:created xsi:type="dcterms:W3CDTF">2026-01-02T19:14:00Z</dcterms:created>
  <dcterms:modified xsi:type="dcterms:W3CDTF">2026-01-07T22:06:00Z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a2adc81a705e0c021f01152de730247318374fbcd8feb4ac4d42a7421ef9ede7</vt:lpwstr>
  </property>
</Properties>
</file>