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BC90" w14:textId="77777777" w:rsidR="00271C11" w:rsidRPr="00271C11" w:rsidRDefault="00271C11" w:rsidP="002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/>
          <w:color w:val="FF0000"/>
          <w:sz w:val="24"/>
          <w:szCs w:val="24"/>
        </w:rPr>
      </w:pPr>
      <w:bookmarkStart w:id="0" w:name="_Hlk77839959"/>
      <w:bookmarkStart w:id="1" w:name="_Hlk93577479"/>
      <w:r w:rsidRPr="00271C11">
        <w:rPr>
          <w:rFonts w:ascii="Times New Roman" w:eastAsia="Times New Roman" w:hAnsi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38AB9729" w14:textId="77777777" w:rsidR="00271C11" w:rsidRPr="00271C11" w:rsidRDefault="00271C11" w:rsidP="002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/>
          <w:color w:val="FF0000"/>
          <w:sz w:val="24"/>
          <w:szCs w:val="24"/>
        </w:rPr>
      </w:pPr>
      <w:r w:rsidRPr="00271C11">
        <w:rPr>
          <w:rFonts w:ascii="Times New Roman" w:hAnsi="Times New Roman"/>
          <w:color w:val="FF0000"/>
          <w:sz w:val="24"/>
          <w:szCs w:val="24"/>
        </w:rPr>
        <w:t>January 18, 2024</w:t>
      </w:r>
    </w:p>
    <w:p w14:paraId="2212B691" w14:textId="7D3FF89C" w:rsidR="00790C45" w:rsidRPr="00125938" w:rsidRDefault="00ED0C19" w:rsidP="00790C45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Times New Roman" w:hAnsi="Times New Roman"/>
          <w:b/>
          <w:color w:val="000000"/>
          <w:sz w:val="60"/>
          <w:szCs w:val="60"/>
        </w:rPr>
      </w:pPr>
      <w:r>
        <w:rPr>
          <w:rFonts w:ascii="Times New Roman" w:eastAsia="Times New Roman" w:hAnsi="Times New Roman"/>
          <w:b/>
          <w:color w:val="000000"/>
          <w:sz w:val="60"/>
          <w:szCs w:val="60"/>
        </w:rPr>
        <w:t>23</w:t>
      </w:r>
    </w:p>
    <w:p w14:paraId="3CCCB1FB" w14:textId="77777777" w:rsidR="00125938" w:rsidRDefault="00125938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4684C3D" w14:textId="77777777" w:rsidR="00125938" w:rsidRDefault="00125938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7366C73E" w14:textId="13D4C3CD" w:rsidR="00790C45" w:rsidRPr="00353536" w:rsidRDefault="00790C45" w:rsidP="00C0471C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ind w:left="7200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353536">
        <w:rPr>
          <w:rFonts w:ascii="Times New Roman" w:eastAsia="Times New Roman" w:hAnsi="Times New Roman"/>
          <w:color w:val="000000"/>
          <w:sz w:val="26"/>
          <w:szCs w:val="26"/>
        </w:rPr>
        <w:t>Board Meeting</w:t>
      </w:r>
    </w:p>
    <w:p w14:paraId="48F69593" w14:textId="51DAE898" w:rsidR="00790C45" w:rsidRPr="00125938" w:rsidRDefault="00930006" w:rsidP="00C0471C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ind w:left="7200"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125938">
        <w:rPr>
          <w:rFonts w:ascii="Times New Roman" w:eastAsia="Times New Roman" w:hAnsi="Times New Roman"/>
          <w:sz w:val="26"/>
          <w:szCs w:val="26"/>
        </w:rPr>
        <w:t>January 18, 2024</w:t>
      </w:r>
    </w:p>
    <w:p w14:paraId="4186CF1C" w14:textId="77777777" w:rsidR="00125938" w:rsidRDefault="00125938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22B0DD7" w14:textId="77777777" w:rsidR="00125938" w:rsidRDefault="00125938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27367A01" w14:textId="6BC43B7D" w:rsidR="00790C45" w:rsidRPr="00125938" w:rsidRDefault="00790C45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>ROLL CALL</w:t>
      </w:r>
    </w:p>
    <w:p w14:paraId="6FF341B7" w14:textId="77777777" w:rsidR="00790C45" w:rsidRPr="00125938" w:rsidRDefault="00790C45" w:rsidP="00EC5861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22D0303" w14:textId="77777777" w:rsidR="00790C45" w:rsidRPr="00125938" w:rsidRDefault="00790C45" w:rsidP="00EC5861">
      <w:pPr>
        <w:keepNext/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color w:val="000000"/>
          <w:sz w:val="26"/>
          <w:szCs w:val="26"/>
        </w:rPr>
      </w:pP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>PURCHASE RECOMMENDATIONS</w:t>
      </w:r>
    </w:p>
    <w:p w14:paraId="73D97BE7" w14:textId="77777777" w:rsidR="00790C45" w:rsidRPr="00125938" w:rsidRDefault="00790C45" w:rsidP="00125938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74086052" w14:textId="3F6A306C" w:rsidR="009C37EA" w:rsidRPr="00125938" w:rsidRDefault="00964369" w:rsidP="00125938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color w:val="000000"/>
          <w:sz w:val="26"/>
          <w:szCs w:val="26"/>
        </w:rPr>
      </w:pP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Following are purchase recommendations proposed </w:t>
      </w:r>
      <w:r w:rsidR="009C37EA"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by 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each </w:t>
      </w:r>
      <w:r w:rsidR="00125938">
        <w:rPr>
          <w:rFonts w:ascii="Times New Roman" w:eastAsia="Times New Roman" w:hAnsi="Times New Roman"/>
          <w:color w:val="000000"/>
          <w:sz w:val="26"/>
          <w:szCs w:val="26"/>
        </w:rPr>
        <w:t>u</w:t>
      </w:r>
      <w:r w:rsidR="009C37EA"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niversity and 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>the System Office. The purchases are to be funded</w:t>
      </w:r>
      <w:r w:rsidR="009C37EA"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 from State 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>ap</w:t>
      </w:r>
      <w:r w:rsidR="009C37EA"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propriations 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>or institutional funds as appropriate</w:t>
      </w:r>
      <w:r w:rsidR="009C37EA"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Unless otherwise specified or indicated, purchases are based on the lowest acceptable bid. The </w:t>
      </w:r>
      <w:r w:rsidR="00125938">
        <w:rPr>
          <w:rFonts w:ascii="Times New Roman" w:eastAsia="Times New Roman" w:hAnsi="Times New Roman"/>
          <w:color w:val="000000"/>
          <w:sz w:val="26"/>
          <w:szCs w:val="26"/>
        </w:rPr>
        <w:t>v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ice </w:t>
      </w:r>
      <w:r w:rsidR="00125938">
        <w:rPr>
          <w:rFonts w:ascii="Times New Roman" w:eastAsia="Times New Roman" w:hAnsi="Times New Roman"/>
          <w:color w:val="000000"/>
          <w:sz w:val="26"/>
          <w:szCs w:val="26"/>
        </w:rPr>
        <w:t>p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resident, </w:t>
      </w:r>
      <w:r w:rsidR="00125938">
        <w:rPr>
          <w:rFonts w:ascii="Times New Roman" w:eastAsia="Times New Roman" w:hAnsi="Times New Roman"/>
          <w:color w:val="000000"/>
          <w:sz w:val="26"/>
          <w:szCs w:val="26"/>
        </w:rPr>
        <w:t>c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hief </w:t>
      </w:r>
      <w:r w:rsidR="00125938">
        <w:rPr>
          <w:rFonts w:ascii="Times New Roman" w:eastAsia="Times New Roman" w:hAnsi="Times New Roman"/>
          <w:color w:val="000000"/>
          <w:sz w:val="26"/>
          <w:szCs w:val="26"/>
        </w:rPr>
        <w:t>f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inancial </w:t>
      </w:r>
      <w:r w:rsidR="00125938">
        <w:rPr>
          <w:rFonts w:ascii="Times New Roman" w:eastAsia="Times New Roman" w:hAnsi="Times New Roman"/>
          <w:color w:val="000000"/>
          <w:sz w:val="26"/>
          <w:szCs w:val="26"/>
        </w:rPr>
        <w:t>o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fficer and </w:t>
      </w:r>
      <w:r w:rsidR="00125938">
        <w:rPr>
          <w:rFonts w:ascii="Times New Roman" w:eastAsia="Times New Roman" w:hAnsi="Times New Roman"/>
          <w:color w:val="000000"/>
          <w:sz w:val="26"/>
          <w:szCs w:val="26"/>
        </w:rPr>
        <w:t>c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omptroller has approved all purchases to be funded from State appropriations in accordance with the </w:t>
      </w:r>
      <w:r w:rsidRPr="00125938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Bylaws of the Board of Trustees 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and the </w:t>
      </w:r>
      <w:r w:rsidRPr="00125938">
        <w:rPr>
          <w:rFonts w:ascii="Times New Roman" w:eastAsia="Times New Roman" w:hAnsi="Times New Roman"/>
          <w:i/>
          <w:color w:val="000000"/>
          <w:sz w:val="26"/>
          <w:szCs w:val="26"/>
        </w:rPr>
        <w:t>General Rules Concerning University Organization and Procedure.</w:t>
      </w:r>
    </w:p>
    <w:p w14:paraId="6AF2B166" w14:textId="77777777" w:rsidR="009C37EA" w:rsidRPr="00125938" w:rsidRDefault="009C37EA" w:rsidP="00125938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141300F" w14:textId="6F4A9519" w:rsidR="009C37EA" w:rsidRPr="00125938" w:rsidRDefault="009C37EA" w:rsidP="00125938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The Board action recommended in this item complies in all material respects with applicable State and </w:t>
      </w:r>
      <w:r w:rsidR="00125938">
        <w:rPr>
          <w:rFonts w:ascii="Times New Roman" w:eastAsia="Times New Roman" w:hAnsi="Times New Roman"/>
          <w:color w:val="000000"/>
          <w:sz w:val="26"/>
          <w:szCs w:val="26"/>
        </w:rPr>
        <w:t>f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ederal laws, University of Illinois </w:t>
      </w:r>
      <w:r w:rsidRPr="00125938">
        <w:rPr>
          <w:rFonts w:ascii="Times New Roman" w:eastAsia="Times New Roman" w:hAnsi="Times New Roman"/>
          <w:i/>
          <w:color w:val="000000"/>
          <w:sz w:val="26"/>
          <w:szCs w:val="26"/>
        </w:rPr>
        <w:t>Statutes</w:t>
      </w:r>
      <w:r w:rsidRPr="00C0471C">
        <w:rPr>
          <w:rFonts w:ascii="Times New Roman" w:eastAsia="Times New Roman" w:hAnsi="Times New Roman"/>
          <w:iCs/>
          <w:color w:val="000000"/>
          <w:sz w:val="26"/>
          <w:szCs w:val="26"/>
        </w:rPr>
        <w:t>,</w:t>
      </w:r>
      <w:r w:rsidRPr="00125938">
        <w:rPr>
          <w:rFonts w:ascii="Times New Roman" w:eastAsia="Times New Roman" w:hAnsi="Times New Roman"/>
          <w:i/>
          <w:color w:val="000000"/>
          <w:sz w:val="26"/>
          <w:szCs w:val="26"/>
        </w:rPr>
        <w:t xml:space="preserve"> The General Rules Concerning University Organization and Procedure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="00964369"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and Board of Trustees 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>policies and directives.</w:t>
      </w:r>
    </w:p>
    <w:p w14:paraId="16608FBC" w14:textId="77777777" w:rsidR="00790C45" w:rsidRPr="00125938" w:rsidRDefault="00790C45" w:rsidP="00125938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70A15680" w14:textId="123C83C3" w:rsidR="00790C45" w:rsidRPr="00125938" w:rsidRDefault="00790C45" w:rsidP="00125938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The </w:t>
      </w:r>
      <w:r w:rsidR="008D5925">
        <w:rPr>
          <w:rFonts w:ascii="Times New Roman" w:eastAsia="Times New Roman" w:hAnsi="Times New Roman"/>
          <w:color w:val="000000"/>
          <w:sz w:val="26"/>
          <w:szCs w:val="26"/>
        </w:rPr>
        <w:t>p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resident of the University </w:t>
      </w:r>
      <w:r w:rsidR="00125938">
        <w:rPr>
          <w:rFonts w:ascii="Times New Roman" w:eastAsia="Times New Roman" w:hAnsi="Times New Roman"/>
          <w:color w:val="000000"/>
          <w:sz w:val="26"/>
          <w:szCs w:val="26"/>
        </w:rPr>
        <w:t xml:space="preserve">of Illinois System </w:t>
      </w:r>
      <w:r w:rsidRPr="00125938">
        <w:rPr>
          <w:rFonts w:ascii="Times New Roman" w:eastAsia="Times New Roman" w:hAnsi="Times New Roman"/>
          <w:color w:val="000000"/>
          <w:sz w:val="26"/>
          <w:szCs w:val="26"/>
        </w:rPr>
        <w:t>concurs.</w:t>
      </w:r>
    </w:p>
    <w:p w14:paraId="19EA8323" w14:textId="54B584C5" w:rsidR="00252F86" w:rsidRPr="00353536" w:rsidRDefault="00252F86" w:rsidP="00125938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9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0BDB4969" w14:textId="7ECED5C2" w:rsidR="00EB675E" w:rsidRDefault="00252F86" w:rsidP="00252F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53536">
        <w:rPr>
          <w:rFonts w:ascii="Times New Roman" w:hAnsi="Times New Roman"/>
          <w:b/>
          <w:sz w:val="26"/>
          <w:szCs w:val="26"/>
        </w:rPr>
        <w:t>PURCHASES RECOMMENDED</w:t>
      </w:r>
    </w:p>
    <w:p w14:paraId="5FEB6345" w14:textId="77777777" w:rsidR="006722F9" w:rsidRDefault="006722F9" w:rsidP="00252F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5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454"/>
      </w:tblGrid>
      <w:tr w:rsidR="006722F9" w:rsidRPr="00353536" w14:paraId="41874E2C" w14:textId="77777777" w:rsidTr="00BC0630">
        <w:trPr>
          <w:trHeight w:val="114"/>
        </w:trPr>
        <w:tc>
          <w:tcPr>
            <w:tcW w:w="9454" w:type="dxa"/>
            <w:tcBorders>
              <w:top w:val="single" w:sz="18" w:space="0" w:color="auto"/>
              <w:bottom w:val="single" w:sz="18" w:space="0" w:color="auto"/>
            </w:tcBorders>
          </w:tcPr>
          <w:p w14:paraId="5CA859BB" w14:textId="022FA22D" w:rsidR="006722F9" w:rsidRPr="00353536" w:rsidRDefault="006722F9" w:rsidP="00BC0630">
            <w:pPr>
              <w:tabs>
                <w:tab w:val="left" w:pos="-720"/>
                <w:tab w:val="left" w:pos="909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53536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University of Illinois </w:t>
            </w:r>
            <w:r w:rsidR="00930006">
              <w:rPr>
                <w:rFonts w:ascii="Times New Roman" w:eastAsia="Times New Roman" w:hAnsi="Times New Roman"/>
                <w:b/>
                <w:sz w:val="26"/>
                <w:szCs w:val="26"/>
              </w:rPr>
              <w:t>Chicago</w:t>
            </w:r>
          </w:p>
        </w:tc>
      </w:tr>
    </w:tbl>
    <w:tbl>
      <w:tblPr>
        <w:tblW w:w="945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2"/>
        <w:gridCol w:w="990"/>
        <w:gridCol w:w="8118"/>
      </w:tblGrid>
      <w:tr w:rsidR="00361DE1" w:rsidRPr="00F53616" w14:paraId="6B434E82" w14:textId="77777777" w:rsidTr="00361DE1">
        <w:trPr>
          <w:trHeight w:val="120"/>
        </w:trPr>
        <w:tc>
          <w:tcPr>
            <w:tcW w:w="342" w:type="dxa"/>
            <w:tcBorders>
              <w:bottom w:val="double" w:sz="4" w:space="0" w:color="auto"/>
            </w:tcBorders>
          </w:tcPr>
          <w:p w14:paraId="7D79ACDF" w14:textId="4F1BE330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3FE9D0E3" w14:textId="7BE79A8D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>Unit</w:t>
            </w:r>
          </w:p>
        </w:tc>
        <w:tc>
          <w:tcPr>
            <w:tcW w:w="8118" w:type="dxa"/>
            <w:tcBorders>
              <w:bottom w:val="double" w:sz="4" w:space="0" w:color="auto"/>
            </w:tcBorders>
          </w:tcPr>
          <w:p w14:paraId="07FF6145" w14:textId="2018998B" w:rsidR="00361DE1" w:rsidRPr="00F53616" w:rsidRDefault="00234D19" w:rsidP="00361DE1">
            <w:pPr>
              <w:pStyle w:val="NoSpacing"/>
              <w:rPr>
                <w:rFonts w:ascii="Times New Roman" w:hAnsi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 xml:space="preserve">Department of Physics </w:t>
            </w:r>
          </w:p>
        </w:tc>
      </w:tr>
      <w:tr w:rsidR="00361DE1" w:rsidRPr="00F53616" w14:paraId="09C10832" w14:textId="77777777" w:rsidTr="00361DE1">
        <w:trPr>
          <w:trHeight w:val="120"/>
        </w:trPr>
        <w:tc>
          <w:tcPr>
            <w:tcW w:w="342" w:type="dxa"/>
            <w:tcBorders>
              <w:top w:val="double" w:sz="4" w:space="0" w:color="auto"/>
            </w:tcBorders>
          </w:tcPr>
          <w:p w14:paraId="3250AD33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30DF4659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5C1155A4" w14:textId="009A8081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 xml:space="preserve">Item      </w:t>
            </w:r>
          </w:p>
        </w:tc>
        <w:tc>
          <w:tcPr>
            <w:tcW w:w="8118" w:type="dxa"/>
            <w:tcBorders>
              <w:top w:val="double" w:sz="4" w:space="0" w:color="auto"/>
            </w:tcBorders>
          </w:tcPr>
          <w:p w14:paraId="424082DF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200F65CC" w14:textId="6D9FE85A" w:rsidR="00361DE1" w:rsidRPr="00F53616" w:rsidRDefault="00234D19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34D19">
              <w:rPr>
                <w:rFonts w:ascii="Times New Roman" w:hAnsi="Times New Roman"/>
                <w:sz w:val="26"/>
                <w:szCs w:val="26"/>
              </w:rPr>
              <w:t>EIGER2 X CdTe 4M X-ray Detector</w:t>
            </w:r>
          </w:p>
        </w:tc>
      </w:tr>
      <w:tr w:rsidR="00361DE1" w:rsidRPr="00F53616" w14:paraId="6CDCB241" w14:textId="77777777" w:rsidTr="00361DE1">
        <w:trPr>
          <w:trHeight w:val="120"/>
        </w:trPr>
        <w:tc>
          <w:tcPr>
            <w:tcW w:w="342" w:type="dxa"/>
          </w:tcPr>
          <w:p w14:paraId="599951B9" w14:textId="78FCADA0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14:paraId="109DCAB7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69E10C68" w14:textId="10767E10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>Cost</w:t>
            </w:r>
          </w:p>
        </w:tc>
        <w:tc>
          <w:tcPr>
            <w:tcW w:w="8118" w:type="dxa"/>
          </w:tcPr>
          <w:p w14:paraId="2CCEEC67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194FF4ED" w14:textId="1BA43274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 xml:space="preserve">$ </w:t>
            </w:r>
            <w:r w:rsidR="00234D19">
              <w:rPr>
                <w:rFonts w:ascii="Times New Roman" w:hAnsi="Times New Roman"/>
                <w:sz w:val="26"/>
                <w:szCs w:val="26"/>
              </w:rPr>
              <w:t>1,164,800</w:t>
            </w:r>
            <w:r w:rsidRPr="00F53616">
              <w:rPr>
                <w:rFonts w:ascii="Times New Roman" w:hAnsi="Times New Roman"/>
                <w:sz w:val="26"/>
                <w:szCs w:val="26"/>
              </w:rPr>
              <w:t xml:space="preserve"> (estimated) </w:t>
            </w:r>
            <w:r w:rsidR="003E62CF" w:rsidRPr="002D67F0">
              <w:rPr>
                <w:rFonts w:ascii="Times New Roman" w:hAnsi="Times New Roman"/>
                <w:sz w:val="26"/>
                <w:szCs w:val="26"/>
              </w:rPr>
              <w:t>One-time Purchase</w:t>
            </w:r>
          </w:p>
          <w:p w14:paraId="79A5E8B0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61DE1" w:rsidRPr="00F53616" w14:paraId="32EDBEA7" w14:textId="77777777" w:rsidTr="00361DE1">
        <w:trPr>
          <w:trHeight w:val="120"/>
        </w:trPr>
        <w:tc>
          <w:tcPr>
            <w:tcW w:w="342" w:type="dxa"/>
          </w:tcPr>
          <w:p w14:paraId="0F4AE71C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790D525" w14:textId="2B73E2D8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>Vendor</w:t>
            </w:r>
          </w:p>
        </w:tc>
        <w:tc>
          <w:tcPr>
            <w:tcW w:w="8118" w:type="dxa"/>
          </w:tcPr>
          <w:p w14:paraId="17D23B88" w14:textId="7D3A2811" w:rsidR="00361DE1" w:rsidRPr="00F53616" w:rsidRDefault="00234D19" w:rsidP="00361DE1">
            <w:pPr>
              <w:pStyle w:val="Heading2"/>
              <w:spacing w:before="0" w:after="0"/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Dectris USA Inc.                                                                   </w:t>
            </w:r>
            <w:r w:rsidR="00125938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Philadelphia</w:t>
            </w: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, PA</w:t>
            </w:r>
          </w:p>
          <w:p w14:paraId="1A4DBA38" w14:textId="774299AF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61DE1" w:rsidRPr="00F53616" w14:paraId="4BA02A42" w14:textId="77777777" w:rsidTr="00361DE1">
        <w:trPr>
          <w:trHeight w:val="120"/>
        </w:trPr>
        <w:tc>
          <w:tcPr>
            <w:tcW w:w="342" w:type="dxa"/>
          </w:tcPr>
          <w:p w14:paraId="759E7995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5BAB3B18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8" w:type="dxa"/>
          </w:tcPr>
          <w:p w14:paraId="034507B0" w14:textId="77777777" w:rsidR="002D67F0" w:rsidRDefault="002D67F0" w:rsidP="002D67F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This purchase is e</w:t>
            </w:r>
            <w:r w:rsidRPr="00184765">
              <w:rPr>
                <w:rFonts w:ascii="Times New Roman" w:hAnsi="Times New Roman"/>
                <w:sz w:val="26"/>
                <w:szCs w:val="26"/>
              </w:rPr>
              <w:t>xempt from competitive selection procedures in accordance with the Illinois Procurement Code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184765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4765">
              <w:rPr>
                <w:rFonts w:ascii="Times New Roman" w:hAnsi="Times New Roman"/>
                <w:sz w:val="26"/>
                <w:szCs w:val="26"/>
              </w:rPr>
              <w:t>ILCS 500/1-13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(b) (8</w:t>
            </w:r>
            <w:r w:rsidRPr="0018476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, as procurement</w:t>
            </w:r>
            <w:r w:rsidRPr="00726AEB">
              <w:rPr>
                <w:rFonts w:ascii="Times New Roman" w:hAnsi="Times New Roman"/>
                <w:sz w:val="26"/>
                <w:szCs w:val="26"/>
              </w:rPr>
              <w:t xml:space="preserve"> expenditures necessary to perform sponsored research and other sponsored activities under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6AEB">
              <w:rPr>
                <w:rFonts w:ascii="Times New Roman" w:hAnsi="Times New Roman"/>
                <w:sz w:val="26"/>
                <w:szCs w:val="26"/>
              </w:rPr>
              <w:t>grants and contracts funded by the sponsor or by sources other than State appropriations.</w:t>
            </w:r>
          </w:p>
          <w:p w14:paraId="0A449D5E" w14:textId="77777777" w:rsidR="002D67F0" w:rsidRDefault="002D67F0" w:rsidP="002D67F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555DBFF" w14:textId="08EB4126" w:rsidR="002D67F0" w:rsidRDefault="002D67F0" w:rsidP="002D67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" w:name="_Hlk150335523"/>
            <w:r w:rsidRPr="00CD1ADA">
              <w:rPr>
                <w:rFonts w:ascii="Times New Roman" w:hAnsi="Times New Roman"/>
                <w:sz w:val="26"/>
                <w:szCs w:val="26"/>
              </w:rPr>
              <w:lastRenderedPageBreak/>
              <w:t>In August 2019</w:t>
            </w:r>
            <w:r w:rsidR="00125938">
              <w:rPr>
                <w:rFonts w:ascii="Times New Roman" w:hAnsi="Times New Roman"/>
                <w:sz w:val="26"/>
                <w:szCs w:val="26"/>
              </w:rPr>
              <w:t>,</w:t>
            </w:r>
            <w:r w:rsidRPr="00CD1ADA">
              <w:rPr>
                <w:rFonts w:ascii="Times New Roman" w:hAnsi="Times New Roman"/>
                <w:sz w:val="26"/>
                <w:szCs w:val="26"/>
              </w:rPr>
              <w:t xml:space="preserve"> a National Science Foundation (NSF) grant #1836674 in the amount $17,201,473 was awarded </w:t>
            </w:r>
            <w:r w:rsidR="0084354C">
              <w:rPr>
                <w:rFonts w:ascii="Times New Roman" w:hAnsi="Times New Roman"/>
                <w:sz w:val="26"/>
                <w:szCs w:val="26"/>
              </w:rPr>
              <w:t xml:space="preserve">to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CD1ADA">
              <w:rPr>
                <w:rFonts w:ascii="Times New Roman" w:hAnsi="Times New Roman"/>
                <w:sz w:val="26"/>
                <w:szCs w:val="26"/>
              </w:rPr>
              <w:t xml:space="preserve">he UIC Department of Physics. This grant is valid from August 1, 2019, through July 31, 2025. </w:t>
            </w:r>
          </w:p>
          <w:p w14:paraId="49E57CA0" w14:textId="77777777" w:rsidR="002D67F0" w:rsidRPr="00CD1ADA" w:rsidRDefault="002D67F0" w:rsidP="002D67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ADA">
              <w:rPr>
                <w:rFonts w:ascii="Times New Roman" w:hAnsi="Times New Roman"/>
                <w:sz w:val="26"/>
                <w:szCs w:val="26"/>
              </w:rPr>
              <w:t>This procurement provides a detector of synchrotron X-rays upgrade that is required to fulfill the scientific needs described in the NSF grant #1836674. This detector will be integrated into custom designed and built scientific instruments at the ChemMatCARS Sector of the Advanced Photon Source at Argonne National Laboratory. There is a one-year warranty associated with this upgrade.</w:t>
            </w:r>
          </w:p>
          <w:bookmarkEnd w:id="2"/>
          <w:p w14:paraId="03EADD26" w14:textId="03A23EBD" w:rsidR="002D67F0" w:rsidRDefault="002D67F0" w:rsidP="002D67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E32">
              <w:rPr>
                <w:rFonts w:ascii="Times New Roman" w:hAnsi="Times New Roman"/>
                <w:sz w:val="26"/>
                <w:szCs w:val="26"/>
              </w:rPr>
              <w:t>Dectris EIGER2 X CdTe 4M (vacuum compatible version) meets our need for a photon-counting, small pixel (75 µm x 75 µm) high count rate (10^7 photons/s/pixel), large energy range (4 - 80 keV), fast frame rate (1 kHz), zero noise, and large image depth (32 bit) detector. The detector must be able to operate in a vacuum. No other detector on the market has these characteristics.</w:t>
            </w:r>
          </w:p>
          <w:p w14:paraId="6432B147" w14:textId="442F037B" w:rsidR="002D67F0" w:rsidRDefault="002D67F0" w:rsidP="002D67F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3E32">
              <w:rPr>
                <w:rFonts w:ascii="Times New Roman" w:hAnsi="Times New Roman"/>
                <w:sz w:val="26"/>
                <w:szCs w:val="26"/>
              </w:rPr>
              <w:t>This $17M grant provides new capabilities for UIC to investigate matter at the atomic scale.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4C6E8D">
              <w:rPr>
                <w:rFonts w:ascii="Times New Roman" w:hAnsi="Times New Roman"/>
                <w:sz w:val="26"/>
                <w:szCs w:val="26"/>
              </w:rPr>
              <w:t>A discount of $25,000 was negotiated for this detector if ordered by February 1, 2024.</w:t>
            </w:r>
          </w:p>
          <w:p w14:paraId="5306EC32" w14:textId="40D96CE4" w:rsidR="00361DE1" w:rsidRPr="00F53616" w:rsidRDefault="00F53616" w:rsidP="00F53616">
            <w:pPr>
              <w:rPr>
                <w:sz w:val="26"/>
                <w:szCs w:val="26"/>
              </w:rPr>
            </w:pPr>
            <w:r w:rsidRPr="000A16D9">
              <w:rPr>
                <w:rFonts w:ascii="Times New Roman" w:hAnsi="Times New Roman"/>
                <w:b/>
                <w:bCs/>
                <w:sz w:val="26"/>
                <w:szCs w:val="26"/>
              </w:rPr>
              <w:t>Business Enterprise Program (BEP)</w:t>
            </w:r>
            <w:r w:rsidRPr="00F53616">
              <w:rPr>
                <w:rFonts w:ascii="Times New Roman" w:hAnsi="Times New Roman"/>
                <w:sz w:val="26"/>
                <w:szCs w:val="26"/>
              </w:rPr>
              <w:t xml:space="preserve"> goals are not established as there are no other sources able to meet the need.</w:t>
            </w:r>
          </w:p>
        </w:tc>
      </w:tr>
      <w:tr w:rsidR="00361DE1" w:rsidRPr="00F53616" w14:paraId="6CB6C2B8" w14:textId="77777777" w:rsidTr="00234D19">
        <w:trPr>
          <w:trHeight w:val="120"/>
        </w:trPr>
        <w:tc>
          <w:tcPr>
            <w:tcW w:w="342" w:type="dxa"/>
          </w:tcPr>
          <w:p w14:paraId="15B90A6E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76D1DBC6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8" w:type="dxa"/>
          </w:tcPr>
          <w:p w14:paraId="6BE93583" w14:textId="77777777" w:rsidR="00361DE1" w:rsidRPr="00F53616" w:rsidRDefault="00361DE1" w:rsidP="00361DE1">
            <w:pPr>
              <w:pStyle w:val="NoSpacing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234D19" w:rsidRPr="00F53616" w14:paraId="1B508616" w14:textId="77777777" w:rsidTr="00234D19">
        <w:trPr>
          <w:trHeight w:val="120"/>
        </w:trPr>
        <w:tc>
          <w:tcPr>
            <w:tcW w:w="342" w:type="dxa"/>
            <w:tcBorders>
              <w:bottom w:val="double" w:sz="4" w:space="0" w:color="auto"/>
            </w:tcBorders>
          </w:tcPr>
          <w:p w14:paraId="0D58D7F9" w14:textId="54A79BC8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246210D9" w14:textId="5F107DF3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>Unit</w:t>
            </w:r>
          </w:p>
        </w:tc>
        <w:tc>
          <w:tcPr>
            <w:tcW w:w="8118" w:type="dxa"/>
            <w:tcBorders>
              <w:bottom w:val="double" w:sz="4" w:space="0" w:color="auto"/>
            </w:tcBorders>
          </w:tcPr>
          <w:p w14:paraId="612D20CF" w14:textId="62B00B65" w:rsidR="00234D19" w:rsidRPr="00F53616" w:rsidRDefault="00234D19" w:rsidP="00234D19">
            <w:pPr>
              <w:pStyle w:val="NoSpacing"/>
              <w:rPr>
                <w:rFonts w:ascii="Times New Roman" w:hAnsi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/>
                <w:spacing w:val="-3"/>
                <w:sz w:val="26"/>
                <w:szCs w:val="26"/>
              </w:rPr>
              <w:t>Department of Physics</w:t>
            </w:r>
          </w:p>
        </w:tc>
      </w:tr>
      <w:tr w:rsidR="00234D19" w:rsidRPr="00F53616" w14:paraId="2421055E" w14:textId="77777777" w:rsidTr="00234D19">
        <w:trPr>
          <w:trHeight w:val="120"/>
        </w:trPr>
        <w:tc>
          <w:tcPr>
            <w:tcW w:w="342" w:type="dxa"/>
            <w:tcBorders>
              <w:top w:val="double" w:sz="4" w:space="0" w:color="auto"/>
            </w:tcBorders>
          </w:tcPr>
          <w:p w14:paraId="157B006C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14:paraId="624C86E9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2ACBE45C" w14:textId="2CE07A21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 xml:space="preserve">Item      </w:t>
            </w:r>
          </w:p>
        </w:tc>
        <w:tc>
          <w:tcPr>
            <w:tcW w:w="8118" w:type="dxa"/>
            <w:tcBorders>
              <w:top w:val="double" w:sz="4" w:space="0" w:color="auto"/>
            </w:tcBorders>
          </w:tcPr>
          <w:p w14:paraId="3ABA0387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6B046EF1" w14:textId="549BF92B" w:rsidR="00234D19" w:rsidRPr="00F53616" w:rsidRDefault="002D67F0" w:rsidP="00234D19">
            <w:pPr>
              <w:pStyle w:val="NoSpacing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575D54">
              <w:rPr>
                <w:rFonts w:ascii="Times New Roman" w:hAnsi="Times New Roman"/>
                <w:sz w:val="26"/>
                <w:szCs w:val="26"/>
              </w:rPr>
              <w:t>Surface Diffractometer with Double Crystal Deflector (DCD)</w:t>
            </w:r>
          </w:p>
        </w:tc>
      </w:tr>
      <w:tr w:rsidR="00234D19" w:rsidRPr="00F53616" w14:paraId="01DEBA5D" w14:textId="77777777" w:rsidTr="00361DE1">
        <w:trPr>
          <w:trHeight w:val="120"/>
        </w:trPr>
        <w:tc>
          <w:tcPr>
            <w:tcW w:w="342" w:type="dxa"/>
          </w:tcPr>
          <w:p w14:paraId="6992DFB1" w14:textId="0C9C4CB5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</w:tcPr>
          <w:p w14:paraId="63377991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429C83E2" w14:textId="623FAA42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>Cost</w:t>
            </w:r>
          </w:p>
        </w:tc>
        <w:tc>
          <w:tcPr>
            <w:tcW w:w="8118" w:type="dxa"/>
          </w:tcPr>
          <w:p w14:paraId="3F73861C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4DECBBBC" w14:textId="7A3EC9A1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 xml:space="preserve">$ </w:t>
            </w:r>
            <w:r>
              <w:rPr>
                <w:rFonts w:ascii="Times New Roman" w:hAnsi="Times New Roman"/>
                <w:sz w:val="26"/>
                <w:szCs w:val="26"/>
              </w:rPr>
              <w:t>1,529,930</w:t>
            </w:r>
            <w:r w:rsidRPr="00F53616">
              <w:rPr>
                <w:rFonts w:ascii="Times New Roman" w:hAnsi="Times New Roman"/>
                <w:sz w:val="26"/>
                <w:szCs w:val="26"/>
              </w:rPr>
              <w:t xml:space="preserve"> (estimated) </w:t>
            </w:r>
            <w:r w:rsidRPr="002D67F0">
              <w:rPr>
                <w:rFonts w:ascii="Times New Roman" w:hAnsi="Times New Roman"/>
                <w:sz w:val="26"/>
                <w:szCs w:val="26"/>
              </w:rPr>
              <w:t>One-time Purchase</w:t>
            </w:r>
          </w:p>
          <w:p w14:paraId="097C553D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  <w:tr w:rsidR="00234D19" w:rsidRPr="00F53616" w14:paraId="4840D92E" w14:textId="77777777" w:rsidTr="00361DE1">
        <w:trPr>
          <w:trHeight w:val="120"/>
        </w:trPr>
        <w:tc>
          <w:tcPr>
            <w:tcW w:w="342" w:type="dxa"/>
          </w:tcPr>
          <w:p w14:paraId="0D38728F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498F9743" w14:textId="0DEAF3CA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>Vendor</w:t>
            </w:r>
          </w:p>
        </w:tc>
        <w:tc>
          <w:tcPr>
            <w:tcW w:w="8118" w:type="dxa"/>
          </w:tcPr>
          <w:p w14:paraId="099753B8" w14:textId="4DD374D7" w:rsidR="00234D19" w:rsidRPr="00F53616" w:rsidRDefault="00234D19" w:rsidP="00234D19">
            <w:pPr>
              <w:pStyle w:val="Heading2"/>
              <w:spacing w:before="0" w:after="0"/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Huber Diffraction USA                                                       Dana Point, CA</w:t>
            </w:r>
            <w:r w:rsidRPr="00F53616">
              <w:rPr>
                <w:rFonts w:ascii="Times New Roman" w:eastAsia="Calibri" w:hAnsi="Times New Roman"/>
                <w:b w:val="0"/>
                <w:bCs w:val="0"/>
                <w:i w:val="0"/>
                <w:iCs w:val="0"/>
                <w:sz w:val="26"/>
                <w:szCs w:val="26"/>
              </w:rPr>
              <w:t xml:space="preserve">   </w:t>
            </w:r>
          </w:p>
          <w:p w14:paraId="24AAD1D7" w14:textId="0D736A53" w:rsidR="00234D19" w:rsidRPr="00F53616" w:rsidRDefault="00234D19" w:rsidP="00234D19">
            <w:pPr>
              <w:pStyle w:val="NoSpacing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F536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34D19" w:rsidRPr="00F53616" w14:paraId="5428A3AE" w14:textId="77777777" w:rsidTr="00361DE1">
        <w:trPr>
          <w:trHeight w:val="120"/>
        </w:trPr>
        <w:tc>
          <w:tcPr>
            <w:tcW w:w="342" w:type="dxa"/>
          </w:tcPr>
          <w:p w14:paraId="3E92AE2A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1C306418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8" w:type="dxa"/>
          </w:tcPr>
          <w:p w14:paraId="1B3C826E" w14:textId="77777777" w:rsidR="002D67F0" w:rsidRDefault="002D67F0" w:rsidP="002D67F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This purchase is e</w:t>
            </w:r>
            <w:r w:rsidRPr="00184765">
              <w:rPr>
                <w:rFonts w:ascii="Times New Roman" w:hAnsi="Times New Roman"/>
                <w:sz w:val="26"/>
                <w:szCs w:val="26"/>
              </w:rPr>
              <w:t>xempt from competitive selection procedures in accordance with the Illinois Procurement Code 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84765">
              <w:rPr>
                <w:rFonts w:ascii="Times New Roman" w:hAnsi="Times New Roman"/>
                <w:sz w:val="26"/>
                <w:szCs w:val="26"/>
              </w:rPr>
              <w:t>ILCS 500/1-13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(b) (8</w:t>
            </w:r>
            <w:r w:rsidRPr="00184765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as procurement</w:t>
            </w:r>
            <w:r w:rsidRPr="00726AEB">
              <w:rPr>
                <w:rFonts w:ascii="Times New Roman" w:hAnsi="Times New Roman"/>
                <w:sz w:val="26"/>
                <w:szCs w:val="26"/>
              </w:rPr>
              <w:t xml:space="preserve"> expenditures necessary to perform sponsored research and other sponsored activities under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6AEB">
              <w:rPr>
                <w:rFonts w:ascii="Times New Roman" w:hAnsi="Times New Roman"/>
                <w:sz w:val="26"/>
                <w:szCs w:val="26"/>
              </w:rPr>
              <w:t>grants and contracts funded by the sponsor or by sources other than State appropriations.</w:t>
            </w:r>
          </w:p>
          <w:p w14:paraId="7B648994" w14:textId="77777777" w:rsidR="002D67F0" w:rsidRDefault="002D67F0" w:rsidP="002D67F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FEE7E1" w14:textId="77777777" w:rsidR="002D67F0" w:rsidRDefault="002D67F0" w:rsidP="002D67F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6"/>
                <w:szCs w:val="26"/>
              </w:rPr>
            </w:pPr>
            <w:r w:rsidRPr="002525A1">
              <w:rPr>
                <w:rFonts w:ascii="Times New Roman" w:hAnsi="Times New Roman"/>
                <w:sz w:val="26"/>
                <w:szCs w:val="26"/>
              </w:rPr>
              <w:t>In August 2019 a National Science Foundation (NSF) grant #1836674 in the amount $17,201,473 was awarded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to t</w:t>
            </w:r>
            <w:r w:rsidRPr="002525A1">
              <w:rPr>
                <w:rFonts w:ascii="Times New Roman" w:hAnsi="Times New Roman"/>
                <w:sz w:val="26"/>
                <w:szCs w:val="26"/>
              </w:rPr>
              <w:t>he UIC Department of Physics. This grant is valid from August 1, 2019, through July 31, 2025.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01278FC" w14:textId="77777777" w:rsidR="002D67F0" w:rsidRPr="002525A1" w:rsidRDefault="002D67F0" w:rsidP="002D67F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6"/>
                <w:szCs w:val="26"/>
              </w:rPr>
            </w:pPr>
            <w:r w:rsidRPr="002525A1">
              <w:rPr>
                <w:rFonts w:ascii="Times New Roman" w:hAnsi="Times New Roman"/>
                <w:sz w:val="26"/>
                <w:szCs w:val="26"/>
              </w:rPr>
              <w:lastRenderedPageBreak/>
              <w:t>This Surface Diffractometer with Double Crystal Deflector (DCD) is required to fulfill the research needs funded by NSF grant #1836674 (UIC grant code E0323)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2525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The DCD comes with a one-year warranty.</w:t>
            </w:r>
          </w:p>
          <w:p w14:paraId="5FB811A5" w14:textId="77777777" w:rsidR="002D67F0" w:rsidRPr="002525A1" w:rsidRDefault="002D67F0" w:rsidP="002D67F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6"/>
                <w:szCs w:val="26"/>
              </w:rPr>
            </w:pPr>
            <w:r w:rsidRPr="002525A1">
              <w:rPr>
                <w:rFonts w:ascii="Times New Roman" w:hAnsi="Times New Roman"/>
                <w:sz w:val="26"/>
                <w:szCs w:val="26"/>
              </w:rPr>
              <w:t>This is a custom designed instrument for the study of liquid interfaces with synchrotron X-rays. This instrument will address the scientific needs of the users of NSF ChemMatCARS, a national facility at the Advanced Photon Source, Argonne National Laboratory. These users require a unique hybrid instrument that is capable of grazing incidence, reflection, and transmission surface scattering studies of liquid interfaces.</w:t>
            </w:r>
          </w:p>
          <w:p w14:paraId="3389C654" w14:textId="77777777" w:rsidR="002D67F0" w:rsidRDefault="002D67F0" w:rsidP="002D67F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6"/>
                <w:szCs w:val="26"/>
              </w:rPr>
            </w:pPr>
            <w:r w:rsidRPr="008B21FB">
              <w:rPr>
                <w:rFonts w:ascii="Times New Roman" w:hAnsi="Times New Roman"/>
                <w:sz w:val="26"/>
                <w:szCs w:val="26"/>
              </w:rPr>
              <w:t>Huber is the only company worldwide that has experience building a similar instrument currently in use at the European Synchrotron Radiation Facility (ESRF).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53B0">
              <w:rPr>
                <w:rFonts w:ascii="Times New Roman" w:hAnsi="Times New Roman"/>
                <w:sz w:val="26"/>
                <w:szCs w:val="26"/>
              </w:rPr>
              <w:t>The price of that instrument (roughly 1 million Euros</w:t>
            </w:r>
            <w:r>
              <w:rPr>
                <w:rFonts w:ascii="Times New Roman" w:hAnsi="Times New Roman"/>
                <w:sz w:val="26"/>
                <w:szCs w:val="26"/>
              </w:rPr>
              <w:t>/</w:t>
            </w:r>
            <w:r w:rsidRPr="002525A1">
              <w:rPr>
                <w:rFonts w:ascii="Times New Roman" w:hAnsi="Times New Roman"/>
                <w:sz w:val="26"/>
                <w:szCs w:val="26"/>
              </w:rPr>
              <w:t>$1,070,300 American</w:t>
            </w:r>
            <w:r w:rsidRPr="00F953B0">
              <w:rPr>
                <w:rFonts w:ascii="Times New Roman" w:hAnsi="Times New Roman"/>
                <w:sz w:val="26"/>
                <w:szCs w:val="26"/>
              </w:rPr>
              <w:t>), when adjusted for inflation and the modifications that we are requesting, is comparable to the current price.</w:t>
            </w:r>
          </w:p>
          <w:p w14:paraId="077CA73E" w14:textId="06AAE5E3" w:rsidR="00234D19" w:rsidRPr="00F53616" w:rsidRDefault="00234D19" w:rsidP="00234D19">
            <w:pPr>
              <w:pStyle w:val="NoSpacing"/>
              <w:rPr>
                <w:rFonts w:ascii="Times New Roman" w:hAnsi="Times New Roman"/>
                <w:spacing w:val="-3"/>
                <w:sz w:val="26"/>
                <w:szCs w:val="26"/>
              </w:rPr>
            </w:pPr>
            <w:r w:rsidRPr="000A16D9">
              <w:rPr>
                <w:rFonts w:ascii="Times New Roman" w:hAnsi="Times New Roman"/>
                <w:b/>
                <w:bCs/>
                <w:sz w:val="26"/>
                <w:szCs w:val="26"/>
              </w:rPr>
              <w:t>Business Enterprise Program (BEP)</w:t>
            </w:r>
            <w:r w:rsidRPr="00F53616">
              <w:rPr>
                <w:rFonts w:ascii="Times New Roman" w:hAnsi="Times New Roman"/>
                <w:sz w:val="26"/>
                <w:szCs w:val="26"/>
              </w:rPr>
              <w:t xml:space="preserve"> goals are not established as there are no other sources able to meet the need.</w:t>
            </w:r>
          </w:p>
        </w:tc>
      </w:tr>
      <w:tr w:rsidR="00234D19" w:rsidRPr="00F53616" w14:paraId="7F606524" w14:textId="77777777" w:rsidTr="00234D19">
        <w:trPr>
          <w:trHeight w:val="120"/>
        </w:trPr>
        <w:tc>
          <w:tcPr>
            <w:tcW w:w="342" w:type="dxa"/>
          </w:tcPr>
          <w:p w14:paraId="7AE98C92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</w:tcPr>
          <w:p w14:paraId="6CC2BB84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18" w:type="dxa"/>
          </w:tcPr>
          <w:p w14:paraId="05A0A82C" w14:textId="77777777" w:rsidR="00234D19" w:rsidRPr="00F53616" w:rsidRDefault="00234D19" w:rsidP="00234D19">
            <w:pPr>
              <w:pStyle w:val="NoSpacing"/>
              <w:rPr>
                <w:rFonts w:ascii="Times New Roman" w:hAnsi="Times New Roman"/>
                <w:spacing w:val="-3"/>
                <w:sz w:val="26"/>
                <w:szCs w:val="26"/>
              </w:rPr>
            </w:pPr>
          </w:p>
        </w:tc>
      </w:tr>
    </w:tbl>
    <w:p w14:paraId="33C686F8" w14:textId="6F1D6868" w:rsidR="0076023D" w:rsidRPr="00353536" w:rsidRDefault="0076023D" w:rsidP="002C343C">
      <w:pPr>
        <w:pStyle w:val="NoSpacing"/>
        <w:rPr>
          <w:rFonts w:ascii="Times New Roman" w:eastAsia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693"/>
        <w:gridCol w:w="3029"/>
      </w:tblGrid>
      <w:tr w:rsidR="009412F7" w:rsidRPr="00353536" w14:paraId="0F237B4F" w14:textId="77777777" w:rsidTr="00751AF4">
        <w:trPr>
          <w:cantSplit/>
          <w:trHeight w:val="314"/>
        </w:trPr>
        <w:tc>
          <w:tcPr>
            <w:tcW w:w="8722" w:type="dxa"/>
            <w:gridSpan w:val="2"/>
          </w:tcPr>
          <w:p w14:paraId="70768D9C" w14:textId="77777777" w:rsidR="009412F7" w:rsidRPr="00353536" w:rsidRDefault="009412F7" w:rsidP="009412F7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53536">
              <w:rPr>
                <w:rFonts w:ascii="Times New Roman" w:eastAsia="Times New Roman" w:hAnsi="Times New Roman"/>
                <w:b/>
                <w:sz w:val="26"/>
                <w:szCs w:val="26"/>
              </w:rPr>
              <w:t>SUMMARY OF PURCHASES</w:t>
            </w:r>
          </w:p>
        </w:tc>
      </w:tr>
      <w:tr w:rsidR="000E15C9" w:rsidRPr="00353536" w14:paraId="3EBF655C" w14:textId="77777777" w:rsidTr="00751AF4">
        <w:trPr>
          <w:trHeight w:val="394"/>
        </w:trPr>
        <w:tc>
          <w:tcPr>
            <w:tcW w:w="5693" w:type="dxa"/>
          </w:tcPr>
          <w:p w14:paraId="78561DD1" w14:textId="2C6394FC" w:rsidR="000E15C9" w:rsidRPr="00353536" w:rsidRDefault="000E15C9" w:rsidP="00941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53536">
              <w:rPr>
                <w:rFonts w:ascii="Times New Roman" w:eastAsia="Times New Roman" w:hAnsi="Times New Roman"/>
                <w:sz w:val="26"/>
                <w:szCs w:val="26"/>
              </w:rPr>
              <w:t xml:space="preserve">University of Illinois </w:t>
            </w:r>
            <w:r w:rsidR="000D5BC3">
              <w:rPr>
                <w:rFonts w:ascii="Times New Roman" w:eastAsia="Times New Roman" w:hAnsi="Times New Roman"/>
                <w:sz w:val="26"/>
                <w:szCs w:val="26"/>
              </w:rPr>
              <w:t>Chicago</w:t>
            </w:r>
          </w:p>
        </w:tc>
        <w:tc>
          <w:tcPr>
            <w:tcW w:w="3029" w:type="dxa"/>
            <w:shd w:val="clear" w:color="auto" w:fill="auto"/>
          </w:tcPr>
          <w:p w14:paraId="1AC2D057" w14:textId="1228C2D6" w:rsidR="000E15C9" w:rsidRPr="00821EB7" w:rsidRDefault="000E15C9" w:rsidP="00AD2A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D6334">
              <w:rPr>
                <w:rFonts w:ascii="Times New Roman" w:eastAsia="Times New Roman" w:hAnsi="Times New Roman"/>
                <w:sz w:val="26"/>
                <w:szCs w:val="26"/>
              </w:rPr>
              <w:t>$</w:t>
            </w:r>
            <w:r w:rsidR="009150D8">
              <w:rPr>
                <w:rFonts w:ascii="Times New Roman" w:eastAsia="Times New Roman" w:hAnsi="Times New Roman"/>
                <w:sz w:val="26"/>
                <w:szCs w:val="26"/>
              </w:rPr>
              <w:t>2,694,730</w:t>
            </w:r>
            <w:r w:rsidRPr="00821EB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751AF4">
              <w:rPr>
                <w:rFonts w:ascii="Times New Roman" w:eastAsia="Times New Roman" w:hAnsi="Times New Roman"/>
                <w:sz w:val="26"/>
                <w:szCs w:val="26"/>
              </w:rPr>
              <w:t>(estimated)</w:t>
            </w:r>
          </w:p>
        </w:tc>
      </w:tr>
      <w:tr w:rsidR="002C343C" w:rsidRPr="00353536" w14:paraId="5EDFE55C" w14:textId="77777777" w:rsidTr="00751AF4">
        <w:trPr>
          <w:trHeight w:val="394"/>
        </w:trPr>
        <w:tc>
          <w:tcPr>
            <w:tcW w:w="5693" w:type="dxa"/>
          </w:tcPr>
          <w:p w14:paraId="2B5B80EA" w14:textId="77777777" w:rsidR="002C343C" w:rsidRPr="00353536" w:rsidRDefault="002C343C" w:rsidP="009412F7">
            <w:pPr>
              <w:tabs>
                <w:tab w:val="left" w:pos="-1440"/>
                <w:tab w:val="left" w:pos="-72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535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Recommended from Institutional Funds</w:t>
            </w:r>
          </w:p>
          <w:p w14:paraId="3006AE46" w14:textId="706D64DA" w:rsidR="002C343C" w:rsidRPr="00353536" w:rsidRDefault="002C343C" w:rsidP="009412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5353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Grand Total</w:t>
            </w:r>
          </w:p>
        </w:tc>
        <w:tc>
          <w:tcPr>
            <w:tcW w:w="3029" w:type="dxa"/>
            <w:shd w:val="clear" w:color="auto" w:fill="auto"/>
          </w:tcPr>
          <w:p w14:paraId="0B588B2D" w14:textId="4B488E7C" w:rsidR="002C343C" w:rsidRPr="00353536" w:rsidRDefault="002C343C" w:rsidP="002A6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821EB7">
              <w:rPr>
                <w:rFonts w:ascii="Times New Roman" w:eastAsia="Times New Roman" w:hAnsi="Times New Roman"/>
                <w:sz w:val="26"/>
                <w:szCs w:val="26"/>
              </w:rPr>
              <w:t>$</w:t>
            </w:r>
            <w:r w:rsidR="009150D8">
              <w:rPr>
                <w:rFonts w:ascii="Times New Roman" w:eastAsia="Times New Roman" w:hAnsi="Times New Roman"/>
                <w:sz w:val="26"/>
                <w:szCs w:val="26"/>
              </w:rPr>
              <w:t>2,694,730</w:t>
            </w:r>
            <w:r w:rsidR="00045674" w:rsidRPr="00821EB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751AF4">
              <w:rPr>
                <w:rFonts w:ascii="Times New Roman" w:eastAsia="Times New Roman" w:hAnsi="Times New Roman"/>
                <w:sz w:val="26"/>
                <w:szCs w:val="26"/>
              </w:rPr>
              <w:t>(estimated)</w:t>
            </w:r>
          </w:p>
        </w:tc>
      </w:tr>
    </w:tbl>
    <w:p w14:paraId="15036B6A" w14:textId="3F3C87CA" w:rsidR="00B55900" w:rsidRPr="00353536" w:rsidRDefault="00B55900" w:rsidP="00B37520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103238C3" w14:textId="71B84549" w:rsidR="00B55900" w:rsidRPr="00353536" w:rsidRDefault="00B55900" w:rsidP="00B37520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4547076B" w14:textId="77777777" w:rsidR="00B55900" w:rsidRPr="00353536" w:rsidRDefault="00B55900" w:rsidP="00B37520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6"/>
          <w:szCs w:val="26"/>
        </w:rPr>
      </w:pPr>
    </w:p>
    <w:p w14:paraId="3A472772" w14:textId="77777777" w:rsidR="00AC1317" w:rsidRPr="00353536" w:rsidRDefault="00AC1317" w:rsidP="00B37520">
      <w:pPr>
        <w:pStyle w:val="NoSpacing"/>
        <w:rPr>
          <w:rFonts w:ascii="Times New Roman" w:hAnsi="Times New Roman"/>
          <w:sz w:val="26"/>
          <w:szCs w:val="26"/>
        </w:rPr>
      </w:pPr>
    </w:p>
    <w:sectPr w:rsidR="00AC1317" w:rsidRPr="00353536" w:rsidSect="00ED0C19">
      <w:headerReference w:type="default" r:id="rId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65DE" w14:textId="77777777" w:rsidR="00735D37" w:rsidRDefault="00735D37" w:rsidP="00A817DF">
      <w:pPr>
        <w:spacing w:after="0" w:line="240" w:lineRule="auto"/>
      </w:pPr>
      <w:r>
        <w:separator/>
      </w:r>
    </w:p>
  </w:endnote>
  <w:endnote w:type="continuationSeparator" w:id="0">
    <w:p w14:paraId="481A799E" w14:textId="77777777" w:rsidR="00735D37" w:rsidRDefault="00735D37" w:rsidP="00A8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0FFE" w14:textId="77777777" w:rsidR="00735D37" w:rsidRDefault="00735D37" w:rsidP="00A817DF">
      <w:pPr>
        <w:spacing w:after="0" w:line="240" w:lineRule="auto"/>
      </w:pPr>
      <w:r>
        <w:separator/>
      </w:r>
    </w:p>
  </w:footnote>
  <w:footnote w:type="continuationSeparator" w:id="0">
    <w:p w14:paraId="12BDFFBD" w14:textId="77777777" w:rsidR="00735D37" w:rsidRDefault="00735D37" w:rsidP="00A8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8138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408C3F54" w14:textId="00AAAFC1" w:rsidR="00601A1F" w:rsidRPr="00601A1F" w:rsidRDefault="00601A1F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601A1F">
          <w:rPr>
            <w:rFonts w:ascii="Times New Roman" w:hAnsi="Times New Roman"/>
            <w:sz w:val="26"/>
            <w:szCs w:val="26"/>
          </w:rPr>
          <w:fldChar w:fldCharType="begin"/>
        </w:r>
        <w:r w:rsidRPr="00601A1F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601A1F">
          <w:rPr>
            <w:rFonts w:ascii="Times New Roman" w:hAnsi="Times New Roman"/>
            <w:sz w:val="26"/>
            <w:szCs w:val="26"/>
          </w:rPr>
          <w:fldChar w:fldCharType="separate"/>
        </w:r>
        <w:r w:rsidRPr="00601A1F">
          <w:rPr>
            <w:rFonts w:ascii="Times New Roman" w:hAnsi="Times New Roman"/>
            <w:noProof/>
            <w:sz w:val="26"/>
            <w:szCs w:val="26"/>
          </w:rPr>
          <w:t>2</w:t>
        </w:r>
        <w:r w:rsidRPr="00601A1F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2D53F6F3" w14:textId="66B3E38B" w:rsidR="00A817DF" w:rsidRDefault="00A81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B53"/>
    <w:multiLevelType w:val="hybridMultilevel"/>
    <w:tmpl w:val="1B4EC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E3068"/>
    <w:multiLevelType w:val="hybridMultilevel"/>
    <w:tmpl w:val="75549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916BE"/>
    <w:multiLevelType w:val="hybridMultilevel"/>
    <w:tmpl w:val="0C9C3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053FA"/>
    <w:multiLevelType w:val="hybridMultilevel"/>
    <w:tmpl w:val="D1D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6FAF"/>
    <w:multiLevelType w:val="hybridMultilevel"/>
    <w:tmpl w:val="7D0E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6EBD"/>
    <w:multiLevelType w:val="hybridMultilevel"/>
    <w:tmpl w:val="36D01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E3D04"/>
    <w:multiLevelType w:val="hybridMultilevel"/>
    <w:tmpl w:val="273ECA9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B103DD7"/>
    <w:multiLevelType w:val="hybridMultilevel"/>
    <w:tmpl w:val="0C9C3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37498"/>
    <w:multiLevelType w:val="hybridMultilevel"/>
    <w:tmpl w:val="36B082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F41188"/>
    <w:multiLevelType w:val="hybridMultilevel"/>
    <w:tmpl w:val="90CE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E62C8"/>
    <w:multiLevelType w:val="hybridMultilevel"/>
    <w:tmpl w:val="A9BAE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F42F5"/>
    <w:multiLevelType w:val="hybridMultilevel"/>
    <w:tmpl w:val="CFC0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92FD9"/>
    <w:multiLevelType w:val="hybridMultilevel"/>
    <w:tmpl w:val="4378D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C75BC"/>
    <w:multiLevelType w:val="hybridMultilevel"/>
    <w:tmpl w:val="08668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96DB1"/>
    <w:multiLevelType w:val="hybridMultilevel"/>
    <w:tmpl w:val="EBFE0C48"/>
    <w:lvl w:ilvl="0" w:tplc="02E0B0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B50BE"/>
    <w:multiLevelType w:val="hybridMultilevel"/>
    <w:tmpl w:val="B728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F4A48"/>
    <w:multiLevelType w:val="hybridMultilevel"/>
    <w:tmpl w:val="F82E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27823">
    <w:abstractNumId w:val="12"/>
  </w:num>
  <w:num w:numId="2" w16cid:durableId="70201751">
    <w:abstractNumId w:val="14"/>
  </w:num>
  <w:num w:numId="3" w16cid:durableId="1048265266">
    <w:abstractNumId w:val="13"/>
  </w:num>
  <w:num w:numId="4" w16cid:durableId="1585650123">
    <w:abstractNumId w:val="3"/>
  </w:num>
  <w:num w:numId="5" w16cid:durableId="838888282">
    <w:abstractNumId w:val="0"/>
  </w:num>
  <w:num w:numId="6" w16cid:durableId="1045367517">
    <w:abstractNumId w:val="9"/>
  </w:num>
  <w:num w:numId="7" w16cid:durableId="897666194">
    <w:abstractNumId w:val="11"/>
  </w:num>
  <w:num w:numId="8" w16cid:durableId="2017615362">
    <w:abstractNumId w:val="15"/>
  </w:num>
  <w:num w:numId="9" w16cid:durableId="826671625">
    <w:abstractNumId w:val="10"/>
  </w:num>
  <w:num w:numId="10" w16cid:durableId="1128474828">
    <w:abstractNumId w:val="5"/>
  </w:num>
  <w:num w:numId="11" w16cid:durableId="402604075">
    <w:abstractNumId w:val="1"/>
  </w:num>
  <w:num w:numId="12" w16cid:durableId="2074963495">
    <w:abstractNumId w:val="6"/>
  </w:num>
  <w:num w:numId="13" w16cid:durableId="987980008">
    <w:abstractNumId w:val="8"/>
  </w:num>
  <w:num w:numId="14" w16cid:durableId="1276791993">
    <w:abstractNumId w:val="16"/>
  </w:num>
  <w:num w:numId="15" w16cid:durableId="2070229302">
    <w:abstractNumId w:val="4"/>
  </w:num>
  <w:num w:numId="16" w16cid:durableId="1160578004">
    <w:abstractNumId w:val="2"/>
  </w:num>
  <w:num w:numId="17" w16cid:durableId="693459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45"/>
    <w:rsid w:val="000031A9"/>
    <w:rsid w:val="00004D4E"/>
    <w:rsid w:val="00010EA7"/>
    <w:rsid w:val="00012052"/>
    <w:rsid w:val="000143EE"/>
    <w:rsid w:val="00015DC9"/>
    <w:rsid w:val="00040E89"/>
    <w:rsid w:val="00044FA0"/>
    <w:rsid w:val="00045674"/>
    <w:rsid w:val="00050736"/>
    <w:rsid w:val="000623F4"/>
    <w:rsid w:val="000671B9"/>
    <w:rsid w:val="000707D0"/>
    <w:rsid w:val="000715A9"/>
    <w:rsid w:val="00081788"/>
    <w:rsid w:val="00081B16"/>
    <w:rsid w:val="000833FC"/>
    <w:rsid w:val="00085CAE"/>
    <w:rsid w:val="00086CBF"/>
    <w:rsid w:val="00090A46"/>
    <w:rsid w:val="00091912"/>
    <w:rsid w:val="00094741"/>
    <w:rsid w:val="000A0032"/>
    <w:rsid w:val="000A16D9"/>
    <w:rsid w:val="000B3155"/>
    <w:rsid w:val="000B3742"/>
    <w:rsid w:val="000B5B85"/>
    <w:rsid w:val="000B69D6"/>
    <w:rsid w:val="000C2912"/>
    <w:rsid w:val="000C6006"/>
    <w:rsid w:val="000D35D5"/>
    <w:rsid w:val="000D5BC3"/>
    <w:rsid w:val="000D6281"/>
    <w:rsid w:val="000E15C9"/>
    <w:rsid w:val="000E51D1"/>
    <w:rsid w:val="000F53D3"/>
    <w:rsid w:val="000F72ED"/>
    <w:rsid w:val="00112E2B"/>
    <w:rsid w:val="00114F6C"/>
    <w:rsid w:val="00124B96"/>
    <w:rsid w:val="00125938"/>
    <w:rsid w:val="00141D9C"/>
    <w:rsid w:val="00152827"/>
    <w:rsid w:val="001610D8"/>
    <w:rsid w:val="00162A4C"/>
    <w:rsid w:val="00165B0B"/>
    <w:rsid w:val="00171EE0"/>
    <w:rsid w:val="00172D76"/>
    <w:rsid w:val="001730D7"/>
    <w:rsid w:val="00182841"/>
    <w:rsid w:val="00184765"/>
    <w:rsid w:val="00196069"/>
    <w:rsid w:val="001A0B41"/>
    <w:rsid w:val="001A31BF"/>
    <w:rsid w:val="001A33EE"/>
    <w:rsid w:val="001A4080"/>
    <w:rsid w:val="001A5F67"/>
    <w:rsid w:val="001B2AC1"/>
    <w:rsid w:val="001B4AC0"/>
    <w:rsid w:val="001B4D8B"/>
    <w:rsid w:val="001B762B"/>
    <w:rsid w:val="001D3AA7"/>
    <w:rsid w:val="001D78B4"/>
    <w:rsid w:val="001E6078"/>
    <w:rsid w:val="001F257D"/>
    <w:rsid w:val="001F3416"/>
    <w:rsid w:val="001F3C70"/>
    <w:rsid w:val="001F5883"/>
    <w:rsid w:val="001F7A96"/>
    <w:rsid w:val="001F7E65"/>
    <w:rsid w:val="00212C6B"/>
    <w:rsid w:val="0021646C"/>
    <w:rsid w:val="002179D7"/>
    <w:rsid w:val="00234D19"/>
    <w:rsid w:val="00236489"/>
    <w:rsid w:val="00241688"/>
    <w:rsid w:val="0024234E"/>
    <w:rsid w:val="002450A1"/>
    <w:rsid w:val="00250572"/>
    <w:rsid w:val="00252F86"/>
    <w:rsid w:val="00255F2C"/>
    <w:rsid w:val="002602E8"/>
    <w:rsid w:val="00264C63"/>
    <w:rsid w:val="00271695"/>
    <w:rsid w:val="00271C11"/>
    <w:rsid w:val="00271CE3"/>
    <w:rsid w:val="00274EEF"/>
    <w:rsid w:val="00283AEB"/>
    <w:rsid w:val="002870E8"/>
    <w:rsid w:val="002931FB"/>
    <w:rsid w:val="0029340E"/>
    <w:rsid w:val="00293A98"/>
    <w:rsid w:val="002A5B7D"/>
    <w:rsid w:val="002A641F"/>
    <w:rsid w:val="002B0DE6"/>
    <w:rsid w:val="002B66B6"/>
    <w:rsid w:val="002B7C93"/>
    <w:rsid w:val="002C343C"/>
    <w:rsid w:val="002C47B0"/>
    <w:rsid w:val="002C4BB1"/>
    <w:rsid w:val="002C5F64"/>
    <w:rsid w:val="002D0113"/>
    <w:rsid w:val="002D28AA"/>
    <w:rsid w:val="002D35E7"/>
    <w:rsid w:val="002D67F0"/>
    <w:rsid w:val="002E0B93"/>
    <w:rsid w:val="002E1375"/>
    <w:rsid w:val="002E31C2"/>
    <w:rsid w:val="002E44F4"/>
    <w:rsid w:val="002F04D8"/>
    <w:rsid w:val="002F4DAF"/>
    <w:rsid w:val="003045AE"/>
    <w:rsid w:val="00306B06"/>
    <w:rsid w:val="00307B8F"/>
    <w:rsid w:val="00307D0C"/>
    <w:rsid w:val="00315A3D"/>
    <w:rsid w:val="003175D4"/>
    <w:rsid w:val="00317DD0"/>
    <w:rsid w:val="00333ECF"/>
    <w:rsid w:val="003376C9"/>
    <w:rsid w:val="00343729"/>
    <w:rsid w:val="00346ABB"/>
    <w:rsid w:val="00353536"/>
    <w:rsid w:val="00357D48"/>
    <w:rsid w:val="00361DE1"/>
    <w:rsid w:val="00372028"/>
    <w:rsid w:val="00380E12"/>
    <w:rsid w:val="003900FD"/>
    <w:rsid w:val="003907E9"/>
    <w:rsid w:val="00390FC0"/>
    <w:rsid w:val="0039204D"/>
    <w:rsid w:val="00395D90"/>
    <w:rsid w:val="003A175C"/>
    <w:rsid w:val="003A2088"/>
    <w:rsid w:val="003A5B58"/>
    <w:rsid w:val="003B7D68"/>
    <w:rsid w:val="003C4265"/>
    <w:rsid w:val="003D06D9"/>
    <w:rsid w:val="003D1DBE"/>
    <w:rsid w:val="003D312D"/>
    <w:rsid w:val="003D5357"/>
    <w:rsid w:val="003D7C25"/>
    <w:rsid w:val="003E14BF"/>
    <w:rsid w:val="003E42E4"/>
    <w:rsid w:val="003E62CF"/>
    <w:rsid w:val="003F3C8D"/>
    <w:rsid w:val="003F4DDE"/>
    <w:rsid w:val="003F6C7A"/>
    <w:rsid w:val="003F7863"/>
    <w:rsid w:val="00416087"/>
    <w:rsid w:val="00425BB7"/>
    <w:rsid w:val="00426458"/>
    <w:rsid w:val="00427DA3"/>
    <w:rsid w:val="00431751"/>
    <w:rsid w:val="00435F85"/>
    <w:rsid w:val="00437797"/>
    <w:rsid w:val="00450F9C"/>
    <w:rsid w:val="00457CDE"/>
    <w:rsid w:val="00470228"/>
    <w:rsid w:val="0047290A"/>
    <w:rsid w:val="00477568"/>
    <w:rsid w:val="00480227"/>
    <w:rsid w:val="00481670"/>
    <w:rsid w:val="0048342A"/>
    <w:rsid w:val="00487510"/>
    <w:rsid w:val="004A1335"/>
    <w:rsid w:val="004A6CB4"/>
    <w:rsid w:val="004A7669"/>
    <w:rsid w:val="004A7B2E"/>
    <w:rsid w:val="004B23AD"/>
    <w:rsid w:val="004B2BDA"/>
    <w:rsid w:val="004C0608"/>
    <w:rsid w:val="004C43B8"/>
    <w:rsid w:val="004D02A5"/>
    <w:rsid w:val="004E1740"/>
    <w:rsid w:val="004E2F4F"/>
    <w:rsid w:val="004F31D7"/>
    <w:rsid w:val="004F787F"/>
    <w:rsid w:val="005122F2"/>
    <w:rsid w:val="005145D8"/>
    <w:rsid w:val="00517741"/>
    <w:rsid w:val="00525289"/>
    <w:rsid w:val="00525D4A"/>
    <w:rsid w:val="00526A44"/>
    <w:rsid w:val="00537F38"/>
    <w:rsid w:val="00542702"/>
    <w:rsid w:val="00552EB0"/>
    <w:rsid w:val="00555371"/>
    <w:rsid w:val="0057172C"/>
    <w:rsid w:val="00573A23"/>
    <w:rsid w:val="005745EF"/>
    <w:rsid w:val="005917CC"/>
    <w:rsid w:val="005978EE"/>
    <w:rsid w:val="005C38D7"/>
    <w:rsid w:val="005C393C"/>
    <w:rsid w:val="005C45AE"/>
    <w:rsid w:val="005D08FB"/>
    <w:rsid w:val="005D66E5"/>
    <w:rsid w:val="005D6E7E"/>
    <w:rsid w:val="005E0799"/>
    <w:rsid w:val="005E6979"/>
    <w:rsid w:val="005E70D5"/>
    <w:rsid w:val="00601A1F"/>
    <w:rsid w:val="00602119"/>
    <w:rsid w:val="0060572F"/>
    <w:rsid w:val="006059B6"/>
    <w:rsid w:val="00606D2C"/>
    <w:rsid w:val="00610227"/>
    <w:rsid w:val="00621395"/>
    <w:rsid w:val="00631E2A"/>
    <w:rsid w:val="00652AC9"/>
    <w:rsid w:val="00652B42"/>
    <w:rsid w:val="00660DBC"/>
    <w:rsid w:val="00664CE2"/>
    <w:rsid w:val="006718D0"/>
    <w:rsid w:val="006722F9"/>
    <w:rsid w:val="00694F56"/>
    <w:rsid w:val="00696A30"/>
    <w:rsid w:val="00697A43"/>
    <w:rsid w:val="006A2B59"/>
    <w:rsid w:val="006A4606"/>
    <w:rsid w:val="006A498C"/>
    <w:rsid w:val="006A4FD8"/>
    <w:rsid w:val="006A5B1A"/>
    <w:rsid w:val="006A77EA"/>
    <w:rsid w:val="006B4216"/>
    <w:rsid w:val="006C0830"/>
    <w:rsid w:val="006C5858"/>
    <w:rsid w:val="006D7B82"/>
    <w:rsid w:val="006E2C01"/>
    <w:rsid w:val="006F037C"/>
    <w:rsid w:val="006F4DF5"/>
    <w:rsid w:val="006F53BA"/>
    <w:rsid w:val="00703E4D"/>
    <w:rsid w:val="00706C11"/>
    <w:rsid w:val="00725371"/>
    <w:rsid w:val="00725DF2"/>
    <w:rsid w:val="00735D37"/>
    <w:rsid w:val="00751446"/>
    <w:rsid w:val="00751AF4"/>
    <w:rsid w:val="00755CE8"/>
    <w:rsid w:val="0076023D"/>
    <w:rsid w:val="0076251E"/>
    <w:rsid w:val="007666D1"/>
    <w:rsid w:val="0077417A"/>
    <w:rsid w:val="00777270"/>
    <w:rsid w:val="007801FE"/>
    <w:rsid w:val="00780A50"/>
    <w:rsid w:val="00790C45"/>
    <w:rsid w:val="007928FD"/>
    <w:rsid w:val="007955CD"/>
    <w:rsid w:val="007A02CB"/>
    <w:rsid w:val="007A46D4"/>
    <w:rsid w:val="007B49EB"/>
    <w:rsid w:val="007C715E"/>
    <w:rsid w:val="007D2DAF"/>
    <w:rsid w:val="007D384F"/>
    <w:rsid w:val="007E5C88"/>
    <w:rsid w:val="007F0D35"/>
    <w:rsid w:val="007F1BA7"/>
    <w:rsid w:val="007F2C48"/>
    <w:rsid w:val="00800461"/>
    <w:rsid w:val="00802220"/>
    <w:rsid w:val="00803F05"/>
    <w:rsid w:val="00804CCE"/>
    <w:rsid w:val="00806DE8"/>
    <w:rsid w:val="0081669D"/>
    <w:rsid w:val="00821EB7"/>
    <w:rsid w:val="00822060"/>
    <w:rsid w:val="00824193"/>
    <w:rsid w:val="008331ED"/>
    <w:rsid w:val="00833E5D"/>
    <w:rsid w:val="00837CEB"/>
    <w:rsid w:val="00840758"/>
    <w:rsid w:val="0084354C"/>
    <w:rsid w:val="00850E03"/>
    <w:rsid w:val="00852D8E"/>
    <w:rsid w:val="00856201"/>
    <w:rsid w:val="0086174B"/>
    <w:rsid w:val="00862ECF"/>
    <w:rsid w:val="00866607"/>
    <w:rsid w:val="008667B4"/>
    <w:rsid w:val="0088073D"/>
    <w:rsid w:val="00881246"/>
    <w:rsid w:val="008856C6"/>
    <w:rsid w:val="00896404"/>
    <w:rsid w:val="008A0A3A"/>
    <w:rsid w:val="008A49BE"/>
    <w:rsid w:val="008A5F5A"/>
    <w:rsid w:val="008A76F6"/>
    <w:rsid w:val="008B1803"/>
    <w:rsid w:val="008C5291"/>
    <w:rsid w:val="008D3D78"/>
    <w:rsid w:val="008D5925"/>
    <w:rsid w:val="008E48B9"/>
    <w:rsid w:val="009112AA"/>
    <w:rsid w:val="00912484"/>
    <w:rsid w:val="009140AC"/>
    <w:rsid w:val="009150D8"/>
    <w:rsid w:val="00916E9E"/>
    <w:rsid w:val="0091703F"/>
    <w:rsid w:val="009208B6"/>
    <w:rsid w:val="0092193D"/>
    <w:rsid w:val="00923084"/>
    <w:rsid w:val="009239A5"/>
    <w:rsid w:val="00930006"/>
    <w:rsid w:val="0093137B"/>
    <w:rsid w:val="00932F29"/>
    <w:rsid w:val="00934E68"/>
    <w:rsid w:val="00937704"/>
    <w:rsid w:val="009412F7"/>
    <w:rsid w:val="009433E2"/>
    <w:rsid w:val="0094759E"/>
    <w:rsid w:val="00947D9A"/>
    <w:rsid w:val="0095135F"/>
    <w:rsid w:val="00951987"/>
    <w:rsid w:val="00956A39"/>
    <w:rsid w:val="00964369"/>
    <w:rsid w:val="0097563B"/>
    <w:rsid w:val="00995CB6"/>
    <w:rsid w:val="00996840"/>
    <w:rsid w:val="00996A1C"/>
    <w:rsid w:val="00997329"/>
    <w:rsid w:val="00997940"/>
    <w:rsid w:val="009B1FAA"/>
    <w:rsid w:val="009C04C5"/>
    <w:rsid w:val="009C37EA"/>
    <w:rsid w:val="009C42A4"/>
    <w:rsid w:val="009D191D"/>
    <w:rsid w:val="009D210B"/>
    <w:rsid w:val="009D6C8E"/>
    <w:rsid w:val="009E6403"/>
    <w:rsid w:val="009F4C20"/>
    <w:rsid w:val="009F54F9"/>
    <w:rsid w:val="009F7098"/>
    <w:rsid w:val="009F7C35"/>
    <w:rsid w:val="00A0766E"/>
    <w:rsid w:val="00A10CC8"/>
    <w:rsid w:val="00A11DA2"/>
    <w:rsid w:val="00A15B6B"/>
    <w:rsid w:val="00A16291"/>
    <w:rsid w:val="00A36B77"/>
    <w:rsid w:val="00A37123"/>
    <w:rsid w:val="00A4617C"/>
    <w:rsid w:val="00A4643B"/>
    <w:rsid w:val="00A565DF"/>
    <w:rsid w:val="00A57ABA"/>
    <w:rsid w:val="00A612B3"/>
    <w:rsid w:val="00A6468A"/>
    <w:rsid w:val="00A72D4D"/>
    <w:rsid w:val="00A817DF"/>
    <w:rsid w:val="00A84579"/>
    <w:rsid w:val="00A86CF1"/>
    <w:rsid w:val="00A9006A"/>
    <w:rsid w:val="00A93A6B"/>
    <w:rsid w:val="00A940F7"/>
    <w:rsid w:val="00A96331"/>
    <w:rsid w:val="00AA6905"/>
    <w:rsid w:val="00AB3F1D"/>
    <w:rsid w:val="00AB46BD"/>
    <w:rsid w:val="00AB5E95"/>
    <w:rsid w:val="00AC037A"/>
    <w:rsid w:val="00AC1317"/>
    <w:rsid w:val="00AC20BC"/>
    <w:rsid w:val="00AC2DA1"/>
    <w:rsid w:val="00AD1DD3"/>
    <w:rsid w:val="00AD2247"/>
    <w:rsid w:val="00AD2AF9"/>
    <w:rsid w:val="00AD6BCE"/>
    <w:rsid w:val="00AE5100"/>
    <w:rsid w:val="00AE655F"/>
    <w:rsid w:val="00AE6FCA"/>
    <w:rsid w:val="00AE7E41"/>
    <w:rsid w:val="00AF1920"/>
    <w:rsid w:val="00AF7580"/>
    <w:rsid w:val="00AF7A7C"/>
    <w:rsid w:val="00B07E57"/>
    <w:rsid w:val="00B16D5F"/>
    <w:rsid w:val="00B175A3"/>
    <w:rsid w:val="00B27C9B"/>
    <w:rsid w:val="00B34107"/>
    <w:rsid w:val="00B37520"/>
    <w:rsid w:val="00B42D4C"/>
    <w:rsid w:val="00B51B04"/>
    <w:rsid w:val="00B53ECD"/>
    <w:rsid w:val="00B557C9"/>
    <w:rsid w:val="00B55900"/>
    <w:rsid w:val="00B57AE3"/>
    <w:rsid w:val="00B64FF8"/>
    <w:rsid w:val="00B7436F"/>
    <w:rsid w:val="00B74CD2"/>
    <w:rsid w:val="00B75F06"/>
    <w:rsid w:val="00B77647"/>
    <w:rsid w:val="00B81279"/>
    <w:rsid w:val="00B81529"/>
    <w:rsid w:val="00B93AC4"/>
    <w:rsid w:val="00B973C4"/>
    <w:rsid w:val="00BA1D2D"/>
    <w:rsid w:val="00BA1FD0"/>
    <w:rsid w:val="00BA31FA"/>
    <w:rsid w:val="00BA60B8"/>
    <w:rsid w:val="00BB45D5"/>
    <w:rsid w:val="00BE6129"/>
    <w:rsid w:val="00BF0F74"/>
    <w:rsid w:val="00BF79DF"/>
    <w:rsid w:val="00C0471C"/>
    <w:rsid w:val="00C16DFA"/>
    <w:rsid w:val="00C279B8"/>
    <w:rsid w:val="00C411D8"/>
    <w:rsid w:val="00C413AA"/>
    <w:rsid w:val="00C41497"/>
    <w:rsid w:val="00C4531C"/>
    <w:rsid w:val="00C54A45"/>
    <w:rsid w:val="00C56EDF"/>
    <w:rsid w:val="00C70B26"/>
    <w:rsid w:val="00C71135"/>
    <w:rsid w:val="00C754ED"/>
    <w:rsid w:val="00CA1216"/>
    <w:rsid w:val="00CA6A48"/>
    <w:rsid w:val="00CA7D87"/>
    <w:rsid w:val="00CB17B7"/>
    <w:rsid w:val="00CB625C"/>
    <w:rsid w:val="00CD33D1"/>
    <w:rsid w:val="00CD3429"/>
    <w:rsid w:val="00CD4B28"/>
    <w:rsid w:val="00CE657C"/>
    <w:rsid w:val="00CF0EC5"/>
    <w:rsid w:val="00CF6C35"/>
    <w:rsid w:val="00CF7DF5"/>
    <w:rsid w:val="00D0051A"/>
    <w:rsid w:val="00D058D4"/>
    <w:rsid w:val="00D1519C"/>
    <w:rsid w:val="00D20988"/>
    <w:rsid w:val="00D2252D"/>
    <w:rsid w:val="00D23363"/>
    <w:rsid w:val="00D30961"/>
    <w:rsid w:val="00D33D9D"/>
    <w:rsid w:val="00D4686B"/>
    <w:rsid w:val="00D6273A"/>
    <w:rsid w:val="00D71BB4"/>
    <w:rsid w:val="00D8403A"/>
    <w:rsid w:val="00D86A58"/>
    <w:rsid w:val="00D87860"/>
    <w:rsid w:val="00D87EB2"/>
    <w:rsid w:val="00D87F39"/>
    <w:rsid w:val="00D92467"/>
    <w:rsid w:val="00DA3B25"/>
    <w:rsid w:val="00DB1DE3"/>
    <w:rsid w:val="00DB4DB5"/>
    <w:rsid w:val="00DC158F"/>
    <w:rsid w:val="00DC1E5A"/>
    <w:rsid w:val="00DC4151"/>
    <w:rsid w:val="00DD2502"/>
    <w:rsid w:val="00DD6334"/>
    <w:rsid w:val="00DE6846"/>
    <w:rsid w:val="00DF4DBC"/>
    <w:rsid w:val="00E026AB"/>
    <w:rsid w:val="00E11F13"/>
    <w:rsid w:val="00E3408D"/>
    <w:rsid w:val="00E44C01"/>
    <w:rsid w:val="00E50F57"/>
    <w:rsid w:val="00E612F0"/>
    <w:rsid w:val="00E6345C"/>
    <w:rsid w:val="00E65C97"/>
    <w:rsid w:val="00E678BD"/>
    <w:rsid w:val="00E757FE"/>
    <w:rsid w:val="00E75C70"/>
    <w:rsid w:val="00E805DA"/>
    <w:rsid w:val="00E805FF"/>
    <w:rsid w:val="00E859F8"/>
    <w:rsid w:val="00E94B0E"/>
    <w:rsid w:val="00EA78BD"/>
    <w:rsid w:val="00EB675E"/>
    <w:rsid w:val="00EC160D"/>
    <w:rsid w:val="00EC4354"/>
    <w:rsid w:val="00EC5861"/>
    <w:rsid w:val="00ED0C19"/>
    <w:rsid w:val="00ED2FEE"/>
    <w:rsid w:val="00ED57F4"/>
    <w:rsid w:val="00EF06B3"/>
    <w:rsid w:val="00EF100E"/>
    <w:rsid w:val="00EF2B70"/>
    <w:rsid w:val="00EF33AD"/>
    <w:rsid w:val="00EF47C6"/>
    <w:rsid w:val="00F03156"/>
    <w:rsid w:val="00F073A6"/>
    <w:rsid w:val="00F122AF"/>
    <w:rsid w:val="00F13CFE"/>
    <w:rsid w:val="00F22646"/>
    <w:rsid w:val="00F23B9C"/>
    <w:rsid w:val="00F3108F"/>
    <w:rsid w:val="00F32041"/>
    <w:rsid w:val="00F33E3E"/>
    <w:rsid w:val="00F35A06"/>
    <w:rsid w:val="00F376EB"/>
    <w:rsid w:val="00F37A72"/>
    <w:rsid w:val="00F41ABD"/>
    <w:rsid w:val="00F4322A"/>
    <w:rsid w:val="00F47925"/>
    <w:rsid w:val="00F53080"/>
    <w:rsid w:val="00F53616"/>
    <w:rsid w:val="00F563D3"/>
    <w:rsid w:val="00F61739"/>
    <w:rsid w:val="00F6377E"/>
    <w:rsid w:val="00F671E8"/>
    <w:rsid w:val="00F7418C"/>
    <w:rsid w:val="00F76F2F"/>
    <w:rsid w:val="00F76FEF"/>
    <w:rsid w:val="00F77A9C"/>
    <w:rsid w:val="00F85E11"/>
    <w:rsid w:val="00F91A54"/>
    <w:rsid w:val="00F9536A"/>
    <w:rsid w:val="00FA423B"/>
    <w:rsid w:val="00FB766B"/>
    <w:rsid w:val="00FC4CA9"/>
    <w:rsid w:val="00FC5D5F"/>
    <w:rsid w:val="00FD10D6"/>
    <w:rsid w:val="00FD438A"/>
    <w:rsid w:val="00FE3653"/>
    <w:rsid w:val="00FE4204"/>
    <w:rsid w:val="00FF18D3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3D80"/>
  <w15:chartTrackingRefBased/>
  <w15:docId w15:val="{E0E35B74-C5BD-44E8-B1D7-649BC816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B2AC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D01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1317"/>
    <w:rPr>
      <w:sz w:val="22"/>
      <w:szCs w:val="22"/>
    </w:rPr>
  </w:style>
  <w:style w:type="character" w:customStyle="1" w:styleId="Heading2Char">
    <w:name w:val="Heading 2 Char"/>
    <w:link w:val="Heading2"/>
    <w:rsid w:val="001B2AC1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yleLeft081">
    <w:name w:val="Style Left:  0.81&quot;"/>
    <w:basedOn w:val="Normal"/>
    <w:rsid w:val="007928FD"/>
    <w:pPr>
      <w:widowControl w:val="0"/>
      <w:autoSpaceDE w:val="0"/>
      <w:autoSpaceDN w:val="0"/>
      <w:adjustRightInd w:val="0"/>
      <w:spacing w:after="0" w:line="240" w:lineRule="auto"/>
      <w:ind w:left="1170"/>
    </w:pPr>
    <w:rPr>
      <w:rFonts w:ascii="Arial" w:eastAsia="Times New Roman" w:hAnsi="Arial"/>
      <w:sz w:val="24"/>
      <w:szCs w:val="20"/>
    </w:rPr>
  </w:style>
  <w:style w:type="character" w:styleId="CommentReference">
    <w:name w:val="annotation reference"/>
    <w:rsid w:val="00E50F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0F5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E50F57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0F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7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DF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F56"/>
    <w:pPr>
      <w:spacing w:after="160"/>
      <w:jc w:val="left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F56"/>
    <w:rPr>
      <w:rFonts w:ascii="Times New Roman" w:eastAsia="Times New Roman" w:hAnsi="Times New Roman"/>
      <w:b/>
      <w:bCs/>
    </w:rPr>
  </w:style>
  <w:style w:type="paragraph" w:customStyle="1" w:styleId="WPDefaults">
    <w:name w:val="WP Defaults"/>
    <w:rsid w:val="00B559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eastAsia="Times New Roman" w:hAnsi="Courier"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rsid w:val="002D0113"/>
    <w:rPr>
      <w:rFonts w:ascii="Times New Roman" w:eastAsia="Times New Roman" w:hAnsi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837C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D384F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D384F"/>
    <w:rPr>
      <w:rFonts w:ascii="Times New Roman" w:eastAsia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A076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22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xcontentpasted0">
    <w:name w:val="x_contentpasted0"/>
    <w:basedOn w:val="DefaultParagraphFont"/>
    <w:rsid w:val="006722F9"/>
  </w:style>
  <w:style w:type="paragraph" w:customStyle="1" w:styleId="Default">
    <w:name w:val="Default"/>
    <w:rsid w:val="00255F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55F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18890-E8F0-4885-9EC2-EF9CC83B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Rebecca D</dc:creator>
  <cp:keywords/>
  <dc:description/>
  <cp:lastModifiedBy>Williams, Aubrie</cp:lastModifiedBy>
  <cp:revision>11</cp:revision>
  <cp:lastPrinted>2023-08-14T13:27:00Z</cp:lastPrinted>
  <dcterms:created xsi:type="dcterms:W3CDTF">2023-12-14T21:10:00Z</dcterms:created>
  <dcterms:modified xsi:type="dcterms:W3CDTF">2024-01-18T22:03:00Z</dcterms:modified>
</cp:coreProperties>
</file>