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F428" w14:textId="77777777" w:rsidR="004672BE" w:rsidRPr="004672BE" w:rsidRDefault="004672BE" w:rsidP="00467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 w:val="26"/>
          <w:szCs w:val="20"/>
        </w:rPr>
      </w:pPr>
      <w:bookmarkStart w:id="0" w:name="_Hlk77839959"/>
      <w:bookmarkStart w:id="1" w:name="_Hlk93577479"/>
      <w:r w:rsidRPr="004672BE">
        <w:rPr>
          <w:color w:val="FF0000"/>
          <w:sz w:val="26"/>
          <w:szCs w:val="20"/>
        </w:rPr>
        <w:t>Approved by the Board of Trustees</w:t>
      </w:r>
    </w:p>
    <w:bookmarkEnd w:id="0"/>
    <w:bookmarkEnd w:id="1"/>
    <w:p w14:paraId="555CA248" w14:textId="77777777" w:rsidR="004672BE" w:rsidRPr="004672BE" w:rsidRDefault="004672BE" w:rsidP="00467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 w:val="26"/>
          <w:szCs w:val="20"/>
        </w:rPr>
      </w:pPr>
      <w:r w:rsidRPr="004672BE">
        <w:rPr>
          <w:color w:val="FF0000"/>
          <w:sz w:val="26"/>
          <w:szCs w:val="20"/>
        </w:rPr>
        <w:t>January 26, 2023</w:t>
      </w:r>
    </w:p>
    <w:p w14:paraId="342C3EB3" w14:textId="017E2284" w:rsidR="00CC0E0B" w:rsidRDefault="002D2FC9" w:rsidP="006E5BBE">
      <w:pPr>
        <w:pStyle w:val="bdheading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60"/>
          <w:szCs w:val="60"/>
        </w:rPr>
        <w:t>30</w:t>
      </w:r>
    </w:p>
    <w:p w14:paraId="3EAAEB6F" w14:textId="4C8D6EFC" w:rsidR="00CC0E0B" w:rsidRDefault="00CC0E0B" w:rsidP="00CC0E0B">
      <w:pPr>
        <w:pStyle w:val="bdheading1"/>
        <w:rPr>
          <w:rFonts w:ascii="Times New Roman" w:hAnsi="Times New Roman"/>
          <w:sz w:val="26"/>
          <w:szCs w:val="26"/>
        </w:rPr>
      </w:pPr>
    </w:p>
    <w:p w14:paraId="68E7A54B" w14:textId="77777777" w:rsidR="006E5BBE" w:rsidRPr="006E5BBE" w:rsidRDefault="006E5BBE" w:rsidP="006E5BBE">
      <w:pPr>
        <w:pStyle w:val="Default"/>
      </w:pPr>
    </w:p>
    <w:p w14:paraId="5D20CB71" w14:textId="77777777" w:rsidR="00CC0E0B" w:rsidRDefault="00CC0E0B" w:rsidP="00CC0E0B">
      <w:pPr>
        <w:pStyle w:val="bdheading1"/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A753F" w:rsidRPr="00CC0E0B">
        <w:rPr>
          <w:rFonts w:ascii="Times New Roman" w:hAnsi="Times New Roman"/>
          <w:sz w:val="26"/>
          <w:szCs w:val="26"/>
        </w:rPr>
        <w:t>Board Meet</w:t>
      </w:r>
      <w:r>
        <w:rPr>
          <w:rFonts w:ascii="Times New Roman" w:hAnsi="Times New Roman"/>
          <w:sz w:val="26"/>
          <w:szCs w:val="26"/>
        </w:rPr>
        <w:t>ing</w:t>
      </w:r>
    </w:p>
    <w:p w14:paraId="5D9C6A80" w14:textId="5B6FA056" w:rsidR="002A753F" w:rsidRPr="00CC0E0B" w:rsidRDefault="00CC0E0B" w:rsidP="00CC0E0B">
      <w:pPr>
        <w:pStyle w:val="bdheading1"/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B4AC8">
        <w:rPr>
          <w:rFonts w:ascii="Times New Roman" w:hAnsi="Times New Roman"/>
          <w:sz w:val="26"/>
          <w:szCs w:val="26"/>
        </w:rPr>
        <w:t>January 26, 2023</w:t>
      </w:r>
    </w:p>
    <w:p w14:paraId="35C24A58" w14:textId="2C7CAE6A" w:rsidR="00AD0BEA" w:rsidRDefault="00AD0BEA" w:rsidP="00CC0E0B">
      <w:pPr>
        <w:pStyle w:val="Default"/>
        <w:rPr>
          <w:rFonts w:ascii="Times New Roman" w:hAnsi="Times New Roman"/>
          <w:sz w:val="26"/>
          <w:szCs w:val="26"/>
        </w:rPr>
      </w:pPr>
    </w:p>
    <w:p w14:paraId="463BD1AE" w14:textId="77777777" w:rsidR="00CC0E0B" w:rsidRPr="00CC0E0B" w:rsidRDefault="00CC0E0B" w:rsidP="00CC0E0B">
      <w:pPr>
        <w:pStyle w:val="Default"/>
        <w:rPr>
          <w:rFonts w:ascii="Times New Roman" w:hAnsi="Times New Roman"/>
          <w:sz w:val="26"/>
          <w:szCs w:val="26"/>
        </w:rPr>
      </w:pPr>
    </w:p>
    <w:p w14:paraId="54AEA923" w14:textId="77777777" w:rsidR="002A753F" w:rsidRPr="00CC0E0B" w:rsidRDefault="002A753F" w:rsidP="00CC0E0B">
      <w:pPr>
        <w:jc w:val="center"/>
        <w:rPr>
          <w:sz w:val="26"/>
          <w:szCs w:val="26"/>
        </w:rPr>
      </w:pPr>
      <w:r w:rsidRPr="00CC0E0B">
        <w:rPr>
          <w:sz w:val="26"/>
          <w:szCs w:val="26"/>
        </w:rPr>
        <w:t>ROLL CALL</w:t>
      </w:r>
    </w:p>
    <w:p w14:paraId="4B9B75FC" w14:textId="77777777" w:rsidR="002A753F" w:rsidRPr="00CC0E0B" w:rsidRDefault="002A753F" w:rsidP="00CC0E0B">
      <w:pPr>
        <w:jc w:val="center"/>
        <w:rPr>
          <w:sz w:val="26"/>
          <w:szCs w:val="26"/>
        </w:rPr>
      </w:pPr>
      <w:r w:rsidRPr="00CC0E0B">
        <w:rPr>
          <w:sz w:val="26"/>
          <w:szCs w:val="26"/>
        </w:rPr>
        <w:t xml:space="preserve"> </w:t>
      </w:r>
    </w:p>
    <w:p w14:paraId="260A2F52" w14:textId="0352CEDF" w:rsidR="002A753F" w:rsidRPr="00A8521B" w:rsidRDefault="002A753F" w:rsidP="00A8521B">
      <w:pPr>
        <w:pStyle w:val="Heading1"/>
      </w:pPr>
      <w:r w:rsidRPr="00A8521B">
        <w:t>A</w:t>
      </w:r>
      <w:r w:rsidR="0071776B" w:rsidRPr="00A8521B">
        <w:t>WARD CONSTRUCTION CONTRACT</w:t>
      </w:r>
      <w:r w:rsidR="00C00709" w:rsidRPr="00A8521B">
        <w:t>S,</w:t>
      </w:r>
      <w:r w:rsidR="00AD0BEA" w:rsidRPr="00A8521B">
        <w:t xml:space="preserve"> </w:t>
      </w:r>
      <w:r w:rsidR="0011426C" w:rsidRPr="00A8521B">
        <w:t>REPLACE A</w:t>
      </w:r>
      <w:r w:rsidR="00F37E41" w:rsidRPr="00A8521B">
        <w:t>IR HANDLING UNITS</w:t>
      </w:r>
      <w:r w:rsidR="0011426C" w:rsidRPr="00A8521B">
        <w:t xml:space="preserve"> S-4 AND S-10, UNIVERSITY OF ILLINOIS HOSPITAL</w:t>
      </w:r>
      <w:r w:rsidR="00F37E41" w:rsidRPr="00A8521B">
        <w:t>, CHICAGO</w:t>
      </w:r>
    </w:p>
    <w:p w14:paraId="6FC63068" w14:textId="77777777" w:rsidR="002A753F" w:rsidRPr="00CC0E0B" w:rsidRDefault="002A753F" w:rsidP="00CC0E0B">
      <w:pPr>
        <w:jc w:val="center"/>
        <w:rPr>
          <w:sz w:val="26"/>
          <w:szCs w:val="26"/>
        </w:rPr>
      </w:pPr>
    </w:p>
    <w:p w14:paraId="213BFAE5" w14:textId="77777777" w:rsidR="002A753F" w:rsidRPr="00CC0E0B" w:rsidRDefault="002A753F" w:rsidP="00CC0E0B">
      <w:pPr>
        <w:jc w:val="center"/>
        <w:rPr>
          <w:sz w:val="26"/>
          <w:szCs w:val="26"/>
        </w:rPr>
      </w:pPr>
    </w:p>
    <w:p w14:paraId="1514F970" w14:textId="1AD6FAEF" w:rsidR="002A753F" w:rsidRPr="00CC0E0B" w:rsidRDefault="002A753F" w:rsidP="003769E8">
      <w:pPr>
        <w:pStyle w:val="bdstyle1"/>
        <w:tabs>
          <w:tab w:val="left" w:pos="1440"/>
        </w:tabs>
        <w:ind w:left="1440" w:hanging="1440"/>
        <w:rPr>
          <w:rFonts w:ascii="Times New Roman" w:hAnsi="Times New Roman"/>
          <w:sz w:val="26"/>
          <w:szCs w:val="26"/>
        </w:rPr>
      </w:pPr>
      <w:r w:rsidRPr="00CC0E0B">
        <w:rPr>
          <w:rFonts w:ascii="Times New Roman" w:hAnsi="Times New Roman"/>
          <w:b/>
          <w:bCs/>
          <w:sz w:val="26"/>
          <w:szCs w:val="26"/>
        </w:rPr>
        <w:t>Action:</w:t>
      </w:r>
      <w:r w:rsidR="00CC0E0B">
        <w:rPr>
          <w:rFonts w:ascii="Times New Roman" w:hAnsi="Times New Roman"/>
          <w:sz w:val="26"/>
          <w:szCs w:val="26"/>
        </w:rPr>
        <w:tab/>
      </w:r>
      <w:r w:rsidRPr="00CC0E0B">
        <w:rPr>
          <w:rFonts w:ascii="Times New Roman" w:hAnsi="Times New Roman"/>
          <w:sz w:val="26"/>
          <w:szCs w:val="26"/>
        </w:rPr>
        <w:t>A</w:t>
      </w:r>
      <w:r w:rsidR="0071776B" w:rsidRPr="00CC0E0B">
        <w:rPr>
          <w:rFonts w:ascii="Times New Roman" w:hAnsi="Times New Roman"/>
          <w:sz w:val="26"/>
          <w:szCs w:val="26"/>
        </w:rPr>
        <w:t>ward Construction Contract</w:t>
      </w:r>
      <w:r w:rsidR="00C00709" w:rsidRPr="00CC0E0B">
        <w:rPr>
          <w:rFonts w:ascii="Times New Roman" w:hAnsi="Times New Roman"/>
          <w:sz w:val="26"/>
          <w:szCs w:val="26"/>
        </w:rPr>
        <w:t>s,</w:t>
      </w:r>
      <w:r w:rsidR="004C1477" w:rsidRPr="00CC0E0B">
        <w:rPr>
          <w:rFonts w:ascii="Times New Roman" w:hAnsi="Times New Roman"/>
          <w:sz w:val="26"/>
          <w:szCs w:val="26"/>
        </w:rPr>
        <w:t xml:space="preserve"> </w:t>
      </w:r>
      <w:r w:rsidR="0011426C">
        <w:rPr>
          <w:rFonts w:ascii="Times New Roman" w:hAnsi="Times New Roman"/>
          <w:sz w:val="26"/>
          <w:szCs w:val="26"/>
        </w:rPr>
        <w:t xml:space="preserve">Replace </w:t>
      </w:r>
      <w:r w:rsidR="00F37E41">
        <w:rPr>
          <w:rFonts w:ascii="Times New Roman" w:hAnsi="Times New Roman"/>
          <w:sz w:val="26"/>
          <w:szCs w:val="26"/>
        </w:rPr>
        <w:t xml:space="preserve">Air Handing Units </w:t>
      </w:r>
      <w:r w:rsidR="0011426C">
        <w:rPr>
          <w:rFonts w:ascii="Times New Roman" w:hAnsi="Times New Roman"/>
          <w:sz w:val="26"/>
          <w:szCs w:val="26"/>
        </w:rPr>
        <w:t xml:space="preserve">S-4 and S-10, University of Illinois Hospital </w:t>
      </w:r>
    </w:p>
    <w:p w14:paraId="60B1F3C9" w14:textId="77777777" w:rsidR="002A753F" w:rsidRPr="00CC0E0B" w:rsidRDefault="002A753F" w:rsidP="00CC0E0B">
      <w:pPr>
        <w:pStyle w:val="Default"/>
        <w:rPr>
          <w:rFonts w:ascii="Times New Roman" w:hAnsi="Times New Roman"/>
          <w:sz w:val="26"/>
          <w:szCs w:val="26"/>
        </w:rPr>
      </w:pPr>
    </w:p>
    <w:p w14:paraId="6F1CB884" w14:textId="6466D9C8" w:rsidR="002A753F" w:rsidRPr="00CC0E0B" w:rsidRDefault="00B72E7C" w:rsidP="00CC0E0B">
      <w:pPr>
        <w:pStyle w:val="Default"/>
        <w:rPr>
          <w:rFonts w:ascii="Times New Roman" w:hAnsi="Times New Roman"/>
          <w:sz w:val="26"/>
          <w:szCs w:val="26"/>
        </w:rPr>
      </w:pPr>
      <w:r w:rsidRPr="00CC0E0B">
        <w:rPr>
          <w:rFonts w:ascii="Times New Roman" w:hAnsi="Times New Roman"/>
          <w:b/>
          <w:bCs/>
          <w:sz w:val="26"/>
          <w:szCs w:val="26"/>
        </w:rPr>
        <w:t>Funding:</w:t>
      </w:r>
      <w:r w:rsidRPr="00CC0E0B">
        <w:rPr>
          <w:rFonts w:ascii="Times New Roman" w:hAnsi="Times New Roman"/>
          <w:sz w:val="26"/>
          <w:szCs w:val="26"/>
        </w:rPr>
        <w:t xml:space="preserve"> </w:t>
      </w:r>
      <w:r w:rsidRPr="00CC0E0B">
        <w:rPr>
          <w:rFonts w:ascii="Times New Roman" w:hAnsi="Times New Roman"/>
          <w:sz w:val="26"/>
          <w:szCs w:val="26"/>
        </w:rPr>
        <w:tab/>
      </w:r>
      <w:r w:rsidR="0011426C">
        <w:rPr>
          <w:rFonts w:ascii="Times New Roman" w:hAnsi="Times New Roman"/>
          <w:sz w:val="26"/>
          <w:szCs w:val="26"/>
        </w:rPr>
        <w:t>Activity, Storeroom, and Service Funds</w:t>
      </w:r>
    </w:p>
    <w:p w14:paraId="7F5D83C9" w14:textId="77777777" w:rsidR="00CC0E0B" w:rsidRDefault="00CC0E0B" w:rsidP="00CC0E0B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298A82DD" w14:textId="77777777" w:rsidR="00CC0E0B" w:rsidRDefault="00CC0E0B" w:rsidP="00CC0E0B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5B911715" w14:textId="154E98DC" w:rsidR="00CC0E0B" w:rsidRDefault="00CC0E0B" w:rsidP="00E35D1F">
      <w:pPr>
        <w:tabs>
          <w:tab w:val="left" w:pos="1440"/>
        </w:tabs>
        <w:autoSpaceDE w:val="0"/>
        <w:autoSpaceDN w:val="0"/>
        <w:adjustRightInd w:val="0"/>
        <w:spacing w:line="48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3D0478" w:rsidRPr="00CC0E0B">
        <w:rPr>
          <w:color w:val="000000"/>
          <w:sz w:val="26"/>
          <w:szCs w:val="26"/>
        </w:rPr>
        <w:t xml:space="preserve">In </w:t>
      </w:r>
      <w:r w:rsidR="0011426C">
        <w:rPr>
          <w:color w:val="000000"/>
          <w:sz w:val="26"/>
          <w:szCs w:val="26"/>
        </w:rPr>
        <w:t>July</w:t>
      </w:r>
      <w:r w:rsidR="003D0478" w:rsidRPr="00CC0E0B">
        <w:rPr>
          <w:color w:val="000000"/>
          <w:sz w:val="26"/>
          <w:szCs w:val="26"/>
        </w:rPr>
        <w:t xml:space="preserve"> 202</w:t>
      </w:r>
      <w:r w:rsidR="0011426C">
        <w:rPr>
          <w:color w:val="000000"/>
          <w:sz w:val="26"/>
          <w:szCs w:val="26"/>
        </w:rPr>
        <w:t>2</w:t>
      </w:r>
      <w:r w:rsidR="003D0478" w:rsidRPr="00CC0E0B">
        <w:rPr>
          <w:color w:val="000000"/>
          <w:sz w:val="26"/>
          <w:szCs w:val="26"/>
        </w:rPr>
        <w:t xml:space="preserve">, </w:t>
      </w:r>
      <w:r w:rsidR="009F5927" w:rsidRPr="00CC0E0B">
        <w:rPr>
          <w:sz w:val="26"/>
          <w:szCs w:val="26"/>
        </w:rPr>
        <w:t xml:space="preserve">the Board approved the </w:t>
      </w:r>
      <w:r w:rsidR="0011426C">
        <w:rPr>
          <w:sz w:val="26"/>
          <w:szCs w:val="26"/>
        </w:rPr>
        <w:t>Replace A</w:t>
      </w:r>
      <w:r w:rsidR="00F37E41">
        <w:rPr>
          <w:sz w:val="26"/>
          <w:szCs w:val="26"/>
        </w:rPr>
        <w:t xml:space="preserve">ir Handling Units </w:t>
      </w:r>
      <w:r w:rsidR="0011426C">
        <w:rPr>
          <w:sz w:val="26"/>
          <w:szCs w:val="26"/>
        </w:rPr>
        <w:t>S-4 and S-10, University of Illinois Hospital</w:t>
      </w:r>
      <w:r w:rsidR="009F5927" w:rsidRPr="00CC0E0B">
        <w:rPr>
          <w:sz w:val="26"/>
          <w:szCs w:val="26"/>
        </w:rPr>
        <w:t xml:space="preserve"> project</w:t>
      </w:r>
      <w:r w:rsidR="004F65A0">
        <w:rPr>
          <w:sz w:val="26"/>
          <w:szCs w:val="26"/>
        </w:rPr>
        <w:t xml:space="preserve">, </w:t>
      </w:r>
      <w:r w:rsidR="009F5927" w:rsidRPr="00CC0E0B">
        <w:rPr>
          <w:sz w:val="26"/>
          <w:szCs w:val="26"/>
        </w:rPr>
        <w:t>with a budget of $</w:t>
      </w:r>
      <w:r w:rsidR="0011426C">
        <w:rPr>
          <w:sz w:val="26"/>
          <w:szCs w:val="26"/>
        </w:rPr>
        <w:t>7,841,800</w:t>
      </w:r>
      <w:r w:rsidR="009F5927" w:rsidRPr="00CC0E0B">
        <w:rPr>
          <w:sz w:val="26"/>
          <w:szCs w:val="26"/>
        </w:rPr>
        <w:t>.</w:t>
      </w:r>
      <w:r w:rsidR="004810AE" w:rsidRPr="00CC0E0B">
        <w:rPr>
          <w:sz w:val="26"/>
          <w:szCs w:val="26"/>
        </w:rPr>
        <w:t xml:space="preserve">  </w:t>
      </w:r>
      <w:r w:rsidR="00CC530B" w:rsidRPr="00CC530B">
        <w:rPr>
          <w:sz w:val="26"/>
          <w:szCs w:val="26"/>
        </w:rPr>
        <w:t xml:space="preserve">The objective of the project is to replace aging critical </w:t>
      </w:r>
      <w:r w:rsidR="001A0F49">
        <w:rPr>
          <w:sz w:val="26"/>
          <w:szCs w:val="26"/>
        </w:rPr>
        <w:t>h</w:t>
      </w:r>
      <w:r w:rsidR="00CC530B" w:rsidRPr="00CC530B">
        <w:rPr>
          <w:sz w:val="26"/>
          <w:szCs w:val="26"/>
        </w:rPr>
        <w:t xml:space="preserve">eating, </w:t>
      </w:r>
      <w:r w:rsidR="001A0F49">
        <w:rPr>
          <w:sz w:val="26"/>
          <w:szCs w:val="26"/>
        </w:rPr>
        <w:t>v</w:t>
      </w:r>
      <w:r w:rsidR="00CC530B" w:rsidRPr="00CC530B">
        <w:rPr>
          <w:sz w:val="26"/>
          <w:szCs w:val="26"/>
        </w:rPr>
        <w:t xml:space="preserve">entilation, and </w:t>
      </w:r>
      <w:r w:rsidR="001A0F49">
        <w:rPr>
          <w:sz w:val="26"/>
          <w:szCs w:val="26"/>
        </w:rPr>
        <w:t>c</w:t>
      </w:r>
      <w:r w:rsidR="00CC530B" w:rsidRPr="00CC530B">
        <w:rPr>
          <w:sz w:val="26"/>
          <w:szCs w:val="26"/>
        </w:rPr>
        <w:t>ooling (HVAC) infrastructure, two air handling units that provide ventilation and thermal comfort to 60,000 square feet of occupied floor space</w:t>
      </w:r>
      <w:r w:rsidR="004F65A0">
        <w:rPr>
          <w:sz w:val="26"/>
          <w:szCs w:val="26"/>
        </w:rPr>
        <w:t xml:space="preserve"> </w:t>
      </w:r>
      <w:r w:rsidR="00CC530B" w:rsidRPr="00CC530B">
        <w:rPr>
          <w:sz w:val="26"/>
          <w:szCs w:val="26"/>
        </w:rPr>
        <w:t>on the 9th floor of the University of Illinois Hospital</w:t>
      </w:r>
      <w:r w:rsidR="001A0F49">
        <w:rPr>
          <w:sz w:val="26"/>
          <w:szCs w:val="26"/>
        </w:rPr>
        <w:t>,</w:t>
      </w:r>
      <w:r w:rsidR="00CC530B" w:rsidRPr="00CC530B">
        <w:rPr>
          <w:sz w:val="26"/>
          <w:szCs w:val="26"/>
        </w:rPr>
        <w:t xml:space="preserve"> located at 1740 West Taylor Street, Chicago.</w:t>
      </w:r>
    </w:p>
    <w:p w14:paraId="6B617F14" w14:textId="26B556E5" w:rsidR="0011426C" w:rsidRPr="006E5BBE" w:rsidRDefault="00CC0E0B" w:rsidP="006E5BBE">
      <w:pPr>
        <w:tabs>
          <w:tab w:val="left" w:pos="1440"/>
        </w:tabs>
        <w:autoSpaceDE w:val="0"/>
        <w:autoSpaceDN w:val="0"/>
        <w:adjustRightInd w:val="0"/>
        <w:spacing w:line="48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B117FF" w:rsidRPr="00CC0E0B">
        <w:rPr>
          <w:sz w:val="26"/>
          <w:szCs w:val="26"/>
        </w:rPr>
        <w:t>Bids for the construction work have been solicited</w:t>
      </w:r>
      <w:r w:rsidR="004F65A0">
        <w:rPr>
          <w:sz w:val="26"/>
          <w:szCs w:val="26"/>
        </w:rPr>
        <w:t>,</w:t>
      </w:r>
      <w:r w:rsidR="00B117FF" w:rsidRPr="00CC0E0B">
        <w:rPr>
          <w:sz w:val="26"/>
          <w:szCs w:val="26"/>
        </w:rPr>
        <w:t xml:space="preserve"> and for the </w:t>
      </w:r>
      <w:r w:rsidR="0071776B" w:rsidRPr="00CC0E0B">
        <w:rPr>
          <w:sz w:val="26"/>
          <w:szCs w:val="26"/>
        </w:rPr>
        <w:t xml:space="preserve">project to proceed, the </w:t>
      </w:r>
      <w:r w:rsidR="001A0F49">
        <w:rPr>
          <w:sz w:val="26"/>
          <w:szCs w:val="26"/>
        </w:rPr>
        <w:t xml:space="preserve">Interim </w:t>
      </w:r>
      <w:r w:rsidR="0071776B" w:rsidRPr="00CC0E0B">
        <w:rPr>
          <w:sz w:val="26"/>
          <w:szCs w:val="26"/>
        </w:rPr>
        <w:t>Chancellor, University of Illinois Chicago, and Vice President, University of Illinois</w:t>
      </w:r>
      <w:r w:rsidR="00607B4C" w:rsidRPr="00CC0E0B">
        <w:rPr>
          <w:sz w:val="26"/>
          <w:szCs w:val="26"/>
        </w:rPr>
        <w:t xml:space="preserve"> System</w:t>
      </w:r>
      <w:r w:rsidR="0071776B" w:rsidRPr="00CC0E0B">
        <w:rPr>
          <w:sz w:val="26"/>
          <w:szCs w:val="26"/>
        </w:rPr>
        <w:t xml:space="preserve"> with the concurrence of the appropriate administrative </w:t>
      </w:r>
      <w:r w:rsidR="0071776B" w:rsidRPr="00CC0E0B">
        <w:rPr>
          <w:sz w:val="26"/>
          <w:szCs w:val="26"/>
        </w:rPr>
        <w:lastRenderedPageBreak/>
        <w:t>officers recommends that the following contracts</w:t>
      </w:r>
      <w:r w:rsidR="001D6E87">
        <w:rPr>
          <w:rStyle w:val="FootnoteReference"/>
          <w:sz w:val="26"/>
          <w:szCs w:val="26"/>
        </w:rPr>
        <w:footnoteReference w:id="1"/>
      </w:r>
      <w:r w:rsidR="0071776B" w:rsidRPr="00CC0E0B">
        <w:rPr>
          <w:sz w:val="26"/>
          <w:szCs w:val="26"/>
        </w:rPr>
        <w:t xml:space="preserve"> be awarded.  Competitive bidding procedures </w:t>
      </w:r>
      <w:r w:rsidR="0011426C">
        <w:rPr>
          <w:sz w:val="26"/>
          <w:szCs w:val="26"/>
        </w:rPr>
        <w:t xml:space="preserve">were conducted </w:t>
      </w:r>
      <w:r w:rsidR="0071776B" w:rsidRPr="00CC0E0B">
        <w:rPr>
          <w:sz w:val="26"/>
          <w:szCs w:val="26"/>
        </w:rPr>
        <w:t>in accordance with the Illinois Procurement Code</w:t>
      </w:r>
      <w:r w:rsidR="0011426C">
        <w:rPr>
          <w:sz w:val="26"/>
          <w:szCs w:val="26"/>
        </w:rPr>
        <w:t>,</w:t>
      </w:r>
      <w:r w:rsidR="0071776B" w:rsidRPr="00CC0E0B">
        <w:rPr>
          <w:sz w:val="26"/>
          <w:szCs w:val="26"/>
        </w:rPr>
        <w:t xml:space="preserve"> and the award is to the lowest responsible bidder on the basis of </w:t>
      </w:r>
      <w:r w:rsidR="0011426C">
        <w:rPr>
          <w:sz w:val="26"/>
          <w:szCs w:val="26"/>
        </w:rPr>
        <w:t>the</w:t>
      </w:r>
      <w:r w:rsidR="0071776B" w:rsidRPr="00CC0E0B">
        <w:rPr>
          <w:sz w:val="26"/>
          <w:szCs w:val="26"/>
        </w:rPr>
        <w:t xml:space="preserve"> base bid</w:t>
      </w:r>
      <w:r w:rsidR="00B01318" w:rsidRPr="00CC0E0B">
        <w:rPr>
          <w:sz w:val="26"/>
          <w:szCs w:val="26"/>
        </w:rPr>
        <w:t xml:space="preserve"> plus the acceptance of </w:t>
      </w:r>
      <w:r w:rsidR="0011426C">
        <w:rPr>
          <w:sz w:val="26"/>
          <w:szCs w:val="26"/>
        </w:rPr>
        <w:t xml:space="preserve">the </w:t>
      </w:r>
      <w:r w:rsidR="00B01318" w:rsidRPr="00CC0E0B">
        <w:rPr>
          <w:sz w:val="26"/>
          <w:szCs w:val="26"/>
        </w:rPr>
        <w:t>indicated alternate</w:t>
      </w:r>
      <w:r w:rsidR="00D267C8">
        <w:rPr>
          <w:rStyle w:val="FootnoteReference"/>
          <w:sz w:val="26"/>
          <w:szCs w:val="26"/>
        </w:rPr>
        <w:footnoteReference w:id="2"/>
      </w:r>
      <w:r>
        <w:rPr>
          <w:sz w:val="26"/>
          <w:szCs w:val="26"/>
        </w:rPr>
        <w:t>:</w:t>
      </w:r>
    </w:p>
    <w:p w14:paraId="16551A28" w14:textId="1186F3D6" w:rsidR="0011426C" w:rsidRPr="001A0F49" w:rsidRDefault="0011426C" w:rsidP="006E5BBE">
      <w:pPr>
        <w:tabs>
          <w:tab w:val="left" w:pos="5040"/>
          <w:tab w:val="right" w:pos="7200"/>
        </w:tabs>
        <w:autoSpaceDE w:val="0"/>
        <w:autoSpaceDN w:val="0"/>
        <w:rPr>
          <w:iCs/>
          <w:sz w:val="26"/>
          <w:szCs w:val="26"/>
          <w:u w:val="single"/>
        </w:rPr>
      </w:pPr>
      <w:r w:rsidRPr="001A0F49">
        <w:rPr>
          <w:iCs/>
          <w:sz w:val="26"/>
          <w:szCs w:val="26"/>
          <w:u w:val="single"/>
        </w:rPr>
        <w:t>Division</w:t>
      </w:r>
      <w:r w:rsidR="001A0F49" w:rsidRPr="001A0F49">
        <w:rPr>
          <w:iCs/>
          <w:sz w:val="26"/>
          <w:szCs w:val="26"/>
          <w:u w:val="single"/>
        </w:rPr>
        <w:t xml:space="preserve"> 0</w:t>
      </w:r>
      <w:r w:rsidRPr="001A0F49">
        <w:rPr>
          <w:iCs/>
          <w:sz w:val="26"/>
          <w:szCs w:val="26"/>
          <w:u w:val="single"/>
        </w:rPr>
        <w:t>4</w:t>
      </w:r>
      <w:r w:rsidR="001A0F49" w:rsidRPr="001A0F49">
        <w:rPr>
          <w:iCs/>
          <w:sz w:val="26"/>
          <w:szCs w:val="26"/>
          <w:u w:val="single"/>
        </w:rPr>
        <w:t xml:space="preserve"> –</w:t>
      </w:r>
      <w:r w:rsidRPr="001A0F49">
        <w:rPr>
          <w:iCs/>
          <w:sz w:val="26"/>
          <w:szCs w:val="26"/>
          <w:u w:val="single"/>
        </w:rPr>
        <w:t xml:space="preserve"> Ventilation</w:t>
      </w:r>
    </w:p>
    <w:p w14:paraId="59D92CB3" w14:textId="014513F1" w:rsidR="0011426C" w:rsidRDefault="0011426C" w:rsidP="006E5BBE">
      <w:pPr>
        <w:tabs>
          <w:tab w:val="left" w:pos="4320"/>
          <w:tab w:val="right" w:pos="7200"/>
        </w:tabs>
        <w:rPr>
          <w:sz w:val="26"/>
          <w:szCs w:val="26"/>
        </w:rPr>
      </w:pPr>
      <w:r>
        <w:rPr>
          <w:sz w:val="26"/>
          <w:szCs w:val="26"/>
        </w:rPr>
        <w:t>R.J. Olmen Company</w:t>
      </w:r>
      <w:r w:rsidR="001A0F49">
        <w:rPr>
          <w:sz w:val="26"/>
          <w:szCs w:val="26"/>
        </w:rPr>
        <w:t>,</w:t>
      </w:r>
      <w:r w:rsidR="006E5BBE">
        <w:rPr>
          <w:sz w:val="26"/>
          <w:szCs w:val="26"/>
        </w:rPr>
        <w:tab/>
      </w:r>
      <w:r w:rsidRPr="00F80ED6">
        <w:rPr>
          <w:sz w:val="26"/>
          <w:szCs w:val="26"/>
        </w:rPr>
        <w:t>Base Bi</w:t>
      </w:r>
      <w:r>
        <w:rPr>
          <w:sz w:val="26"/>
          <w:szCs w:val="26"/>
        </w:rPr>
        <w:t>d</w:t>
      </w:r>
      <w:r w:rsidR="006E5BBE">
        <w:rPr>
          <w:sz w:val="26"/>
          <w:szCs w:val="26"/>
        </w:rPr>
        <w:tab/>
      </w:r>
      <w:r w:rsidRPr="00F80ED6">
        <w:rPr>
          <w:sz w:val="26"/>
          <w:szCs w:val="26"/>
        </w:rPr>
        <w:t>$</w:t>
      </w:r>
      <w:r w:rsidRPr="00B55A26">
        <w:rPr>
          <w:sz w:val="26"/>
          <w:szCs w:val="26"/>
        </w:rPr>
        <w:t>2</w:t>
      </w:r>
      <w:r>
        <w:rPr>
          <w:sz w:val="26"/>
          <w:szCs w:val="26"/>
        </w:rPr>
        <w:t>,594,700</w:t>
      </w:r>
    </w:p>
    <w:p w14:paraId="1860FEE0" w14:textId="53EE890B" w:rsidR="006E5BBE" w:rsidRDefault="0011426C" w:rsidP="006E5BBE">
      <w:pPr>
        <w:tabs>
          <w:tab w:val="left" w:pos="4320"/>
          <w:tab w:val="right" w:pos="7200"/>
        </w:tabs>
        <w:rPr>
          <w:sz w:val="26"/>
          <w:szCs w:val="26"/>
        </w:rPr>
      </w:pPr>
      <w:r>
        <w:rPr>
          <w:sz w:val="26"/>
          <w:szCs w:val="26"/>
        </w:rPr>
        <w:t>Glenview, IL</w:t>
      </w:r>
      <w:r w:rsidR="006E5BBE">
        <w:rPr>
          <w:sz w:val="26"/>
          <w:szCs w:val="26"/>
        </w:rPr>
        <w:tab/>
      </w:r>
      <w:r>
        <w:rPr>
          <w:sz w:val="26"/>
          <w:szCs w:val="26"/>
        </w:rPr>
        <w:t>Alt. 1</w:t>
      </w:r>
      <w:r w:rsidR="006E5BBE">
        <w:rPr>
          <w:sz w:val="26"/>
          <w:szCs w:val="26"/>
        </w:rPr>
        <w:tab/>
      </w:r>
      <w:r w:rsidR="006E5BBE" w:rsidRPr="006E5BBE">
        <w:rPr>
          <w:sz w:val="26"/>
          <w:szCs w:val="26"/>
          <w:u w:val="single"/>
        </w:rPr>
        <w:t xml:space="preserve">    </w:t>
      </w:r>
      <w:r w:rsidR="006E5BBE">
        <w:rPr>
          <w:sz w:val="26"/>
          <w:szCs w:val="26"/>
          <w:u w:val="single"/>
        </w:rPr>
        <w:t xml:space="preserve">          </w:t>
      </w:r>
      <w:r w:rsidR="006E5BBE" w:rsidRPr="006E5BBE">
        <w:rPr>
          <w:sz w:val="26"/>
          <w:szCs w:val="26"/>
          <w:u w:val="single"/>
        </w:rPr>
        <w:t>-</w:t>
      </w:r>
      <w:r w:rsidR="006E5BBE">
        <w:rPr>
          <w:sz w:val="26"/>
          <w:szCs w:val="26"/>
          <w:u w:val="single"/>
        </w:rPr>
        <w:t xml:space="preserve"> </w:t>
      </w:r>
    </w:p>
    <w:p w14:paraId="75068E8F" w14:textId="3AD4400D" w:rsidR="0011426C" w:rsidRDefault="006E5BBE" w:rsidP="006E5BBE">
      <w:pPr>
        <w:tabs>
          <w:tab w:val="left" w:pos="720"/>
          <w:tab w:val="left" w:pos="4320"/>
          <w:tab w:val="right" w:pos="720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11426C" w:rsidRPr="00F80ED6">
        <w:rPr>
          <w:sz w:val="26"/>
          <w:szCs w:val="26"/>
        </w:rPr>
        <w:t>TOTAL</w:t>
      </w:r>
      <w:r w:rsidR="0011426C">
        <w:rPr>
          <w:sz w:val="26"/>
          <w:szCs w:val="26"/>
        </w:rPr>
        <w:tab/>
      </w:r>
      <w:r w:rsidR="0011426C">
        <w:rPr>
          <w:sz w:val="26"/>
          <w:szCs w:val="26"/>
        </w:rPr>
        <w:tab/>
        <w:t xml:space="preserve">       </w:t>
      </w:r>
      <w:r w:rsidR="0011426C" w:rsidRPr="00F80ED6">
        <w:rPr>
          <w:sz w:val="26"/>
          <w:szCs w:val="26"/>
        </w:rPr>
        <w:t>$</w:t>
      </w:r>
      <w:r w:rsidR="0011426C">
        <w:rPr>
          <w:sz w:val="26"/>
          <w:szCs w:val="26"/>
        </w:rPr>
        <w:t>2,594,700</w:t>
      </w:r>
    </w:p>
    <w:p w14:paraId="38B8FA11" w14:textId="77777777" w:rsidR="0011426C" w:rsidRDefault="0011426C" w:rsidP="00E35D1F">
      <w:pPr>
        <w:pStyle w:val="bdstyle2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</w:p>
    <w:p w14:paraId="0546EC6F" w14:textId="4345D0C0" w:rsidR="00E35D1F" w:rsidRDefault="00B07052" w:rsidP="00E35D1F">
      <w:pPr>
        <w:pStyle w:val="bdstyle2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A753F" w:rsidRPr="00CC0E0B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2A753F" w:rsidRPr="00E35D1F">
        <w:rPr>
          <w:rFonts w:ascii="Times New Roman" w:hAnsi="Times New Roman"/>
          <w:i/>
          <w:iCs/>
          <w:sz w:val="26"/>
          <w:szCs w:val="26"/>
        </w:rPr>
        <w:t>Statutes, The General Rules Concerning University Organization and Procedure</w:t>
      </w:r>
      <w:r w:rsidR="002A753F" w:rsidRPr="00CC0E0B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24FD387F" w14:textId="04734895" w:rsidR="00E35D1F" w:rsidRDefault="00E35D1F" w:rsidP="00E35D1F">
      <w:pPr>
        <w:pStyle w:val="bdstyle2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810AE" w:rsidRPr="00CC0E0B">
        <w:rPr>
          <w:rFonts w:ascii="Times New Roman" w:hAnsi="Times New Roman"/>
          <w:sz w:val="26"/>
          <w:szCs w:val="26"/>
        </w:rPr>
        <w:t>Funds for this project are available from</w:t>
      </w:r>
      <w:r w:rsidR="0011426C">
        <w:rPr>
          <w:rFonts w:ascii="Times New Roman" w:hAnsi="Times New Roman"/>
          <w:sz w:val="26"/>
          <w:szCs w:val="26"/>
        </w:rPr>
        <w:t xml:space="preserve"> University of Illinois Hospital Activity, Storeroom, and Service funds</w:t>
      </w:r>
      <w:r w:rsidR="004810AE" w:rsidRPr="00CC0E0B">
        <w:rPr>
          <w:rFonts w:ascii="Times New Roman" w:hAnsi="Times New Roman"/>
          <w:sz w:val="26"/>
          <w:szCs w:val="26"/>
        </w:rPr>
        <w:t>.</w:t>
      </w:r>
    </w:p>
    <w:p w14:paraId="5CDF682C" w14:textId="2BED90E7" w:rsidR="00AC266B" w:rsidRPr="00CC0E0B" w:rsidRDefault="00E35D1F" w:rsidP="00E35D1F">
      <w:pPr>
        <w:pStyle w:val="bdstyle2"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  <w:sectPr w:rsidR="00AC266B" w:rsidRPr="00CC0E0B" w:rsidSect="006E5BBE">
          <w:headerReference w:type="even" r:id="rId8"/>
          <w:headerReference w:type="default" r:id="rId9"/>
          <w:pgSz w:w="12240" w:h="15840"/>
          <w:pgMar w:top="720" w:right="1440" w:bottom="1440" w:left="1440" w:header="720" w:footer="720" w:gutter="0"/>
          <w:cols w:space="720"/>
          <w:noEndnote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ab/>
      </w:r>
      <w:r w:rsidR="002A753F" w:rsidRPr="00CC0E0B">
        <w:rPr>
          <w:rFonts w:ascii="Times New Roman" w:hAnsi="Times New Roman"/>
          <w:sz w:val="26"/>
          <w:szCs w:val="26"/>
        </w:rPr>
        <w:t>The President of the University</w:t>
      </w:r>
      <w:r w:rsidR="00B07052" w:rsidRPr="00B07052">
        <w:rPr>
          <w:rFonts w:ascii="Times New Roman" w:hAnsi="Times New Roman"/>
          <w:sz w:val="26"/>
          <w:szCs w:val="26"/>
        </w:rPr>
        <w:t xml:space="preserve"> of Illinois System</w:t>
      </w:r>
      <w:r w:rsidR="002A753F" w:rsidRPr="00CC0E0B">
        <w:rPr>
          <w:rFonts w:ascii="Times New Roman" w:hAnsi="Times New Roman"/>
          <w:sz w:val="26"/>
          <w:szCs w:val="26"/>
        </w:rPr>
        <w:t xml:space="preserve"> concurs.</w:t>
      </w:r>
    </w:p>
    <w:tbl>
      <w:tblPr>
        <w:tblW w:w="5137" w:type="pct"/>
        <w:tblLayout w:type="fixed"/>
        <w:tblLook w:val="04A0" w:firstRow="1" w:lastRow="0" w:firstColumn="1" w:lastColumn="0" w:noHBand="0" w:noVBand="1"/>
      </w:tblPr>
      <w:tblGrid>
        <w:gridCol w:w="2423"/>
        <w:gridCol w:w="1864"/>
        <w:gridCol w:w="802"/>
        <w:gridCol w:w="1651"/>
        <w:gridCol w:w="1449"/>
        <w:gridCol w:w="1736"/>
        <w:gridCol w:w="1686"/>
        <w:gridCol w:w="1704"/>
      </w:tblGrid>
      <w:tr w:rsidR="00E65A2B" w:rsidRPr="00CC0E0B" w14:paraId="3A8BCFD7" w14:textId="77777777" w:rsidTr="004F65A0">
        <w:trPr>
          <w:trHeight w:val="345"/>
        </w:trPr>
        <w:tc>
          <w:tcPr>
            <w:tcW w:w="19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E9A0" w14:textId="77777777" w:rsidR="00AC266B" w:rsidRPr="00CC0E0B" w:rsidRDefault="00AC266B" w:rsidP="00CC0E0B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lastRenderedPageBreak/>
              <w:t>Table 1: Diverse Vendor Participation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66C3" w14:textId="77777777" w:rsidR="00AC266B" w:rsidRPr="00CC0E0B" w:rsidRDefault="00AC266B" w:rsidP="00CC0E0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ECD5" w14:textId="77777777" w:rsidR="00AC266B" w:rsidRPr="00CC0E0B" w:rsidRDefault="00AC266B" w:rsidP="00CC0E0B">
            <w:pPr>
              <w:rPr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5E62" w14:textId="77777777" w:rsidR="00AC266B" w:rsidRPr="00CC0E0B" w:rsidRDefault="00AC266B" w:rsidP="00CC0E0B">
            <w:pPr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8629" w14:textId="77777777" w:rsidR="00AC266B" w:rsidRPr="00CC0E0B" w:rsidRDefault="00AC266B" w:rsidP="00CC0E0B">
            <w:pPr>
              <w:rPr>
                <w:sz w:val="26"/>
                <w:szCs w:val="2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7AFC" w14:textId="77777777" w:rsidR="00AC266B" w:rsidRPr="00CC0E0B" w:rsidRDefault="00AC266B" w:rsidP="00CC0E0B">
            <w:pPr>
              <w:rPr>
                <w:sz w:val="26"/>
                <w:szCs w:val="26"/>
              </w:rPr>
            </w:pPr>
          </w:p>
        </w:tc>
      </w:tr>
      <w:tr w:rsidR="00E65A2B" w:rsidRPr="00CC0E0B" w14:paraId="77ACF0DF" w14:textId="77777777" w:rsidTr="00E65A2B">
        <w:trPr>
          <w:trHeight w:val="1005"/>
        </w:trPr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0B15116" w14:textId="77777777" w:rsidR="00AC266B" w:rsidRPr="00CC0E0B" w:rsidRDefault="00AC266B" w:rsidP="00CC0E0B">
            <w:pPr>
              <w:jc w:val="center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Division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D8074A2" w14:textId="77777777" w:rsidR="00AC266B" w:rsidRPr="00CC0E0B" w:rsidRDefault="00AC266B" w:rsidP="00CC0E0B">
            <w:pPr>
              <w:jc w:val="center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Awarded Vendor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4075B2B" w14:textId="77777777" w:rsidR="00AC266B" w:rsidRPr="00CC0E0B" w:rsidRDefault="00AC266B" w:rsidP="00CC0E0B">
            <w:pPr>
              <w:jc w:val="center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Prime Contract Value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941652D" w14:textId="77777777" w:rsidR="00AC266B" w:rsidRPr="00CC0E0B" w:rsidRDefault="00AC266B" w:rsidP="00CC0E0B">
            <w:pPr>
              <w:jc w:val="center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Prime Diversity?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CD3400C" w14:textId="77777777" w:rsidR="00AC266B" w:rsidRPr="00CC0E0B" w:rsidRDefault="00AC266B" w:rsidP="00CC0E0B">
            <w:pPr>
              <w:jc w:val="center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Subcontractor Contract Value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F4CD7E2" w14:textId="77777777" w:rsidR="00AC266B" w:rsidRPr="00CC0E0B" w:rsidRDefault="00AC266B" w:rsidP="00CC0E0B">
            <w:pPr>
              <w:jc w:val="center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Subcontractor % of Work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7202FCE6" w14:textId="77777777" w:rsidR="00AC266B" w:rsidRPr="00CC0E0B" w:rsidRDefault="00AC266B" w:rsidP="00CC0E0B">
            <w:pPr>
              <w:jc w:val="center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Diverse Classification</w:t>
            </w:r>
          </w:p>
        </w:tc>
      </w:tr>
      <w:tr w:rsidR="00E65A2B" w:rsidRPr="00CC0E0B" w14:paraId="442A0975" w14:textId="77777777" w:rsidTr="004F65A0">
        <w:trPr>
          <w:trHeight w:val="330"/>
        </w:trPr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9BD0" w14:textId="77777777" w:rsidR="00AC266B" w:rsidRPr="00CC0E0B" w:rsidRDefault="00AC266B" w:rsidP="00CC0E0B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Division 1: General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5DB2" w14:textId="77777777" w:rsidR="00AC266B" w:rsidRPr="00CC0E0B" w:rsidRDefault="00AC266B" w:rsidP="00CC0E0B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Industria Construction, Des Plaines, IL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350E" w14:textId="48106736" w:rsidR="00AC266B" w:rsidRPr="00CC0E0B" w:rsidRDefault="00AC266B" w:rsidP="00CC0E0B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 xml:space="preserve"> $ </w:t>
            </w:r>
            <w:r w:rsidR="001D6E87">
              <w:rPr>
                <w:color w:val="000000"/>
                <w:sz w:val="26"/>
                <w:szCs w:val="26"/>
              </w:rPr>
              <w:t>642,251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272F" w14:textId="77777777" w:rsidR="00AC266B" w:rsidRPr="00CC0E0B" w:rsidRDefault="00AC266B" w:rsidP="00CC0E0B">
            <w:pPr>
              <w:jc w:val="center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N/A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32C1" w14:textId="24C90523" w:rsidR="00AC266B" w:rsidRPr="00CC0E0B" w:rsidRDefault="00AC266B" w:rsidP="00CC0E0B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 xml:space="preserve"> $</w:t>
            </w:r>
            <w:r w:rsidR="001D6E87">
              <w:rPr>
                <w:color w:val="000000"/>
                <w:sz w:val="26"/>
                <w:szCs w:val="26"/>
              </w:rPr>
              <w:t xml:space="preserve"> 1</w:t>
            </w:r>
            <w:r w:rsidR="002226F7">
              <w:rPr>
                <w:color w:val="000000"/>
                <w:sz w:val="26"/>
                <w:szCs w:val="26"/>
              </w:rPr>
              <w:t>9</w:t>
            </w:r>
            <w:r w:rsidR="001D6E87">
              <w:rPr>
                <w:color w:val="000000"/>
                <w:sz w:val="26"/>
                <w:szCs w:val="26"/>
              </w:rPr>
              <w:t>7,700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F98C" w14:textId="3B8E38DA" w:rsidR="00AC266B" w:rsidRPr="00CC0E0B" w:rsidRDefault="001D6E87" w:rsidP="00CC0E0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  <w:r w:rsidR="00AC266B" w:rsidRPr="00CC0E0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724C2" w14:textId="29B4D232" w:rsidR="00AC266B" w:rsidRPr="00CC0E0B" w:rsidRDefault="00AC266B" w:rsidP="00CC0E0B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MBE</w:t>
            </w:r>
            <w:r w:rsidR="00E65A2B">
              <w:rPr>
                <w:color w:val="000000"/>
                <w:sz w:val="26"/>
                <w:szCs w:val="26"/>
              </w:rPr>
              <w:t xml:space="preserve"> (HA)</w:t>
            </w:r>
          </w:p>
        </w:tc>
      </w:tr>
      <w:tr w:rsidR="00E65A2B" w:rsidRPr="00CC0E0B" w14:paraId="4427D2B3" w14:textId="77777777" w:rsidTr="004F65A0">
        <w:trPr>
          <w:trHeight w:val="330"/>
        </w:trPr>
        <w:tc>
          <w:tcPr>
            <w:tcW w:w="9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A553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1022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BDEC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CAD9" w14:textId="77777777" w:rsidR="001D6E87" w:rsidRPr="00CC0E0B" w:rsidRDefault="001D6E87" w:rsidP="001D6E87">
            <w:pPr>
              <w:jc w:val="center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9E95" w14:textId="4E8EE7D0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 xml:space="preserve"> $</w:t>
            </w:r>
            <w:r>
              <w:rPr>
                <w:color w:val="000000"/>
                <w:sz w:val="26"/>
                <w:szCs w:val="26"/>
              </w:rPr>
              <w:t xml:space="preserve"> 19,000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7300" w14:textId="6FF9DEED" w:rsidR="001D6E87" w:rsidRPr="00CC0E0B" w:rsidRDefault="001D6E87" w:rsidP="001D6E8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CC0E0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39BAB" w14:textId="72B70C2C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VBE</w:t>
            </w:r>
          </w:p>
        </w:tc>
      </w:tr>
      <w:tr w:rsidR="00E65A2B" w:rsidRPr="00CC0E0B" w14:paraId="7096F789" w14:textId="77777777" w:rsidTr="004F65A0">
        <w:trPr>
          <w:trHeight w:val="345"/>
        </w:trPr>
        <w:tc>
          <w:tcPr>
            <w:tcW w:w="9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063A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B9CE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Division 1: General Total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12C4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B7A7" w14:textId="77777777" w:rsidR="001D6E87" w:rsidRPr="00CC0E0B" w:rsidRDefault="001D6E87" w:rsidP="001D6E87">
            <w:pPr>
              <w:jc w:val="center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6252" w14:textId="1A7AD4E3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 xml:space="preserve"> $ </w:t>
            </w:r>
            <w:r>
              <w:rPr>
                <w:color w:val="000000"/>
                <w:sz w:val="26"/>
                <w:szCs w:val="26"/>
              </w:rPr>
              <w:t>2</w:t>
            </w:r>
            <w:r w:rsidR="002226F7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020" w14:textId="6390C056" w:rsidR="001D6E87" w:rsidRPr="00CC0E0B" w:rsidRDefault="001D6E87" w:rsidP="001D6E8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  <w:r w:rsidRPr="00CC0E0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60412" w14:textId="1EA8C388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65A2B" w:rsidRPr="00CC0E0B" w14:paraId="4B3AF8C9" w14:textId="77777777" w:rsidTr="004F65A0">
        <w:trPr>
          <w:trHeight w:val="345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2A2B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5A6F0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0D91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5F5A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B3D9" w14:textId="77777777" w:rsidR="001D6E87" w:rsidRPr="00CC0E0B" w:rsidRDefault="001D6E87" w:rsidP="001D6E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4F7F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6F70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</w:tr>
      <w:tr w:rsidR="00E65A2B" w:rsidRPr="00CC0E0B" w14:paraId="453B97E5" w14:textId="77777777" w:rsidTr="004F65A0">
        <w:trPr>
          <w:trHeight w:val="345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96FD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A2A85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1C83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B284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657F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7037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8E7F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</w:tr>
      <w:tr w:rsidR="00E65A2B" w:rsidRPr="00CC0E0B" w14:paraId="7DDD12D1" w14:textId="77777777" w:rsidTr="004F65A0">
        <w:trPr>
          <w:trHeight w:val="330"/>
        </w:trPr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0C7A" w14:textId="6B92B343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Division 3: Heating/AC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6774" w14:textId="6A25263C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Ideal Heating Company</w:t>
            </w:r>
            <w:r w:rsidRPr="00CC0E0B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Brookfield</w:t>
            </w:r>
            <w:r w:rsidRPr="00CC0E0B">
              <w:rPr>
                <w:color w:val="000000"/>
                <w:sz w:val="26"/>
                <w:szCs w:val="26"/>
              </w:rPr>
              <w:t>, IL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C3C1" w14:textId="57DBC579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 xml:space="preserve"> $</w:t>
            </w:r>
            <w:r>
              <w:rPr>
                <w:color w:val="000000"/>
                <w:sz w:val="26"/>
                <w:szCs w:val="26"/>
              </w:rPr>
              <w:t xml:space="preserve"> 1,798,888</w:t>
            </w:r>
            <w:r w:rsidRPr="00CC0E0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8B46" w14:textId="77777777" w:rsidR="001D6E87" w:rsidRPr="00CC0E0B" w:rsidRDefault="001D6E87" w:rsidP="001D6E87">
            <w:pPr>
              <w:jc w:val="center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N/A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ACD6" w14:textId="3BCD0539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 xml:space="preserve"> $ </w:t>
            </w:r>
            <w:r w:rsidR="002226F7">
              <w:rPr>
                <w:color w:val="000000"/>
                <w:sz w:val="26"/>
                <w:szCs w:val="26"/>
              </w:rPr>
              <w:t>540</w:t>
            </w:r>
            <w:r w:rsidR="000E4565">
              <w:rPr>
                <w:color w:val="000000"/>
                <w:sz w:val="26"/>
                <w:szCs w:val="26"/>
              </w:rPr>
              <w:t>,000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4E41" w14:textId="2BE1AFDF" w:rsidR="001D6E87" w:rsidRPr="00CC0E0B" w:rsidRDefault="000E4565" w:rsidP="001D6E8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  <w:r w:rsidR="001D6E87" w:rsidRPr="00CC0E0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DFC83" w14:textId="2F583716" w:rsidR="001D6E87" w:rsidRPr="00CC0E0B" w:rsidRDefault="000E4565" w:rsidP="001D6E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MBE</w:t>
            </w:r>
            <w:r w:rsidR="00E65A2B">
              <w:rPr>
                <w:color w:val="000000"/>
                <w:sz w:val="26"/>
                <w:szCs w:val="26"/>
              </w:rPr>
              <w:t xml:space="preserve"> (AFA)</w:t>
            </w:r>
          </w:p>
        </w:tc>
      </w:tr>
      <w:tr w:rsidR="00E65A2B" w:rsidRPr="00CC0E0B" w14:paraId="5D65606E" w14:textId="77777777" w:rsidTr="004F65A0">
        <w:trPr>
          <w:trHeight w:val="330"/>
        </w:trPr>
        <w:tc>
          <w:tcPr>
            <w:tcW w:w="9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C4FA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77C7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AF50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5560" w14:textId="77777777" w:rsidR="001D6E87" w:rsidRPr="00CC0E0B" w:rsidRDefault="001D6E87" w:rsidP="001D6E87">
            <w:pPr>
              <w:jc w:val="center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0F07" w14:textId="61D712CA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 xml:space="preserve"> </w:t>
            </w:r>
            <w:r w:rsidR="000E4565">
              <w:rPr>
                <w:color w:val="000000"/>
                <w:sz w:val="26"/>
                <w:szCs w:val="26"/>
              </w:rPr>
              <w:t xml:space="preserve">$ </w:t>
            </w:r>
            <w:r w:rsidR="002226F7">
              <w:rPr>
                <w:color w:val="000000"/>
                <w:sz w:val="26"/>
                <w:szCs w:val="26"/>
              </w:rPr>
              <w:t>54</w:t>
            </w:r>
            <w:r w:rsidR="000E4565">
              <w:rPr>
                <w:color w:val="000000"/>
                <w:sz w:val="26"/>
                <w:szCs w:val="26"/>
              </w:rPr>
              <w:t>,</w:t>
            </w:r>
            <w:r w:rsidR="009D342C">
              <w:rPr>
                <w:color w:val="000000"/>
                <w:sz w:val="26"/>
                <w:szCs w:val="26"/>
              </w:rPr>
              <w:t>000</w:t>
            </w:r>
            <w:r w:rsidR="009D342C" w:rsidRPr="00CC0E0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6080" w14:textId="5296B3CD" w:rsidR="001D6E87" w:rsidRPr="00CC0E0B" w:rsidRDefault="000E4565" w:rsidP="001D6E8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1D6E87" w:rsidRPr="00CC0E0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8E9FD" w14:textId="0779CFB6" w:rsidR="001D6E87" w:rsidRPr="00CC0E0B" w:rsidRDefault="000E4565" w:rsidP="001D6E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VBE</w:t>
            </w:r>
          </w:p>
        </w:tc>
      </w:tr>
      <w:tr w:rsidR="00E65A2B" w:rsidRPr="00CC0E0B" w14:paraId="55AC019D" w14:textId="77777777" w:rsidTr="004F65A0">
        <w:trPr>
          <w:trHeight w:val="345"/>
        </w:trPr>
        <w:tc>
          <w:tcPr>
            <w:tcW w:w="9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4DC8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A1C3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Division 3: Heating Work Total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80D8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B17D" w14:textId="77777777" w:rsidR="001D6E87" w:rsidRPr="00CC0E0B" w:rsidRDefault="001D6E87" w:rsidP="001D6E87">
            <w:pPr>
              <w:jc w:val="center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EC23" w14:textId="4221FCBA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 xml:space="preserve"> $ </w:t>
            </w:r>
            <w:r w:rsidR="002226F7">
              <w:rPr>
                <w:color w:val="000000"/>
                <w:sz w:val="26"/>
                <w:szCs w:val="26"/>
              </w:rPr>
              <w:t>594,000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F1DA" w14:textId="1B85078B" w:rsidR="001D6E87" w:rsidRPr="00CC0E0B" w:rsidRDefault="001D6E87" w:rsidP="001D6E87">
            <w:pPr>
              <w:jc w:val="right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3</w:t>
            </w:r>
            <w:r w:rsidR="000E4565">
              <w:rPr>
                <w:color w:val="000000"/>
                <w:sz w:val="26"/>
                <w:szCs w:val="26"/>
              </w:rPr>
              <w:t>3</w:t>
            </w:r>
            <w:r w:rsidRPr="00CC0E0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90AB1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65A2B" w:rsidRPr="00CC0E0B" w14:paraId="6100347A" w14:textId="77777777" w:rsidTr="004F65A0">
        <w:trPr>
          <w:trHeight w:val="345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D1A8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5E9E7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34E2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A681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8BFD" w14:textId="77777777" w:rsidR="001D6E87" w:rsidRPr="00CC0E0B" w:rsidRDefault="001D6E87" w:rsidP="001D6E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3CAE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BBE6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</w:tr>
      <w:tr w:rsidR="00E65A2B" w:rsidRPr="00CC0E0B" w14:paraId="21F2C217" w14:textId="77777777" w:rsidTr="004F65A0">
        <w:trPr>
          <w:trHeight w:val="345"/>
        </w:trPr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28ED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Division 4: Ventilation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E88F" w14:textId="5FC484BA" w:rsidR="001D6E87" w:rsidRPr="00CC0E0B" w:rsidRDefault="000E4565" w:rsidP="001D6E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R.J. Olmen Company</w:t>
            </w:r>
            <w:r w:rsidR="001D6E87" w:rsidRPr="00CC0E0B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Glenview</w:t>
            </w:r>
            <w:r w:rsidR="001D6E87" w:rsidRPr="00CC0E0B">
              <w:rPr>
                <w:color w:val="000000"/>
                <w:sz w:val="26"/>
                <w:szCs w:val="26"/>
              </w:rPr>
              <w:t>, IL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9556" w14:textId="78183CA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 xml:space="preserve"> $</w:t>
            </w:r>
            <w:r w:rsidR="000E4565">
              <w:rPr>
                <w:color w:val="000000"/>
                <w:sz w:val="26"/>
                <w:szCs w:val="26"/>
              </w:rPr>
              <w:t xml:space="preserve"> 2,594,700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C07D" w14:textId="77777777" w:rsidR="001D6E87" w:rsidRPr="00CC0E0B" w:rsidRDefault="001D6E87" w:rsidP="001D6E87">
            <w:pPr>
              <w:jc w:val="center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N/A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3062" w14:textId="76D267F9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 xml:space="preserve"> $ </w:t>
            </w:r>
            <w:r w:rsidR="000E4565">
              <w:rPr>
                <w:color w:val="000000"/>
                <w:sz w:val="26"/>
                <w:szCs w:val="26"/>
              </w:rPr>
              <w:t>800,000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098D" w14:textId="77777777" w:rsidR="001D6E87" w:rsidRPr="00CC0E0B" w:rsidRDefault="001D6E87" w:rsidP="001D6E87">
            <w:pPr>
              <w:jc w:val="right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30%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839EB" w14:textId="00AF203B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MBE</w:t>
            </w:r>
            <w:r w:rsidR="00E65A2B">
              <w:rPr>
                <w:color w:val="000000"/>
                <w:sz w:val="26"/>
                <w:szCs w:val="26"/>
              </w:rPr>
              <w:t xml:space="preserve"> (HA)</w:t>
            </w:r>
          </w:p>
        </w:tc>
      </w:tr>
      <w:tr w:rsidR="00E65A2B" w:rsidRPr="00CC0E0B" w14:paraId="7BAA4F85" w14:textId="77777777" w:rsidTr="004F65A0">
        <w:trPr>
          <w:trHeight w:val="345"/>
        </w:trPr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D4A4" w14:textId="77777777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895C" w14:textId="77777777" w:rsidR="000E4565" w:rsidRDefault="000E4565" w:rsidP="001D6E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4E55" w14:textId="77777777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10C2" w14:textId="77777777" w:rsidR="000E4565" w:rsidRPr="00CC0E0B" w:rsidRDefault="000E4565" w:rsidP="001D6E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D94F" w14:textId="3F5E3E11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$ 80,000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AF0D" w14:textId="5031FFC1" w:rsidR="000E4565" w:rsidRPr="00CC0E0B" w:rsidRDefault="000E4565" w:rsidP="001D6E8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3%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F4493D" w14:textId="0A098E00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VBE</w:t>
            </w:r>
          </w:p>
        </w:tc>
      </w:tr>
      <w:tr w:rsidR="00E65A2B" w:rsidRPr="00CC0E0B" w14:paraId="442D389B" w14:textId="77777777" w:rsidTr="004F65A0">
        <w:trPr>
          <w:trHeight w:val="345"/>
        </w:trPr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E98B" w14:textId="77777777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FF9F4" w14:textId="77777777" w:rsidR="000E4565" w:rsidRDefault="000E4565" w:rsidP="001D6E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Division 4: Ventilation Work</w:t>
            </w:r>
          </w:p>
          <w:p w14:paraId="25744CE5" w14:textId="2BB1BCC1" w:rsidR="000E4565" w:rsidRDefault="000E4565" w:rsidP="001D6E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Total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6A708" w14:textId="77777777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E6CC" w14:textId="77777777" w:rsidR="000E4565" w:rsidRPr="00CC0E0B" w:rsidRDefault="000E4565" w:rsidP="001D6E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1AEC" w14:textId="2DDE3A3E" w:rsidR="000E4565" w:rsidRDefault="000E4565" w:rsidP="001D6E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$ 880,000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781E" w14:textId="2F990D09" w:rsidR="000E4565" w:rsidRDefault="000E4565" w:rsidP="001D6E8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33%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A3136F" w14:textId="77777777" w:rsidR="000E4565" w:rsidRDefault="000E4565" w:rsidP="001D6E87">
            <w:pPr>
              <w:rPr>
                <w:color w:val="000000"/>
                <w:sz w:val="26"/>
                <w:szCs w:val="26"/>
              </w:rPr>
            </w:pPr>
          </w:p>
        </w:tc>
      </w:tr>
      <w:tr w:rsidR="00E65A2B" w:rsidRPr="00CC0E0B" w14:paraId="6D34FAAF" w14:textId="77777777" w:rsidTr="004F65A0">
        <w:trPr>
          <w:trHeight w:val="345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BE66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14B48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0FA7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554F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70CB" w14:textId="77777777" w:rsidR="001D6E87" w:rsidRPr="00CC0E0B" w:rsidRDefault="001D6E87" w:rsidP="001D6E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0552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F202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</w:tr>
      <w:tr w:rsidR="00E65A2B" w:rsidRPr="00CC0E0B" w14:paraId="6003CAD4" w14:textId="77777777" w:rsidTr="004F65A0">
        <w:trPr>
          <w:trHeight w:val="345"/>
        </w:trPr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021D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Division 5: Electrical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D3CD" w14:textId="40B5946C" w:rsidR="001D6E87" w:rsidRPr="00CC0E0B" w:rsidRDefault="000E4565" w:rsidP="001D6E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Canino Electric Company, Westmont,IL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1AF8" w14:textId="4E19A916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 xml:space="preserve"> $ </w:t>
            </w:r>
            <w:r w:rsidR="000E4565">
              <w:rPr>
                <w:color w:val="000000"/>
                <w:sz w:val="26"/>
                <w:szCs w:val="26"/>
              </w:rPr>
              <w:t>151,994</w:t>
            </w:r>
            <w:r w:rsidRPr="00CC0E0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581C" w14:textId="12F8BC08" w:rsidR="001D6E87" w:rsidRPr="00CC0E0B" w:rsidRDefault="000E4565" w:rsidP="001D6E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WBE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16F7" w14:textId="7403C196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 xml:space="preserve"> $ </w:t>
            </w:r>
            <w:r w:rsidR="000E4565">
              <w:rPr>
                <w:color w:val="000000"/>
                <w:sz w:val="26"/>
                <w:szCs w:val="26"/>
              </w:rPr>
              <w:t>146,994</w:t>
            </w:r>
            <w:r w:rsidRPr="00CC0E0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F80B" w14:textId="6B5240EA" w:rsidR="001D6E87" w:rsidRPr="00CC0E0B" w:rsidRDefault="009D342C" w:rsidP="001D6E8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  <w:r w:rsidR="001D6E87" w:rsidRPr="00CC0E0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290A5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WBE</w:t>
            </w:r>
          </w:p>
        </w:tc>
      </w:tr>
      <w:tr w:rsidR="00E65A2B" w:rsidRPr="00CC0E0B" w14:paraId="5EF1E902" w14:textId="77777777" w:rsidTr="004F65A0">
        <w:trPr>
          <w:trHeight w:val="345"/>
        </w:trPr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F57F" w14:textId="77777777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5AFBA" w14:textId="77777777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3AF4" w14:textId="57CDCE28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67F2" w14:textId="77777777" w:rsidR="000E4565" w:rsidRPr="00CC0E0B" w:rsidRDefault="000E4565" w:rsidP="001D6E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AFCB" w14:textId="104E37FD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$ 5,000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C268" w14:textId="4D91522F" w:rsidR="000E4565" w:rsidRPr="00CC0E0B" w:rsidRDefault="000E4565" w:rsidP="001D6E8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3%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FEA72" w14:textId="25E5AC60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VBE</w:t>
            </w:r>
          </w:p>
        </w:tc>
      </w:tr>
      <w:tr w:rsidR="00E65A2B" w:rsidRPr="00CC0E0B" w14:paraId="160BCD23" w14:textId="77777777" w:rsidTr="004F65A0">
        <w:trPr>
          <w:trHeight w:val="345"/>
        </w:trPr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5001" w14:textId="77777777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768B1" w14:textId="77777777" w:rsidR="000E4565" w:rsidRDefault="000E4565" w:rsidP="001D6E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Division 5: Electrical Work</w:t>
            </w:r>
          </w:p>
          <w:p w14:paraId="55B6D9CE" w14:textId="1A66908A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Total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8A74" w14:textId="77777777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25D15" w14:textId="77777777" w:rsidR="000E4565" w:rsidRPr="00CC0E0B" w:rsidRDefault="000E4565" w:rsidP="001D6E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9B967" w14:textId="3E5CCC12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$ 151,994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AF42" w14:textId="3A119660" w:rsidR="000E4565" w:rsidRPr="00CC0E0B" w:rsidRDefault="000E4565" w:rsidP="001D6E8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26726" w14:textId="77777777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</w:p>
        </w:tc>
      </w:tr>
      <w:tr w:rsidR="00E65A2B" w:rsidRPr="00CC0E0B" w14:paraId="0AA0F1B2" w14:textId="77777777" w:rsidTr="004F65A0">
        <w:trPr>
          <w:trHeight w:val="345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2DB7" w14:textId="77777777" w:rsidR="001D6E87" w:rsidRDefault="001D6E87" w:rsidP="001D6E87">
            <w:pPr>
              <w:rPr>
                <w:color w:val="000000"/>
                <w:sz w:val="26"/>
                <w:szCs w:val="26"/>
              </w:rPr>
            </w:pPr>
          </w:p>
          <w:p w14:paraId="0C890C66" w14:textId="301B8655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4F52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9AFD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971C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B8D2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0F7D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23A2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</w:tr>
      <w:tr w:rsidR="00E65A2B" w:rsidRPr="00CC0E0B" w14:paraId="44A44A0D" w14:textId="77777777" w:rsidTr="004F65A0">
        <w:trPr>
          <w:trHeight w:val="375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E618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1BE8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Total Awarded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706B" w14:textId="36C7BA30" w:rsidR="001D6E87" w:rsidRPr="00CC0E0B" w:rsidRDefault="001D6E87" w:rsidP="001D6E87">
            <w:pPr>
              <w:jc w:val="right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$</w:t>
            </w:r>
            <w:r w:rsidR="002226F7">
              <w:rPr>
                <w:color w:val="000000"/>
                <w:sz w:val="26"/>
                <w:szCs w:val="26"/>
              </w:rPr>
              <w:t>5,187,833</w:t>
            </w:r>
            <w:r w:rsidRPr="00CC0E0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8A3E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45068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5E20" w14:textId="77777777" w:rsidR="001D6E87" w:rsidRPr="00CC0E0B" w:rsidRDefault="001D6E87" w:rsidP="001D6E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E23E" w14:textId="77777777" w:rsidR="001D6E87" w:rsidRPr="00CC0E0B" w:rsidRDefault="001D6E87" w:rsidP="001D6E87">
            <w:pPr>
              <w:rPr>
                <w:sz w:val="26"/>
                <w:szCs w:val="26"/>
              </w:rPr>
            </w:pPr>
          </w:p>
        </w:tc>
      </w:tr>
      <w:tr w:rsidR="00E65A2B" w:rsidRPr="00CC0E0B" w14:paraId="2E922A2C" w14:textId="77777777" w:rsidTr="004F65A0">
        <w:trPr>
          <w:trHeight w:val="375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B348" w14:textId="77777777" w:rsidR="000E4565" w:rsidRPr="00CC0E0B" w:rsidRDefault="000E4565" w:rsidP="001D6E87">
            <w:pPr>
              <w:rPr>
                <w:sz w:val="26"/>
                <w:szCs w:val="26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B3D7" w14:textId="1DC1A777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Total MBE</w:t>
            </w:r>
            <w:r w:rsidR="009D342C">
              <w:rPr>
                <w:color w:val="000000"/>
                <w:sz w:val="26"/>
                <w:szCs w:val="26"/>
              </w:rPr>
              <w:t xml:space="preserve"> (</w:t>
            </w:r>
            <w:r w:rsidR="00E65A2B">
              <w:rPr>
                <w:color w:val="000000"/>
                <w:sz w:val="26"/>
                <w:szCs w:val="26"/>
              </w:rPr>
              <w:t>H</w:t>
            </w:r>
            <w:r w:rsidR="009D342C">
              <w:rPr>
                <w:color w:val="000000"/>
                <w:sz w:val="26"/>
                <w:szCs w:val="26"/>
              </w:rPr>
              <w:t>A)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FB20" w14:textId="21B94578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C10E" w14:textId="44BF8EDA" w:rsidR="000E4565" w:rsidRPr="00CC0E0B" w:rsidRDefault="000E4565" w:rsidP="002226F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$</w:t>
            </w:r>
            <w:r w:rsidR="00E65A2B">
              <w:rPr>
                <w:color w:val="000000"/>
                <w:sz w:val="26"/>
                <w:szCs w:val="26"/>
              </w:rPr>
              <w:t>997</w:t>
            </w:r>
            <w:r>
              <w:rPr>
                <w:color w:val="000000"/>
                <w:sz w:val="26"/>
                <w:szCs w:val="26"/>
              </w:rPr>
              <w:t>,700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032C67" w14:textId="03D8144B" w:rsidR="000E4565" w:rsidRPr="00CC0E0B" w:rsidRDefault="00E65A2B" w:rsidP="001D6E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="000E4565" w:rsidRPr="00CC0E0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17B3" w14:textId="77777777" w:rsidR="000E4565" w:rsidRPr="00CC0E0B" w:rsidRDefault="000E4565" w:rsidP="001D6E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1548" w14:textId="77777777" w:rsidR="000E4565" w:rsidRPr="00CC0E0B" w:rsidRDefault="000E4565" w:rsidP="001D6E87">
            <w:pPr>
              <w:rPr>
                <w:sz w:val="26"/>
                <w:szCs w:val="26"/>
              </w:rPr>
            </w:pPr>
          </w:p>
        </w:tc>
      </w:tr>
      <w:tr w:rsidR="00E65A2B" w:rsidRPr="00CC0E0B" w14:paraId="141B92AB" w14:textId="77777777" w:rsidTr="00E65A2B">
        <w:trPr>
          <w:trHeight w:val="375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B8CF7" w14:textId="77777777" w:rsidR="00E65A2B" w:rsidRPr="00CC0E0B" w:rsidRDefault="00E65A2B" w:rsidP="001D6E87">
            <w:pPr>
              <w:rPr>
                <w:sz w:val="26"/>
                <w:szCs w:val="26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C016" w14:textId="637977FB" w:rsidR="00E65A2B" w:rsidRPr="00CC0E0B" w:rsidRDefault="00E65A2B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Total MBE</w:t>
            </w:r>
            <w:r>
              <w:rPr>
                <w:color w:val="000000"/>
                <w:sz w:val="26"/>
                <w:szCs w:val="26"/>
              </w:rPr>
              <w:t xml:space="preserve"> (AFA)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FC76" w14:textId="77777777" w:rsidR="00E65A2B" w:rsidRPr="00CC0E0B" w:rsidRDefault="00E65A2B" w:rsidP="001D6E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06FF" w14:textId="20C0575C" w:rsidR="00E65A2B" w:rsidRPr="00CC0E0B" w:rsidRDefault="00E65A2B" w:rsidP="002226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$540,000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3872D18" w14:textId="4515B8E9" w:rsidR="00E65A2B" w:rsidRDefault="00E65A2B" w:rsidP="001D6E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11%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9BE00" w14:textId="77777777" w:rsidR="00E65A2B" w:rsidRPr="00CC0E0B" w:rsidRDefault="00E65A2B" w:rsidP="001D6E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AB608" w14:textId="77777777" w:rsidR="00E65A2B" w:rsidRPr="00CC0E0B" w:rsidRDefault="00E65A2B" w:rsidP="001D6E87">
            <w:pPr>
              <w:rPr>
                <w:sz w:val="26"/>
                <w:szCs w:val="26"/>
              </w:rPr>
            </w:pPr>
          </w:p>
        </w:tc>
      </w:tr>
      <w:tr w:rsidR="00E65A2B" w:rsidRPr="00CC0E0B" w14:paraId="0A074BD7" w14:textId="77777777" w:rsidTr="004F65A0">
        <w:trPr>
          <w:trHeight w:val="375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AA9C" w14:textId="77777777" w:rsidR="000E4565" w:rsidRPr="00CC0E0B" w:rsidRDefault="000E4565" w:rsidP="001D6E87">
            <w:pPr>
              <w:rPr>
                <w:sz w:val="26"/>
                <w:szCs w:val="26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FE3D" w14:textId="138F4595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 xml:space="preserve">Total </w:t>
            </w:r>
            <w:r w:rsidR="00E65A2B">
              <w:rPr>
                <w:color w:val="000000"/>
                <w:sz w:val="26"/>
                <w:szCs w:val="26"/>
              </w:rPr>
              <w:t>V</w:t>
            </w:r>
            <w:r w:rsidR="00E65A2B" w:rsidRPr="00CC0E0B">
              <w:rPr>
                <w:color w:val="000000"/>
                <w:sz w:val="26"/>
                <w:szCs w:val="26"/>
              </w:rPr>
              <w:t>BE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1C4A" w14:textId="0EC55B0D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0A38" w14:textId="4A1B9887" w:rsidR="000E4565" w:rsidRPr="00CC0E0B" w:rsidRDefault="000E4565" w:rsidP="002226F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$</w:t>
            </w:r>
            <w:r w:rsidR="00E65A2B">
              <w:rPr>
                <w:color w:val="000000"/>
                <w:sz w:val="26"/>
                <w:szCs w:val="26"/>
              </w:rPr>
              <w:t>158</w:t>
            </w:r>
            <w:r>
              <w:rPr>
                <w:color w:val="000000"/>
                <w:sz w:val="26"/>
                <w:szCs w:val="26"/>
              </w:rPr>
              <w:t>,</w:t>
            </w:r>
            <w:r w:rsidR="00E65A2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45B6D3" w14:textId="7FBE62A9" w:rsidR="000E4565" w:rsidRPr="00CC0E0B" w:rsidRDefault="002226F7" w:rsidP="001D6E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0E4565" w:rsidRPr="00CC0E0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8422" w14:textId="010B6931" w:rsidR="002226F7" w:rsidRPr="00CC0E0B" w:rsidRDefault="002226F7" w:rsidP="002226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FF85" w14:textId="77777777" w:rsidR="000E4565" w:rsidRPr="00CC0E0B" w:rsidRDefault="000E4565" w:rsidP="001D6E87">
            <w:pPr>
              <w:rPr>
                <w:sz w:val="26"/>
                <w:szCs w:val="26"/>
              </w:rPr>
            </w:pPr>
          </w:p>
        </w:tc>
      </w:tr>
      <w:tr w:rsidR="00E65A2B" w:rsidRPr="00CC0E0B" w14:paraId="41B0D108" w14:textId="77777777" w:rsidTr="004F65A0">
        <w:trPr>
          <w:trHeight w:val="375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40749" w14:textId="77777777" w:rsidR="002226F7" w:rsidRPr="00CC0E0B" w:rsidRDefault="002226F7" w:rsidP="001D6E87">
            <w:pPr>
              <w:rPr>
                <w:sz w:val="26"/>
                <w:szCs w:val="26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2B2D" w14:textId="1FB748FD" w:rsidR="002226F7" w:rsidRPr="00CC0E0B" w:rsidRDefault="00E65A2B" w:rsidP="001D6E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Total WBE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24E8" w14:textId="77777777" w:rsidR="002226F7" w:rsidRPr="00CC0E0B" w:rsidRDefault="002226F7" w:rsidP="001D6E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6D9DA9" w14:textId="5577D27F" w:rsidR="002226F7" w:rsidRDefault="00E65A2B" w:rsidP="002226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$146,994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46643D" w14:textId="70D34201" w:rsidR="002226F7" w:rsidRPr="00CC0E0B" w:rsidRDefault="00E65A2B" w:rsidP="001D6E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3%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05E23" w14:textId="77777777" w:rsidR="002226F7" w:rsidRPr="00CC0E0B" w:rsidRDefault="002226F7" w:rsidP="001D6E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846CC" w14:textId="77777777" w:rsidR="002226F7" w:rsidRPr="00CC0E0B" w:rsidRDefault="002226F7" w:rsidP="001D6E87">
            <w:pPr>
              <w:rPr>
                <w:sz w:val="26"/>
                <w:szCs w:val="26"/>
              </w:rPr>
            </w:pPr>
          </w:p>
        </w:tc>
      </w:tr>
      <w:tr w:rsidR="00E65A2B" w:rsidRPr="00CC0E0B" w14:paraId="417C0A67" w14:textId="77777777" w:rsidTr="004F65A0">
        <w:trPr>
          <w:trHeight w:val="375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2543" w14:textId="77777777" w:rsidR="000E4565" w:rsidRPr="00CC0E0B" w:rsidRDefault="000E4565" w:rsidP="001D6E87">
            <w:pPr>
              <w:rPr>
                <w:sz w:val="26"/>
                <w:szCs w:val="26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5C7C" w14:textId="0A65A8E2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Total Diversity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DAD0" w14:textId="40660D21" w:rsidR="000E4565" w:rsidRPr="00CC0E0B" w:rsidRDefault="000E4565" w:rsidP="001D6E87">
            <w:pPr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1A2844" w14:textId="56176963" w:rsidR="000E4565" w:rsidRPr="00CC0E0B" w:rsidRDefault="002226F7" w:rsidP="002226F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  <w:r w:rsidR="000E4565">
              <w:rPr>
                <w:color w:val="000000"/>
                <w:sz w:val="26"/>
                <w:szCs w:val="26"/>
              </w:rPr>
              <w:t>1,</w:t>
            </w:r>
            <w:r w:rsidR="0059158D">
              <w:rPr>
                <w:color w:val="000000"/>
                <w:sz w:val="26"/>
                <w:szCs w:val="26"/>
              </w:rPr>
              <w:t>843,194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879637" w14:textId="297D4205" w:rsidR="000E4565" w:rsidRPr="00CC0E0B" w:rsidRDefault="00E65A2B" w:rsidP="001D6E87">
            <w:pPr>
              <w:jc w:val="center"/>
              <w:rPr>
                <w:color w:val="000000"/>
                <w:sz w:val="26"/>
                <w:szCs w:val="26"/>
              </w:rPr>
            </w:pPr>
            <w:r w:rsidRPr="00CC0E0B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6</w:t>
            </w:r>
            <w:r w:rsidR="000E4565" w:rsidRPr="00CC0E0B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89D4" w14:textId="77777777" w:rsidR="000E4565" w:rsidRPr="00CC0E0B" w:rsidRDefault="000E4565" w:rsidP="001D6E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7FA7" w14:textId="77777777" w:rsidR="000E4565" w:rsidRPr="00CC0E0B" w:rsidRDefault="000E4565" w:rsidP="001D6E87">
            <w:pPr>
              <w:rPr>
                <w:sz w:val="26"/>
                <w:szCs w:val="26"/>
              </w:rPr>
            </w:pPr>
          </w:p>
        </w:tc>
      </w:tr>
      <w:tr w:rsidR="00E65A2B" w:rsidRPr="00CC0E0B" w14:paraId="77961E86" w14:textId="77777777" w:rsidTr="004F65A0">
        <w:trPr>
          <w:gridAfter w:val="6"/>
          <w:wAfter w:w="3389" w:type="pct"/>
          <w:trHeight w:val="375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D800" w14:textId="77777777" w:rsidR="000E4565" w:rsidRPr="00CC0E0B" w:rsidRDefault="000E4565" w:rsidP="001D6E87">
            <w:pPr>
              <w:rPr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BA13" w14:textId="77777777" w:rsidR="000E4565" w:rsidRPr="00CC0E0B" w:rsidRDefault="000E4565" w:rsidP="001D6E87">
            <w:pPr>
              <w:rPr>
                <w:sz w:val="26"/>
                <w:szCs w:val="26"/>
              </w:rPr>
            </w:pPr>
          </w:p>
        </w:tc>
      </w:tr>
      <w:tr w:rsidR="00E65A2B" w:rsidRPr="00CC0E0B" w14:paraId="59CA31C3" w14:textId="77777777" w:rsidTr="004F65A0">
        <w:trPr>
          <w:gridAfter w:val="6"/>
          <w:wAfter w:w="3389" w:type="pct"/>
          <w:trHeight w:val="39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00A7" w14:textId="77777777" w:rsidR="000E4565" w:rsidRPr="00CC0E0B" w:rsidRDefault="000E4565" w:rsidP="001D6E87">
            <w:pPr>
              <w:rPr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949D" w14:textId="77777777" w:rsidR="000E4565" w:rsidRPr="00CC0E0B" w:rsidRDefault="000E4565" w:rsidP="001D6E87">
            <w:pPr>
              <w:rPr>
                <w:sz w:val="26"/>
                <w:szCs w:val="26"/>
              </w:rPr>
            </w:pPr>
          </w:p>
        </w:tc>
      </w:tr>
    </w:tbl>
    <w:p w14:paraId="7864DEC3" w14:textId="1BE5E06D" w:rsidR="00AC266B" w:rsidRPr="00CC0E0B" w:rsidRDefault="00AC266B" w:rsidP="00CC0E0B">
      <w:pPr>
        <w:pStyle w:val="Default"/>
        <w:rPr>
          <w:rFonts w:ascii="Times New Roman" w:hAnsi="Times New Roman"/>
          <w:sz w:val="26"/>
          <w:szCs w:val="26"/>
        </w:rPr>
      </w:pPr>
    </w:p>
    <w:p w14:paraId="5E977EE1" w14:textId="74EB6EE1" w:rsidR="00AC266B" w:rsidRPr="00CC0E0B" w:rsidRDefault="00AC266B" w:rsidP="00CC0E0B">
      <w:pPr>
        <w:pStyle w:val="Default"/>
        <w:rPr>
          <w:rFonts w:ascii="Times New Roman" w:hAnsi="Times New Roman"/>
          <w:sz w:val="26"/>
          <w:szCs w:val="26"/>
        </w:rPr>
      </w:pPr>
    </w:p>
    <w:p w14:paraId="07099239" w14:textId="77777777" w:rsidR="00AC266B" w:rsidRPr="00CC0E0B" w:rsidRDefault="00AC266B" w:rsidP="00CC0E0B">
      <w:pPr>
        <w:pStyle w:val="Default"/>
        <w:rPr>
          <w:rFonts w:ascii="Times New Roman" w:hAnsi="Times New Roman"/>
          <w:sz w:val="26"/>
          <w:szCs w:val="26"/>
        </w:rPr>
      </w:pPr>
    </w:p>
    <w:sectPr w:rsidR="00AC266B" w:rsidRPr="00CC0E0B" w:rsidSect="00CC0E0B">
      <w:pgSz w:w="15840" w:h="12240" w:orient="landscape" w:code="1"/>
      <w:pgMar w:top="72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D8C9" w14:textId="77777777" w:rsidR="003E5BCB" w:rsidRDefault="003E5BCB" w:rsidP="0071776B">
      <w:r>
        <w:separator/>
      </w:r>
    </w:p>
  </w:endnote>
  <w:endnote w:type="continuationSeparator" w:id="0">
    <w:p w14:paraId="04F7C010" w14:textId="77777777" w:rsidR="003E5BCB" w:rsidRDefault="003E5BCB" w:rsidP="0071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C41E" w14:textId="77777777" w:rsidR="003E5BCB" w:rsidRDefault="003E5BCB" w:rsidP="0071776B">
      <w:r>
        <w:separator/>
      </w:r>
    </w:p>
  </w:footnote>
  <w:footnote w:type="continuationSeparator" w:id="0">
    <w:p w14:paraId="0F75B2A0" w14:textId="77777777" w:rsidR="003E5BCB" w:rsidRDefault="003E5BCB" w:rsidP="0071776B">
      <w:r>
        <w:continuationSeparator/>
      </w:r>
    </w:p>
  </w:footnote>
  <w:footnote w:id="1">
    <w:p w14:paraId="2A4BA727" w14:textId="5CC30956" w:rsidR="001D6E87" w:rsidRDefault="001D6E87" w:rsidP="006E5BBE">
      <w:pPr>
        <w:pStyle w:val="FootnoteText"/>
        <w:ind w:left="90" w:hanging="90"/>
      </w:pPr>
      <w:r>
        <w:rPr>
          <w:rStyle w:val="FootnoteReference"/>
        </w:rPr>
        <w:footnoteRef/>
      </w:r>
      <w:r>
        <w:t xml:space="preserve"> Contracts for other divisions of work were awarded within the delegated approval levels. Division 01</w:t>
      </w:r>
      <w:r w:rsidR="001A0F49">
        <w:t>--</w:t>
      </w:r>
      <w:r>
        <w:t>General: Industria Construction, Des Plaines, IL, $642,251; Division 03</w:t>
      </w:r>
      <w:r w:rsidR="001A0F49">
        <w:t>--</w:t>
      </w:r>
      <w:r>
        <w:t>Heating/AC: Ideal Heating Company, Brookfield, IL, $1,798,888; Division 05</w:t>
      </w:r>
      <w:r w:rsidR="001A0F49">
        <w:t>--</w:t>
      </w:r>
      <w:r>
        <w:t>Electrical: Canino Electric Company, Westmont, IL, $151,994.</w:t>
      </w:r>
    </w:p>
  </w:footnote>
  <w:footnote w:id="2">
    <w:p w14:paraId="660088F1" w14:textId="5CB96073" w:rsidR="00D267C8" w:rsidRDefault="00D267C8" w:rsidP="006E5BBE">
      <w:pPr>
        <w:pStyle w:val="FootnoteText"/>
        <w:ind w:left="90" w:hanging="90"/>
      </w:pPr>
      <w:r>
        <w:rPr>
          <w:rStyle w:val="FootnoteReference"/>
        </w:rPr>
        <w:footnoteRef/>
      </w:r>
      <w:r>
        <w:t xml:space="preserve"> Description of alternate: Upgrade temperature controls for terminal units associated with S-4 and S-10 throughout the occupied floors of the hospital. </w:t>
      </w:r>
      <w:r w:rsidR="00211613">
        <w:t xml:space="preserve">The alternate is accepted; Division 04 alternate was $0.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3082934"/>
      <w:docPartObj>
        <w:docPartGallery w:val="Page Numbers (Top of Page)"/>
        <w:docPartUnique/>
      </w:docPartObj>
    </w:sdtPr>
    <w:sdtContent>
      <w:p w14:paraId="252B0635" w14:textId="73B0E27E" w:rsidR="00E35D1F" w:rsidRDefault="00E35D1F" w:rsidP="00B7364F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B89B4F" w14:textId="77777777" w:rsidR="00E35D1F" w:rsidRDefault="00E35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6"/>
        <w:szCs w:val="26"/>
      </w:rPr>
      <w:id w:val="1368493796"/>
      <w:docPartObj>
        <w:docPartGallery w:val="Page Numbers (Top of Page)"/>
        <w:docPartUnique/>
      </w:docPartObj>
    </w:sdtPr>
    <w:sdtContent>
      <w:p w14:paraId="1FE3E0AF" w14:textId="75182A08" w:rsidR="00E35D1F" w:rsidRPr="00E35D1F" w:rsidRDefault="00E35D1F" w:rsidP="00B7364F">
        <w:pPr>
          <w:pStyle w:val="Header"/>
          <w:framePr w:wrap="none" w:vAnchor="text" w:hAnchor="margin" w:xAlign="center" w:y="1"/>
          <w:rPr>
            <w:rStyle w:val="PageNumber"/>
            <w:sz w:val="26"/>
            <w:szCs w:val="26"/>
          </w:rPr>
        </w:pPr>
        <w:r w:rsidRPr="00E35D1F">
          <w:rPr>
            <w:rStyle w:val="PageNumber"/>
            <w:sz w:val="26"/>
            <w:szCs w:val="26"/>
          </w:rPr>
          <w:fldChar w:fldCharType="begin"/>
        </w:r>
        <w:r w:rsidRPr="00E35D1F">
          <w:rPr>
            <w:rStyle w:val="PageNumber"/>
            <w:sz w:val="26"/>
            <w:szCs w:val="26"/>
          </w:rPr>
          <w:instrText xml:space="preserve"> PAGE </w:instrText>
        </w:r>
        <w:r w:rsidRPr="00E35D1F">
          <w:rPr>
            <w:rStyle w:val="PageNumber"/>
            <w:sz w:val="26"/>
            <w:szCs w:val="26"/>
          </w:rPr>
          <w:fldChar w:fldCharType="separate"/>
        </w:r>
        <w:r w:rsidRPr="00E35D1F">
          <w:rPr>
            <w:rStyle w:val="PageNumber"/>
            <w:noProof/>
            <w:sz w:val="26"/>
            <w:szCs w:val="26"/>
          </w:rPr>
          <w:t>2</w:t>
        </w:r>
        <w:r w:rsidRPr="00E35D1F">
          <w:rPr>
            <w:rStyle w:val="PageNumber"/>
            <w:sz w:val="26"/>
            <w:szCs w:val="26"/>
          </w:rPr>
          <w:fldChar w:fldCharType="end"/>
        </w:r>
      </w:p>
    </w:sdtContent>
  </w:sdt>
  <w:p w14:paraId="0B498E47" w14:textId="7C1F9410" w:rsidR="00E35D1F" w:rsidRDefault="00E35D1F">
    <w:pPr>
      <w:pStyle w:val="Header"/>
    </w:pPr>
  </w:p>
  <w:p w14:paraId="62802837" w14:textId="77777777" w:rsidR="00E35D1F" w:rsidRDefault="00E35D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CF8"/>
    <w:multiLevelType w:val="hybridMultilevel"/>
    <w:tmpl w:val="9ECEEB5A"/>
    <w:lvl w:ilvl="0" w:tplc="9DE25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0B3B14"/>
    <w:multiLevelType w:val="hybridMultilevel"/>
    <w:tmpl w:val="884AE318"/>
    <w:lvl w:ilvl="0" w:tplc="E9A890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457E273E"/>
    <w:multiLevelType w:val="hybridMultilevel"/>
    <w:tmpl w:val="C5C6E88A"/>
    <w:lvl w:ilvl="0" w:tplc="75D0519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BEE6299"/>
    <w:multiLevelType w:val="hybridMultilevel"/>
    <w:tmpl w:val="24FE752A"/>
    <w:lvl w:ilvl="0" w:tplc="F34EBD8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 w16cid:durableId="1154679771">
    <w:abstractNumId w:val="3"/>
  </w:num>
  <w:num w:numId="2" w16cid:durableId="233316368">
    <w:abstractNumId w:val="1"/>
  </w:num>
  <w:num w:numId="3" w16cid:durableId="168343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730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1Nzc3tbQ0tTQyMjRX0lEKTi0uzszPAykwrAUASiMk1SwAAAA="/>
  </w:docVars>
  <w:rsids>
    <w:rsidRoot w:val="00175BEC"/>
    <w:rsid w:val="00020457"/>
    <w:rsid w:val="000225D1"/>
    <w:rsid w:val="00023113"/>
    <w:rsid w:val="00035C81"/>
    <w:rsid w:val="00043020"/>
    <w:rsid w:val="00044A6D"/>
    <w:rsid w:val="00051CC6"/>
    <w:rsid w:val="000567A7"/>
    <w:rsid w:val="00061225"/>
    <w:rsid w:val="000650BF"/>
    <w:rsid w:val="00077538"/>
    <w:rsid w:val="000801BF"/>
    <w:rsid w:val="0008103C"/>
    <w:rsid w:val="000924D6"/>
    <w:rsid w:val="000A2DA6"/>
    <w:rsid w:val="000B2901"/>
    <w:rsid w:val="000C222A"/>
    <w:rsid w:val="000C6C54"/>
    <w:rsid w:val="000E4565"/>
    <w:rsid w:val="000F0204"/>
    <w:rsid w:val="000F29FA"/>
    <w:rsid w:val="00110CB7"/>
    <w:rsid w:val="0011166A"/>
    <w:rsid w:val="0011426C"/>
    <w:rsid w:val="001203C2"/>
    <w:rsid w:val="0012530C"/>
    <w:rsid w:val="001306D9"/>
    <w:rsid w:val="00131881"/>
    <w:rsid w:val="00140A56"/>
    <w:rsid w:val="00151D58"/>
    <w:rsid w:val="00154012"/>
    <w:rsid w:val="00163661"/>
    <w:rsid w:val="0016411C"/>
    <w:rsid w:val="0016540C"/>
    <w:rsid w:val="0016705B"/>
    <w:rsid w:val="0017058B"/>
    <w:rsid w:val="00175BEC"/>
    <w:rsid w:val="00193FC2"/>
    <w:rsid w:val="00194E65"/>
    <w:rsid w:val="001A00DE"/>
    <w:rsid w:val="001A0F49"/>
    <w:rsid w:val="001A3FA6"/>
    <w:rsid w:val="001A5F92"/>
    <w:rsid w:val="001C03C7"/>
    <w:rsid w:val="001D4FCE"/>
    <w:rsid w:val="001D6E87"/>
    <w:rsid w:val="001F1023"/>
    <w:rsid w:val="00204706"/>
    <w:rsid w:val="00206A6B"/>
    <w:rsid w:val="00211613"/>
    <w:rsid w:val="002226F7"/>
    <w:rsid w:val="0022288F"/>
    <w:rsid w:val="002346AF"/>
    <w:rsid w:val="00251E38"/>
    <w:rsid w:val="00253CFC"/>
    <w:rsid w:val="00257B76"/>
    <w:rsid w:val="0026377D"/>
    <w:rsid w:val="00270CB7"/>
    <w:rsid w:val="00280258"/>
    <w:rsid w:val="0028029B"/>
    <w:rsid w:val="00281A29"/>
    <w:rsid w:val="00286BF2"/>
    <w:rsid w:val="002969F0"/>
    <w:rsid w:val="002A2128"/>
    <w:rsid w:val="002A4D8A"/>
    <w:rsid w:val="002A753F"/>
    <w:rsid w:val="002C70DE"/>
    <w:rsid w:val="002D1D3C"/>
    <w:rsid w:val="002D2FC9"/>
    <w:rsid w:val="002D41A8"/>
    <w:rsid w:val="002E1C51"/>
    <w:rsid w:val="002F0A0E"/>
    <w:rsid w:val="002F2711"/>
    <w:rsid w:val="003043C1"/>
    <w:rsid w:val="00306C41"/>
    <w:rsid w:val="00316ABF"/>
    <w:rsid w:val="00316DD7"/>
    <w:rsid w:val="00344733"/>
    <w:rsid w:val="0036195D"/>
    <w:rsid w:val="003769E8"/>
    <w:rsid w:val="003A3593"/>
    <w:rsid w:val="003A38D6"/>
    <w:rsid w:val="003A719A"/>
    <w:rsid w:val="003C53D7"/>
    <w:rsid w:val="003C6612"/>
    <w:rsid w:val="003D0478"/>
    <w:rsid w:val="003E3A92"/>
    <w:rsid w:val="003E593D"/>
    <w:rsid w:val="003E5BCB"/>
    <w:rsid w:val="003E65BD"/>
    <w:rsid w:val="00412FDE"/>
    <w:rsid w:val="00415C0F"/>
    <w:rsid w:val="00431065"/>
    <w:rsid w:val="00436F25"/>
    <w:rsid w:val="00442FB4"/>
    <w:rsid w:val="0044747A"/>
    <w:rsid w:val="0045407F"/>
    <w:rsid w:val="004672BE"/>
    <w:rsid w:val="00470CC2"/>
    <w:rsid w:val="004800A7"/>
    <w:rsid w:val="004810AE"/>
    <w:rsid w:val="00494E15"/>
    <w:rsid w:val="004A2B6D"/>
    <w:rsid w:val="004B05D9"/>
    <w:rsid w:val="004C0C89"/>
    <w:rsid w:val="004C1477"/>
    <w:rsid w:val="004C49F4"/>
    <w:rsid w:val="004C5E9A"/>
    <w:rsid w:val="004E079B"/>
    <w:rsid w:val="004E7B9E"/>
    <w:rsid w:val="004F0E58"/>
    <w:rsid w:val="004F65A0"/>
    <w:rsid w:val="00510703"/>
    <w:rsid w:val="005119C5"/>
    <w:rsid w:val="0051310A"/>
    <w:rsid w:val="00530A4F"/>
    <w:rsid w:val="005407C7"/>
    <w:rsid w:val="0054755B"/>
    <w:rsid w:val="00567EA9"/>
    <w:rsid w:val="0059158D"/>
    <w:rsid w:val="005922CB"/>
    <w:rsid w:val="005934CC"/>
    <w:rsid w:val="005A7EA5"/>
    <w:rsid w:val="005B4AC8"/>
    <w:rsid w:val="005B7042"/>
    <w:rsid w:val="005B7E18"/>
    <w:rsid w:val="005C0477"/>
    <w:rsid w:val="005C163C"/>
    <w:rsid w:val="005D6DAC"/>
    <w:rsid w:val="00607B4C"/>
    <w:rsid w:val="006401BB"/>
    <w:rsid w:val="00645149"/>
    <w:rsid w:val="00647572"/>
    <w:rsid w:val="00650FD8"/>
    <w:rsid w:val="0066088D"/>
    <w:rsid w:val="006614F5"/>
    <w:rsid w:val="00674151"/>
    <w:rsid w:val="00677121"/>
    <w:rsid w:val="006848D3"/>
    <w:rsid w:val="00696574"/>
    <w:rsid w:val="006A0DD0"/>
    <w:rsid w:val="006B4FC0"/>
    <w:rsid w:val="006B5CC9"/>
    <w:rsid w:val="006E5BBE"/>
    <w:rsid w:val="006F49DC"/>
    <w:rsid w:val="007008A3"/>
    <w:rsid w:val="0071776B"/>
    <w:rsid w:val="00720856"/>
    <w:rsid w:val="007246F0"/>
    <w:rsid w:val="00731CEE"/>
    <w:rsid w:val="00732F4E"/>
    <w:rsid w:val="007378FF"/>
    <w:rsid w:val="00741BCF"/>
    <w:rsid w:val="007619A7"/>
    <w:rsid w:val="00784AE2"/>
    <w:rsid w:val="00790346"/>
    <w:rsid w:val="007B5AE1"/>
    <w:rsid w:val="007C5563"/>
    <w:rsid w:val="007C5C1E"/>
    <w:rsid w:val="007E75BE"/>
    <w:rsid w:val="007F290D"/>
    <w:rsid w:val="007F5EC3"/>
    <w:rsid w:val="0080133A"/>
    <w:rsid w:val="00832ED8"/>
    <w:rsid w:val="008337DE"/>
    <w:rsid w:val="00855622"/>
    <w:rsid w:val="0086297E"/>
    <w:rsid w:val="0086359D"/>
    <w:rsid w:val="00875D0A"/>
    <w:rsid w:val="0089166B"/>
    <w:rsid w:val="008A74C1"/>
    <w:rsid w:val="008A7940"/>
    <w:rsid w:val="008B3D89"/>
    <w:rsid w:val="008B7C40"/>
    <w:rsid w:val="008E5370"/>
    <w:rsid w:val="008F63DB"/>
    <w:rsid w:val="009073AD"/>
    <w:rsid w:val="0094392E"/>
    <w:rsid w:val="00966468"/>
    <w:rsid w:val="00967149"/>
    <w:rsid w:val="0097008D"/>
    <w:rsid w:val="00974247"/>
    <w:rsid w:val="009847DE"/>
    <w:rsid w:val="009A0E4D"/>
    <w:rsid w:val="009B0A7B"/>
    <w:rsid w:val="009B125F"/>
    <w:rsid w:val="009B1B73"/>
    <w:rsid w:val="009C7ED7"/>
    <w:rsid w:val="009D342C"/>
    <w:rsid w:val="009E0C32"/>
    <w:rsid w:val="009F5927"/>
    <w:rsid w:val="00A257CF"/>
    <w:rsid w:val="00A35B40"/>
    <w:rsid w:val="00A54B20"/>
    <w:rsid w:val="00A662A3"/>
    <w:rsid w:val="00A8521B"/>
    <w:rsid w:val="00A868CE"/>
    <w:rsid w:val="00A9088C"/>
    <w:rsid w:val="00AB3E95"/>
    <w:rsid w:val="00AB3F04"/>
    <w:rsid w:val="00AC266B"/>
    <w:rsid w:val="00AC746D"/>
    <w:rsid w:val="00AD0BEA"/>
    <w:rsid w:val="00AD1217"/>
    <w:rsid w:val="00AD1777"/>
    <w:rsid w:val="00AD259F"/>
    <w:rsid w:val="00AD3EB4"/>
    <w:rsid w:val="00AE0E97"/>
    <w:rsid w:val="00AF7EC3"/>
    <w:rsid w:val="00B01318"/>
    <w:rsid w:val="00B07052"/>
    <w:rsid w:val="00B117FF"/>
    <w:rsid w:val="00B11AEC"/>
    <w:rsid w:val="00B13421"/>
    <w:rsid w:val="00B16FF2"/>
    <w:rsid w:val="00B3096F"/>
    <w:rsid w:val="00B542A4"/>
    <w:rsid w:val="00B5512F"/>
    <w:rsid w:val="00B55A26"/>
    <w:rsid w:val="00B566C4"/>
    <w:rsid w:val="00B602DB"/>
    <w:rsid w:val="00B702CB"/>
    <w:rsid w:val="00B70757"/>
    <w:rsid w:val="00B72E7C"/>
    <w:rsid w:val="00B84D0E"/>
    <w:rsid w:val="00B96105"/>
    <w:rsid w:val="00BA51AF"/>
    <w:rsid w:val="00BE2848"/>
    <w:rsid w:val="00BE5794"/>
    <w:rsid w:val="00BF4EB1"/>
    <w:rsid w:val="00C00450"/>
    <w:rsid w:val="00C00709"/>
    <w:rsid w:val="00C03B8B"/>
    <w:rsid w:val="00C34D35"/>
    <w:rsid w:val="00C50085"/>
    <w:rsid w:val="00C73707"/>
    <w:rsid w:val="00C75122"/>
    <w:rsid w:val="00C81AE3"/>
    <w:rsid w:val="00C83B5A"/>
    <w:rsid w:val="00C95B9B"/>
    <w:rsid w:val="00CA0C0B"/>
    <w:rsid w:val="00CA0E1F"/>
    <w:rsid w:val="00CC0E0B"/>
    <w:rsid w:val="00CC2BFC"/>
    <w:rsid w:val="00CC4793"/>
    <w:rsid w:val="00CC530B"/>
    <w:rsid w:val="00CC768E"/>
    <w:rsid w:val="00CE7417"/>
    <w:rsid w:val="00CF564B"/>
    <w:rsid w:val="00D02ACD"/>
    <w:rsid w:val="00D16E51"/>
    <w:rsid w:val="00D267C8"/>
    <w:rsid w:val="00D337BE"/>
    <w:rsid w:val="00D36C23"/>
    <w:rsid w:val="00D418F7"/>
    <w:rsid w:val="00D52E56"/>
    <w:rsid w:val="00D62D1C"/>
    <w:rsid w:val="00D7509B"/>
    <w:rsid w:val="00D75D59"/>
    <w:rsid w:val="00D87947"/>
    <w:rsid w:val="00D932B4"/>
    <w:rsid w:val="00D946B1"/>
    <w:rsid w:val="00DA26D2"/>
    <w:rsid w:val="00DB1FF1"/>
    <w:rsid w:val="00DD5FBF"/>
    <w:rsid w:val="00DD6077"/>
    <w:rsid w:val="00DF5B68"/>
    <w:rsid w:val="00E10A22"/>
    <w:rsid w:val="00E16E8F"/>
    <w:rsid w:val="00E35D1F"/>
    <w:rsid w:val="00E43E90"/>
    <w:rsid w:val="00E47C17"/>
    <w:rsid w:val="00E60855"/>
    <w:rsid w:val="00E63B91"/>
    <w:rsid w:val="00E65A2B"/>
    <w:rsid w:val="00E67DE1"/>
    <w:rsid w:val="00E767AB"/>
    <w:rsid w:val="00E77BA7"/>
    <w:rsid w:val="00EB44F2"/>
    <w:rsid w:val="00EC3152"/>
    <w:rsid w:val="00ED03C5"/>
    <w:rsid w:val="00ED2DE7"/>
    <w:rsid w:val="00ED39B8"/>
    <w:rsid w:val="00ED75C8"/>
    <w:rsid w:val="00F0247F"/>
    <w:rsid w:val="00F1547E"/>
    <w:rsid w:val="00F20B69"/>
    <w:rsid w:val="00F21BC6"/>
    <w:rsid w:val="00F27D03"/>
    <w:rsid w:val="00F37E41"/>
    <w:rsid w:val="00F46332"/>
    <w:rsid w:val="00F46AA7"/>
    <w:rsid w:val="00F730A5"/>
    <w:rsid w:val="00F74EF4"/>
    <w:rsid w:val="00F80ED6"/>
    <w:rsid w:val="00F8759C"/>
    <w:rsid w:val="00F955CA"/>
    <w:rsid w:val="00F97EE3"/>
    <w:rsid w:val="00FA214E"/>
    <w:rsid w:val="00FA73E2"/>
    <w:rsid w:val="00FA74E4"/>
    <w:rsid w:val="00FB03DB"/>
    <w:rsid w:val="00FB3F3C"/>
    <w:rsid w:val="00FB6091"/>
    <w:rsid w:val="00FE42BA"/>
    <w:rsid w:val="00FE4441"/>
    <w:rsid w:val="00FE570C"/>
    <w:rsid w:val="00FE58CC"/>
    <w:rsid w:val="00FE7108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09DD4"/>
  <w15:chartTrackingRefBased/>
  <w15:docId w15:val="{E0320860-EB34-46C8-8BA5-94264E6C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B5A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8521B"/>
    <w:pPr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83B5A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customStyle="1" w:styleId="bdheading1">
    <w:name w:val="bdheading1"/>
    <w:basedOn w:val="Default"/>
    <w:next w:val="Default"/>
    <w:uiPriority w:val="99"/>
    <w:rsid w:val="00C83B5A"/>
    <w:rPr>
      <w:color w:val="auto"/>
    </w:rPr>
  </w:style>
  <w:style w:type="paragraph" w:customStyle="1" w:styleId="bdheading2">
    <w:name w:val="bdheading2"/>
    <w:basedOn w:val="Default"/>
    <w:next w:val="Default"/>
    <w:uiPriority w:val="99"/>
    <w:rsid w:val="00C83B5A"/>
    <w:rPr>
      <w:color w:val="auto"/>
    </w:rPr>
  </w:style>
  <w:style w:type="paragraph" w:customStyle="1" w:styleId="bdstyle1">
    <w:name w:val="bdstyle1"/>
    <w:basedOn w:val="Default"/>
    <w:next w:val="Default"/>
    <w:uiPriority w:val="99"/>
    <w:rsid w:val="00C83B5A"/>
    <w:rPr>
      <w:color w:val="auto"/>
    </w:rPr>
  </w:style>
  <w:style w:type="paragraph" w:customStyle="1" w:styleId="bdstyle2">
    <w:name w:val="bdstyle2"/>
    <w:basedOn w:val="Default"/>
    <w:next w:val="Default"/>
    <w:uiPriority w:val="99"/>
    <w:rsid w:val="00C83B5A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175BEC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415C0F"/>
    <w:rPr>
      <w:rFonts w:cs="Times New Roman"/>
      <w:sz w:val="2"/>
    </w:rPr>
  </w:style>
  <w:style w:type="paragraph" w:styleId="FootnoteText">
    <w:name w:val="footnote text"/>
    <w:basedOn w:val="Normal"/>
    <w:link w:val="FootnoteTextChar"/>
    <w:semiHidden/>
    <w:rsid w:val="0071776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1776B"/>
  </w:style>
  <w:style w:type="character" w:styleId="FootnoteReference">
    <w:name w:val="footnote reference"/>
    <w:uiPriority w:val="99"/>
    <w:semiHidden/>
    <w:rsid w:val="007177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020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F0204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0F020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F0204"/>
    <w:rPr>
      <w:sz w:val="22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B2901"/>
    <w:pPr>
      <w:spacing w:after="120"/>
    </w:pPr>
  </w:style>
  <w:style w:type="character" w:customStyle="1" w:styleId="BodyTextChar">
    <w:name w:val="Body Text Char"/>
    <w:link w:val="BodyText"/>
    <w:uiPriority w:val="99"/>
    <w:rsid w:val="000B2901"/>
    <w:rPr>
      <w:sz w:val="2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35D1F"/>
  </w:style>
  <w:style w:type="paragraph" w:styleId="Revision">
    <w:name w:val="Revision"/>
    <w:hidden/>
    <w:uiPriority w:val="99"/>
    <w:semiHidden/>
    <w:rsid w:val="002969F0"/>
    <w:rPr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A8521B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ACED3-A3A9-405F-9B19-A90F4E6F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Facilities and Services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bduitsma</dc:creator>
  <cp:keywords/>
  <cp:lastModifiedBy>Williams, Aubrie Lee</cp:lastModifiedBy>
  <cp:revision>8</cp:revision>
  <cp:lastPrinted>2018-10-08T12:14:00Z</cp:lastPrinted>
  <dcterms:created xsi:type="dcterms:W3CDTF">2022-12-16T16:32:00Z</dcterms:created>
  <dcterms:modified xsi:type="dcterms:W3CDTF">2023-01-26T17:46:00Z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4db054f510f61f94e6a7c5fb0db763190583ded44a02baebdb1b60dd6e0e4ca4</vt:lpwstr>
  </property>
</Properties>
</file>