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007" w14:textId="77777777" w:rsidR="001B6C49" w:rsidRDefault="001B6C49" w:rsidP="001B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1D139B98" w14:textId="77777777" w:rsidR="001B6C49" w:rsidRDefault="001B6C49" w:rsidP="001B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26, 2023</w:t>
      </w:r>
    </w:p>
    <w:p w14:paraId="5B1CE9B2" w14:textId="62A302F8" w:rsidR="00084704" w:rsidRPr="00084704" w:rsidRDefault="00C02174" w:rsidP="00084704">
      <w:pPr>
        <w:pStyle w:val="Default"/>
        <w:tabs>
          <w:tab w:val="left" w:pos="6480"/>
        </w:tabs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31</w:t>
      </w:r>
    </w:p>
    <w:p w14:paraId="0EA4CAB6" w14:textId="77777777" w:rsidR="00084704" w:rsidRDefault="00084704" w:rsidP="00084704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47CD14C0" w14:textId="77777777" w:rsidR="00084704" w:rsidRDefault="00084704" w:rsidP="00084704">
      <w:pPr>
        <w:pStyle w:val="Default"/>
        <w:tabs>
          <w:tab w:val="left" w:pos="64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p w14:paraId="73D1DB2B" w14:textId="5B292394" w:rsidR="00084704" w:rsidRDefault="00084704" w:rsidP="0008470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7072A5">
        <w:rPr>
          <w:rFonts w:ascii="Times New Roman" w:hAnsi="Times New Roman" w:cs="Times New Roman"/>
          <w:color w:val="auto"/>
          <w:sz w:val="26"/>
          <w:szCs w:val="26"/>
        </w:rPr>
        <w:t xml:space="preserve">Board </w:t>
      </w:r>
      <w:r w:rsidR="007072A5">
        <w:rPr>
          <w:rFonts w:ascii="Times New Roman" w:hAnsi="Times New Roman" w:cs="Times New Roman"/>
          <w:color w:val="auto"/>
          <w:sz w:val="26"/>
          <w:szCs w:val="26"/>
        </w:rPr>
        <w:t>Meet</w:t>
      </w:r>
      <w:r>
        <w:rPr>
          <w:rFonts w:ascii="Times New Roman" w:hAnsi="Times New Roman" w:cs="Times New Roman"/>
          <w:color w:val="auto"/>
          <w:sz w:val="26"/>
          <w:szCs w:val="26"/>
        </w:rPr>
        <w:t>ing</w:t>
      </w:r>
    </w:p>
    <w:p w14:paraId="76DAC008" w14:textId="5446C067" w:rsidR="00C474C6" w:rsidRPr="007D0E76" w:rsidRDefault="00084704" w:rsidP="00084704">
      <w:pPr>
        <w:pStyle w:val="Default"/>
        <w:tabs>
          <w:tab w:val="left" w:pos="720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673374">
        <w:rPr>
          <w:rFonts w:ascii="Times New Roman" w:hAnsi="Times New Roman" w:cs="Times New Roman"/>
          <w:color w:val="auto"/>
          <w:sz w:val="26"/>
          <w:szCs w:val="26"/>
        </w:rPr>
        <w:t>January 26</w:t>
      </w:r>
      <w:r w:rsidR="00206E57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7072A5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673374">
        <w:rPr>
          <w:rFonts w:ascii="Times New Roman" w:hAnsi="Times New Roman" w:cs="Times New Roman"/>
          <w:color w:val="auto"/>
          <w:sz w:val="26"/>
          <w:szCs w:val="26"/>
        </w:rPr>
        <w:t>3</w:t>
      </w:r>
    </w:p>
    <w:p w14:paraId="4105DD74" w14:textId="77777777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90D905F" w14:textId="77777777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8684F33" w14:textId="77777777" w:rsidR="00C474C6" w:rsidRPr="007D0E7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072A5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14B32455" w14:textId="77777777" w:rsidR="00C474C6" w:rsidRPr="007D0E76" w:rsidRDefault="00C474C6" w:rsidP="00FF7A5D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7858B53" w14:textId="74DD0FAD" w:rsidR="00C474C6" w:rsidRPr="00DB1E58" w:rsidRDefault="00206E57" w:rsidP="00DB1E58">
      <w:pPr>
        <w:pStyle w:val="Heading1"/>
      </w:pPr>
      <w:r w:rsidRPr="00DB1E58">
        <w:t xml:space="preserve">AMEND </w:t>
      </w:r>
      <w:r w:rsidR="00291995" w:rsidRPr="00DB1E58">
        <w:t>CONSTRUCTION MANAGEMENT</w:t>
      </w:r>
      <w:r w:rsidRPr="00DB1E58">
        <w:t xml:space="preserve"> CONTRACT</w:t>
      </w:r>
      <w:r w:rsidR="00C474C6" w:rsidRPr="00DB1E58">
        <w:t xml:space="preserve"> FOR</w:t>
      </w:r>
      <w:r w:rsidR="007D0E76" w:rsidRPr="00DB1E58">
        <w:t xml:space="preserve"> </w:t>
      </w:r>
      <w:r w:rsidR="00326606" w:rsidRPr="00DB1E58">
        <w:t>UNDERGRADUATE LIBRARY REDEVELOPMENT</w:t>
      </w:r>
      <w:r w:rsidR="007D0E76" w:rsidRPr="00DB1E58">
        <w:t>,</w:t>
      </w:r>
      <w:r w:rsidR="00C474C6" w:rsidRPr="00DB1E58">
        <w:t xml:space="preserve"> URBANA</w:t>
      </w:r>
    </w:p>
    <w:p w14:paraId="193EBCB5" w14:textId="77777777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6DA1F28" w14:textId="77777777" w:rsidR="00C474C6" w:rsidRPr="007D0E76" w:rsidRDefault="00C474C6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CBA7919" w14:textId="77777777" w:rsidR="00084704" w:rsidRDefault="00C474C6" w:rsidP="0008470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7D0E76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206E57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Amend </w:t>
      </w:r>
      <w:r w:rsidR="00673374">
        <w:rPr>
          <w:rFonts w:ascii="Times New Roman" w:hAnsi="Times New Roman" w:cs="Times New Roman"/>
          <w:color w:val="auto"/>
          <w:sz w:val="26"/>
          <w:szCs w:val="26"/>
        </w:rPr>
        <w:t>Construction Management</w:t>
      </w:r>
      <w:r w:rsidR="00206E57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 Contract </w:t>
      </w:r>
      <w:r w:rsidRPr="003D2B7D">
        <w:rPr>
          <w:rFonts w:ascii="Times New Roman" w:hAnsi="Times New Roman" w:cs="Times New Roman"/>
          <w:color w:val="auto"/>
          <w:sz w:val="26"/>
          <w:szCs w:val="26"/>
        </w:rPr>
        <w:t>for</w:t>
      </w:r>
      <w:r w:rsidR="007D0E76" w:rsidRPr="003D2B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26606">
        <w:rPr>
          <w:rFonts w:ascii="Times New Roman" w:hAnsi="Times New Roman" w:cs="Times New Roman"/>
          <w:color w:val="auto"/>
          <w:sz w:val="26"/>
          <w:szCs w:val="26"/>
        </w:rPr>
        <w:t>Undergraduate Library</w:t>
      </w:r>
      <w:r w:rsidR="0008470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8EA0C3C" w14:textId="08C48455" w:rsidR="00C474C6" w:rsidRPr="007D0E76" w:rsidRDefault="00084704" w:rsidP="0008470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326606">
        <w:rPr>
          <w:rFonts w:ascii="Times New Roman" w:hAnsi="Times New Roman" w:cs="Times New Roman"/>
          <w:color w:val="auto"/>
          <w:sz w:val="26"/>
          <w:szCs w:val="26"/>
        </w:rPr>
        <w:t>Redevelopment</w:t>
      </w:r>
      <w:r w:rsidR="00C474C6"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5E4374E" w14:textId="77777777" w:rsidR="00C474C6" w:rsidRPr="007D0E7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7D0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9B068D3" w14:textId="5993FDD6" w:rsidR="00326606" w:rsidRPr="00326606" w:rsidRDefault="00C474C6" w:rsidP="00084704">
      <w:pPr>
        <w:pStyle w:val="bdstyle1"/>
        <w:tabs>
          <w:tab w:val="clear" w:pos="720"/>
        </w:tabs>
        <w:ind w:left="0" w:firstLine="0"/>
        <w:rPr>
          <w:szCs w:val="26"/>
        </w:rPr>
      </w:pPr>
      <w:r w:rsidRPr="007D0E76">
        <w:rPr>
          <w:b/>
          <w:bCs/>
          <w:szCs w:val="26"/>
        </w:rPr>
        <w:t xml:space="preserve">Funding: </w:t>
      </w:r>
      <w:r w:rsidR="00FF7A5D" w:rsidRPr="007D0E76">
        <w:rPr>
          <w:b/>
          <w:bCs/>
          <w:szCs w:val="26"/>
        </w:rPr>
        <w:tab/>
      </w:r>
      <w:bookmarkStart w:id="2" w:name="_Hlk88501591"/>
      <w:r w:rsidR="00326606" w:rsidRPr="00326606">
        <w:rPr>
          <w:szCs w:val="26"/>
        </w:rPr>
        <w:t>Institutional Funds</w:t>
      </w:r>
      <w:r w:rsidR="000B1E70">
        <w:rPr>
          <w:szCs w:val="26"/>
        </w:rPr>
        <w:t xml:space="preserve"> Operating Budget</w:t>
      </w:r>
      <w:r w:rsidR="00D333E7">
        <w:rPr>
          <w:szCs w:val="26"/>
        </w:rPr>
        <w:t>,</w:t>
      </w:r>
      <w:r w:rsidR="00326606" w:rsidRPr="00326606">
        <w:rPr>
          <w:szCs w:val="26"/>
        </w:rPr>
        <w:t xml:space="preserve"> Academic Facilities Maintenance </w:t>
      </w:r>
      <w:r w:rsidR="00084704">
        <w:rPr>
          <w:szCs w:val="26"/>
        </w:rPr>
        <w:tab/>
      </w:r>
      <w:r w:rsidR="00326606" w:rsidRPr="00326606">
        <w:rPr>
          <w:szCs w:val="26"/>
        </w:rPr>
        <w:t>Fun</w:t>
      </w:r>
      <w:r w:rsidR="001D0C9E">
        <w:rPr>
          <w:szCs w:val="26"/>
        </w:rPr>
        <w:t>d</w:t>
      </w:r>
      <w:r w:rsidR="00326606" w:rsidRPr="00326606">
        <w:rPr>
          <w:szCs w:val="26"/>
        </w:rPr>
        <w:t xml:space="preserve"> Assessment, and Gift </w:t>
      </w:r>
      <w:r w:rsidR="00326606">
        <w:rPr>
          <w:szCs w:val="26"/>
        </w:rPr>
        <w:t>F</w:t>
      </w:r>
      <w:r w:rsidR="00326606" w:rsidRPr="00326606">
        <w:rPr>
          <w:szCs w:val="26"/>
        </w:rPr>
        <w:t>unds.</w:t>
      </w:r>
    </w:p>
    <w:bookmarkEnd w:id="2"/>
    <w:p w14:paraId="20EDEFB9" w14:textId="30CE452B" w:rsidR="00C474C6" w:rsidRDefault="00C474C6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4404754" w14:textId="77777777" w:rsidR="00084704" w:rsidRDefault="00084704" w:rsidP="00FF7A5D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691ED98E" w14:textId="03507BC4" w:rsidR="00327729" w:rsidRDefault="00326606" w:rsidP="00A95163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Pr="009579C4">
        <w:rPr>
          <w:szCs w:val="26"/>
        </w:rPr>
        <w:t>In</w:t>
      </w:r>
      <w:r w:rsidRPr="00E415C7">
        <w:rPr>
          <w:szCs w:val="26"/>
        </w:rPr>
        <w:t xml:space="preserve"> </w:t>
      </w:r>
      <w:r w:rsidR="00346A37">
        <w:rPr>
          <w:szCs w:val="26"/>
        </w:rPr>
        <w:t>January 2022</w:t>
      </w:r>
      <w:r w:rsidRPr="00E415C7">
        <w:rPr>
          <w:szCs w:val="26"/>
        </w:rPr>
        <w:t xml:space="preserve">, </w:t>
      </w:r>
      <w:r w:rsidRPr="009579C4">
        <w:rPr>
          <w:szCs w:val="26"/>
        </w:rPr>
        <w:t xml:space="preserve">the </w:t>
      </w:r>
      <w:r w:rsidR="00346A37">
        <w:rPr>
          <w:szCs w:val="26"/>
        </w:rPr>
        <w:t>Board</w:t>
      </w:r>
      <w:r>
        <w:rPr>
          <w:szCs w:val="26"/>
        </w:rPr>
        <w:t xml:space="preserve"> </w:t>
      </w:r>
      <w:r w:rsidRPr="009579C4">
        <w:rPr>
          <w:szCs w:val="26"/>
        </w:rPr>
        <w:t>approved</w:t>
      </w:r>
      <w:r w:rsidRPr="00E415C7">
        <w:rPr>
          <w:szCs w:val="26"/>
        </w:rPr>
        <w:t xml:space="preserve"> </w:t>
      </w:r>
      <w:r w:rsidR="00346A37">
        <w:rPr>
          <w:szCs w:val="26"/>
        </w:rPr>
        <w:t xml:space="preserve">the project budget of </w:t>
      </w:r>
      <w:r w:rsidR="00346A37" w:rsidRPr="00DD4012">
        <w:rPr>
          <w:szCs w:val="26"/>
        </w:rPr>
        <w:t>$50,198,160</w:t>
      </w:r>
      <w:r w:rsidR="001D0C9E">
        <w:rPr>
          <w:szCs w:val="26"/>
        </w:rPr>
        <w:t>,</w:t>
      </w:r>
      <w:r w:rsidR="00346A37">
        <w:rPr>
          <w:szCs w:val="26"/>
        </w:rPr>
        <w:t xml:space="preserve"> and the design</w:t>
      </w:r>
      <w:r w:rsidR="001D3A61" w:rsidRPr="001D3A61">
        <w:rPr>
          <w:szCs w:val="26"/>
        </w:rPr>
        <w:t xml:space="preserve"> </w:t>
      </w:r>
      <w:r w:rsidR="001D3A61" w:rsidRPr="00006331">
        <w:rPr>
          <w:szCs w:val="26"/>
        </w:rPr>
        <w:t>for t</w:t>
      </w:r>
      <w:r w:rsidR="001D3A61">
        <w:rPr>
          <w:szCs w:val="26"/>
        </w:rPr>
        <w:t>he</w:t>
      </w:r>
      <w:r w:rsidR="001D3A61" w:rsidRPr="00E415C7">
        <w:rPr>
          <w:color w:val="000000" w:themeColor="text1"/>
          <w:szCs w:val="26"/>
        </w:rPr>
        <w:t xml:space="preserve"> </w:t>
      </w:r>
      <w:r w:rsidR="001D3A61">
        <w:rPr>
          <w:szCs w:val="26"/>
        </w:rPr>
        <w:t>Undergraduate Library Redevelopment</w:t>
      </w:r>
      <w:r w:rsidR="001D3A61" w:rsidRPr="00E415C7">
        <w:rPr>
          <w:szCs w:val="26"/>
        </w:rPr>
        <w:t xml:space="preserve"> project</w:t>
      </w:r>
      <w:r w:rsidR="001D3A61">
        <w:rPr>
          <w:szCs w:val="26"/>
        </w:rPr>
        <w:t xml:space="preserve">, </w:t>
      </w:r>
      <w:bookmarkStart w:id="3" w:name="_Hlk88504792"/>
      <w:r w:rsidR="001D3A61">
        <w:rPr>
          <w:rStyle w:val="lrzxr"/>
        </w:rPr>
        <w:t>1402 W</w:t>
      </w:r>
      <w:r w:rsidR="00084704">
        <w:rPr>
          <w:rStyle w:val="lrzxr"/>
        </w:rPr>
        <w:t xml:space="preserve">est </w:t>
      </w:r>
      <w:r w:rsidR="001D3A61">
        <w:rPr>
          <w:rStyle w:val="lrzxr"/>
        </w:rPr>
        <w:t>Gregory Dr</w:t>
      </w:r>
      <w:r w:rsidR="00084704">
        <w:rPr>
          <w:rStyle w:val="lrzxr"/>
        </w:rPr>
        <w:t>ive</w:t>
      </w:r>
      <w:r w:rsidR="001D3A61">
        <w:rPr>
          <w:rStyle w:val="lrzxr"/>
        </w:rPr>
        <w:t>, Urbana</w:t>
      </w:r>
      <w:bookmarkEnd w:id="3"/>
      <w:r w:rsidR="001D3A61">
        <w:rPr>
          <w:rStyle w:val="lrzxr"/>
        </w:rPr>
        <w:t xml:space="preserve">.  </w:t>
      </w:r>
      <w:r w:rsidR="00346A37">
        <w:rPr>
          <w:szCs w:val="26"/>
        </w:rPr>
        <w:t xml:space="preserve">The </w:t>
      </w:r>
      <w:r>
        <w:rPr>
          <w:szCs w:val="26"/>
        </w:rPr>
        <w:t>design centers the Undergraduate Library</w:t>
      </w:r>
      <w:r w:rsidR="00A95163">
        <w:rPr>
          <w:szCs w:val="26"/>
        </w:rPr>
        <w:t xml:space="preserve"> for </w:t>
      </w:r>
      <w:r>
        <w:rPr>
          <w:szCs w:val="26"/>
        </w:rPr>
        <w:t>it</w:t>
      </w:r>
      <w:r w:rsidR="00A95163">
        <w:rPr>
          <w:szCs w:val="26"/>
        </w:rPr>
        <w:t>s</w:t>
      </w:r>
      <w:r>
        <w:rPr>
          <w:szCs w:val="26"/>
        </w:rPr>
        <w:t xml:space="preserve"> new role </w:t>
      </w:r>
      <w:r w:rsidR="00A95163">
        <w:rPr>
          <w:szCs w:val="26"/>
        </w:rPr>
        <w:t>as</w:t>
      </w:r>
      <w:r>
        <w:rPr>
          <w:szCs w:val="26"/>
        </w:rPr>
        <w:t xml:space="preserve"> the </w:t>
      </w:r>
      <w:r w:rsidR="00CA1DAD">
        <w:rPr>
          <w:szCs w:val="26"/>
        </w:rPr>
        <w:t>a</w:t>
      </w:r>
      <w:r w:rsidRPr="00D24D58">
        <w:rPr>
          <w:szCs w:val="26"/>
        </w:rPr>
        <w:t xml:space="preserve">rchives and </w:t>
      </w:r>
      <w:r w:rsidR="00CA1DAD">
        <w:rPr>
          <w:szCs w:val="26"/>
        </w:rPr>
        <w:t>s</w:t>
      </w:r>
      <w:r w:rsidRPr="00D24D58">
        <w:rPr>
          <w:szCs w:val="26"/>
        </w:rPr>
        <w:t xml:space="preserve">pecial </w:t>
      </w:r>
      <w:r w:rsidR="00CA1DAD">
        <w:rPr>
          <w:szCs w:val="26"/>
        </w:rPr>
        <w:t>c</w:t>
      </w:r>
      <w:r w:rsidRPr="00D24D58">
        <w:rPr>
          <w:szCs w:val="26"/>
        </w:rPr>
        <w:t xml:space="preserve">ollections </w:t>
      </w:r>
      <w:r w:rsidR="00CA1DAD">
        <w:rPr>
          <w:szCs w:val="26"/>
        </w:rPr>
        <w:t>b</w:t>
      </w:r>
      <w:r w:rsidRPr="00D24D58">
        <w:rPr>
          <w:szCs w:val="26"/>
        </w:rPr>
        <w:t>uilding</w:t>
      </w:r>
      <w:r>
        <w:rPr>
          <w:szCs w:val="26"/>
        </w:rPr>
        <w:t xml:space="preserve">. </w:t>
      </w:r>
      <w:r w:rsidR="00D333E7">
        <w:rPr>
          <w:szCs w:val="26"/>
        </w:rPr>
        <w:t xml:space="preserve">In December </w:t>
      </w:r>
      <w:r w:rsidR="002A6B8D">
        <w:rPr>
          <w:szCs w:val="26"/>
        </w:rPr>
        <w:t>2</w:t>
      </w:r>
      <w:r w:rsidR="00D333E7">
        <w:rPr>
          <w:szCs w:val="26"/>
        </w:rPr>
        <w:t>022</w:t>
      </w:r>
      <w:r w:rsidR="001D3A61" w:rsidRPr="00006331">
        <w:rPr>
          <w:szCs w:val="26"/>
        </w:rPr>
        <w:t>, the Urbana campus approved a professional services consultant</w:t>
      </w:r>
      <w:r w:rsidR="00C03BD3">
        <w:rPr>
          <w:szCs w:val="26"/>
        </w:rPr>
        <w:t xml:space="preserve"> Construction Management</w:t>
      </w:r>
      <w:r w:rsidR="001D3A61" w:rsidRPr="00006331">
        <w:rPr>
          <w:szCs w:val="26"/>
        </w:rPr>
        <w:t xml:space="preserve"> contract with </w:t>
      </w:r>
      <w:r w:rsidR="00C03BD3">
        <w:rPr>
          <w:szCs w:val="26"/>
        </w:rPr>
        <w:t>CBRE Heery</w:t>
      </w:r>
      <w:r w:rsidR="008409A2">
        <w:rPr>
          <w:szCs w:val="26"/>
        </w:rPr>
        <w:t>,</w:t>
      </w:r>
      <w:r w:rsidR="00C03BD3">
        <w:rPr>
          <w:szCs w:val="26"/>
        </w:rPr>
        <w:t xml:space="preserve"> Inc</w:t>
      </w:r>
      <w:r w:rsidR="001D0C9E">
        <w:rPr>
          <w:szCs w:val="26"/>
        </w:rPr>
        <w:t>.</w:t>
      </w:r>
      <w:r w:rsidR="001D3A61">
        <w:rPr>
          <w:szCs w:val="26"/>
        </w:rPr>
        <w:t>,</w:t>
      </w:r>
      <w:r w:rsidR="001D3A61" w:rsidRPr="00006331">
        <w:rPr>
          <w:szCs w:val="26"/>
        </w:rPr>
        <w:t xml:space="preserve"> of </w:t>
      </w:r>
      <w:r w:rsidR="00C03BD3">
        <w:rPr>
          <w:szCs w:val="26"/>
        </w:rPr>
        <w:t>Atlanta</w:t>
      </w:r>
      <w:r w:rsidR="000E48B3">
        <w:rPr>
          <w:szCs w:val="26"/>
        </w:rPr>
        <w:t xml:space="preserve">, </w:t>
      </w:r>
      <w:r w:rsidR="00C03BD3">
        <w:rPr>
          <w:szCs w:val="26"/>
        </w:rPr>
        <w:t>GA</w:t>
      </w:r>
      <w:r w:rsidR="002A6B8D">
        <w:rPr>
          <w:szCs w:val="26"/>
        </w:rPr>
        <w:t>.</w:t>
      </w:r>
      <w:r w:rsidR="00C03BD3">
        <w:rPr>
          <w:szCs w:val="26"/>
        </w:rPr>
        <w:t xml:space="preserve">  </w:t>
      </w:r>
    </w:p>
    <w:p w14:paraId="7C105304" w14:textId="789BD0DA" w:rsidR="001D3A61" w:rsidRDefault="00327729" w:rsidP="00A95163">
      <w:pPr>
        <w:tabs>
          <w:tab w:val="left" w:pos="1440"/>
        </w:tabs>
        <w:spacing w:line="480" w:lineRule="auto"/>
        <w:ind w:right="90"/>
        <w:rPr>
          <w:szCs w:val="26"/>
        </w:rPr>
      </w:pPr>
      <w:r>
        <w:rPr>
          <w:szCs w:val="26"/>
        </w:rPr>
        <w:tab/>
      </w:r>
      <w:r w:rsidR="00A95163">
        <w:rPr>
          <w:szCs w:val="26"/>
        </w:rPr>
        <w:t>For</w:t>
      </w:r>
      <w:r w:rsidR="00FA5D42" w:rsidRPr="00006331">
        <w:rPr>
          <w:szCs w:val="26"/>
        </w:rPr>
        <w:t xml:space="preserve"> the project to proceed, it is necessary to amend the </w:t>
      </w:r>
      <w:r w:rsidR="002A6B8D">
        <w:rPr>
          <w:szCs w:val="26"/>
        </w:rPr>
        <w:t xml:space="preserve">contract for </w:t>
      </w:r>
      <w:r w:rsidR="00FA5D42" w:rsidRPr="00006331">
        <w:rPr>
          <w:szCs w:val="26"/>
        </w:rPr>
        <w:t xml:space="preserve">Construction Manager services </w:t>
      </w:r>
      <w:r w:rsidR="002A6B8D">
        <w:rPr>
          <w:szCs w:val="26"/>
        </w:rPr>
        <w:t>to include</w:t>
      </w:r>
      <w:r w:rsidR="00FA5D42" w:rsidRPr="00006331">
        <w:rPr>
          <w:szCs w:val="26"/>
        </w:rPr>
        <w:t xml:space="preserve"> </w:t>
      </w:r>
      <w:r w:rsidR="002A6B8D">
        <w:rPr>
          <w:szCs w:val="26"/>
        </w:rPr>
        <w:t>additional</w:t>
      </w:r>
      <w:r w:rsidR="00FA5D42" w:rsidRPr="00006331">
        <w:rPr>
          <w:szCs w:val="26"/>
        </w:rPr>
        <w:t xml:space="preserve"> phase</w:t>
      </w:r>
      <w:r w:rsidR="002A6B8D">
        <w:rPr>
          <w:szCs w:val="26"/>
        </w:rPr>
        <w:t>s</w:t>
      </w:r>
      <w:r w:rsidR="00FA5D42" w:rsidRPr="00006331">
        <w:rPr>
          <w:szCs w:val="26"/>
        </w:rPr>
        <w:t>.</w:t>
      </w:r>
      <w:r w:rsidR="002A6B8D">
        <w:rPr>
          <w:szCs w:val="26"/>
        </w:rPr>
        <w:t xml:space="preserve">  T</w:t>
      </w:r>
      <w:r w:rsidR="00C03BD3" w:rsidRPr="00006331">
        <w:rPr>
          <w:szCs w:val="26"/>
        </w:rPr>
        <w:t>he selection of a construction manager for this project was in accordance with the requirements and provisions of the Illinois Procurement Code.</w:t>
      </w:r>
      <w:r w:rsidR="00C03BD3" w:rsidRPr="00006331">
        <w:rPr>
          <w:rStyle w:val="FootnoteReference"/>
          <w:szCs w:val="26"/>
        </w:rPr>
        <w:footnoteReference w:id="1"/>
      </w:r>
    </w:p>
    <w:p w14:paraId="2456F41A" w14:textId="4130C112" w:rsidR="00FA5D42" w:rsidRDefault="00E96188" w:rsidP="0003135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ab/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Accordingly, the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Chancellor, University of Illinois </w:t>
      </w:r>
      <w:r w:rsidR="00DE48DD" w:rsidRPr="008D223A">
        <w:rPr>
          <w:rFonts w:ascii="Times New Roman" w:hAnsi="Times New Roman" w:cs="Times New Roman"/>
          <w:sz w:val="26"/>
          <w:szCs w:val="26"/>
        </w:rPr>
        <w:t xml:space="preserve">Urbana-Champaign, and </w:t>
      </w:r>
      <w:r w:rsidR="000168FA" w:rsidRPr="008D223A">
        <w:rPr>
          <w:rFonts w:ascii="Times New Roman" w:hAnsi="Times New Roman" w:cs="Times New Roman"/>
          <w:sz w:val="26"/>
          <w:szCs w:val="26"/>
        </w:rPr>
        <w:t>Vice President, University of Illinois</w:t>
      </w:r>
      <w:r>
        <w:rPr>
          <w:rFonts w:ascii="Times New Roman" w:hAnsi="Times New Roman" w:cs="Times New Roman"/>
          <w:sz w:val="26"/>
          <w:szCs w:val="26"/>
        </w:rPr>
        <w:t>,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F339F2">
        <w:rPr>
          <w:rFonts w:ascii="Times New Roman" w:hAnsi="Times New Roman" w:cs="Times New Roman"/>
          <w:sz w:val="26"/>
          <w:szCs w:val="26"/>
        </w:rPr>
        <w:t>,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recommends</w:t>
      </w:r>
      <w:r w:rsidR="000168FA" w:rsidRPr="000168FA">
        <w:rPr>
          <w:rFonts w:ascii="Times New Roman" w:hAnsi="Times New Roman" w:cs="Times New Roman"/>
          <w:sz w:val="26"/>
          <w:szCs w:val="26"/>
        </w:rPr>
        <w:t xml:space="preserve"> </w:t>
      </w:r>
      <w:r w:rsidR="00FA5D42" w:rsidRPr="00175586">
        <w:rPr>
          <w:rFonts w:ascii="Times New Roman" w:hAnsi="Times New Roman" w:cs="Times New Roman"/>
          <w:sz w:val="26"/>
          <w:szCs w:val="26"/>
        </w:rPr>
        <w:t>that CBRE Heery</w:t>
      </w:r>
      <w:r w:rsidR="002A6B8D">
        <w:rPr>
          <w:rFonts w:ascii="Times New Roman" w:hAnsi="Times New Roman" w:cs="Times New Roman"/>
          <w:sz w:val="26"/>
          <w:szCs w:val="26"/>
        </w:rPr>
        <w:t>,</w:t>
      </w:r>
      <w:r w:rsidR="00FA5D42" w:rsidRPr="00175586">
        <w:rPr>
          <w:rFonts w:ascii="Times New Roman" w:hAnsi="Times New Roman" w:cs="Times New Roman"/>
          <w:sz w:val="26"/>
          <w:szCs w:val="26"/>
        </w:rPr>
        <w:t xml:space="preserve"> Inc.</w:t>
      </w:r>
      <w:r w:rsidR="007A70C2">
        <w:rPr>
          <w:rFonts w:ascii="Times New Roman" w:hAnsi="Times New Roman" w:cs="Times New Roman"/>
          <w:sz w:val="26"/>
          <w:szCs w:val="26"/>
        </w:rPr>
        <w:t>,</w:t>
      </w:r>
      <w:r w:rsidR="00FA5D42">
        <w:rPr>
          <w:rFonts w:ascii="Times New Roman" w:hAnsi="Times New Roman" w:cs="Times New Roman"/>
          <w:szCs w:val="26"/>
        </w:rPr>
        <w:t xml:space="preserve"> 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continue to be employed and their contract amended for the </w:t>
      </w:r>
      <w:r w:rsidR="00FA5D42">
        <w:rPr>
          <w:rFonts w:ascii="Times New Roman" w:hAnsi="Times New Roman" w:cs="Times New Roman"/>
          <w:sz w:val="26"/>
          <w:szCs w:val="26"/>
        </w:rPr>
        <w:t>Construction Management</w:t>
      </w:r>
      <w:r w:rsidR="000168FA" w:rsidRPr="008D223A">
        <w:rPr>
          <w:rFonts w:ascii="Times New Roman" w:hAnsi="Times New Roman" w:cs="Times New Roman"/>
          <w:sz w:val="26"/>
          <w:szCs w:val="26"/>
        </w:rPr>
        <w:t xml:space="preserve"> services required for the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F339F2">
        <w:rPr>
          <w:rFonts w:ascii="Times New Roman" w:hAnsi="Times New Roman" w:cs="Times New Roman"/>
          <w:sz w:val="26"/>
          <w:szCs w:val="26"/>
        </w:rPr>
        <w:t>c</w:t>
      </w:r>
      <w:r w:rsidR="005456DD">
        <w:rPr>
          <w:rFonts w:ascii="Times New Roman" w:hAnsi="Times New Roman" w:cs="Times New Roman"/>
          <w:sz w:val="26"/>
          <w:szCs w:val="26"/>
        </w:rPr>
        <w:t xml:space="preserve">onstruction </w:t>
      </w:r>
      <w:r w:rsidR="00F339F2">
        <w:rPr>
          <w:rFonts w:ascii="Times New Roman" w:hAnsi="Times New Roman" w:cs="Times New Roman"/>
          <w:sz w:val="26"/>
          <w:szCs w:val="26"/>
        </w:rPr>
        <w:t>a</w:t>
      </w:r>
      <w:r w:rsidR="005456DD">
        <w:rPr>
          <w:rFonts w:ascii="Times New Roman" w:hAnsi="Times New Roman" w:cs="Times New Roman"/>
          <w:sz w:val="26"/>
          <w:szCs w:val="26"/>
        </w:rPr>
        <w:t>dministration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phase of the project.</w:t>
      </w:r>
      <w:r w:rsidR="00F339F2">
        <w:rPr>
          <w:rFonts w:ascii="Times New Roman" w:hAnsi="Times New Roman" w:cs="Times New Roman"/>
          <w:sz w:val="26"/>
          <w:szCs w:val="26"/>
        </w:rPr>
        <w:t xml:space="preserve">  The current contract for </w:t>
      </w:r>
      <w:r w:rsidR="00FA5D42">
        <w:rPr>
          <w:rFonts w:ascii="Times New Roman" w:hAnsi="Times New Roman" w:cs="Times New Roman"/>
          <w:sz w:val="26"/>
          <w:szCs w:val="26"/>
        </w:rPr>
        <w:t>construction management</w:t>
      </w:r>
      <w:r w:rsidR="00F339F2">
        <w:rPr>
          <w:rFonts w:ascii="Times New Roman" w:hAnsi="Times New Roman" w:cs="Times New Roman"/>
          <w:sz w:val="26"/>
          <w:szCs w:val="26"/>
        </w:rPr>
        <w:t xml:space="preserve"> </w:t>
      </w:r>
      <w:r w:rsidR="002A6B8D">
        <w:rPr>
          <w:rFonts w:ascii="Times New Roman" w:hAnsi="Times New Roman" w:cs="Times New Roman"/>
          <w:sz w:val="26"/>
          <w:szCs w:val="26"/>
        </w:rPr>
        <w:t xml:space="preserve">totals </w:t>
      </w:r>
      <w:r w:rsidR="00F339F2">
        <w:rPr>
          <w:rFonts w:ascii="Times New Roman" w:hAnsi="Times New Roman" w:cs="Times New Roman"/>
          <w:sz w:val="26"/>
          <w:szCs w:val="26"/>
        </w:rPr>
        <w:t>$</w:t>
      </w:r>
      <w:r w:rsidR="00FA5D42">
        <w:rPr>
          <w:rFonts w:ascii="Times New Roman" w:hAnsi="Times New Roman" w:cs="Times New Roman"/>
          <w:sz w:val="26"/>
          <w:szCs w:val="26"/>
        </w:rPr>
        <w:t>2</w:t>
      </w:r>
      <w:r w:rsidR="00BA43CA">
        <w:rPr>
          <w:rFonts w:ascii="Times New Roman" w:hAnsi="Times New Roman" w:cs="Times New Roman"/>
          <w:sz w:val="26"/>
          <w:szCs w:val="26"/>
        </w:rPr>
        <w:t>64</w:t>
      </w:r>
      <w:r w:rsidR="00F339F2">
        <w:rPr>
          <w:rFonts w:ascii="Times New Roman" w:hAnsi="Times New Roman" w:cs="Times New Roman"/>
          <w:sz w:val="26"/>
          <w:szCs w:val="26"/>
        </w:rPr>
        <w:t>,</w:t>
      </w:r>
      <w:r w:rsidR="00BA43CA">
        <w:rPr>
          <w:rFonts w:ascii="Times New Roman" w:hAnsi="Times New Roman" w:cs="Times New Roman"/>
          <w:sz w:val="26"/>
          <w:szCs w:val="26"/>
        </w:rPr>
        <w:t>8</w:t>
      </w:r>
      <w:r w:rsidR="00FA5D42">
        <w:rPr>
          <w:rFonts w:ascii="Times New Roman" w:hAnsi="Times New Roman" w:cs="Times New Roman"/>
          <w:sz w:val="26"/>
          <w:szCs w:val="26"/>
        </w:rPr>
        <w:t>9</w:t>
      </w:r>
      <w:r w:rsidR="00F339F2">
        <w:rPr>
          <w:rFonts w:ascii="Times New Roman" w:hAnsi="Times New Roman" w:cs="Times New Roman"/>
          <w:sz w:val="26"/>
          <w:szCs w:val="26"/>
        </w:rPr>
        <w:t>0</w:t>
      </w:r>
      <w:r w:rsidR="002A6B8D">
        <w:rPr>
          <w:rFonts w:ascii="Times New Roman" w:hAnsi="Times New Roman" w:cs="Times New Roman"/>
          <w:sz w:val="26"/>
          <w:szCs w:val="26"/>
        </w:rPr>
        <w:t xml:space="preserve"> and covers the construction documents and construction bid and award phases</w:t>
      </w:r>
      <w:r w:rsidR="00F339F2">
        <w:rPr>
          <w:rFonts w:ascii="Times New Roman" w:hAnsi="Times New Roman" w:cs="Times New Roman"/>
          <w:sz w:val="26"/>
          <w:szCs w:val="26"/>
        </w:rPr>
        <w:t xml:space="preserve">. </w:t>
      </w:r>
      <w:r w:rsidR="000168FA" w:rsidRPr="001A236D">
        <w:rPr>
          <w:rFonts w:ascii="Times New Roman" w:hAnsi="Times New Roman" w:cs="Times New Roman"/>
          <w:sz w:val="26"/>
          <w:szCs w:val="26"/>
        </w:rPr>
        <w:t xml:space="preserve"> </w:t>
      </w:r>
      <w:r w:rsidR="00FA5D42" w:rsidRPr="00FA5D42">
        <w:rPr>
          <w:rFonts w:ascii="Times New Roman" w:hAnsi="Times New Roman" w:cs="Times New Roman"/>
          <w:sz w:val="26"/>
          <w:szCs w:val="26"/>
        </w:rPr>
        <w:t>The requested amendment of $1,</w:t>
      </w:r>
      <w:r w:rsidR="00BA43CA">
        <w:rPr>
          <w:rFonts w:ascii="Times New Roman" w:hAnsi="Times New Roman" w:cs="Times New Roman"/>
          <w:sz w:val="26"/>
          <w:szCs w:val="26"/>
        </w:rPr>
        <w:t>744</w:t>
      </w:r>
      <w:r w:rsidR="00FA5D42">
        <w:rPr>
          <w:rFonts w:ascii="Times New Roman" w:hAnsi="Times New Roman" w:cs="Times New Roman"/>
          <w:sz w:val="26"/>
          <w:szCs w:val="26"/>
        </w:rPr>
        <w:t>,</w:t>
      </w:r>
      <w:r w:rsidR="00BA43CA">
        <w:rPr>
          <w:rFonts w:ascii="Times New Roman" w:hAnsi="Times New Roman" w:cs="Times New Roman"/>
          <w:sz w:val="26"/>
          <w:szCs w:val="26"/>
        </w:rPr>
        <w:t>2</w:t>
      </w:r>
      <w:r w:rsidR="00FA5D42">
        <w:rPr>
          <w:rFonts w:ascii="Times New Roman" w:hAnsi="Times New Roman" w:cs="Times New Roman"/>
          <w:sz w:val="26"/>
          <w:szCs w:val="26"/>
        </w:rPr>
        <w:t>32</w:t>
      </w:r>
      <w:r w:rsidR="00FA5D42" w:rsidRPr="00FA5D42">
        <w:rPr>
          <w:rFonts w:ascii="Times New Roman" w:hAnsi="Times New Roman" w:cs="Times New Roman"/>
          <w:sz w:val="26"/>
          <w:szCs w:val="26"/>
        </w:rPr>
        <w:t xml:space="preserve"> will bring the total amended contract value to $</w:t>
      </w:r>
      <w:r w:rsidR="00BA43CA">
        <w:rPr>
          <w:rFonts w:ascii="Times New Roman" w:hAnsi="Times New Roman" w:cs="Times New Roman"/>
          <w:sz w:val="26"/>
          <w:szCs w:val="26"/>
        </w:rPr>
        <w:t>2</w:t>
      </w:r>
      <w:r w:rsidR="00FA5D42" w:rsidRPr="00FA5D42">
        <w:rPr>
          <w:rFonts w:ascii="Times New Roman" w:hAnsi="Times New Roman" w:cs="Times New Roman"/>
          <w:sz w:val="26"/>
          <w:szCs w:val="26"/>
        </w:rPr>
        <w:t>,</w:t>
      </w:r>
      <w:r w:rsidR="00BA43CA">
        <w:rPr>
          <w:rFonts w:ascii="Times New Roman" w:hAnsi="Times New Roman" w:cs="Times New Roman"/>
          <w:sz w:val="26"/>
          <w:szCs w:val="26"/>
        </w:rPr>
        <w:t>009</w:t>
      </w:r>
      <w:r w:rsidR="00FA5D42" w:rsidRPr="00FA5D42">
        <w:rPr>
          <w:rFonts w:ascii="Times New Roman" w:hAnsi="Times New Roman" w:cs="Times New Roman"/>
          <w:sz w:val="26"/>
          <w:szCs w:val="26"/>
        </w:rPr>
        <w:t>,</w:t>
      </w:r>
      <w:r w:rsidR="00BA43CA">
        <w:rPr>
          <w:rFonts w:ascii="Times New Roman" w:hAnsi="Times New Roman" w:cs="Times New Roman"/>
          <w:sz w:val="26"/>
          <w:szCs w:val="26"/>
        </w:rPr>
        <w:t>122</w:t>
      </w:r>
      <w:r w:rsidR="002A6B8D">
        <w:rPr>
          <w:rFonts w:ascii="Times New Roman" w:hAnsi="Times New Roman" w:cs="Times New Roman"/>
          <w:sz w:val="26"/>
          <w:szCs w:val="26"/>
        </w:rPr>
        <w:t xml:space="preserve"> and cover construction administration and post-construction phases. </w:t>
      </w:r>
      <w:r w:rsidR="00FA5D42" w:rsidRPr="00FA5D42">
        <w:rPr>
          <w:rFonts w:ascii="Times New Roman" w:hAnsi="Times New Roman" w:cs="Times New Roman"/>
          <w:sz w:val="26"/>
          <w:szCs w:val="26"/>
        </w:rPr>
        <w:t xml:space="preserve"> The contract </w:t>
      </w:r>
      <w:r w:rsidR="00D333E7">
        <w:rPr>
          <w:rFonts w:ascii="Times New Roman" w:hAnsi="Times New Roman" w:cs="Times New Roman"/>
          <w:sz w:val="26"/>
          <w:szCs w:val="26"/>
        </w:rPr>
        <w:t>amendment can be</w:t>
      </w:r>
      <w:r w:rsidR="00D333E7" w:rsidRPr="00FA5D42">
        <w:rPr>
          <w:rFonts w:ascii="Times New Roman" w:hAnsi="Times New Roman" w:cs="Times New Roman"/>
          <w:sz w:val="26"/>
          <w:szCs w:val="26"/>
        </w:rPr>
        <w:t xml:space="preserve"> </w:t>
      </w:r>
      <w:r w:rsidR="00FA5D42" w:rsidRPr="00FA5D42">
        <w:rPr>
          <w:rFonts w:ascii="Times New Roman" w:hAnsi="Times New Roman" w:cs="Times New Roman"/>
          <w:sz w:val="26"/>
          <w:szCs w:val="26"/>
        </w:rPr>
        <w:t>broken down as follows:</w:t>
      </w:r>
      <w:r w:rsidR="00BA43CA">
        <w:rPr>
          <w:rFonts w:ascii="Times New Roman" w:hAnsi="Times New Roman" w:cs="Times New Roman"/>
          <w:sz w:val="26"/>
          <w:szCs w:val="26"/>
        </w:rPr>
        <w:t xml:space="preserve"> </w:t>
      </w:r>
      <w:r w:rsidR="00FA5D42" w:rsidRPr="00FA5D42">
        <w:rPr>
          <w:rFonts w:ascii="Times New Roman" w:hAnsi="Times New Roman" w:cs="Times New Roman"/>
          <w:sz w:val="26"/>
          <w:szCs w:val="26"/>
        </w:rPr>
        <w:t>for staff costs on an hourly basis not to exceed $1,</w:t>
      </w:r>
      <w:r w:rsidR="00BA43CA">
        <w:rPr>
          <w:rFonts w:ascii="Times New Roman" w:hAnsi="Times New Roman" w:cs="Times New Roman"/>
          <w:sz w:val="26"/>
          <w:szCs w:val="26"/>
        </w:rPr>
        <w:t>499</w:t>
      </w:r>
      <w:r w:rsidR="00FA5D42" w:rsidRPr="00FA5D42">
        <w:rPr>
          <w:rFonts w:ascii="Times New Roman" w:hAnsi="Times New Roman" w:cs="Times New Roman"/>
          <w:sz w:val="26"/>
          <w:szCs w:val="26"/>
        </w:rPr>
        <w:t>,</w:t>
      </w:r>
      <w:r w:rsidR="00BA43CA">
        <w:rPr>
          <w:rFonts w:ascii="Times New Roman" w:hAnsi="Times New Roman" w:cs="Times New Roman"/>
          <w:sz w:val="26"/>
          <w:szCs w:val="26"/>
        </w:rPr>
        <w:t>208</w:t>
      </w:r>
      <w:r w:rsidR="00376904">
        <w:rPr>
          <w:rFonts w:ascii="Times New Roman" w:hAnsi="Times New Roman" w:cs="Times New Roman"/>
          <w:sz w:val="26"/>
          <w:szCs w:val="26"/>
        </w:rPr>
        <w:t xml:space="preserve"> </w:t>
      </w:r>
      <w:r w:rsidR="00BA43CA">
        <w:rPr>
          <w:rFonts w:ascii="Times New Roman" w:hAnsi="Times New Roman" w:cs="Times New Roman"/>
          <w:sz w:val="26"/>
          <w:szCs w:val="26"/>
        </w:rPr>
        <w:t xml:space="preserve">for </w:t>
      </w:r>
      <w:r w:rsidR="002A6B8D">
        <w:rPr>
          <w:rFonts w:ascii="Times New Roman" w:hAnsi="Times New Roman" w:cs="Times New Roman"/>
          <w:sz w:val="26"/>
          <w:szCs w:val="26"/>
        </w:rPr>
        <w:t>construction administration</w:t>
      </w:r>
      <w:r w:rsidR="00376904">
        <w:rPr>
          <w:rFonts w:ascii="Times New Roman" w:hAnsi="Times New Roman" w:cs="Times New Roman"/>
          <w:sz w:val="26"/>
          <w:szCs w:val="26"/>
        </w:rPr>
        <w:t xml:space="preserve"> and</w:t>
      </w:r>
      <w:r w:rsidR="00BA43CA">
        <w:rPr>
          <w:rFonts w:ascii="Times New Roman" w:hAnsi="Times New Roman" w:cs="Times New Roman"/>
          <w:sz w:val="26"/>
          <w:szCs w:val="26"/>
        </w:rPr>
        <w:t xml:space="preserve"> </w:t>
      </w:r>
      <w:r w:rsidR="00AE4B74">
        <w:rPr>
          <w:rFonts w:ascii="Times New Roman" w:hAnsi="Times New Roman" w:cs="Times New Roman"/>
          <w:sz w:val="26"/>
          <w:szCs w:val="26"/>
        </w:rPr>
        <w:t xml:space="preserve">$34,524 for </w:t>
      </w:r>
      <w:r w:rsidR="002A6B8D">
        <w:rPr>
          <w:rFonts w:ascii="Times New Roman" w:hAnsi="Times New Roman" w:cs="Times New Roman"/>
          <w:sz w:val="26"/>
          <w:szCs w:val="26"/>
        </w:rPr>
        <w:t>post-construction</w:t>
      </w:r>
      <w:r w:rsidR="00FA5D42" w:rsidRPr="00FA5D42">
        <w:rPr>
          <w:rFonts w:ascii="Times New Roman" w:hAnsi="Times New Roman" w:cs="Times New Roman"/>
          <w:sz w:val="26"/>
          <w:szCs w:val="26"/>
        </w:rPr>
        <w:t>; and for authorized reimbursable expenses estimated at $</w:t>
      </w:r>
      <w:r w:rsidR="00BA43CA">
        <w:rPr>
          <w:rFonts w:ascii="Times New Roman" w:hAnsi="Times New Roman" w:cs="Times New Roman"/>
          <w:sz w:val="26"/>
          <w:szCs w:val="26"/>
        </w:rPr>
        <w:t>210</w:t>
      </w:r>
      <w:r w:rsidR="00FA5D42" w:rsidRPr="00FA5D42">
        <w:rPr>
          <w:rFonts w:ascii="Times New Roman" w:hAnsi="Times New Roman" w:cs="Times New Roman"/>
          <w:sz w:val="26"/>
          <w:szCs w:val="26"/>
        </w:rPr>
        <w:t>,5</w:t>
      </w:r>
      <w:r w:rsidR="00BA43CA">
        <w:rPr>
          <w:rFonts w:ascii="Times New Roman" w:hAnsi="Times New Roman" w:cs="Times New Roman"/>
          <w:sz w:val="26"/>
          <w:szCs w:val="26"/>
        </w:rPr>
        <w:t>0</w:t>
      </w:r>
      <w:r w:rsidR="00FA5D42" w:rsidRPr="00FA5D42">
        <w:rPr>
          <w:rFonts w:ascii="Times New Roman" w:hAnsi="Times New Roman" w:cs="Times New Roman"/>
          <w:sz w:val="26"/>
          <w:szCs w:val="26"/>
        </w:rPr>
        <w:t>0.</w:t>
      </w:r>
    </w:p>
    <w:p w14:paraId="37877690" w14:textId="77777777" w:rsidR="0003135D" w:rsidRPr="0003135D" w:rsidRDefault="00FF7A5D" w:rsidP="0003135D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sz w:val="26"/>
        </w:rPr>
      </w:pPr>
      <w:r w:rsidRPr="00AD070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3135D" w:rsidRPr="008D223A">
        <w:rPr>
          <w:rFonts w:ascii="Times New Roman" w:hAnsi="Times New Roman" w:cs="Times New Roman"/>
          <w:sz w:val="26"/>
        </w:rPr>
        <w:t xml:space="preserve">The Board actions recommended in this item complies in all material respects with applicable State and federal laws, University of Illinois </w:t>
      </w:r>
      <w:r w:rsidR="0003135D" w:rsidRPr="008D223A">
        <w:rPr>
          <w:rFonts w:ascii="Times New Roman" w:hAnsi="Times New Roman" w:cs="Times New Roman"/>
          <w:i/>
          <w:sz w:val="26"/>
        </w:rPr>
        <w:t>Statutes</w:t>
      </w:r>
      <w:r w:rsidR="0003135D" w:rsidRPr="008D223A">
        <w:rPr>
          <w:rFonts w:ascii="Times New Roman" w:hAnsi="Times New Roman" w:cs="Times New Roman"/>
          <w:sz w:val="26"/>
        </w:rPr>
        <w:t xml:space="preserve">, </w:t>
      </w:r>
      <w:r w:rsidR="0003135D" w:rsidRPr="008D223A">
        <w:rPr>
          <w:rFonts w:ascii="Times New Roman" w:hAnsi="Times New Roman" w:cs="Times New Roman"/>
          <w:i/>
          <w:sz w:val="26"/>
        </w:rPr>
        <w:t>The General Rules Concerning University Organization and Procedure</w:t>
      </w:r>
      <w:r w:rsidR="0003135D" w:rsidRPr="008D223A">
        <w:rPr>
          <w:rFonts w:ascii="Times New Roman" w:hAnsi="Times New Roman" w:cs="Times New Roman"/>
          <w:sz w:val="26"/>
        </w:rPr>
        <w:t>, and Board of Trustees policies and directives.</w:t>
      </w:r>
    </w:p>
    <w:p w14:paraId="5E358AC5" w14:textId="366D3AF5" w:rsidR="00175586" w:rsidRDefault="00FF7A5D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B1E7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B1E70" w:rsidRPr="00175586">
        <w:rPr>
          <w:rFonts w:ascii="Times New Roman" w:hAnsi="Times New Roman" w:cs="Times New Roman"/>
          <w:sz w:val="26"/>
          <w:szCs w:val="26"/>
        </w:rPr>
        <w:t>Funds for this project are available from the Institutional Funds Operating Budget of the University of Illinois Urbana-Champaign, Academic Facilit</w:t>
      </w:r>
      <w:r w:rsidR="007A70C2">
        <w:rPr>
          <w:rFonts w:ascii="Times New Roman" w:hAnsi="Times New Roman" w:cs="Times New Roman"/>
          <w:sz w:val="26"/>
          <w:szCs w:val="26"/>
        </w:rPr>
        <w:t>ies</w:t>
      </w:r>
      <w:r w:rsidR="000B1E70" w:rsidRPr="00175586">
        <w:rPr>
          <w:rFonts w:ascii="Times New Roman" w:hAnsi="Times New Roman" w:cs="Times New Roman"/>
          <w:sz w:val="26"/>
          <w:szCs w:val="26"/>
        </w:rPr>
        <w:t xml:space="preserve"> Maintenance Fund Assessment, and Gift funds.</w:t>
      </w:r>
      <w:r w:rsidRPr="000B1E70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3972968C" w14:textId="6CBA5FD0" w:rsidR="003158AC" w:rsidRDefault="00376904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8D223A">
        <w:rPr>
          <w:rFonts w:ascii="Times New Roman" w:hAnsi="Times New Roman" w:cs="Times New Roman"/>
          <w:color w:val="auto"/>
          <w:sz w:val="26"/>
          <w:szCs w:val="26"/>
        </w:rPr>
        <w:t>The President of the University</w:t>
      </w:r>
      <w:r w:rsidR="007A70C2">
        <w:rPr>
          <w:rFonts w:ascii="Times New Roman" w:hAnsi="Times New Roman" w:cs="Times New Roman"/>
          <w:color w:val="auto"/>
          <w:sz w:val="26"/>
          <w:szCs w:val="26"/>
        </w:rPr>
        <w:t xml:space="preserve"> of Illinois System</w:t>
      </w:r>
      <w:r w:rsidR="00C474C6" w:rsidRPr="008D223A">
        <w:rPr>
          <w:rFonts w:ascii="Times New Roman" w:hAnsi="Times New Roman" w:cs="Times New Roman"/>
          <w:color w:val="auto"/>
          <w:sz w:val="26"/>
          <w:szCs w:val="26"/>
        </w:rPr>
        <w:t xml:space="preserve"> concurs</w:t>
      </w:r>
      <w:r w:rsidR="00C0217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33307EFF" w14:textId="77777777" w:rsidR="00F666E7" w:rsidRDefault="00F666E7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3C69444F" w14:textId="77777777" w:rsidR="001D0C9E" w:rsidRDefault="001D0C9E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7EC3576C" w14:textId="77777777" w:rsidR="001D0C9E" w:rsidRDefault="001D0C9E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71463CB1" w14:textId="77777777" w:rsidR="001D0C9E" w:rsidRDefault="001D0C9E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0E37CFBC" w14:textId="26FDCA4A" w:rsidR="003158AC" w:rsidRDefault="003158AC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Table 1: Diverse Business Utilization – Construction Manager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767"/>
        <w:gridCol w:w="1679"/>
        <w:gridCol w:w="1594"/>
      </w:tblGrid>
      <w:tr w:rsidR="00175586" w14:paraId="63135512" w14:textId="77777777" w:rsidTr="00175586">
        <w:trPr>
          <w:trHeight w:val="690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8C5DE" w14:textId="77777777" w:rsidR="00175586" w:rsidRDefault="0017558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Awarded Vendor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BCD28" w14:textId="77777777" w:rsidR="00175586" w:rsidRDefault="0017558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CM Fee</w:t>
            </w:r>
          </w:p>
          <w:p w14:paraId="0BAA6CF3" w14:textId="77777777" w:rsidR="00175586" w:rsidRDefault="0017558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Agreement $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24B98" w14:textId="77777777" w:rsidR="00175586" w:rsidRDefault="0017558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Subcontract Value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ACB3A" w14:textId="77777777" w:rsidR="00175586" w:rsidRDefault="0017558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Subvendor % of Work</w:t>
            </w:r>
          </w:p>
        </w:tc>
      </w:tr>
      <w:tr w:rsidR="00175586" w14:paraId="544646BD" w14:textId="77777777" w:rsidTr="00175586">
        <w:trPr>
          <w:trHeight w:val="435"/>
          <w:jc w:val="center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E0B" w14:textId="77777777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CBRE Heery, Inc.</w:t>
            </w:r>
          </w:p>
          <w:p w14:paraId="3E5D3B86" w14:textId="77777777" w:rsidR="00175586" w:rsidRPr="00A95163" w:rsidRDefault="00175586">
            <w:pPr>
              <w:spacing w:line="276" w:lineRule="auto"/>
              <w:jc w:val="center"/>
              <w:rPr>
                <w:color w:val="000000"/>
                <w:sz w:val="36"/>
                <w:szCs w:val="36"/>
              </w:rPr>
            </w:pPr>
          </w:p>
          <w:p w14:paraId="25EE428E" w14:textId="01B18A9A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C076B" w14:textId="77777777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 xml:space="preserve">$2,009,122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578CC" w14:textId="77777777" w:rsidR="00175586" w:rsidRPr="002112D1" w:rsidRDefault="00175586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81DA7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5586" w14:paraId="1709D5C5" w14:textId="77777777" w:rsidTr="00175586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4ADE8" w14:textId="77777777" w:rsidR="00175586" w:rsidRPr="00A95163" w:rsidRDefault="00175586">
            <w:pPr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070AD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F7D0F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D649D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75586" w14:paraId="49C9A44F" w14:textId="77777777" w:rsidTr="00175586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AAE45" w14:textId="77777777" w:rsidR="00175586" w:rsidRPr="00A95163" w:rsidRDefault="00175586">
            <w:pPr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C86C1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MBE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A4CFE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$ 529,891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86C90" w14:textId="131EE228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26%</w:t>
            </w:r>
          </w:p>
        </w:tc>
      </w:tr>
      <w:tr w:rsidR="00175586" w14:paraId="445CBC68" w14:textId="77777777" w:rsidTr="00175586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135ED" w14:textId="77777777" w:rsidR="00175586" w:rsidRPr="00A95163" w:rsidRDefault="00175586">
            <w:pPr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EAD06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SDVOSB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0968B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  63,514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C4AC1" w14:textId="22D6D275" w:rsidR="00175586" w:rsidRPr="00A95163" w:rsidRDefault="002112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3</w:t>
            </w:r>
            <w:r w:rsidR="00175586" w:rsidRPr="00A95163">
              <w:rPr>
                <w:color w:val="000000"/>
                <w:sz w:val="28"/>
                <w:szCs w:val="28"/>
              </w:rPr>
              <w:t>%</w:t>
            </w:r>
          </w:p>
        </w:tc>
      </w:tr>
      <w:tr w:rsidR="00175586" w14:paraId="035FFB5C" w14:textId="77777777" w:rsidTr="00175586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4CA02" w14:textId="77777777" w:rsidR="00175586" w:rsidRPr="00A95163" w:rsidRDefault="00175586">
            <w:pPr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7B9B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WBE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0AAB8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$ 377,603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244A4" w14:textId="26548648" w:rsidR="00175586" w:rsidRPr="00A95163" w:rsidRDefault="002112D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19</w:t>
            </w:r>
            <w:r w:rsidR="00175586" w:rsidRPr="00A95163">
              <w:rPr>
                <w:color w:val="000000"/>
                <w:sz w:val="28"/>
                <w:szCs w:val="28"/>
              </w:rPr>
              <w:t>%</w:t>
            </w:r>
          </w:p>
        </w:tc>
      </w:tr>
      <w:tr w:rsidR="00175586" w14:paraId="4CB2B497" w14:textId="77777777" w:rsidTr="00175586">
        <w:trPr>
          <w:trHeight w:val="435"/>
          <w:jc w:val="center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A993E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5A86E" w14:textId="77777777" w:rsidR="00175586" w:rsidRPr="002112D1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B53B0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6449A" w14:textId="77777777" w:rsidR="00175586" w:rsidRPr="002112D1" w:rsidRDefault="00175586">
            <w:pPr>
              <w:rPr>
                <w:sz w:val="20"/>
              </w:rPr>
            </w:pPr>
          </w:p>
        </w:tc>
      </w:tr>
      <w:tr w:rsidR="00175586" w14:paraId="12956C6B" w14:textId="77777777" w:rsidTr="00175586">
        <w:trPr>
          <w:trHeight w:val="435"/>
          <w:jc w:val="center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6ED3A" w14:textId="77777777" w:rsidR="00175586" w:rsidRPr="002112D1" w:rsidRDefault="00175586">
            <w:pPr>
              <w:spacing w:line="276" w:lineRule="auto"/>
              <w:jc w:val="right"/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Total MBE (AFA)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7CB3F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$ 529,891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D0F6B" w14:textId="13B03F57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26%</w:t>
            </w:r>
          </w:p>
        </w:tc>
      </w:tr>
      <w:tr w:rsidR="00175586" w14:paraId="37400682" w14:textId="77777777" w:rsidTr="00175586">
        <w:trPr>
          <w:trHeight w:val="435"/>
          <w:jc w:val="center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7F154" w14:textId="7E726548" w:rsidR="00175586" w:rsidRPr="002112D1" w:rsidRDefault="00175586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 xml:space="preserve">Total </w:t>
            </w:r>
            <w:r w:rsidR="00376904">
              <w:rPr>
                <w:color w:val="000000"/>
                <w:sz w:val="28"/>
                <w:szCs w:val="28"/>
              </w:rPr>
              <w:t>SD</w:t>
            </w:r>
            <w:r w:rsidRPr="002112D1">
              <w:rPr>
                <w:color w:val="000000"/>
                <w:sz w:val="28"/>
                <w:szCs w:val="28"/>
              </w:rPr>
              <w:t>VOSB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21329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$ 63,514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5D818" w14:textId="6B7AB582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3%</w:t>
            </w:r>
          </w:p>
        </w:tc>
      </w:tr>
      <w:tr w:rsidR="00175586" w14:paraId="1C9C2315" w14:textId="77777777" w:rsidTr="00175586">
        <w:trPr>
          <w:trHeight w:val="435"/>
          <w:jc w:val="center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67162" w14:textId="77777777" w:rsidR="00175586" w:rsidRPr="002112D1" w:rsidRDefault="00175586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Total WBE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8935E" w14:textId="77777777" w:rsidR="00175586" w:rsidRPr="002112D1" w:rsidRDefault="00175586">
            <w:pPr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$377,603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A6407" w14:textId="5D923250" w:rsidR="00175586" w:rsidRPr="00A95163" w:rsidRDefault="0017558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1</w:t>
            </w:r>
            <w:r w:rsidR="002112D1" w:rsidRPr="00A95163">
              <w:rPr>
                <w:color w:val="000000"/>
                <w:sz w:val="28"/>
                <w:szCs w:val="28"/>
              </w:rPr>
              <w:t>9</w:t>
            </w:r>
            <w:r w:rsidRPr="00A95163">
              <w:rPr>
                <w:color w:val="000000"/>
                <w:sz w:val="28"/>
                <w:szCs w:val="28"/>
              </w:rPr>
              <w:t>%</w:t>
            </w:r>
          </w:p>
        </w:tc>
      </w:tr>
      <w:tr w:rsidR="00175586" w14:paraId="7737C2F2" w14:textId="77777777" w:rsidTr="00175586">
        <w:trPr>
          <w:trHeight w:val="435"/>
          <w:jc w:val="center"/>
        </w:trPr>
        <w:tc>
          <w:tcPr>
            <w:tcW w:w="4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A9B7F" w14:textId="77777777" w:rsidR="00175586" w:rsidRPr="002112D1" w:rsidRDefault="00175586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2112D1">
              <w:rPr>
                <w:color w:val="000000"/>
                <w:sz w:val="28"/>
                <w:szCs w:val="28"/>
              </w:rPr>
              <w:t>Total Diversity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19D3" w14:textId="63B6B424" w:rsidR="00175586" w:rsidRPr="002112D1" w:rsidRDefault="00376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$971,008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78075" w14:textId="4CA10B17" w:rsidR="00175586" w:rsidRPr="00A95163" w:rsidRDefault="00175586">
            <w:pPr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</w:rPr>
            </w:pPr>
            <w:r w:rsidRPr="00A95163">
              <w:rPr>
                <w:color w:val="000000"/>
                <w:sz w:val="28"/>
                <w:szCs w:val="28"/>
              </w:rPr>
              <w:t>48%</w:t>
            </w:r>
          </w:p>
        </w:tc>
      </w:tr>
    </w:tbl>
    <w:p w14:paraId="57F5508F" w14:textId="77777777" w:rsidR="008731FB" w:rsidRDefault="008731FB" w:rsidP="003158A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6648AB29" w14:textId="7E08DEE7" w:rsidR="003158AC" w:rsidRDefault="003158AC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355C38E2" w14:textId="3F6EF55C" w:rsidR="003158AC" w:rsidRDefault="003158AC" w:rsidP="00C474C6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3158AC" w:rsidSect="001D0C9E">
      <w:headerReference w:type="even" r:id="rId7"/>
      <w:headerReference w:type="default" r:id="rId8"/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08E7" w14:textId="77777777" w:rsidR="00124D9C" w:rsidRDefault="00124D9C" w:rsidP="00621ED7">
      <w:r>
        <w:separator/>
      </w:r>
    </w:p>
  </w:endnote>
  <w:endnote w:type="continuationSeparator" w:id="0">
    <w:p w14:paraId="251609DE" w14:textId="77777777" w:rsidR="00124D9C" w:rsidRDefault="00124D9C" w:rsidP="006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27F6" w14:textId="77777777" w:rsidR="00124D9C" w:rsidRDefault="00124D9C" w:rsidP="00621ED7">
      <w:r>
        <w:separator/>
      </w:r>
    </w:p>
  </w:footnote>
  <w:footnote w:type="continuationSeparator" w:id="0">
    <w:p w14:paraId="74681F32" w14:textId="77777777" w:rsidR="00124D9C" w:rsidRDefault="00124D9C" w:rsidP="00621ED7">
      <w:r>
        <w:continuationSeparator/>
      </w:r>
    </w:p>
  </w:footnote>
  <w:footnote w:id="1">
    <w:p w14:paraId="02DFEC6A" w14:textId="578A3905" w:rsidR="00C03BD3" w:rsidRPr="001D0C9E" w:rsidRDefault="00C03BD3" w:rsidP="001D0C9E">
      <w:pPr>
        <w:ind w:left="180" w:hanging="180"/>
        <w:rPr>
          <w:sz w:val="22"/>
          <w:szCs w:val="22"/>
        </w:rPr>
      </w:pPr>
      <w:r w:rsidRPr="001D0C9E">
        <w:rPr>
          <w:rStyle w:val="FootnoteReference"/>
          <w:sz w:val="22"/>
          <w:szCs w:val="22"/>
        </w:rPr>
        <w:footnoteRef/>
      </w:r>
      <w:r w:rsidR="001D0C9E">
        <w:rPr>
          <w:sz w:val="22"/>
          <w:szCs w:val="22"/>
        </w:rPr>
        <w:t xml:space="preserve">  </w:t>
      </w:r>
      <w:r w:rsidRPr="001D0C9E">
        <w:rPr>
          <w:sz w:val="22"/>
          <w:szCs w:val="22"/>
        </w:rPr>
        <w:t>A selection committee consisting of Cheryl Bicknell (</w:t>
      </w:r>
      <w:r w:rsidR="001D0C9E" w:rsidRPr="001D0C9E">
        <w:rPr>
          <w:sz w:val="22"/>
          <w:szCs w:val="22"/>
        </w:rPr>
        <w:t>Facilities and Services</w:t>
      </w:r>
      <w:r w:rsidR="001D0C9E">
        <w:rPr>
          <w:sz w:val="22"/>
          <w:szCs w:val="22"/>
        </w:rPr>
        <w:t>,</w:t>
      </w:r>
      <w:r w:rsidRPr="001D0C9E">
        <w:rPr>
          <w:sz w:val="22"/>
          <w:szCs w:val="22"/>
        </w:rPr>
        <w:t xml:space="preserve"> Capital Programs|Chair), </w:t>
      </w:r>
      <w:r w:rsidR="00AE4B74" w:rsidRPr="001D0C9E">
        <w:rPr>
          <w:sz w:val="22"/>
          <w:szCs w:val="22"/>
        </w:rPr>
        <w:t>Ehab Kamarah</w:t>
      </w:r>
      <w:r w:rsidRPr="001D0C9E">
        <w:rPr>
          <w:sz w:val="22"/>
          <w:szCs w:val="22"/>
        </w:rPr>
        <w:t xml:space="preserve"> (</w:t>
      </w:r>
      <w:r w:rsidR="00AE4B74" w:rsidRPr="001D0C9E">
        <w:rPr>
          <w:sz w:val="22"/>
          <w:szCs w:val="22"/>
        </w:rPr>
        <w:t>Associate Vice</w:t>
      </w:r>
      <w:r w:rsidR="001D0C9E" w:rsidRPr="001D0C9E">
        <w:rPr>
          <w:sz w:val="22"/>
          <w:szCs w:val="22"/>
        </w:rPr>
        <w:t xml:space="preserve"> </w:t>
      </w:r>
      <w:r w:rsidR="00AE4B74" w:rsidRPr="001D0C9E">
        <w:rPr>
          <w:sz w:val="22"/>
          <w:szCs w:val="22"/>
        </w:rPr>
        <w:t xml:space="preserve">Chancellor and Executive Director of Facilities </w:t>
      </w:r>
      <w:r w:rsidR="001D0C9E" w:rsidRPr="001D0C9E">
        <w:rPr>
          <w:sz w:val="22"/>
          <w:szCs w:val="22"/>
        </w:rPr>
        <w:t xml:space="preserve">and </w:t>
      </w:r>
      <w:r w:rsidR="00AE4B74" w:rsidRPr="001D0C9E">
        <w:rPr>
          <w:sz w:val="22"/>
          <w:szCs w:val="22"/>
        </w:rPr>
        <w:t>Services</w:t>
      </w:r>
      <w:r w:rsidRPr="001D0C9E">
        <w:rPr>
          <w:sz w:val="22"/>
          <w:szCs w:val="22"/>
        </w:rPr>
        <w:t>), Sandra Yoo (University Office of Capital Programs and Real Estate Services), Timothy J. Newman (University Library</w:t>
      </w:r>
      <w:r w:rsidR="00C02174">
        <w:rPr>
          <w:sz w:val="22"/>
          <w:szCs w:val="22"/>
        </w:rPr>
        <w:t xml:space="preserve">, </w:t>
      </w:r>
      <w:r w:rsidRPr="001D0C9E">
        <w:rPr>
          <w:sz w:val="22"/>
          <w:szCs w:val="22"/>
        </w:rPr>
        <w:t xml:space="preserve">Client) and Dale Morrison (Office of Procurement Diversity), interviewed the following firms: </w:t>
      </w:r>
      <w:r w:rsidR="00AE4B74" w:rsidRPr="001D0C9E">
        <w:rPr>
          <w:sz w:val="22"/>
          <w:szCs w:val="22"/>
        </w:rPr>
        <w:t>Berglund Construction</w:t>
      </w:r>
      <w:r w:rsidRPr="001D0C9E">
        <w:rPr>
          <w:sz w:val="22"/>
          <w:szCs w:val="22"/>
        </w:rPr>
        <w:t xml:space="preserve">, Champaign, IL; </w:t>
      </w:r>
      <w:r w:rsidR="00AE4B74" w:rsidRPr="001D0C9E">
        <w:rPr>
          <w:sz w:val="22"/>
          <w:szCs w:val="22"/>
        </w:rPr>
        <w:t>CBRE Heery</w:t>
      </w:r>
      <w:r w:rsidR="00C02174">
        <w:rPr>
          <w:sz w:val="22"/>
          <w:szCs w:val="22"/>
        </w:rPr>
        <w:t>,</w:t>
      </w:r>
      <w:r w:rsidR="00AE4B74" w:rsidRPr="001D0C9E">
        <w:rPr>
          <w:sz w:val="22"/>
          <w:szCs w:val="22"/>
        </w:rPr>
        <w:t xml:space="preserve"> Inc</w:t>
      </w:r>
      <w:r w:rsidR="00C02174">
        <w:rPr>
          <w:sz w:val="22"/>
          <w:szCs w:val="22"/>
        </w:rPr>
        <w:t>.</w:t>
      </w:r>
      <w:r w:rsidRPr="001D0C9E">
        <w:rPr>
          <w:sz w:val="22"/>
          <w:szCs w:val="22"/>
        </w:rPr>
        <w:t xml:space="preserve">, </w:t>
      </w:r>
      <w:r w:rsidR="00AE4B74" w:rsidRPr="001D0C9E">
        <w:rPr>
          <w:sz w:val="22"/>
          <w:szCs w:val="22"/>
        </w:rPr>
        <w:t>Atlanta</w:t>
      </w:r>
      <w:r w:rsidRPr="001D0C9E">
        <w:rPr>
          <w:sz w:val="22"/>
          <w:szCs w:val="22"/>
        </w:rPr>
        <w:t xml:space="preserve">, </w:t>
      </w:r>
      <w:r w:rsidR="00AE4B74" w:rsidRPr="001D0C9E">
        <w:rPr>
          <w:sz w:val="22"/>
          <w:szCs w:val="22"/>
        </w:rPr>
        <w:t>GA.</w:t>
      </w:r>
      <w:r w:rsidRPr="001D0C9E">
        <w:rPr>
          <w:sz w:val="22"/>
          <w:szCs w:val="22"/>
        </w:rPr>
        <w:t xml:space="preserve"> </w:t>
      </w:r>
      <w:r w:rsidR="00AE4B74" w:rsidRPr="001D0C9E">
        <w:rPr>
          <w:sz w:val="22"/>
          <w:szCs w:val="22"/>
        </w:rPr>
        <w:t xml:space="preserve"> </w:t>
      </w:r>
      <w:r w:rsidRPr="001D0C9E">
        <w:rPr>
          <w:sz w:val="22"/>
          <w:szCs w:val="22"/>
        </w:rPr>
        <w:t xml:space="preserve">The committee recommends </w:t>
      </w:r>
      <w:r w:rsidR="00AE4B74" w:rsidRPr="001D0C9E">
        <w:rPr>
          <w:sz w:val="22"/>
          <w:szCs w:val="22"/>
        </w:rPr>
        <w:t>CBRE Heery</w:t>
      </w:r>
      <w:r w:rsidR="00C02174">
        <w:rPr>
          <w:sz w:val="22"/>
          <w:szCs w:val="22"/>
        </w:rPr>
        <w:t>,</w:t>
      </w:r>
      <w:r w:rsidR="00AE4B74" w:rsidRPr="001D0C9E">
        <w:rPr>
          <w:sz w:val="22"/>
          <w:szCs w:val="22"/>
        </w:rPr>
        <w:t xml:space="preserve"> Inc</w:t>
      </w:r>
      <w:r w:rsidR="00C02174">
        <w:rPr>
          <w:sz w:val="22"/>
          <w:szCs w:val="22"/>
        </w:rPr>
        <w:t>.</w:t>
      </w:r>
      <w:r w:rsidRPr="001D0C9E">
        <w:rPr>
          <w:sz w:val="22"/>
          <w:szCs w:val="22"/>
        </w:rPr>
        <w:t xml:space="preserve">, </w:t>
      </w:r>
      <w:r w:rsidR="00AE4B74" w:rsidRPr="001D0C9E">
        <w:rPr>
          <w:sz w:val="22"/>
          <w:szCs w:val="22"/>
        </w:rPr>
        <w:t>Atlanta</w:t>
      </w:r>
      <w:r w:rsidRPr="001D0C9E">
        <w:rPr>
          <w:sz w:val="22"/>
          <w:szCs w:val="22"/>
        </w:rPr>
        <w:t xml:space="preserve">, </w:t>
      </w:r>
      <w:r w:rsidR="00AE4B74" w:rsidRPr="001D0C9E">
        <w:rPr>
          <w:sz w:val="22"/>
          <w:szCs w:val="22"/>
        </w:rPr>
        <w:t>GA</w:t>
      </w:r>
      <w:r w:rsidRPr="001D0C9E">
        <w:rPr>
          <w:sz w:val="22"/>
          <w:szCs w:val="22"/>
        </w:rPr>
        <w:t>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703221"/>
      <w:docPartObj>
        <w:docPartGallery w:val="Page Numbers (Top of Page)"/>
        <w:docPartUnique/>
      </w:docPartObj>
    </w:sdtPr>
    <w:sdtContent>
      <w:p w14:paraId="3125D54A" w14:textId="6F8FC1F7" w:rsidR="00F666E7" w:rsidRDefault="00F666E7" w:rsidP="009C451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2218FF" w14:textId="77777777" w:rsidR="00F666E7" w:rsidRDefault="00F6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272836"/>
      <w:docPartObj>
        <w:docPartGallery w:val="Page Numbers (Top of Page)"/>
        <w:docPartUnique/>
      </w:docPartObj>
    </w:sdtPr>
    <w:sdtContent>
      <w:p w14:paraId="66F2815B" w14:textId="70A53791" w:rsidR="00F666E7" w:rsidRDefault="00F666E7" w:rsidP="009C451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EE6056" w14:textId="72A4D302" w:rsidR="00F666E7" w:rsidRDefault="00F666E7">
    <w:pPr>
      <w:pStyle w:val="Header"/>
    </w:pPr>
  </w:p>
  <w:p w14:paraId="383FEB2A" w14:textId="77777777" w:rsidR="00F666E7" w:rsidRDefault="00F66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1N7c0M7QwsDQxNbdU0lEKTi0uzszPAykwrAUAMxaMCSwAAAA="/>
  </w:docVars>
  <w:rsids>
    <w:rsidRoot w:val="00FF7A5D"/>
    <w:rsid w:val="000119AB"/>
    <w:rsid w:val="000168FA"/>
    <w:rsid w:val="0003135D"/>
    <w:rsid w:val="000771A3"/>
    <w:rsid w:val="00084704"/>
    <w:rsid w:val="000B09B3"/>
    <w:rsid w:val="000B1E70"/>
    <w:rsid w:val="000E48B3"/>
    <w:rsid w:val="00124D9C"/>
    <w:rsid w:val="00175586"/>
    <w:rsid w:val="001929B7"/>
    <w:rsid w:val="001A236D"/>
    <w:rsid w:val="001B2571"/>
    <w:rsid w:val="001B6C49"/>
    <w:rsid w:val="001D0C9E"/>
    <w:rsid w:val="001D3A61"/>
    <w:rsid w:val="00206E57"/>
    <w:rsid w:val="002112D1"/>
    <w:rsid w:val="002168D6"/>
    <w:rsid w:val="00242D02"/>
    <w:rsid w:val="00255F60"/>
    <w:rsid w:val="00264626"/>
    <w:rsid w:val="002740D4"/>
    <w:rsid w:val="00291995"/>
    <w:rsid w:val="002A6B8D"/>
    <w:rsid w:val="002F0E53"/>
    <w:rsid w:val="003158AC"/>
    <w:rsid w:val="00326606"/>
    <w:rsid w:val="00327729"/>
    <w:rsid w:val="00346A37"/>
    <w:rsid w:val="00376904"/>
    <w:rsid w:val="003C43AB"/>
    <w:rsid w:val="003C71B1"/>
    <w:rsid w:val="003D2B7D"/>
    <w:rsid w:val="003E7D18"/>
    <w:rsid w:val="00402873"/>
    <w:rsid w:val="00412272"/>
    <w:rsid w:val="00456276"/>
    <w:rsid w:val="00487449"/>
    <w:rsid w:val="004B44D1"/>
    <w:rsid w:val="00502E46"/>
    <w:rsid w:val="00526FEB"/>
    <w:rsid w:val="00543FF0"/>
    <w:rsid w:val="005456DD"/>
    <w:rsid w:val="00552086"/>
    <w:rsid w:val="005534B1"/>
    <w:rsid w:val="005A2A07"/>
    <w:rsid w:val="005E4C84"/>
    <w:rsid w:val="00616DA3"/>
    <w:rsid w:val="00621ED7"/>
    <w:rsid w:val="00622ED4"/>
    <w:rsid w:val="00673374"/>
    <w:rsid w:val="00696D35"/>
    <w:rsid w:val="007072A5"/>
    <w:rsid w:val="0072217C"/>
    <w:rsid w:val="00743D5B"/>
    <w:rsid w:val="007A70C2"/>
    <w:rsid w:val="007D013C"/>
    <w:rsid w:val="007D0E76"/>
    <w:rsid w:val="00826B2E"/>
    <w:rsid w:val="00827A4F"/>
    <w:rsid w:val="00827C0E"/>
    <w:rsid w:val="008409A2"/>
    <w:rsid w:val="00864884"/>
    <w:rsid w:val="008731FB"/>
    <w:rsid w:val="008D223A"/>
    <w:rsid w:val="008D4B78"/>
    <w:rsid w:val="008F0765"/>
    <w:rsid w:val="00950533"/>
    <w:rsid w:val="009511C3"/>
    <w:rsid w:val="00967202"/>
    <w:rsid w:val="009804F2"/>
    <w:rsid w:val="009A67E9"/>
    <w:rsid w:val="00A12C16"/>
    <w:rsid w:val="00A14F22"/>
    <w:rsid w:val="00A95163"/>
    <w:rsid w:val="00AA17AE"/>
    <w:rsid w:val="00AD0702"/>
    <w:rsid w:val="00AE06F1"/>
    <w:rsid w:val="00AE4B74"/>
    <w:rsid w:val="00B631A3"/>
    <w:rsid w:val="00BA43CA"/>
    <w:rsid w:val="00BB5B13"/>
    <w:rsid w:val="00C02174"/>
    <w:rsid w:val="00C03BD3"/>
    <w:rsid w:val="00C474C6"/>
    <w:rsid w:val="00C552E4"/>
    <w:rsid w:val="00CA1DAD"/>
    <w:rsid w:val="00CB4FC9"/>
    <w:rsid w:val="00CD6984"/>
    <w:rsid w:val="00CE54DD"/>
    <w:rsid w:val="00D02EDC"/>
    <w:rsid w:val="00D333E7"/>
    <w:rsid w:val="00D4515E"/>
    <w:rsid w:val="00D62305"/>
    <w:rsid w:val="00D958CC"/>
    <w:rsid w:val="00DB1E58"/>
    <w:rsid w:val="00DB5E25"/>
    <w:rsid w:val="00DD2C91"/>
    <w:rsid w:val="00DE48DD"/>
    <w:rsid w:val="00DF6DB2"/>
    <w:rsid w:val="00E000F7"/>
    <w:rsid w:val="00E217F0"/>
    <w:rsid w:val="00E63E6A"/>
    <w:rsid w:val="00E96188"/>
    <w:rsid w:val="00ED0B90"/>
    <w:rsid w:val="00F00B41"/>
    <w:rsid w:val="00F339F2"/>
    <w:rsid w:val="00F666E7"/>
    <w:rsid w:val="00FA5D42"/>
    <w:rsid w:val="00FC06EA"/>
    <w:rsid w:val="00FE24AF"/>
    <w:rsid w:val="00FF4182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B7054"/>
  <w14:defaultImageDpi w14:val="0"/>
  <w15:docId w15:val="{6A61C5FB-780F-409F-A203-6EA30EA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Default"/>
    <w:next w:val="Normal"/>
    <w:link w:val="Heading1Char"/>
    <w:uiPriority w:val="9"/>
    <w:qFormat/>
    <w:rsid w:val="00DB1E58"/>
    <w:pPr>
      <w:jc w:val="center"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paragraph" w:styleId="BalloonText">
    <w:name w:val="Balloon Text"/>
    <w:basedOn w:val="Normal"/>
    <w:link w:val="BalloonTextChar"/>
    <w:uiPriority w:val="99"/>
    <w:rsid w:val="00A1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2C16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621ED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1E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621ED7"/>
    <w:rPr>
      <w:vertAlign w:val="superscript"/>
    </w:rPr>
  </w:style>
  <w:style w:type="paragraph" w:styleId="FootnoteText">
    <w:name w:val="footnote text"/>
    <w:basedOn w:val="Normal"/>
    <w:link w:val="FootnoteTextChar"/>
    <w:rsid w:val="00621ED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21ED7"/>
    <w:rPr>
      <w:sz w:val="20"/>
      <w:szCs w:val="20"/>
    </w:rPr>
  </w:style>
  <w:style w:type="character" w:styleId="FootnoteReference">
    <w:name w:val="footnote reference"/>
    <w:basedOn w:val="DefaultParagraphFont"/>
    <w:rsid w:val="00621ED7"/>
    <w:rPr>
      <w:vertAlign w:val="superscript"/>
    </w:rPr>
  </w:style>
  <w:style w:type="paragraph" w:customStyle="1" w:styleId="bdstyle2">
    <w:name w:val="bdstyle2"/>
    <w:basedOn w:val="Normal"/>
    <w:rsid w:val="007072A5"/>
    <w:pPr>
      <w:tabs>
        <w:tab w:val="left" w:pos="720"/>
        <w:tab w:val="left" w:pos="1440"/>
      </w:tabs>
      <w:spacing w:line="480" w:lineRule="auto"/>
      <w:ind w:firstLine="1440"/>
      <w:textAlignment w:val="baseline"/>
    </w:pPr>
  </w:style>
  <w:style w:type="character" w:customStyle="1" w:styleId="lrzxr">
    <w:name w:val="lrzxr"/>
    <w:basedOn w:val="DefaultParagraphFont"/>
    <w:rsid w:val="00326606"/>
  </w:style>
  <w:style w:type="paragraph" w:styleId="Revision">
    <w:name w:val="Revision"/>
    <w:hidden/>
    <w:uiPriority w:val="99"/>
    <w:semiHidden/>
    <w:rsid w:val="00D333E7"/>
    <w:pPr>
      <w:spacing w:after="0" w:line="240" w:lineRule="auto"/>
    </w:pPr>
    <w:rPr>
      <w:sz w:val="26"/>
      <w:szCs w:val="20"/>
    </w:rPr>
  </w:style>
  <w:style w:type="paragraph" w:styleId="Header">
    <w:name w:val="header"/>
    <w:basedOn w:val="Normal"/>
    <w:link w:val="HeaderChar"/>
    <w:uiPriority w:val="99"/>
    <w:rsid w:val="00F6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6E7"/>
    <w:rPr>
      <w:sz w:val="26"/>
      <w:szCs w:val="20"/>
    </w:rPr>
  </w:style>
  <w:style w:type="character" w:styleId="PageNumber">
    <w:name w:val="page number"/>
    <w:basedOn w:val="DefaultParagraphFont"/>
    <w:uiPriority w:val="99"/>
    <w:rsid w:val="00F666E7"/>
  </w:style>
  <w:style w:type="paragraph" w:styleId="Footer">
    <w:name w:val="footer"/>
    <w:basedOn w:val="Normal"/>
    <w:link w:val="FooterChar"/>
    <w:uiPriority w:val="99"/>
    <w:rsid w:val="00F6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6E7"/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1E5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CEA0-238A-4372-8F4D-3CE209F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 Lee</cp:lastModifiedBy>
  <cp:revision>8</cp:revision>
  <cp:lastPrinted>2022-11-29T16:18:00Z</cp:lastPrinted>
  <dcterms:created xsi:type="dcterms:W3CDTF">2022-12-16T17:05:00Z</dcterms:created>
  <dcterms:modified xsi:type="dcterms:W3CDTF">2023-01-26T17:46:00Z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7fd479023aa1e098133ba48dd8889b366ad260ca3b1a116a54ca954f018eecd0</vt:lpwstr>
  </property>
</Properties>
</file>