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37A2D" w14:textId="77777777" w:rsidR="009107BE" w:rsidRPr="009107BE" w:rsidRDefault="009107BE" w:rsidP="009107BE">
      <w:pPr>
        <w:widowControl/>
        <w:pBdr>
          <w:top w:val="single" w:sz="4" w:space="1" w:color="auto"/>
          <w:left w:val="single" w:sz="4" w:space="4" w:color="auto"/>
          <w:bottom w:val="single" w:sz="4" w:space="1" w:color="auto"/>
          <w:right w:val="single" w:sz="4" w:space="4" w:color="auto"/>
        </w:pBdr>
        <w:autoSpaceDE/>
        <w:autoSpaceDN/>
        <w:ind w:right="5670"/>
        <w:rPr>
          <w:color w:val="FF0000"/>
          <w:sz w:val="26"/>
          <w:szCs w:val="26"/>
        </w:rPr>
      </w:pPr>
      <w:bookmarkStart w:id="0" w:name="_Hlk77839959"/>
      <w:bookmarkStart w:id="1" w:name="_Hlk93577479"/>
      <w:r w:rsidRPr="009107BE">
        <w:rPr>
          <w:color w:val="FF0000"/>
          <w:sz w:val="24"/>
          <w:szCs w:val="26"/>
        </w:rPr>
        <w:t>Approved by the Board of Trustees</w:t>
      </w:r>
    </w:p>
    <w:bookmarkEnd w:id="0"/>
    <w:bookmarkEnd w:id="1"/>
    <w:p w14:paraId="1362DCB4" w14:textId="77777777" w:rsidR="009107BE" w:rsidRPr="009107BE" w:rsidRDefault="009107BE" w:rsidP="009107BE">
      <w:pPr>
        <w:widowControl/>
        <w:pBdr>
          <w:top w:val="single" w:sz="4" w:space="1" w:color="auto"/>
          <w:left w:val="single" w:sz="4" w:space="4" w:color="auto"/>
          <w:bottom w:val="single" w:sz="4" w:space="1" w:color="auto"/>
          <w:right w:val="single" w:sz="4" w:space="4" w:color="auto"/>
        </w:pBdr>
        <w:autoSpaceDE/>
        <w:autoSpaceDN/>
        <w:ind w:right="5670"/>
        <w:rPr>
          <w:color w:val="FF0000"/>
          <w:sz w:val="24"/>
          <w:szCs w:val="26"/>
        </w:rPr>
      </w:pPr>
      <w:r w:rsidRPr="009107BE">
        <w:rPr>
          <w:color w:val="FF0000"/>
          <w:sz w:val="24"/>
          <w:szCs w:val="26"/>
        </w:rPr>
        <w:t>July 11, 2024</w:t>
      </w:r>
    </w:p>
    <w:p w14:paraId="4006DD37" w14:textId="3A1207ED" w:rsidR="005A7691" w:rsidRDefault="00B43035" w:rsidP="00296E92">
      <w:pPr>
        <w:jc w:val="right"/>
        <w:rPr>
          <w:b/>
          <w:sz w:val="60"/>
        </w:rPr>
      </w:pPr>
      <w:r>
        <w:rPr>
          <w:b/>
          <w:sz w:val="60"/>
        </w:rPr>
        <w:t>12</w:t>
      </w:r>
    </w:p>
    <w:p w14:paraId="0AE6F958" w14:textId="77777777" w:rsidR="00216194" w:rsidRPr="002A67DE" w:rsidRDefault="00216194" w:rsidP="00296E92">
      <w:pPr>
        <w:rPr>
          <w:sz w:val="26"/>
          <w:szCs w:val="26"/>
        </w:rPr>
      </w:pPr>
    </w:p>
    <w:p w14:paraId="59F84E8D" w14:textId="77777777" w:rsidR="00216194" w:rsidRPr="002A67DE" w:rsidRDefault="00216194" w:rsidP="00296E92">
      <w:pPr>
        <w:rPr>
          <w:sz w:val="26"/>
          <w:szCs w:val="26"/>
        </w:rPr>
      </w:pPr>
    </w:p>
    <w:p w14:paraId="25EA7029" w14:textId="77777777" w:rsidR="00216194" w:rsidRPr="002A67DE" w:rsidRDefault="00216194" w:rsidP="00296E92">
      <w:pPr>
        <w:pStyle w:val="bdheading2"/>
        <w:rPr>
          <w:szCs w:val="26"/>
        </w:rPr>
      </w:pPr>
      <w:r w:rsidRPr="002A67DE">
        <w:rPr>
          <w:szCs w:val="26"/>
        </w:rPr>
        <w:tab/>
      </w:r>
      <w:bookmarkStart w:id="2" w:name="_Hlk141968405"/>
      <w:r w:rsidRPr="002A67DE">
        <w:rPr>
          <w:szCs w:val="26"/>
        </w:rPr>
        <w:t>Board Meeting</w:t>
      </w:r>
    </w:p>
    <w:p w14:paraId="4EA4B1DB" w14:textId="2D04307F" w:rsidR="001C058F" w:rsidRDefault="00216194" w:rsidP="00296E92">
      <w:pPr>
        <w:pStyle w:val="BodyText"/>
        <w:tabs>
          <w:tab w:val="left" w:pos="7200"/>
        </w:tabs>
      </w:pPr>
      <w:r>
        <w:tab/>
      </w:r>
      <w:r w:rsidR="00363AC1">
        <w:t>July</w:t>
      </w:r>
      <w:r w:rsidR="00BF1B3B">
        <w:rPr>
          <w:spacing w:val="-17"/>
        </w:rPr>
        <w:t xml:space="preserve"> </w:t>
      </w:r>
      <w:r w:rsidR="00363AC1">
        <w:t>11</w:t>
      </w:r>
      <w:r w:rsidR="00BF1B3B">
        <w:t>,</w:t>
      </w:r>
      <w:r w:rsidR="00BF1B3B">
        <w:rPr>
          <w:spacing w:val="-16"/>
        </w:rPr>
        <w:t xml:space="preserve"> </w:t>
      </w:r>
      <w:r w:rsidR="00BF1B3B">
        <w:t>202</w:t>
      </w:r>
      <w:r w:rsidR="00363AC1">
        <w:t>4</w:t>
      </w:r>
    </w:p>
    <w:bookmarkEnd w:id="2"/>
    <w:p w14:paraId="2B8BC048" w14:textId="77777777" w:rsidR="00216194" w:rsidRPr="002A67DE" w:rsidRDefault="00216194" w:rsidP="00296E92">
      <w:pPr>
        <w:rPr>
          <w:sz w:val="26"/>
          <w:szCs w:val="26"/>
        </w:rPr>
      </w:pPr>
    </w:p>
    <w:p w14:paraId="2B5C6280" w14:textId="77777777" w:rsidR="00216194" w:rsidRPr="002A67DE" w:rsidRDefault="00216194" w:rsidP="00296E92">
      <w:pPr>
        <w:rPr>
          <w:sz w:val="26"/>
          <w:szCs w:val="26"/>
        </w:rPr>
      </w:pPr>
    </w:p>
    <w:p w14:paraId="2A5BCCD3" w14:textId="3702EE18" w:rsidR="001C058F" w:rsidRDefault="00BF1B3B" w:rsidP="00296E92">
      <w:pPr>
        <w:pStyle w:val="Heading1"/>
      </w:pPr>
      <w:bookmarkStart w:id="3" w:name="_Hlk141968419"/>
      <w:r>
        <w:t>APPOINT</w:t>
      </w:r>
      <w:r>
        <w:rPr>
          <w:spacing w:val="-6"/>
        </w:rPr>
        <w:t xml:space="preserve"> </w:t>
      </w:r>
      <w:r>
        <w:t>DEAN,</w:t>
      </w:r>
      <w:r>
        <w:rPr>
          <w:spacing w:val="-7"/>
        </w:rPr>
        <w:t xml:space="preserve"> </w:t>
      </w:r>
      <w:r w:rsidR="004E3677">
        <w:t xml:space="preserve">COLLEGE OF </w:t>
      </w:r>
      <w:r w:rsidR="00363AC1">
        <w:t>FINE AND APPLIED ARTS</w:t>
      </w:r>
      <w:r w:rsidR="003A6263">
        <w:t>,</w:t>
      </w:r>
      <w:r>
        <w:rPr>
          <w:spacing w:val="-8"/>
        </w:rPr>
        <w:t xml:space="preserve"> </w:t>
      </w:r>
      <w:r>
        <w:rPr>
          <w:spacing w:val="-2"/>
        </w:rPr>
        <w:t>URBANA</w:t>
      </w:r>
    </w:p>
    <w:bookmarkEnd w:id="3"/>
    <w:p w14:paraId="1ECD8C1A" w14:textId="77777777" w:rsidR="001C058F" w:rsidRPr="00703134" w:rsidRDefault="001C058F" w:rsidP="00296E92">
      <w:pPr>
        <w:pStyle w:val="BodyText"/>
      </w:pPr>
    </w:p>
    <w:p w14:paraId="4E8485EE" w14:textId="77777777" w:rsidR="001C058F" w:rsidRPr="00703134" w:rsidRDefault="001C058F" w:rsidP="00296E92">
      <w:pPr>
        <w:pStyle w:val="BodyText"/>
      </w:pPr>
    </w:p>
    <w:p w14:paraId="4D12D60C" w14:textId="5F0A8908" w:rsidR="001C058F" w:rsidRDefault="00BF1B3B" w:rsidP="00A14448">
      <w:pPr>
        <w:pStyle w:val="BodyText"/>
        <w:tabs>
          <w:tab w:val="left" w:pos="1440"/>
        </w:tabs>
      </w:pPr>
      <w:r>
        <w:rPr>
          <w:b/>
          <w:spacing w:val="-2"/>
        </w:rPr>
        <w:t>Action:</w:t>
      </w:r>
      <w:r w:rsidR="00C83922">
        <w:rPr>
          <w:b/>
          <w:spacing w:val="-2"/>
        </w:rPr>
        <w:t xml:space="preserve"> </w:t>
      </w:r>
      <w:r w:rsidR="00A14448">
        <w:rPr>
          <w:b/>
          <w:spacing w:val="-2"/>
        </w:rPr>
        <w:tab/>
      </w:r>
      <w:r>
        <w:t>Appoint</w:t>
      </w:r>
      <w:r>
        <w:rPr>
          <w:spacing w:val="-5"/>
        </w:rPr>
        <w:t xml:space="preserve"> </w:t>
      </w:r>
      <w:r>
        <w:t>Dean,</w:t>
      </w:r>
      <w:r>
        <w:rPr>
          <w:spacing w:val="-2"/>
        </w:rPr>
        <w:t xml:space="preserve"> </w:t>
      </w:r>
      <w:r w:rsidR="004E3677">
        <w:t xml:space="preserve">College of </w:t>
      </w:r>
      <w:r w:rsidR="00363AC1">
        <w:t>Fine and Applied Arts</w:t>
      </w:r>
    </w:p>
    <w:p w14:paraId="66AA7B59" w14:textId="77777777" w:rsidR="001C058F" w:rsidRDefault="001C058F" w:rsidP="00296E92">
      <w:pPr>
        <w:pStyle w:val="BodyText"/>
        <w:rPr>
          <w:sz w:val="27"/>
        </w:rPr>
      </w:pPr>
    </w:p>
    <w:p w14:paraId="354B023D" w14:textId="2D635C37" w:rsidR="001C058F" w:rsidRDefault="00BF1B3B" w:rsidP="00A14448">
      <w:pPr>
        <w:tabs>
          <w:tab w:val="left" w:pos="1440"/>
        </w:tabs>
        <w:rPr>
          <w:sz w:val="26"/>
        </w:rPr>
      </w:pPr>
      <w:r>
        <w:rPr>
          <w:b/>
          <w:spacing w:val="-2"/>
          <w:sz w:val="26"/>
        </w:rPr>
        <w:t>Funding:</w:t>
      </w:r>
      <w:r w:rsidR="003A6263">
        <w:rPr>
          <w:b/>
          <w:spacing w:val="-2"/>
          <w:sz w:val="26"/>
        </w:rPr>
        <w:t xml:space="preserve"> </w:t>
      </w:r>
      <w:r w:rsidR="00A14448">
        <w:rPr>
          <w:b/>
          <w:spacing w:val="-2"/>
          <w:sz w:val="26"/>
        </w:rPr>
        <w:tab/>
      </w:r>
      <w:r>
        <w:rPr>
          <w:sz w:val="26"/>
        </w:rPr>
        <w:t>Tuition/State</w:t>
      </w:r>
      <w:r>
        <w:rPr>
          <w:spacing w:val="-7"/>
          <w:sz w:val="26"/>
        </w:rPr>
        <w:t xml:space="preserve"> </w:t>
      </w:r>
      <w:r>
        <w:rPr>
          <w:sz w:val="26"/>
        </w:rPr>
        <w:t>Appropriated</w:t>
      </w:r>
      <w:r>
        <w:rPr>
          <w:spacing w:val="28"/>
          <w:sz w:val="26"/>
        </w:rPr>
        <w:t xml:space="preserve"> </w:t>
      </w:r>
      <w:r>
        <w:rPr>
          <w:spacing w:val="-4"/>
          <w:sz w:val="26"/>
        </w:rPr>
        <w:t>Funds</w:t>
      </w:r>
    </w:p>
    <w:p w14:paraId="19A1B022" w14:textId="77777777" w:rsidR="001C058F" w:rsidRPr="00703134" w:rsidRDefault="001C058F" w:rsidP="00296E92">
      <w:pPr>
        <w:pStyle w:val="BodyText"/>
      </w:pPr>
    </w:p>
    <w:p w14:paraId="6AEED740" w14:textId="77777777" w:rsidR="001C058F" w:rsidRPr="00703134" w:rsidRDefault="001C058F" w:rsidP="00C83922">
      <w:pPr>
        <w:pStyle w:val="BodyText"/>
        <w:ind w:left="1440"/>
      </w:pPr>
    </w:p>
    <w:p w14:paraId="67C4965A" w14:textId="1583F3E8" w:rsidR="001C058F" w:rsidRDefault="00BF1B3B" w:rsidP="00C83922">
      <w:pPr>
        <w:pStyle w:val="BodyText"/>
        <w:spacing w:before="1" w:line="480" w:lineRule="auto"/>
        <w:ind w:right="233" w:firstLine="1440"/>
      </w:pPr>
      <w:bookmarkStart w:id="4" w:name="_Hlk141968458"/>
      <w:r>
        <w:t xml:space="preserve">The </w:t>
      </w:r>
      <w:r w:rsidR="0059180A">
        <w:t>c</w:t>
      </w:r>
      <w:r>
        <w:t xml:space="preserve">hancellor, University of Illinois Urbana-Champaign, and </w:t>
      </w:r>
      <w:r w:rsidR="0059180A">
        <w:t>v</w:t>
      </w:r>
      <w:r>
        <w:t xml:space="preserve">ice </w:t>
      </w:r>
      <w:r w:rsidR="0059180A">
        <w:t>p</w:t>
      </w:r>
      <w:r>
        <w:t>resident, University of Illinois</w:t>
      </w:r>
      <w:r w:rsidR="00BE713D">
        <w:t xml:space="preserve"> System,</w:t>
      </w:r>
      <w:r>
        <w:t xml:space="preserve"> recommends the appointment of </w:t>
      </w:r>
      <w:r w:rsidR="00363AC1">
        <w:t>Jacob Daniel Pinholster</w:t>
      </w:r>
      <w:r>
        <w:t xml:space="preserve">, presently </w:t>
      </w:r>
      <w:r w:rsidR="00007A6C">
        <w:t xml:space="preserve">executive dean and </w:t>
      </w:r>
      <w:r w:rsidR="00363AC1">
        <w:t xml:space="preserve">associate </w:t>
      </w:r>
      <w:r w:rsidR="0059180A">
        <w:t>p</w:t>
      </w:r>
      <w:r>
        <w:t xml:space="preserve">rofessor, </w:t>
      </w:r>
      <w:r w:rsidR="00007A6C">
        <w:t>Herberger Institute for Design and the Arts, Arizona State University, Tempe, a</w:t>
      </w:r>
      <w:r>
        <w:t xml:space="preserve">s </w:t>
      </w:r>
      <w:r w:rsidR="0059180A">
        <w:t>d</w:t>
      </w:r>
      <w:r>
        <w:t xml:space="preserve">ean, </w:t>
      </w:r>
      <w:r w:rsidR="004E3677">
        <w:t xml:space="preserve">College of </w:t>
      </w:r>
      <w:r w:rsidR="00007A6C">
        <w:t>Fine and Applied Arts</w:t>
      </w:r>
      <w:r>
        <w:t>.</w:t>
      </w:r>
    </w:p>
    <w:bookmarkEnd w:id="4"/>
    <w:p w14:paraId="5C417EFE" w14:textId="5925DD32" w:rsidR="00CE6B1D" w:rsidRDefault="00BF1B3B" w:rsidP="00C83922">
      <w:pPr>
        <w:pStyle w:val="BodyText"/>
        <w:spacing w:line="480" w:lineRule="auto"/>
        <w:ind w:right="233" w:firstLine="1440"/>
      </w:pPr>
      <w:r>
        <w:t>Effective</w:t>
      </w:r>
      <w:r>
        <w:rPr>
          <w:spacing w:val="-6"/>
        </w:rPr>
        <w:t xml:space="preserve"> </w:t>
      </w:r>
      <w:r w:rsidR="004E3677">
        <w:t>September</w:t>
      </w:r>
      <w:r w:rsidR="001335A5">
        <w:t xml:space="preserve"> </w:t>
      </w:r>
      <w:r w:rsidR="00007A6C">
        <w:t>16</w:t>
      </w:r>
      <w:r>
        <w:t>,</w:t>
      </w:r>
      <w:r>
        <w:rPr>
          <w:spacing w:val="-6"/>
        </w:rPr>
        <w:t xml:space="preserve"> </w:t>
      </w:r>
      <w:r>
        <w:t>202</w:t>
      </w:r>
      <w:r w:rsidR="00007A6C">
        <w:t>4</w:t>
      </w:r>
      <w:r>
        <w:t>,</w:t>
      </w:r>
      <w:r>
        <w:rPr>
          <w:spacing w:val="-6"/>
        </w:rPr>
        <w:t xml:space="preserve"> </w:t>
      </w:r>
      <w:r w:rsidR="004E3677">
        <w:t xml:space="preserve">Professor </w:t>
      </w:r>
      <w:r w:rsidR="00007A6C">
        <w:t>Pinholster</w:t>
      </w:r>
      <w:r>
        <w:rPr>
          <w:spacing w:val="-6"/>
        </w:rPr>
        <w:t xml:space="preserve"> </w:t>
      </w:r>
      <w:r>
        <w:t>will</w:t>
      </w:r>
      <w:r>
        <w:rPr>
          <w:spacing w:val="-6"/>
        </w:rPr>
        <w:t xml:space="preserve"> </w:t>
      </w:r>
      <w:r>
        <w:t>be</w:t>
      </w:r>
      <w:r>
        <w:rPr>
          <w:spacing w:val="-6"/>
        </w:rPr>
        <w:t xml:space="preserve"> </w:t>
      </w:r>
      <w:r>
        <w:t>appointed</w:t>
      </w:r>
      <w:r>
        <w:rPr>
          <w:spacing w:val="-3"/>
        </w:rPr>
        <w:t xml:space="preserve"> </w:t>
      </w:r>
      <w:r w:rsidR="0059180A">
        <w:t>d</w:t>
      </w:r>
      <w:r>
        <w:t xml:space="preserve">ean, </w:t>
      </w:r>
      <w:r w:rsidR="004E3677">
        <w:t xml:space="preserve">College of </w:t>
      </w:r>
      <w:r w:rsidR="00007A6C">
        <w:t>Fine and Applied Arts</w:t>
      </w:r>
      <w:r>
        <w:t>, non-tenured, on a twelve-month service basis, on 100 percent time, at an annual salary of $</w:t>
      </w:r>
      <w:r w:rsidR="00007A6C">
        <w:t>210,222</w:t>
      </w:r>
      <w:r w:rsidR="004E3677">
        <w:t xml:space="preserve"> </w:t>
      </w:r>
      <w:r>
        <w:t xml:space="preserve">(equivalent to an annual </w:t>
      </w:r>
      <w:r w:rsidR="00D11719">
        <w:t>academic year</w:t>
      </w:r>
      <w:r>
        <w:t xml:space="preserve"> base salary of $</w:t>
      </w:r>
      <w:r w:rsidR="00EF28A6">
        <w:t>172,000</w:t>
      </w:r>
      <w:r>
        <w:t xml:space="preserve"> plus two-ninths annualization of $</w:t>
      </w:r>
      <w:r w:rsidR="00EF28A6">
        <w:t>38,222</w:t>
      </w:r>
      <w:r>
        <w:t xml:space="preserve">) </w:t>
      </w:r>
      <w:r w:rsidR="00D11719">
        <w:t>and</w:t>
      </w:r>
      <w:r>
        <w:t xml:space="preserve"> an annual administrative increment of $</w:t>
      </w:r>
      <w:r w:rsidR="00EF28A6">
        <w:t>79,778 for a total annual salary of $290,000</w:t>
      </w:r>
      <w:r w:rsidR="004E3677">
        <w:t xml:space="preserve">. </w:t>
      </w:r>
    </w:p>
    <w:p w14:paraId="2EA0EFC5" w14:textId="17940CFC" w:rsidR="001C058F" w:rsidRDefault="00CE6B1D" w:rsidP="00EF28A6">
      <w:pPr>
        <w:pStyle w:val="BodyText"/>
        <w:spacing w:line="480" w:lineRule="auto"/>
        <w:ind w:right="233" w:firstLine="1440"/>
      </w:pPr>
      <w:r>
        <w:t xml:space="preserve">Professor </w:t>
      </w:r>
      <w:r w:rsidR="00007A6C">
        <w:t>Pinholster</w:t>
      </w:r>
      <w:r>
        <w:t xml:space="preserve"> will </w:t>
      </w:r>
      <w:r w:rsidR="00D76E16">
        <w:t>be recommended to</w:t>
      </w:r>
      <w:r w:rsidR="00A840B0">
        <w:t xml:space="preserve"> </w:t>
      </w:r>
      <w:r>
        <w:t>hold the rank of professor</w:t>
      </w:r>
      <w:r w:rsidR="00791153">
        <w:t xml:space="preserve"> of theatre</w:t>
      </w:r>
      <w:r>
        <w:t>,</w:t>
      </w:r>
      <w:r>
        <w:rPr>
          <w:spacing w:val="-1"/>
        </w:rPr>
        <w:t xml:space="preserve"> </w:t>
      </w:r>
      <w:r>
        <w:t>on</w:t>
      </w:r>
      <w:r>
        <w:rPr>
          <w:spacing w:val="-4"/>
        </w:rPr>
        <w:t xml:space="preserve"> </w:t>
      </w:r>
      <w:r>
        <w:t>indefinite</w:t>
      </w:r>
      <w:r>
        <w:rPr>
          <w:spacing w:val="-4"/>
        </w:rPr>
        <w:t xml:space="preserve"> </w:t>
      </w:r>
      <w:r>
        <w:t>tenure,</w:t>
      </w:r>
      <w:r>
        <w:rPr>
          <w:spacing w:val="-4"/>
        </w:rPr>
        <w:t xml:space="preserve"> </w:t>
      </w:r>
      <w:r>
        <w:t>on</w:t>
      </w:r>
      <w:r>
        <w:rPr>
          <w:spacing w:val="-1"/>
        </w:rPr>
        <w:t xml:space="preserve"> </w:t>
      </w:r>
      <w:r>
        <w:t>an</w:t>
      </w:r>
      <w:r>
        <w:rPr>
          <w:spacing w:val="-4"/>
        </w:rPr>
        <w:t xml:space="preserve"> </w:t>
      </w:r>
      <w:r>
        <w:t>academic</w:t>
      </w:r>
      <w:r>
        <w:rPr>
          <w:spacing w:val="-1"/>
        </w:rPr>
        <w:t xml:space="preserve"> </w:t>
      </w:r>
      <w:r>
        <w:t>year</w:t>
      </w:r>
      <w:r>
        <w:rPr>
          <w:spacing w:val="-4"/>
        </w:rPr>
        <w:t xml:space="preserve"> </w:t>
      </w:r>
      <w:r>
        <w:t>service</w:t>
      </w:r>
      <w:r>
        <w:rPr>
          <w:spacing w:val="-4"/>
        </w:rPr>
        <w:t xml:space="preserve"> </w:t>
      </w:r>
      <w:r>
        <w:t>basis, on</w:t>
      </w:r>
      <w:r>
        <w:rPr>
          <w:spacing w:val="-2"/>
        </w:rPr>
        <w:t xml:space="preserve"> </w:t>
      </w:r>
      <w:r>
        <w:t>zero</w:t>
      </w:r>
      <w:r>
        <w:rPr>
          <w:spacing w:val="-2"/>
        </w:rPr>
        <w:t xml:space="preserve"> </w:t>
      </w:r>
      <w:r>
        <w:t>percent</w:t>
      </w:r>
      <w:r>
        <w:rPr>
          <w:spacing w:val="-2"/>
        </w:rPr>
        <w:t xml:space="preserve"> </w:t>
      </w:r>
      <w:r>
        <w:t>time, non-salaried</w:t>
      </w:r>
      <w:r w:rsidR="00D76E16">
        <w:t>, which shall be forwarded pursuant to processes for appointment and review for tenure.</w:t>
      </w:r>
    </w:p>
    <w:p w14:paraId="6F1B2C42" w14:textId="7258D5C4" w:rsidR="001C058F" w:rsidRDefault="00C83922" w:rsidP="00007A6C">
      <w:pPr>
        <w:pStyle w:val="BodyText"/>
        <w:spacing w:before="1" w:line="480" w:lineRule="auto"/>
        <w:ind w:right="233"/>
      </w:pPr>
      <w:r>
        <w:lastRenderedPageBreak/>
        <w:t xml:space="preserve"> </w:t>
      </w:r>
      <w:r>
        <w:tab/>
      </w:r>
      <w:r>
        <w:tab/>
      </w:r>
      <w:r w:rsidR="00E70919">
        <w:t xml:space="preserve">Professor </w:t>
      </w:r>
      <w:r w:rsidR="00007A6C">
        <w:t>Pinholster</w:t>
      </w:r>
      <w:r w:rsidR="00426A6D">
        <w:t xml:space="preserve"> </w:t>
      </w:r>
      <w:r w:rsidR="00BF1B3B">
        <w:t xml:space="preserve">succeeds </w:t>
      </w:r>
      <w:r w:rsidR="00007A6C">
        <w:t xml:space="preserve">Peter </w:t>
      </w:r>
      <w:r w:rsidR="0097652A">
        <w:t xml:space="preserve">Leslie </w:t>
      </w:r>
      <w:r w:rsidR="00007A6C">
        <w:t>Mortensen</w:t>
      </w:r>
      <w:r w:rsidR="00BF1B3B">
        <w:t>, who serve</w:t>
      </w:r>
      <w:r w:rsidR="00BF7FB6">
        <w:t>s</w:t>
      </w:r>
      <w:r w:rsidR="00BF1B3B">
        <w:t xml:space="preserve"> as </w:t>
      </w:r>
      <w:r w:rsidR="00E70919">
        <w:t xml:space="preserve">interim </w:t>
      </w:r>
      <w:r w:rsidR="00545B4D">
        <w:t>d</w:t>
      </w:r>
      <w:r w:rsidR="00BF1B3B">
        <w:t>ean</w:t>
      </w:r>
      <w:r w:rsidR="00BF7FB6">
        <w:t xml:space="preserve"> and will return to the faculty</w:t>
      </w:r>
      <w:r w:rsidR="00E70919">
        <w:t xml:space="preserve">, and </w:t>
      </w:r>
      <w:r w:rsidR="00007A6C">
        <w:t>Kevin Hamilton</w:t>
      </w:r>
      <w:r w:rsidR="00DB718E">
        <w:t xml:space="preserve">, who served as dean until </w:t>
      </w:r>
      <w:r w:rsidR="00BF7FB6">
        <w:t>May 2024 and has returned to the faculty and serves as associate vice chancellor for research and innovation.</w:t>
      </w:r>
    </w:p>
    <w:p w14:paraId="007DDC10" w14:textId="200BE85C" w:rsidR="001C058F" w:rsidRDefault="00BF1B3B" w:rsidP="00C83922">
      <w:pPr>
        <w:spacing w:line="480" w:lineRule="auto"/>
        <w:ind w:right="233" w:firstLine="1440"/>
        <w:rPr>
          <w:sz w:val="26"/>
        </w:rPr>
      </w:pPr>
      <w:r>
        <w:rPr>
          <w:sz w:val="26"/>
        </w:rPr>
        <w:t>The</w:t>
      </w:r>
      <w:r>
        <w:rPr>
          <w:spacing w:val="-1"/>
          <w:sz w:val="26"/>
        </w:rPr>
        <w:t xml:space="preserve"> </w:t>
      </w:r>
      <w:r>
        <w:rPr>
          <w:sz w:val="26"/>
        </w:rPr>
        <w:t>Board</w:t>
      </w:r>
      <w:r>
        <w:rPr>
          <w:spacing w:val="-1"/>
          <w:sz w:val="26"/>
        </w:rPr>
        <w:t xml:space="preserve"> </w:t>
      </w:r>
      <w:r>
        <w:rPr>
          <w:sz w:val="26"/>
        </w:rPr>
        <w:t>action</w:t>
      </w:r>
      <w:r>
        <w:rPr>
          <w:spacing w:val="-1"/>
          <w:sz w:val="26"/>
        </w:rPr>
        <w:t xml:space="preserve"> </w:t>
      </w:r>
      <w:r>
        <w:rPr>
          <w:sz w:val="26"/>
        </w:rPr>
        <w:t>recommended</w:t>
      </w:r>
      <w:r>
        <w:rPr>
          <w:spacing w:val="-1"/>
          <w:sz w:val="26"/>
        </w:rPr>
        <w:t xml:space="preserve"> </w:t>
      </w:r>
      <w:r>
        <w:rPr>
          <w:sz w:val="26"/>
        </w:rPr>
        <w:t>in</w:t>
      </w:r>
      <w:r>
        <w:rPr>
          <w:spacing w:val="-1"/>
          <w:sz w:val="26"/>
        </w:rPr>
        <w:t xml:space="preserve"> </w:t>
      </w:r>
      <w:r>
        <w:rPr>
          <w:sz w:val="26"/>
        </w:rPr>
        <w:t>this</w:t>
      </w:r>
      <w:r>
        <w:rPr>
          <w:spacing w:val="-1"/>
          <w:sz w:val="26"/>
        </w:rPr>
        <w:t xml:space="preserve"> </w:t>
      </w:r>
      <w:r>
        <w:rPr>
          <w:sz w:val="26"/>
        </w:rPr>
        <w:t>item</w:t>
      </w:r>
      <w:r>
        <w:rPr>
          <w:spacing w:val="-3"/>
          <w:sz w:val="26"/>
        </w:rPr>
        <w:t xml:space="preserve"> </w:t>
      </w:r>
      <w:r>
        <w:rPr>
          <w:sz w:val="26"/>
        </w:rPr>
        <w:t>complies</w:t>
      </w:r>
      <w:r>
        <w:rPr>
          <w:spacing w:val="-1"/>
          <w:sz w:val="26"/>
        </w:rPr>
        <w:t xml:space="preserve"> </w:t>
      </w:r>
      <w:r>
        <w:rPr>
          <w:sz w:val="26"/>
        </w:rPr>
        <w:t>in all material respects</w:t>
      </w:r>
      <w:r>
        <w:rPr>
          <w:spacing w:val="-5"/>
          <w:sz w:val="26"/>
        </w:rPr>
        <w:t xml:space="preserve"> </w:t>
      </w:r>
      <w:r>
        <w:rPr>
          <w:sz w:val="26"/>
        </w:rPr>
        <w:t>with</w:t>
      </w:r>
      <w:r>
        <w:rPr>
          <w:spacing w:val="-5"/>
          <w:sz w:val="26"/>
        </w:rPr>
        <w:t xml:space="preserve"> </w:t>
      </w:r>
      <w:r>
        <w:rPr>
          <w:sz w:val="26"/>
        </w:rPr>
        <w:t>applicable</w:t>
      </w:r>
      <w:r>
        <w:rPr>
          <w:spacing w:val="-5"/>
          <w:sz w:val="26"/>
        </w:rPr>
        <w:t xml:space="preserve"> </w:t>
      </w:r>
      <w:r>
        <w:rPr>
          <w:sz w:val="26"/>
        </w:rPr>
        <w:t>State</w:t>
      </w:r>
      <w:r>
        <w:rPr>
          <w:spacing w:val="-5"/>
          <w:sz w:val="26"/>
        </w:rPr>
        <w:t xml:space="preserve"> </w:t>
      </w:r>
      <w:r>
        <w:rPr>
          <w:sz w:val="26"/>
        </w:rPr>
        <w:t>and</w:t>
      </w:r>
      <w:r>
        <w:rPr>
          <w:spacing w:val="-5"/>
          <w:sz w:val="26"/>
        </w:rPr>
        <w:t xml:space="preserve"> </w:t>
      </w:r>
      <w:r>
        <w:rPr>
          <w:sz w:val="26"/>
        </w:rPr>
        <w:t>federal</w:t>
      </w:r>
      <w:r>
        <w:rPr>
          <w:spacing w:val="-5"/>
          <w:sz w:val="26"/>
        </w:rPr>
        <w:t xml:space="preserve"> </w:t>
      </w:r>
      <w:r>
        <w:rPr>
          <w:sz w:val="26"/>
        </w:rPr>
        <w:t>laws,</w:t>
      </w:r>
      <w:r>
        <w:rPr>
          <w:spacing w:val="-5"/>
          <w:sz w:val="26"/>
        </w:rPr>
        <w:t xml:space="preserve"> </w:t>
      </w:r>
      <w:r>
        <w:rPr>
          <w:sz w:val="26"/>
        </w:rPr>
        <w:t>University</w:t>
      </w:r>
      <w:r>
        <w:rPr>
          <w:spacing w:val="-8"/>
          <w:sz w:val="26"/>
        </w:rPr>
        <w:t xml:space="preserve"> </w:t>
      </w:r>
      <w:r>
        <w:rPr>
          <w:sz w:val="26"/>
        </w:rPr>
        <w:t>of</w:t>
      </w:r>
      <w:r>
        <w:rPr>
          <w:spacing w:val="-2"/>
          <w:sz w:val="26"/>
        </w:rPr>
        <w:t xml:space="preserve"> </w:t>
      </w:r>
      <w:r>
        <w:rPr>
          <w:sz w:val="26"/>
        </w:rPr>
        <w:t>Illinois</w:t>
      </w:r>
      <w:r>
        <w:rPr>
          <w:spacing w:val="-2"/>
          <w:sz w:val="26"/>
        </w:rPr>
        <w:t xml:space="preserve"> </w:t>
      </w:r>
      <w:r>
        <w:rPr>
          <w:i/>
          <w:sz w:val="26"/>
        </w:rPr>
        <w:t>Statutes</w:t>
      </w:r>
      <w:r w:rsidRPr="00A14448">
        <w:rPr>
          <w:iCs/>
          <w:sz w:val="26"/>
        </w:rPr>
        <w:t>,</w:t>
      </w:r>
      <w:r>
        <w:rPr>
          <w:i/>
          <w:spacing w:val="-2"/>
          <w:sz w:val="26"/>
        </w:rPr>
        <w:t xml:space="preserve"> </w:t>
      </w:r>
      <w:r>
        <w:rPr>
          <w:i/>
          <w:sz w:val="26"/>
        </w:rPr>
        <w:t>The General Rules Concerning University Organization and Procedure</w:t>
      </w:r>
      <w:r w:rsidR="006A36B5" w:rsidRPr="00A14448">
        <w:rPr>
          <w:iCs/>
          <w:sz w:val="26"/>
        </w:rPr>
        <w:t>,</w:t>
      </w:r>
      <w:r>
        <w:rPr>
          <w:i/>
          <w:sz w:val="26"/>
        </w:rPr>
        <w:t xml:space="preserve"> </w:t>
      </w:r>
      <w:r>
        <w:rPr>
          <w:sz w:val="26"/>
        </w:rPr>
        <w:t>and Board of Trustees policies and directives.</w:t>
      </w:r>
    </w:p>
    <w:p w14:paraId="6BE9CA78" w14:textId="4726292E" w:rsidR="00C83922" w:rsidRDefault="00BF1B3B" w:rsidP="00C70778">
      <w:pPr>
        <w:pStyle w:val="BodyText"/>
        <w:spacing w:before="1" w:line="480" w:lineRule="auto"/>
        <w:ind w:right="60" w:firstLine="1440"/>
      </w:pPr>
      <w:r>
        <w:t>This</w:t>
      </w:r>
      <w:r>
        <w:rPr>
          <w:spacing w:val="-6"/>
        </w:rPr>
        <w:t xml:space="preserve"> </w:t>
      </w:r>
      <w:r w:rsidR="00D044AA">
        <w:t xml:space="preserve">recommendation was forwarded from the </w:t>
      </w:r>
      <w:r w:rsidR="00A14448">
        <w:t>v</w:t>
      </w:r>
      <w:r w:rsidR="00D044AA">
        <w:t xml:space="preserve">ice </w:t>
      </w:r>
      <w:r w:rsidR="00A14448">
        <w:t>c</w:t>
      </w:r>
      <w:r w:rsidR="00D044AA">
        <w:t xml:space="preserve">hancellor for </w:t>
      </w:r>
      <w:r w:rsidR="00A14448">
        <w:t>a</w:t>
      </w:r>
      <w:r w:rsidR="00D044AA">
        <w:t xml:space="preserve">cademic </w:t>
      </w:r>
      <w:r w:rsidR="00A14448">
        <w:t>a</w:t>
      </w:r>
      <w:r w:rsidR="00D044AA">
        <w:t xml:space="preserve">ffairs and </w:t>
      </w:r>
      <w:r w:rsidR="00A14448">
        <w:t>p</w:t>
      </w:r>
      <w:r w:rsidR="00D044AA">
        <w:t>rovost, based on the advice of the search committee</w:t>
      </w:r>
      <w:r>
        <w:t>.</w:t>
      </w:r>
      <w:r w:rsidR="00A14448">
        <w:rPr>
          <w:rStyle w:val="FootnoteReference"/>
        </w:rPr>
        <w:footnoteReference w:id="1"/>
      </w:r>
    </w:p>
    <w:p w14:paraId="1E5CC702" w14:textId="3E696238" w:rsidR="001C058F" w:rsidRDefault="00BF1B3B" w:rsidP="00C70778">
      <w:pPr>
        <w:pStyle w:val="BodyText"/>
        <w:spacing w:before="1" w:line="480" w:lineRule="auto"/>
        <w:ind w:left="720" w:right="60" w:firstLine="720"/>
      </w:pPr>
      <w:r>
        <w:t>The</w:t>
      </w:r>
      <w:r>
        <w:rPr>
          <w:spacing w:val="-7"/>
        </w:rPr>
        <w:t xml:space="preserve"> </w:t>
      </w:r>
      <w:r w:rsidR="00545B4D">
        <w:t>e</w:t>
      </w:r>
      <w:r>
        <w:t>xecutive</w:t>
      </w:r>
      <w:r>
        <w:rPr>
          <w:spacing w:val="-7"/>
        </w:rPr>
        <w:t xml:space="preserve"> </w:t>
      </w:r>
      <w:r w:rsidR="00545B4D">
        <w:t>v</w:t>
      </w:r>
      <w:r>
        <w:t>ice</w:t>
      </w:r>
      <w:r>
        <w:rPr>
          <w:spacing w:val="-4"/>
        </w:rPr>
        <w:t xml:space="preserve"> </w:t>
      </w:r>
      <w:r w:rsidR="00545B4D">
        <w:t>p</w:t>
      </w:r>
      <w:r>
        <w:t>resident</w:t>
      </w:r>
      <w:r>
        <w:rPr>
          <w:spacing w:val="-7"/>
        </w:rPr>
        <w:t xml:space="preserve"> </w:t>
      </w:r>
      <w:r>
        <w:t>and</w:t>
      </w:r>
      <w:r>
        <w:rPr>
          <w:spacing w:val="-4"/>
        </w:rPr>
        <w:t xml:space="preserve"> </w:t>
      </w:r>
      <w:r w:rsidR="00545B4D">
        <w:t>v</w:t>
      </w:r>
      <w:r>
        <w:t>ice</w:t>
      </w:r>
      <w:r>
        <w:rPr>
          <w:spacing w:val="-7"/>
        </w:rPr>
        <w:t xml:space="preserve"> </w:t>
      </w:r>
      <w:r w:rsidR="00545B4D">
        <w:t>p</w:t>
      </w:r>
      <w:r>
        <w:t>resident</w:t>
      </w:r>
      <w:r>
        <w:rPr>
          <w:spacing w:val="-7"/>
        </w:rPr>
        <w:t xml:space="preserve"> </w:t>
      </w:r>
      <w:r>
        <w:t>for</w:t>
      </w:r>
      <w:r>
        <w:rPr>
          <w:spacing w:val="-7"/>
        </w:rPr>
        <w:t xml:space="preserve"> </w:t>
      </w:r>
      <w:r w:rsidR="00545B4D">
        <w:t>a</w:t>
      </w:r>
      <w:r>
        <w:t>cademic</w:t>
      </w:r>
      <w:r>
        <w:rPr>
          <w:spacing w:val="-6"/>
        </w:rPr>
        <w:t xml:space="preserve"> </w:t>
      </w:r>
      <w:r w:rsidR="00545B4D">
        <w:rPr>
          <w:spacing w:val="-2"/>
        </w:rPr>
        <w:t>a</w:t>
      </w:r>
      <w:r>
        <w:rPr>
          <w:spacing w:val="-2"/>
        </w:rPr>
        <w:t>ffairs</w:t>
      </w:r>
    </w:p>
    <w:p w14:paraId="2E373D0B" w14:textId="1D6B6F12" w:rsidR="001C058F" w:rsidRDefault="00BF1B3B" w:rsidP="00C70778">
      <w:pPr>
        <w:pStyle w:val="BodyText"/>
        <w:spacing w:line="480" w:lineRule="auto"/>
        <w:rPr>
          <w:spacing w:val="-2"/>
        </w:rPr>
      </w:pPr>
      <w:r>
        <w:rPr>
          <w:spacing w:val="-2"/>
        </w:rPr>
        <w:lastRenderedPageBreak/>
        <w:t>concurs.</w:t>
      </w:r>
    </w:p>
    <w:p w14:paraId="60B95692" w14:textId="0B127DAA" w:rsidR="00426A6D" w:rsidRDefault="00426A6D" w:rsidP="00C70778">
      <w:pPr>
        <w:pStyle w:val="BodyText"/>
        <w:spacing w:line="480" w:lineRule="auto"/>
        <w:ind w:left="720" w:firstLine="720"/>
        <w:rPr>
          <w:spacing w:val="-2"/>
        </w:rPr>
      </w:pPr>
      <w:r>
        <w:rPr>
          <w:spacing w:val="-2"/>
        </w:rPr>
        <w:t xml:space="preserve">The </w:t>
      </w:r>
      <w:r w:rsidR="00545B4D">
        <w:rPr>
          <w:spacing w:val="-2"/>
        </w:rPr>
        <w:t>p</w:t>
      </w:r>
      <w:r>
        <w:rPr>
          <w:spacing w:val="-2"/>
        </w:rPr>
        <w:t xml:space="preserve">resident of the University </w:t>
      </w:r>
      <w:r w:rsidR="006A36B5">
        <w:rPr>
          <w:spacing w:val="-2"/>
        </w:rPr>
        <w:t xml:space="preserve">of Illinois System </w:t>
      </w:r>
      <w:r>
        <w:rPr>
          <w:spacing w:val="-2"/>
        </w:rPr>
        <w:t>recommends approval.</w:t>
      </w:r>
    </w:p>
    <w:p w14:paraId="6C65C20B" w14:textId="116C3831" w:rsidR="00B73F7F" w:rsidRPr="00F5634F" w:rsidRDefault="00426A6D" w:rsidP="00F5634F">
      <w:pPr>
        <w:pStyle w:val="BodyText"/>
        <w:rPr>
          <w:spacing w:val="-2"/>
        </w:rPr>
      </w:pPr>
      <w:r>
        <w:rPr>
          <w:spacing w:val="-2"/>
        </w:rPr>
        <w:tab/>
      </w:r>
      <w:r>
        <w:rPr>
          <w:spacing w:val="-2"/>
        </w:rPr>
        <w:tab/>
        <w:t>(A bio</w:t>
      </w:r>
      <w:r w:rsidR="00545B4D">
        <w:rPr>
          <w:spacing w:val="-2"/>
        </w:rPr>
        <w:t xml:space="preserve">graphical </w:t>
      </w:r>
      <w:r>
        <w:rPr>
          <w:spacing w:val="-2"/>
        </w:rPr>
        <w:t>sketch follows.)</w:t>
      </w:r>
      <w:r>
        <w:rPr>
          <w:spacing w:val="-2"/>
        </w:rPr>
        <w:tab/>
      </w:r>
    </w:p>
    <w:p w14:paraId="2E19A984" w14:textId="77777777" w:rsidR="00296E92" w:rsidRDefault="00296E92" w:rsidP="00296E92">
      <w:pPr>
        <w:pStyle w:val="BodyText"/>
        <w:jc w:val="center"/>
        <w:rPr>
          <w:spacing w:val="-2"/>
        </w:rPr>
      </w:pPr>
    </w:p>
    <w:p w14:paraId="07FBF540" w14:textId="77777777" w:rsidR="00296E92" w:rsidRDefault="00296E92" w:rsidP="00296E92">
      <w:pPr>
        <w:pStyle w:val="BodyText"/>
        <w:jc w:val="center"/>
        <w:rPr>
          <w:spacing w:val="-2"/>
        </w:rPr>
      </w:pPr>
    </w:p>
    <w:p w14:paraId="01AC6DBF" w14:textId="652F9903" w:rsidR="00491F1A" w:rsidRDefault="00363AC1" w:rsidP="00296E92">
      <w:pPr>
        <w:pStyle w:val="BodyText"/>
        <w:jc w:val="center"/>
        <w:rPr>
          <w:spacing w:val="-2"/>
        </w:rPr>
      </w:pPr>
      <w:r>
        <w:rPr>
          <w:spacing w:val="-2"/>
        </w:rPr>
        <w:t>JACOB DANIEL PINHOLSTER</w:t>
      </w:r>
    </w:p>
    <w:p w14:paraId="679BC0FE" w14:textId="77777777" w:rsidR="001F770A" w:rsidRDefault="001F770A" w:rsidP="00296E92">
      <w:pPr>
        <w:pStyle w:val="BodyText"/>
        <w:spacing w:before="88"/>
        <w:ind w:right="3664"/>
      </w:pPr>
    </w:p>
    <w:p w14:paraId="7390C86A" w14:textId="37DDD909" w:rsidR="001C058F" w:rsidRDefault="00BF1B3B" w:rsidP="00296E92">
      <w:pPr>
        <w:pStyle w:val="BodyText"/>
        <w:spacing w:line="298" w:lineRule="exact"/>
        <w:rPr>
          <w:spacing w:val="-2"/>
        </w:rPr>
      </w:pPr>
      <w:r>
        <w:rPr>
          <w:spacing w:val="-2"/>
        </w:rPr>
        <w:t>Education</w:t>
      </w:r>
      <w:r w:rsidR="00BE713D">
        <w:rPr>
          <w:spacing w:val="-2"/>
        </w:rPr>
        <w:t>:</w:t>
      </w:r>
    </w:p>
    <w:p w14:paraId="0C4BFE02" w14:textId="3C681E49" w:rsidR="004E1298" w:rsidRDefault="004E1298" w:rsidP="00A14448">
      <w:pPr>
        <w:pStyle w:val="BodyText"/>
        <w:spacing w:line="298" w:lineRule="exact"/>
        <w:ind w:left="180"/>
      </w:pPr>
      <w:r>
        <w:rPr>
          <w:spacing w:val="-2"/>
        </w:rPr>
        <w:t>University of Florida, Gainesville, BA, 2000; MFA, 2003</w:t>
      </w:r>
    </w:p>
    <w:p w14:paraId="7D523F13" w14:textId="77777777" w:rsidR="004B679A" w:rsidRDefault="004B679A" w:rsidP="00296E92">
      <w:pPr>
        <w:pStyle w:val="BodyText"/>
      </w:pPr>
    </w:p>
    <w:p w14:paraId="7AC06DE1" w14:textId="19D60C51" w:rsidR="001C058F" w:rsidRDefault="00BF1B3B" w:rsidP="00296E92">
      <w:pPr>
        <w:pStyle w:val="BodyText"/>
        <w:spacing w:line="298" w:lineRule="exact"/>
        <w:rPr>
          <w:spacing w:val="-2"/>
        </w:rPr>
      </w:pPr>
      <w:r>
        <w:t>Professional</w:t>
      </w:r>
      <w:r>
        <w:rPr>
          <w:spacing w:val="-8"/>
        </w:rPr>
        <w:t xml:space="preserve"> </w:t>
      </w:r>
      <w:r>
        <w:t>and</w:t>
      </w:r>
      <w:r>
        <w:rPr>
          <w:spacing w:val="-7"/>
        </w:rPr>
        <w:t xml:space="preserve"> </w:t>
      </w:r>
      <w:r>
        <w:t>Other</w:t>
      </w:r>
      <w:r>
        <w:rPr>
          <w:spacing w:val="-4"/>
        </w:rPr>
        <w:t xml:space="preserve"> </w:t>
      </w:r>
      <w:r>
        <w:rPr>
          <w:spacing w:val="-2"/>
        </w:rPr>
        <w:t>Experience</w:t>
      </w:r>
      <w:r w:rsidR="00BE713D">
        <w:rPr>
          <w:spacing w:val="-2"/>
        </w:rPr>
        <w:t>:</w:t>
      </w:r>
    </w:p>
    <w:p w14:paraId="55F2F1BF" w14:textId="2AE04EBF" w:rsidR="002C533B" w:rsidRDefault="002C533B" w:rsidP="00A14448">
      <w:pPr>
        <w:pStyle w:val="BodyText"/>
        <w:spacing w:line="298" w:lineRule="exact"/>
        <w:ind w:left="360" w:hanging="180"/>
        <w:rPr>
          <w:spacing w:val="-2"/>
        </w:rPr>
      </w:pPr>
      <w:r>
        <w:rPr>
          <w:spacing w:val="-2"/>
        </w:rPr>
        <w:t>Williamstown Theatre Festival, MA, 2003, assistant scenic designer</w:t>
      </w:r>
    </w:p>
    <w:p w14:paraId="4D836947" w14:textId="6B946BB0" w:rsidR="002C533B" w:rsidRDefault="003F65B3" w:rsidP="00A14448">
      <w:pPr>
        <w:pStyle w:val="BodyText"/>
        <w:spacing w:line="298" w:lineRule="exact"/>
        <w:ind w:left="360" w:hanging="180"/>
        <w:rPr>
          <w:spacing w:val="-2"/>
        </w:rPr>
      </w:pPr>
      <w:r>
        <w:rPr>
          <w:spacing w:val="-2"/>
        </w:rPr>
        <w:t xml:space="preserve">Freelance design assistant, programmer, </w:t>
      </w:r>
      <w:r w:rsidR="00544657">
        <w:rPr>
          <w:spacing w:val="-2"/>
        </w:rPr>
        <w:t xml:space="preserve">2004-16, </w:t>
      </w:r>
      <w:r>
        <w:rPr>
          <w:spacing w:val="-2"/>
        </w:rPr>
        <w:t>technician, principal designer</w:t>
      </w:r>
    </w:p>
    <w:p w14:paraId="16B554E0" w14:textId="6CE7A8F2" w:rsidR="002C533B" w:rsidRDefault="003F65B3" w:rsidP="00A14448">
      <w:pPr>
        <w:pStyle w:val="BodyText"/>
        <w:spacing w:line="298" w:lineRule="exact"/>
        <w:ind w:left="360" w:hanging="180"/>
        <w:rPr>
          <w:spacing w:val="-2"/>
        </w:rPr>
      </w:pPr>
      <w:r>
        <w:rPr>
          <w:spacing w:val="-2"/>
        </w:rPr>
        <w:t>Les Freres Corbusier,</w:t>
      </w:r>
      <w:r w:rsidR="00D11719">
        <w:rPr>
          <w:spacing w:val="-2"/>
        </w:rPr>
        <w:t xml:space="preserve"> New York City, NY,</w:t>
      </w:r>
      <w:r>
        <w:rPr>
          <w:spacing w:val="-2"/>
        </w:rPr>
        <w:t xml:space="preserve"> 2005-date, associate artist</w:t>
      </w:r>
    </w:p>
    <w:p w14:paraId="1A7DF8D3" w14:textId="6B60D090" w:rsidR="001F5562" w:rsidRPr="00544657" w:rsidRDefault="003F65B3" w:rsidP="00544657">
      <w:pPr>
        <w:pStyle w:val="BodyText"/>
        <w:spacing w:line="298" w:lineRule="exact"/>
        <w:ind w:left="360" w:hanging="180"/>
        <w:rPr>
          <w:spacing w:val="-2"/>
        </w:rPr>
      </w:pPr>
      <w:r>
        <w:rPr>
          <w:spacing w:val="-2"/>
        </w:rPr>
        <w:t>Arizona State University, Tempe, 2005-10</w:t>
      </w:r>
      <w:r w:rsidR="002D15D0">
        <w:rPr>
          <w:spacing w:val="-2"/>
        </w:rPr>
        <w:t>,</w:t>
      </w:r>
      <w:r>
        <w:rPr>
          <w:spacing w:val="-2"/>
        </w:rPr>
        <w:t xml:space="preserve"> assistant professor of performance design; 2010-date, associate professor of performance design; 2011-13, and 2013-16, director, School of Theatre and Film; 2012-13, director, School of Dance; 2016-18, associate dean of policy and initiatives; 2018-22, associate dean of enterprise design</w:t>
      </w:r>
      <w:r w:rsidR="00ED7A0F">
        <w:rPr>
          <w:spacing w:val="-2"/>
        </w:rPr>
        <w:t xml:space="preserve"> </w:t>
      </w:r>
      <w:r>
        <w:rPr>
          <w:spacing w:val="-2"/>
        </w:rPr>
        <w:t>and operations;</w:t>
      </w:r>
      <w:r w:rsidR="0020768E">
        <w:rPr>
          <w:spacing w:val="-2"/>
        </w:rPr>
        <w:t xml:space="preserve"> 2019-date, founding director, Media and Immersive eXperience Center; 2022-date, executive dean of enterprise design,</w:t>
      </w:r>
      <w:r w:rsidR="0020768E" w:rsidRPr="0020768E">
        <w:rPr>
          <w:spacing w:val="-2"/>
        </w:rPr>
        <w:t xml:space="preserve"> </w:t>
      </w:r>
      <w:r w:rsidR="0020768E">
        <w:rPr>
          <w:spacing w:val="-2"/>
        </w:rPr>
        <w:t>Herberger Institute for Design and the Arts</w:t>
      </w:r>
    </w:p>
    <w:p w14:paraId="55C535D6" w14:textId="6DBF822D" w:rsidR="00C83922" w:rsidRDefault="00C83922" w:rsidP="001F5562">
      <w:pPr>
        <w:pStyle w:val="BodyText"/>
      </w:pPr>
    </w:p>
    <w:sectPr w:rsidR="00C83922" w:rsidSect="00BE713D">
      <w:headerReference w:type="default" r:id="rId6"/>
      <w:footerReference w:type="default" r:id="rId7"/>
      <w:pgSz w:w="12240" w:h="15840"/>
      <w:pgMar w:top="720" w:right="1440" w:bottom="1440"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54F83" w14:textId="77777777" w:rsidR="00951FC9" w:rsidRDefault="00951FC9">
      <w:r>
        <w:separator/>
      </w:r>
    </w:p>
  </w:endnote>
  <w:endnote w:type="continuationSeparator" w:id="0">
    <w:p w14:paraId="36FC05B4" w14:textId="77777777" w:rsidR="00951FC9" w:rsidRDefault="009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60DA" w14:textId="3218B38E" w:rsidR="00B644EC" w:rsidRPr="00703134" w:rsidRDefault="00B644EC">
    <w:pPr>
      <w:pStyle w:val="Footer"/>
      <w:jc w:val="center"/>
      <w:rPr>
        <w:sz w:val="26"/>
        <w:szCs w:val="26"/>
      </w:rPr>
    </w:pPr>
  </w:p>
  <w:p w14:paraId="34D9CD48" w14:textId="77777777" w:rsidR="00B644EC" w:rsidRDefault="00B6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8901D" w14:textId="77777777" w:rsidR="00951FC9" w:rsidRDefault="00951FC9">
      <w:r>
        <w:separator/>
      </w:r>
    </w:p>
  </w:footnote>
  <w:footnote w:type="continuationSeparator" w:id="0">
    <w:p w14:paraId="6296123D" w14:textId="77777777" w:rsidR="00951FC9" w:rsidRDefault="00951FC9">
      <w:r>
        <w:continuationSeparator/>
      </w:r>
    </w:p>
  </w:footnote>
  <w:footnote w:id="1">
    <w:p w14:paraId="6F4A9B16" w14:textId="0113B224" w:rsidR="00A14448" w:rsidRPr="00A14448" w:rsidRDefault="00A14448" w:rsidP="00A14448">
      <w:pPr>
        <w:rPr>
          <w:sz w:val="26"/>
          <w:szCs w:val="26"/>
        </w:rPr>
      </w:pPr>
      <w:r w:rsidRPr="00A14448">
        <w:rPr>
          <w:rStyle w:val="FootnoteReference"/>
          <w:sz w:val="26"/>
          <w:szCs w:val="26"/>
        </w:rPr>
        <w:footnoteRef/>
      </w:r>
      <w:r w:rsidRPr="00A14448">
        <w:rPr>
          <w:sz w:val="26"/>
          <w:szCs w:val="26"/>
        </w:rPr>
        <w:t xml:space="preserve"> Venetria Kristen Patton, professor of African American studies, professor of English, and dean, College of Liberal Arts and Sciences, </w:t>
      </w:r>
      <w:r w:rsidRPr="00A14448">
        <w:rPr>
          <w:i/>
          <w:iCs/>
          <w:sz w:val="26"/>
          <w:szCs w:val="26"/>
        </w:rPr>
        <w:t>chair</w:t>
      </w:r>
      <w:r w:rsidRPr="00A14448">
        <w:rPr>
          <w:sz w:val="26"/>
          <w:szCs w:val="26"/>
        </w:rPr>
        <w:t>; Gregory N. Anderson, associate dean for administration, College of Fine and Applied Arts; Terry Anne Ciofalo, associate director for production, Krannert Center for the Performing Arts, College of Fine and Applied Arts; Cathy Feely, academic advisor and assistant to the head, Department of Theatre, College of Fine and Applied Arts; Patrick E. Hammie, professor, School of Art and Design, College of Fine and Applied Arts; Kathryn Elizabeth Holliday, professor, School of Architecture, and professor of landscape architecture, College of Fine and Applied Arts; Barry L. Houser, clinical associate professor of music, and director of athletic bands, College of Fine and Applied Arts; Cynthia Kocher, teaching associate professor of theatre, and director of undergraduate study, Department of Theatre, College of Fine and Applied Arts; Jeffrey S. Magee, professor of music, College of Fine and Applied Arts; Mary Patricia McGuire, associate professor of landscape architecture, College of Fine and Applied Arts; Curtis Kemal Nance, associate professor of dance and director of undergraduate recruitment, Department of Dance, College of Fine and Applied, and associate professor of African American Studies, College of Liberal Arts and Sciences; Rolf Joseph Pendall, professor of urban and regional planning, College of Fine and Applied Arts; Maureen Warren, curator, Krannert Center for the Performing Arts, College of Fine and Applied Arts</w:t>
      </w:r>
    </w:p>
    <w:p w14:paraId="1E06B769" w14:textId="1C2C979A" w:rsidR="00A14448" w:rsidRDefault="00A144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23443974"/>
      <w:docPartObj>
        <w:docPartGallery w:val="Page Numbers (Top of Page)"/>
        <w:docPartUnique/>
      </w:docPartObj>
    </w:sdtPr>
    <w:sdtEndPr>
      <w:rPr>
        <w:noProof/>
      </w:rPr>
    </w:sdtEndPr>
    <w:sdtContent>
      <w:p w14:paraId="55788E26" w14:textId="77777777" w:rsidR="006A36B5" w:rsidRDefault="006A36B5">
        <w:pPr>
          <w:pStyle w:val="Header"/>
          <w:jc w:val="center"/>
          <w:rPr>
            <w:noProof/>
            <w:sz w:val="26"/>
            <w:szCs w:val="26"/>
          </w:rPr>
        </w:pPr>
        <w:r w:rsidRPr="006A36B5">
          <w:rPr>
            <w:sz w:val="26"/>
            <w:szCs w:val="26"/>
          </w:rPr>
          <w:fldChar w:fldCharType="begin"/>
        </w:r>
        <w:r w:rsidRPr="006A36B5">
          <w:rPr>
            <w:sz w:val="26"/>
            <w:szCs w:val="26"/>
          </w:rPr>
          <w:instrText xml:space="preserve"> PAGE   \* MERGEFORMAT </w:instrText>
        </w:r>
        <w:r w:rsidRPr="006A36B5">
          <w:rPr>
            <w:sz w:val="26"/>
            <w:szCs w:val="26"/>
          </w:rPr>
          <w:fldChar w:fldCharType="separate"/>
        </w:r>
        <w:r w:rsidRPr="006A36B5">
          <w:rPr>
            <w:noProof/>
            <w:sz w:val="26"/>
            <w:szCs w:val="26"/>
          </w:rPr>
          <w:t>2</w:t>
        </w:r>
        <w:r w:rsidRPr="006A36B5">
          <w:rPr>
            <w:noProof/>
            <w:sz w:val="26"/>
            <w:szCs w:val="26"/>
          </w:rPr>
          <w:fldChar w:fldCharType="end"/>
        </w:r>
      </w:p>
      <w:p w14:paraId="7FD55D31" w14:textId="48E6B347" w:rsidR="006A36B5" w:rsidRPr="006A36B5" w:rsidRDefault="00000000">
        <w:pPr>
          <w:pStyle w:val="Header"/>
          <w:jc w:val="center"/>
          <w:rPr>
            <w:sz w:val="26"/>
            <w:szCs w:val="26"/>
          </w:rPr>
        </w:pPr>
      </w:p>
    </w:sdtContent>
  </w:sdt>
  <w:p w14:paraId="4C5C0F1D" w14:textId="2564F5BD" w:rsidR="001C058F" w:rsidRPr="006A36B5" w:rsidRDefault="001C058F">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8F"/>
    <w:rsid w:val="00007A6C"/>
    <w:rsid w:val="00010661"/>
    <w:rsid w:val="000111E6"/>
    <w:rsid w:val="00062B24"/>
    <w:rsid w:val="00084D66"/>
    <w:rsid w:val="000D4A79"/>
    <w:rsid w:val="000D6A84"/>
    <w:rsid w:val="001335A5"/>
    <w:rsid w:val="001B1015"/>
    <w:rsid w:val="001C058F"/>
    <w:rsid w:val="001D0B53"/>
    <w:rsid w:val="001F5562"/>
    <w:rsid w:val="001F770A"/>
    <w:rsid w:val="0020768E"/>
    <w:rsid w:val="00216194"/>
    <w:rsid w:val="0025227E"/>
    <w:rsid w:val="00296E92"/>
    <w:rsid w:val="002C533B"/>
    <w:rsid w:val="002D15D0"/>
    <w:rsid w:val="002D3A3A"/>
    <w:rsid w:val="002E5277"/>
    <w:rsid w:val="0030491B"/>
    <w:rsid w:val="0032406B"/>
    <w:rsid w:val="00363AC1"/>
    <w:rsid w:val="003A6263"/>
    <w:rsid w:val="003E0A1E"/>
    <w:rsid w:val="003E6228"/>
    <w:rsid w:val="003F65B3"/>
    <w:rsid w:val="00426A6D"/>
    <w:rsid w:val="004334AB"/>
    <w:rsid w:val="00442268"/>
    <w:rsid w:val="00462445"/>
    <w:rsid w:val="00491F1A"/>
    <w:rsid w:val="004B679A"/>
    <w:rsid w:val="004E1298"/>
    <w:rsid w:val="004E3677"/>
    <w:rsid w:val="00544657"/>
    <w:rsid w:val="00545B4D"/>
    <w:rsid w:val="0059180A"/>
    <w:rsid w:val="005A7691"/>
    <w:rsid w:val="006554E5"/>
    <w:rsid w:val="006738E0"/>
    <w:rsid w:val="006A36B5"/>
    <w:rsid w:val="006F6A75"/>
    <w:rsid w:val="00703134"/>
    <w:rsid w:val="00723F84"/>
    <w:rsid w:val="007408E5"/>
    <w:rsid w:val="00791153"/>
    <w:rsid w:val="007D3D65"/>
    <w:rsid w:val="007D779D"/>
    <w:rsid w:val="007E19C8"/>
    <w:rsid w:val="007E495F"/>
    <w:rsid w:val="008A381B"/>
    <w:rsid w:val="008A79AC"/>
    <w:rsid w:val="008D03D9"/>
    <w:rsid w:val="009107BE"/>
    <w:rsid w:val="00921ED8"/>
    <w:rsid w:val="00951FC9"/>
    <w:rsid w:val="0097652A"/>
    <w:rsid w:val="00981E45"/>
    <w:rsid w:val="00993F42"/>
    <w:rsid w:val="00997434"/>
    <w:rsid w:val="00A13D80"/>
    <w:rsid w:val="00A14448"/>
    <w:rsid w:val="00A3064A"/>
    <w:rsid w:val="00A840B0"/>
    <w:rsid w:val="00A953B1"/>
    <w:rsid w:val="00B22719"/>
    <w:rsid w:val="00B31F6A"/>
    <w:rsid w:val="00B43035"/>
    <w:rsid w:val="00B644EC"/>
    <w:rsid w:val="00B6797F"/>
    <w:rsid w:val="00B73F7F"/>
    <w:rsid w:val="00BE713D"/>
    <w:rsid w:val="00BF1B3B"/>
    <w:rsid w:val="00BF7FB6"/>
    <w:rsid w:val="00C21565"/>
    <w:rsid w:val="00C70778"/>
    <w:rsid w:val="00C8351F"/>
    <w:rsid w:val="00C83922"/>
    <w:rsid w:val="00CA7EA1"/>
    <w:rsid w:val="00CD00BF"/>
    <w:rsid w:val="00CE6B1D"/>
    <w:rsid w:val="00D044AA"/>
    <w:rsid w:val="00D11719"/>
    <w:rsid w:val="00D76E16"/>
    <w:rsid w:val="00D903CE"/>
    <w:rsid w:val="00DB718E"/>
    <w:rsid w:val="00DD0311"/>
    <w:rsid w:val="00E23D93"/>
    <w:rsid w:val="00E25280"/>
    <w:rsid w:val="00E70919"/>
    <w:rsid w:val="00E87275"/>
    <w:rsid w:val="00EC6940"/>
    <w:rsid w:val="00ED7A0F"/>
    <w:rsid w:val="00EE726C"/>
    <w:rsid w:val="00EF28A6"/>
    <w:rsid w:val="00F12769"/>
    <w:rsid w:val="00F43947"/>
    <w:rsid w:val="00F5634F"/>
    <w:rsid w:val="00F82C35"/>
    <w:rsid w:val="62F4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9969"/>
  <w15:docId w15:val="{3EF58F72-6673-4F15-879B-01C4751E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next w:val="Normal"/>
    <w:link w:val="Heading1Char"/>
    <w:uiPriority w:val="9"/>
    <w:qFormat/>
    <w:rsid w:val="00C21565"/>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7691"/>
    <w:pPr>
      <w:tabs>
        <w:tab w:val="center" w:pos="4680"/>
        <w:tab w:val="right" w:pos="9360"/>
      </w:tabs>
    </w:pPr>
  </w:style>
  <w:style w:type="character" w:customStyle="1" w:styleId="HeaderChar">
    <w:name w:val="Header Char"/>
    <w:basedOn w:val="DefaultParagraphFont"/>
    <w:link w:val="Header"/>
    <w:uiPriority w:val="99"/>
    <w:rsid w:val="005A7691"/>
    <w:rPr>
      <w:rFonts w:ascii="Times New Roman" w:eastAsia="Times New Roman" w:hAnsi="Times New Roman" w:cs="Times New Roman"/>
    </w:rPr>
  </w:style>
  <w:style w:type="paragraph" w:styleId="Footer">
    <w:name w:val="footer"/>
    <w:basedOn w:val="Normal"/>
    <w:link w:val="FooterChar"/>
    <w:uiPriority w:val="99"/>
    <w:unhideWhenUsed/>
    <w:rsid w:val="005A7691"/>
    <w:pPr>
      <w:tabs>
        <w:tab w:val="center" w:pos="4680"/>
        <w:tab w:val="right" w:pos="9360"/>
      </w:tabs>
    </w:pPr>
  </w:style>
  <w:style w:type="character" w:customStyle="1" w:styleId="FooterChar">
    <w:name w:val="Footer Char"/>
    <w:basedOn w:val="DefaultParagraphFont"/>
    <w:link w:val="Footer"/>
    <w:uiPriority w:val="99"/>
    <w:rsid w:val="005A7691"/>
    <w:rPr>
      <w:rFonts w:ascii="Times New Roman" w:eastAsia="Times New Roman" w:hAnsi="Times New Roman" w:cs="Times New Roman"/>
    </w:rPr>
  </w:style>
  <w:style w:type="paragraph" w:styleId="Revision">
    <w:name w:val="Revision"/>
    <w:hidden/>
    <w:uiPriority w:val="99"/>
    <w:semiHidden/>
    <w:rsid w:val="00216194"/>
    <w:pPr>
      <w:widowControl/>
      <w:autoSpaceDE/>
      <w:autoSpaceDN/>
    </w:pPr>
    <w:rPr>
      <w:rFonts w:ascii="Times New Roman" w:eastAsia="Times New Roman" w:hAnsi="Times New Roman" w:cs="Times New Roman"/>
    </w:rPr>
  </w:style>
  <w:style w:type="paragraph" w:customStyle="1" w:styleId="bdheading2">
    <w:name w:val="bdheading2"/>
    <w:basedOn w:val="Normal"/>
    <w:rsid w:val="00216194"/>
    <w:pPr>
      <w:widowControl/>
      <w:tabs>
        <w:tab w:val="left" w:pos="7200"/>
      </w:tabs>
      <w:overflowPunct w:val="0"/>
      <w:adjustRightInd w:val="0"/>
      <w:textAlignment w:val="baseline"/>
    </w:pPr>
    <w:rPr>
      <w:sz w:val="26"/>
      <w:szCs w:val="20"/>
    </w:rPr>
  </w:style>
  <w:style w:type="character" w:customStyle="1" w:styleId="Heading1Char">
    <w:name w:val="Heading 1 Char"/>
    <w:basedOn w:val="DefaultParagraphFont"/>
    <w:link w:val="Heading1"/>
    <w:uiPriority w:val="9"/>
    <w:rsid w:val="00C21565"/>
    <w:rPr>
      <w:rFonts w:ascii="Times New Roman" w:eastAsia="Times New Roman" w:hAnsi="Times New Roman" w:cs="Times New Roman"/>
      <w:sz w:val="26"/>
      <w:szCs w:val="26"/>
    </w:rPr>
  </w:style>
  <w:style w:type="paragraph" w:customStyle="1" w:styleId="Default">
    <w:name w:val="Default"/>
    <w:rsid w:val="00B73F7F"/>
    <w:pPr>
      <w:widowControl/>
      <w:adjustRightInd w:val="0"/>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73F7F"/>
    <w:rPr>
      <w:vertAlign w:val="superscript"/>
    </w:rPr>
  </w:style>
  <w:style w:type="paragraph" w:styleId="FootnoteText">
    <w:name w:val="footnote text"/>
    <w:basedOn w:val="Normal"/>
    <w:link w:val="FootnoteTextChar"/>
    <w:uiPriority w:val="99"/>
    <w:semiHidden/>
    <w:unhideWhenUsed/>
    <w:rsid w:val="00A14448"/>
    <w:rPr>
      <w:sz w:val="20"/>
      <w:szCs w:val="20"/>
    </w:rPr>
  </w:style>
  <w:style w:type="character" w:customStyle="1" w:styleId="FootnoteTextChar">
    <w:name w:val="Footnote Text Char"/>
    <w:basedOn w:val="DefaultParagraphFont"/>
    <w:link w:val="FootnoteText"/>
    <w:uiPriority w:val="99"/>
    <w:semiHidden/>
    <w:rsid w:val="00A144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8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Lynn Schaefer</dc:creator>
  <cp:lastModifiedBy>Williams, Aubrie</cp:lastModifiedBy>
  <cp:revision>10</cp:revision>
  <dcterms:created xsi:type="dcterms:W3CDTF">2024-06-26T19:20:00Z</dcterms:created>
  <dcterms:modified xsi:type="dcterms:W3CDTF">2024-07-11T17:26:00Z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Acrobat PDFMaker 18 for Word</vt:lpwstr>
  </property>
  <property fmtid="{D5CDD505-2E9C-101B-9397-08002B2CF9AE}" pid="4" name="LastSaved">
    <vt:filetime>2023-04-10T00:00:00Z</vt:filetime>
  </property>
  <property fmtid="{D5CDD505-2E9C-101B-9397-08002B2CF9AE}" pid="5" name="Producer">
    <vt:lpwstr>Adobe PDF Library 15.0</vt:lpwstr>
  </property>
  <property fmtid="{D5CDD505-2E9C-101B-9397-08002B2CF9AE}" pid="6" name="SourceModified">
    <vt:lpwstr>D:20180918212143</vt:lpwstr>
  </property>
</Properties>
</file>