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7F8DF" w14:textId="77777777" w:rsidR="00ED2C9D" w:rsidRPr="00ED2C9D" w:rsidRDefault="00ED2C9D" w:rsidP="00ED2C9D">
      <w:pPr>
        <w:pBdr>
          <w:top w:val="single" w:sz="4" w:space="1" w:color="auto"/>
          <w:left w:val="single" w:sz="4" w:space="4" w:color="auto"/>
          <w:bottom w:val="single" w:sz="4" w:space="1" w:color="auto"/>
          <w:right w:val="single" w:sz="4" w:space="4" w:color="auto"/>
        </w:pBdr>
        <w:spacing w:after="0" w:line="240" w:lineRule="auto"/>
        <w:ind w:right="5670"/>
        <w:rPr>
          <w:rFonts w:eastAsia="Times New Roman"/>
          <w:color w:val="FF0000"/>
          <w:szCs w:val="26"/>
        </w:rPr>
      </w:pPr>
      <w:bookmarkStart w:id="0" w:name="_Hlk77839959"/>
      <w:bookmarkStart w:id="1" w:name="_Hlk93577479"/>
      <w:r w:rsidRPr="00ED2C9D">
        <w:rPr>
          <w:rFonts w:eastAsia="Times New Roman"/>
          <w:color w:val="FF0000"/>
          <w:sz w:val="24"/>
          <w:szCs w:val="26"/>
        </w:rPr>
        <w:t>Approved by the Board of Trustees</w:t>
      </w:r>
    </w:p>
    <w:bookmarkEnd w:id="0"/>
    <w:bookmarkEnd w:id="1"/>
    <w:p w14:paraId="0A537CEC" w14:textId="77777777" w:rsidR="00ED2C9D" w:rsidRPr="00ED2C9D" w:rsidRDefault="00ED2C9D" w:rsidP="00ED2C9D">
      <w:pPr>
        <w:pBdr>
          <w:top w:val="single" w:sz="4" w:space="1" w:color="auto"/>
          <w:left w:val="single" w:sz="4" w:space="4" w:color="auto"/>
          <w:bottom w:val="single" w:sz="4" w:space="1" w:color="auto"/>
          <w:right w:val="single" w:sz="4" w:space="4" w:color="auto"/>
        </w:pBdr>
        <w:spacing w:after="0" w:line="240" w:lineRule="auto"/>
        <w:ind w:right="5670"/>
        <w:rPr>
          <w:rFonts w:eastAsia="Times New Roman"/>
          <w:color w:val="FF0000"/>
          <w:sz w:val="24"/>
          <w:szCs w:val="26"/>
        </w:rPr>
      </w:pPr>
      <w:r w:rsidRPr="00ED2C9D">
        <w:rPr>
          <w:rFonts w:eastAsia="Times New Roman"/>
          <w:color w:val="FF0000"/>
          <w:sz w:val="24"/>
          <w:szCs w:val="26"/>
        </w:rPr>
        <w:t>July 11, 2024</w:t>
      </w:r>
    </w:p>
    <w:p w14:paraId="6E36DDA8" w14:textId="27175D68" w:rsidR="002F2D48" w:rsidRPr="006F284F" w:rsidRDefault="001C153F"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25</w:t>
      </w:r>
      <w:r w:rsidR="00FC0C09">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r w:rsidRPr="006F284F">
        <w:rPr>
          <w:rFonts w:eastAsia="Times New Roman"/>
          <w:color w:val="000000"/>
          <w:szCs w:val="26"/>
        </w:rPr>
        <w:t>Board Meeting</w:t>
      </w:r>
    </w:p>
    <w:p w14:paraId="47BA3C42" w14:textId="655203D5" w:rsidR="002F2D48" w:rsidRPr="006F284F" w:rsidRDefault="007123BD"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r>
        <w:rPr>
          <w:rFonts w:eastAsia="Times New Roman"/>
          <w:szCs w:val="26"/>
        </w:rPr>
        <w:t>July 11</w:t>
      </w:r>
      <w:r w:rsidR="002F2D48" w:rsidRPr="006F284F">
        <w:rPr>
          <w:rFonts w:eastAsia="Times New Roman"/>
          <w:szCs w:val="26"/>
        </w:rPr>
        <w:t>, 2024</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6F284F"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6F284F">
        <w:rPr>
          <w:rFonts w:eastAsia="Times New Roman"/>
          <w:color w:val="000000"/>
          <w:szCs w:val="26"/>
        </w:rPr>
        <w:t>PURCHASE RECOMMENDATIONS</w:t>
      </w:r>
    </w:p>
    <w:p w14:paraId="5B7E567D"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265BD588"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6F284F">
        <w:rPr>
          <w:rFonts w:eastAsia="Times New Roman"/>
          <w:color w:val="000000"/>
          <w:szCs w:val="26"/>
        </w:rPr>
        <w:t xml:space="preserve">Following are purchase recommendations proposed by each </w:t>
      </w:r>
      <w:r w:rsidR="007071F3">
        <w:rPr>
          <w:rFonts w:eastAsia="Times New Roman"/>
          <w:color w:val="000000"/>
          <w:szCs w:val="26"/>
        </w:rPr>
        <w:t>u</w:t>
      </w:r>
      <w:r w:rsidRPr="006F284F">
        <w:rPr>
          <w:rFonts w:eastAsia="Times New Roman"/>
          <w:color w:val="000000"/>
          <w:szCs w:val="26"/>
        </w:rPr>
        <w:t>niversity and the System Office. The purchases are to be funded from State appropriations or institutional funds as appropriate.</w:t>
      </w:r>
      <w:r w:rsidR="00FC0C09">
        <w:rPr>
          <w:rFonts w:eastAsia="Times New Roman"/>
          <w:color w:val="000000"/>
          <w:szCs w:val="26"/>
        </w:rPr>
        <w:t xml:space="preserve"> </w:t>
      </w:r>
      <w:r w:rsidRPr="006F284F">
        <w:rPr>
          <w:rFonts w:eastAsia="Times New Roman"/>
          <w:color w:val="000000"/>
          <w:szCs w:val="26"/>
        </w:rPr>
        <w:t>Unless otherwise specified or indicated, purchases are based on the lowest acceptable bid.</w:t>
      </w:r>
      <w:r w:rsidR="00FC0C09">
        <w:rPr>
          <w:rFonts w:eastAsia="Times New Roman"/>
          <w:color w:val="000000"/>
          <w:szCs w:val="26"/>
        </w:rPr>
        <w:t xml:space="preserve"> </w:t>
      </w:r>
      <w:r w:rsidRPr="006F284F">
        <w:rPr>
          <w:rFonts w:eastAsia="Times New Roman"/>
          <w:color w:val="000000"/>
          <w:szCs w:val="26"/>
        </w:rPr>
        <w:t xml:space="preserve">The </w:t>
      </w:r>
      <w:r w:rsidR="00FC0C09">
        <w:rPr>
          <w:rFonts w:eastAsia="Times New Roman"/>
          <w:color w:val="000000"/>
          <w:szCs w:val="26"/>
        </w:rPr>
        <w:t>v</w:t>
      </w:r>
      <w:r w:rsidRPr="006F284F">
        <w:rPr>
          <w:rFonts w:eastAsia="Times New Roman"/>
          <w:color w:val="000000"/>
          <w:szCs w:val="26"/>
        </w:rPr>
        <w:t xml:space="preserve">ice </w:t>
      </w:r>
      <w:r w:rsidR="00FC0C09">
        <w:rPr>
          <w:rFonts w:eastAsia="Times New Roman"/>
          <w:color w:val="000000"/>
          <w:szCs w:val="26"/>
        </w:rPr>
        <w:t>p</w:t>
      </w:r>
      <w:r w:rsidRPr="006F284F">
        <w:rPr>
          <w:rFonts w:eastAsia="Times New Roman"/>
          <w:color w:val="000000"/>
          <w:szCs w:val="26"/>
        </w:rPr>
        <w:t>resident</w:t>
      </w:r>
      <w:r w:rsidR="00FC0C09">
        <w:rPr>
          <w:rFonts w:eastAsia="Times New Roman"/>
          <w:color w:val="000000"/>
          <w:szCs w:val="26"/>
        </w:rPr>
        <w:t>/c</w:t>
      </w:r>
      <w:r w:rsidRPr="006F284F">
        <w:rPr>
          <w:rFonts w:eastAsia="Times New Roman"/>
          <w:color w:val="000000"/>
          <w:szCs w:val="26"/>
        </w:rPr>
        <w:t xml:space="preserve">hief </w:t>
      </w:r>
      <w:r w:rsidR="00FC0C09">
        <w:rPr>
          <w:rFonts w:eastAsia="Times New Roman"/>
          <w:color w:val="000000"/>
          <w:szCs w:val="26"/>
        </w:rPr>
        <w:t>f</w:t>
      </w:r>
      <w:r w:rsidRPr="006F284F">
        <w:rPr>
          <w:rFonts w:eastAsia="Times New Roman"/>
          <w:color w:val="000000"/>
          <w:szCs w:val="26"/>
        </w:rPr>
        <w:t xml:space="preserve">inancial </w:t>
      </w:r>
      <w:r w:rsidR="00FC0C09">
        <w:rPr>
          <w:rFonts w:eastAsia="Times New Roman"/>
          <w:color w:val="000000"/>
          <w:szCs w:val="26"/>
        </w:rPr>
        <w:t>o</w:t>
      </w:r>
      <w:r w:rsidRPr="006F284F">
        <w:rPr>
          <w:rFonts w:eastAsia="Times New Roman"/>
          <w:color w:val="000000"/>
          <w:szCs w:val="26"/>
        </w:rPr>
        <w:t xml:space="preserve">fficer and </w:t>
      </w:r>
      <w:r w:rsidR="00FC0C09">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the </w:t>
      </w:r>
      <w:r w:rsidRPr="006F284F">
        <w:rPr>
          <w:rFonts w:eastAsia="Times New Roman"/>
          <w:i/>
          <w:color w:val="000000"/>
          <w:szCs w:val="26"/>
        </w:rPr>
        <w:t>General Rules Concerning University Organization and Procedure.</w:t>
      </w:r>
    </w:p>
    <w:p w14:paraId="702878B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0061A823"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sidR="00FC0C09">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w:t>
      </w:r>
      <w:r w:rsidRPr="007071F3">
        <w:rPr>
          <w:rFonts w:eastAsia="Times New Roman"/>
          <w:iCs/>
          <w:color w:val="000000"/>
          <w:szCs w:val="26"/>
        </w:rPr>
        <w:t>,</w:t>
      </w:r>
      <w:r w:rsidRPr="006F284F">
        <w:rPr>
          <w:rFonts w:eastAsia="Times New Roman"/>
          <w:i/>
          <w:color w:val="000000"/>
          <w:szCs w:val="26"/>
        </w:rPr>
        <w:t xml:space="preserve"> The General Rules Concerning University Organization and Procedure</w:t>
      </w:r>
      <w:r w:rsidRPr="006F284F">
        <w:rPr>
          <w:rFonts w:eastAsia="Times New Roman"/>
          <w:color w:val="000000"/>
          <w:szCs w:val="26"/>
        </w:rPr>
        <w:t>, and Board of Trustees policies and directives.</w:t>
      </w:r>
    </w:p>
    <w:p w14:paraId="552D226E"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Default="00252F86" w:rsidP="00252F86">
      <w:pPr>
        <w:spacing w:after="0" w:line="240" w:lineRule="auto"/>
        <w:jc w:val="center"/>
        <w:rPr>
          <w:b/>
          <w:szCs w:val="26"/>
        </w:rPr>
      </w:pPr>
      <w:r w:rsidRPr="00353536">
        <w:rPr>
          <w:b/>
          <w:szCs w:val="26"/>
        </w:rPr>
        <w:t>PURCHASES RECOMMENDED</w:t>
      </w:r>
    </w:p>
    <w:p w14:paraId="5FEB6345" w14:textId="77777777" w:rsidR="006722F9" w:rsidRDefault="006722F9" w:rsidP="00252F86">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091CFA" w:rsidRPr="00F53616" w14:paraId="434E2894" w14:textId="77777777" w:rsidTr="002837F0">
        <w:trPr>
          <w:trHeight w:val="120"/>
        </w:trPr>
        <w:tc>
          <w:tcPr>
            <w:tcW w:w="342" w:type="dxa"/>
          </w:tcPr>
          <w:p w14:paraId="401F0F7F" w14:textId="77777777" w:rsidR="00091CFA" w:rsidRPr="00F53616" w:rsidRDefault="00091CFA" w:rsidP="00091CFA">
            <w:pPr>
              <w:pStyle w:val="NoSpacing"/>
              <w:rPr>
                <w:sz w:val="26"/>
                <w:szCs w:val="26"/>
              </w:rPr>
            </w:pPr>
          </w:p>
        </w:tc>
        <w:tc>
          <w:tcPr>
            <w:tcW w:w="990" w:type="dxa"/>
          </w:tcPr>
          <w:p w14:paraId="02A261B8" w14:textId="77777777" w:rsidR="00091CFA" w:rsidRPr="00F53616" w:rsidRDefault="00091CFA" w:rsidP="00091CFA">
            <w:pPr>
              <w:pStyle w:val="NoSpacing"/>
              <w:rPr>
                <w:sz w:val="26"/>
                <w:szCs w:val="26"/>
              </w:rPr>
            </w:pPr>
          </w:p>
        </w:tc>
        <w:tc>
          <w:tcPr>
            <w:tcW w:w="8118" w:type="dxa"/>
          </w:tcPr>
          <w:p w14:paraId="2A8B7682" w14:textId="77777777" w:rsidR="00091CFA" w:rsidRPr="00F53616" w:rsidRDefault="00091CFA" w:rsidP="00091CFA">
            <w:pPr>
              <w:pStyle w:val="NoSpacing"/>
              <w:rPr>
                <w:spacing w:val="-3"/>
                <w:sz w:val="26"/>
                <w:szCs w:val="26"/>
              </w:rPr>
            </w:pPr>
          </w:p>
        </w:tc>
      </w:tr>
      <w:tr w:rsidR="00091CFA" w:rsidRPr="00F53616" w14:paraId="3E8AF208" w14:textId="77777777" w:rsidTr="002837F0">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F53616" w14:paraId="209C5A9A" w14:textId="77777777" w:rsidTr="0025577D">
              <w:trPr>
                <w:trHeight w:val="114"/>
              </w:trPr>
              <w:tc>
                <w:tcPr>
                  <w:tcW w:w="9454" w:type="dxa"/>
                  <w:tcBorders>
                    <w:top w:val="single" w:sz="18" w:space="0" w:color="auto"/>
                    <w:bottom w:val="single" w:sz="18" w:space="0" w:color="auto"/>
                  </w:tcBorders>
                </w:tcPr>
                <w:p w14:paraId="55B87639" w14:textId="36591C44" w:rsidR="00091CFA" w:rsidRPr="00F5361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 xml:space="preserve">University of Illinois </w:t>
                  </w:r>
                  <w:r w:rsidR="00B62DED">
                    <w:rPr>
                      <w:rFonts w:eastAsia="Times New Roman"/>
                      <w:b/>
                      <w:szCs w:val="26"/>
                    </w:rPr>
                    <w:t>Ch</w:t>
                  </w:r>
                  <w:r w:rsidR="007123BD">
                    <w:rPr>
                      <w:rFonts w:eastAsia="Times New Roman"/>
                      <w:b/>
                      <w:szCs w:val="26"/>
                    </w:rPr>
                    <w:t>icago</w:t>
                  </w:r>
                </w:p>
              </w:tc>
            </w:tr>
          </w:tbl>
          <w:p w14:paraId="107DA0B5" w14:textId="77777777" w:rsidR="00091CFA" w:rsidRPr="00F53616" w:rsidRDefault="00091CFA" w:rsidP="00091CFA">
            <w:pPr>
              <w:pStyle w:val="NoSpacing"/>
              <w:rPr>
                <w:spacing w:val="-3"/>
                <w:sz w:val="26"/>
                <w:szCs w:val="26"/>
              </w:rPr>
            </w:pPr>
          </w:p>
        </w:tc>
      </w:tr>
      <w:tr w:rsidR="00B775E6" w:rsidRPr="00353536" w14:paraId="6FAD3153" w14:textId="77777777" w:rsidTr="002837F0">
        <w:trPr>
          <w:trHeight w:val="150"/>
        </w:trPr>
        <w:tc>
          <w:tcPr>
            <w:tcW w:w="342" w:type="dxa"/>
            <w:tcBorders>
              <w:bottom w:val="double" w:sz="4" w:space="0" w:color="auto"/>
            </w:tcBorders>
          </w:tcPr>
          <w:p w14:paraId="414628F7" w14:textId="14FD5E33" w:rsidR="00B775E6" w:rsidRPr="00F53616" w:rsidRDefault="00595029" w:rsidP="00B775E6">
            <w:pPr>
              <w:pStyle w:val="NoSpacing"/>
              <w:rPr>
                <w:sz w:val="26"/>
                <w:szCs w:val="26"/>
              </w:rPr>
            </w:pPr>
            <w:r>
              <w:rPr>
                <w:sz w:val="26"/>
                <w:szCs w:val="26"/>
              </w:rPr>
              <w:t>1</w:t>
            </w:r>
          </w:p>
        </w:tc>
        <w:tc>
          <w:tcPr>
            <w:tcW w:w="990" w:type="dxa"/>
            <w:tcBorders>
              <w:bottom w:val="double" w:sz="4" w:space="0" w:color="auto"/>
            </w:tcBorders>
            <w:shd w:val="clear" w:color="auto" w:fill="auto"/>
          </w:tcPr>
          <w:p w14:paraId="3B9E5490" w14:textId="4969B5B4" w:rsidR="00B775E6" w:rsidRPr="00F53616" w:rsidRDefault="00B775E6" w:rsidP="00B775E6">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441EE111" w14:textId="3212EC97" w:rsidR="00A44D7C" w:rsidRPr="00F53FA1" w:rsidRDefault="00DE6907" w:rsidP="00B775E6">
            <w:pPr>
              <w:spacing w:after="0" w:line="240" w:lineRule="auto"/>
              <w:jc w:val="both"/>
              <w:rPr>
                <w:szCs w:val="26"/>
              </w:rPr>
            </w:pPr>
            <w:r>
              <w:rPr>
                <w:spacing w:val="-3"/>
                <w:szCs w:val="26"/>
              </w:rPr>
              <w:t>UI Hospital and Clinics</w:t>
            </w:r>
          </w:p>
        </w:tc>
      </w:tr>
      <w:tr w:rsidR="00B775E6" w:rsidRPr="00353536" w14:paraId="56000687" w14:textId="77777777" w:rsidTr="002837F0">
        <w:trPr>
          <w:trHeight w:val="150"/>
        </w:trPr>
        <w:tc>
          <w:tcPr>
            <w:tcW w:w="342" w:type="dxa"/>
            <w:tcBorders>
              <w:top w:val="double" w:sz="4" w:space="0" w:color="auto"/>
            </w:tcBorders>
          </w:tcPr>
          <w:p w14:paraId="3242B2D0" w14:textId="77777777" w:rsidR="00B775E6" w:rsidRPr="00F53616" w:rsidRDefault="00B775E6" w:rsidP="00B775E6">
            <w:pPr>
              <w:pStyle w:val="NoSpacing"/>
              <w:rPr>
                <w:sz w:val="26"/>
                <w:szCs w:val="26"/>
              </w:rPr>
            </w:pPr>
          </w:p>
        </w:tc>
        <w:tc>
          <w:tcPr>
            <w:tcW w:w="990" w:type="dxa"/>
            <w:tcBorders>
              <w:top w:val="double" w:sz="4" w:space="0" w:color="auto"/>
            </w:tcBorders>
            <w:shd w:val="clear" w:color="auto" w:fill="auto"/>
          </w:tcPr>
          <w:p w14:paraId="426D2FF5" w14:textId="77777777" w:rsidR="00F53FA1" w:rsidRDefault="00F53FA1" w:rsidP="00B775E6">
            <w:pPr>
              <w:pStyle w:val="NoSpacing"/>
              <w:rPr>
                <w:sz w:val="26"/>
                <w:szCs w:val="26"/>
              </w:rPr>
            </w:pPr>
          </w:p>
          <w:p w14:paraId="43D29374" w14:textId="37216A5A" w:rsidR="00B775E6" w:rsidRPr="00F53616" w:rsidRDefault="00B775E6" w:rsidP="00B775E6">
            <w:pPr>
              <w:pStyle w:val="NoSpacing"/>
              <w:rPr>
                <w:sz w:val="26"/>
                <w:szCs w:val="26"/>
              </w:rPr>
            </w:pPr>
            <w:r w:rsidRPr="00F53616">
              <w:rPr>
                <w:sz w:val="26"/>
                <w:szCs w:val="26"/>
              </w:rPr>
              <w:t>Item</w:t>
            </w:r>
            <w:r w:rsidR="00FC0C09">
              <w:rPr>
                <w:sz w:val="26"/>
                <w:szCs w:val="26"/>
              </w:rPr>
              <w:t xml:space="preserve">   </w:t>
            </w:r>
          </w:p>
        </w:tc>
        <w:tc>
          <w:tcPr>
            <w:tcW w:w="8118" w:type="dxa"/>
            <w:tcBorders>
              <w:top w:val="double" w:sz="4" w:space="0" w:color="auto"/>
            </w:tcBorders>
            <w:shd w:val="clear" w:color="auto" w:fill="auto"/>
          </w:tcPr>
          <w:p w14:paraId="2B0CD1E0" w14:textId="77777777" w:rsidR="00F53FA1" w:rsidRPr="00F53FA1" w:rsidRDefault="00F53FA1" w:rsidP="00F53FA1">
            <w:pPr>
              <w:pStyle w:val="NoSpacing"/>
              <w:rPr>
                <w:sz w:val="26"/>
                <w:szCs w:val="26"/>
              </w:rPr>
            </w:pPr>
          </w:p>
          <w:p w14:paraId="006FA455" w14:textId="6767CC44" w:rsidR="00C55686" w:rsidRPr="00353536" w:rsidRDefault="006B7E00" w:rsidP="00FD52BB">
            <w:pPr>
              <w:spacing w:after="0" w:line="240" w:lineRule="auto"/>
              <w:rPr>
                <w:rFonts w:eastAsia="Times New Roman"/>
                <w:b/>
                <w:color w:val="000000"/>
                <w:szCs w:val="26"/>
              </w:rPr>
            </w:pPr>
            <w:r w:rsidRPr="00E42C5B">
              <w:rPr>
                <w:szCs w:val="26"/>
              </w:rPr>
              <w:t xml:space="preserve">Purchase </w:t>
            </w:r>
            <w:r w:rsidR="00280F0E">
              <w:rPr>
                <w:szCs w:val="26"/>
              </w:rPr>
              <w:t xml:space="preserve">Computer Assisted Coding, Clinical Documentation Improvement, Computer Assisted Physician Documentation, and Quality Monitoring Software for UI Hospital and Clinics from September 1, 2024, through August 30, 2030, with two optional two-year renewal periods (total of </w:t>
            </w:r>
            <w:r w:rsidR="00280F0E">
              <w:rPr>
                <w:spacing w:val="-3"/>
                <w:szCs w:val="26"/>
              </w:rPr>
              <w:t>ten</w:t>
            </w:r>
            <w:r w:rsidRPr="00DE7E8E">
              <w:rPr>
                <w:spacing w:val="-3"/>
                <w:szCs w:val="26"/>
              </w:rPr>
              <w:t xml:space="preserve"> years).</w:t>
            </w:r>
            <w:r w:rsidR="00FC0C09">
              <w:rPr>
                <w:spacing w:val="-3"/>
                <w:szCs w:val="26"/>
              </w:rPr>
              <w:t xml:space="preserve"> </w:t>
            </w:r>
            <w:r w:rsidRPr="00DE7E8E">
              <w:rPr>
                <w:spacing w:val="-3"/>
                <w:szCs w:val="26"/>
              </w:rPr>
              <w:t xml:space="preserve"> </w:t>
            </w:r>
          </w:p>
        </w:tc>
      </w:tr>
      <w:tr w:rsidR="00B775E6" w:rsidRPr="00353536" w14:paraId="156E60B7" w14:textId="77777777" w:rsidTr="002837F0">
        <w:trPr>
          <w:trHeight w:val="150"/>
        </w:trPr>
        <w:tc>
          <w:tcPr>
            <w:tcW w:w="342" w:type="dxa"/>
          </w:tcPr>
          <w:p w14:paraId="07998497" w14:textId="59FE1609" w:rsidR="00B775E6" w:rsidRPr="00F53616" w:rsidRDefault="00B775E6" w:rsidP="00B775E6">
            <w:pPr>
              <w:pStyle w:val="NoSpacing"/>
              <w:rPr>
                <w:sz w:val="26"/>
                <w:szCs w:val="26"/>
              </w:rPr>
            </w:pPr>
            <w:r w:rsidRPr="00F53616">
              <w:rPr>
                <w:sz w:val="26"/>
                <w:szCs w:val="26"/>
              </w:rPr>
              <w:t xml:space="preserve"> </w:t>
            </w:r>
          </w:p>
        </w:tc>
        <w:tc>
          <w:tcPr>
            <w:tcW w:w="990" w:type="dxa"/>
            <w:shd w:val="clear" w:color="auto" w:fill="auto"/>
          </w:tcPr>
          <w:p w14:paraId="278055F8" w14:textId="33B6CEC7" w:rsidR="00B775E6" w:rsidRPr="00F53616" w:rsidRDefault="00B775E6" w:rsidP="00B775E6">
            <w:pPr>
              <w:pStyle w:val="NoSpacing"/>
              <w:rPr>
                <w:sz w:val="26"/>
                <w:szCs w:val="26"/>
              </w:rPr>
            </w:pPr>
            <w:r w:rsidRPr="00F53616">
              <w:rPr>
                <w:sz w:val="26"/>
                <w:szCs w:val="26"/>
              </w:rPr>
              <w:t>Cost</w:t>
            </w:r>
          </w:p>
        </w:tc>
        <w:tc>
          <w:tcPr>
            <w:tcW w:w="8118" w:type="dxa"/>
            <w:shd w:val="clear" w:color="auto" w:fill="auto"/>
          </w:tcPr>
          <w:p w14:paraId="62A9DE9E" w14:textId="5B39FC4F" w:rsidR="00125422" w:rsidRPr="00C55686" w:rsidRDefault="00125422" w:rsidP="00125422">
            <w:pPr>
              <w:pStyle w:val="NoSpacing"/>
              <w:rPr>
                <w:spacing w:val="-3"/>
                <w:sz w:val="26"/>
                <w:szCs w:val="26"/>
              </w:rPr>
            </w:pPr>
            <w:r w:rsidRPr="00C55686">
              <w:rPr>
                <w:spacing w:val="-3"/>
                <w:sz w:val="26"/>
                <w:szCs w:val="26"/>
              </w:rPr>
              <w:t>$</w:t>
            </w:r>
            <w:r w:rsidR="00C55686" w:rsidRPr="00C55686">
              <w:rPr>
                <w:spacing w:val="-3"/>
                <w:sz w:val="26"/>
                <w:szCs w:val="26"/>
              </w:rPr>
              <w:t>6,410,040</w:t>
            </w:r>
            <w:r w:rsidRPr="00C55686">
              <w:rPr>
                <w:spacing w:val="-3"/>
                <w:sz w:val="26"/>
                <w:szCs w:val="26"/>
              </w:rPr>
              <w:t xml:space="preserve"> (estimated)</w:t>
            </w:r>
            <w:r w:rsidR="00FC0C09">
              <w:rPr>
                <w:spacing w:val="-3"/>
                <w:sz w:val="26"/>
                <w:szCs w:val="26"/>
              </w:rPr>
              <w:t xml:space="preserve">   </w:t>
            </w:r>
          </w:p>
          <w:p w14:paraId="016EDF05" w14:textId="712C2796" w:rsidR="00125422" w:rsidRPr="00353536" w:rsidRDefault="00125422" w:rsidP="00C55686">
            <w:pPr>
              <w:spacing w:after="0" w:line="240" w:lineRule="auto"/>
              <w:rPr>
                <w:rFonts w:eastAsia="Times New Roman"/>
                <w:b/>
                <w:color w:val="000000"/>
                <w:szCs w:val="26"/>
              </w:rPr>
            </w:pPr>
          </w:p>
        </w:tc>
      </w:tr>
      <w:tr w:rsidR="00B775E6" w:rsidRPr="00353536" w14:paraId="305870E5" w14:textId="77777777" w:rsidTr="002837F0">
        <w:trPr>
          <w:trHeight w:val="150"/>
        </w:trPr>
        <w:tc>
          <w:tcPr>
            <w:tcW w:w="342" w:type="dxa"/>
          </w:tcPr>
          <w:p w14:paraId="6DAC217B" w14:textId="77777777" w:rsidR="00B775E6" w:rsidRPr="00F53616" w:rsidRDefault="00B775E6" w:rsidP="00B775E6">
            <w:pPr>
              <w:pStyle w:val="NoSpacing"/>
              <w:rPr>
                <w:sz w:val="26"/>
                <w:szCs w:val="26"/>
              </w:rPr>
            </w:pPr>
          </w:p>
        </w:tc>
        <w:tc>
          <w:tcPr>
            <w:tcW w:w="990" w:type="dxa"/>
            <w:shd w:val="clear" w:color="auto" w:fill="auto"/>
          </w:tcPr>
          <w:p w14:paraId="7F8D6EBB" w14:textId="58E05C92" w:rsidR="00B775E6" w:rsidRPr="00F53616" w:rsidRDefault="00B775E6" w:rsidP="00B775E6">
            <w:pPr>
              <w:pStyle w:val="NoSpacing"/>
              <w:rPr>
                <w:sz w:val="26"/>
                <w:szCs w:val="26"/>
              </w:rPr>
            </w:pPr>
            <w:r>
              <w:rPr>
                <w:sz w:val="26"/>
                <w:szCs w:val="26"/>
              </w:rPr>
              <w:t>Vendor</w:t>
            </w:r>
          </w:p>
        </w:tc>
        <w:tc>
          <w:tcPr>
            <w:tcW w:w="8118" w:type="dxa"/>
            <w:shd w:val="clear" w:color="auto" w:fill="auto"/>
          </w:tcPr>
          <w:p w14:paraId="59DFAFD2" w14:textId="2B431192" w:rsidR="00B775E6" w:rsidRDefault="006B7E00" w:rsidP="006B7E00">
            <w:pPr>
              <w:spacing w:after="0" w:line="240" w:lineRule="auto"/>
              <w:jc w:val="both"/>
              <w:rPr>
                <w:bCs/>
                <w:szCs w:val="26"/>
              </w:rPr>
            </w:pPr>
            <w:r w:rsidRPr="006B7E00">
              <w:rPr>
                <w:bCs/>
                <w:szCs w:val="26"/>
              </w:rPr>
              <w:t>Solventum Health Information Systems, Inc.</w:t>
            </w:r>
            <w:r w:rsidR="00FC0C09">
              <w:rPr>
                <w:bCs/>
                <w:szCs w:val="26"/>
              </w:rPr>
              <w:t xml:space="preserve">        </w:t>
            </w:r>
            <w:r w:rsidRPr="006B7E00">
              <w:rPr>
                <w:bCs/>
                <w:szCs w:val="26"/>
              </w:rPr>
              <w:t>Murray, Utah</w:t>
            </w:r>
          </w:p>
          <w:p w14:paraId="6FDDF04B" w14:textId="1CAA785F" w:rsidR="006B7E00" w:rsidRPr="006B7E00" w:rsidRDefault="006B7E00" w:rsidP="006B7E00">
            <w:pPr>
              <w:spacing w:after="0" w:line="240" w:lineRule="auto"/>
              <w:jc w:val="both"/>
              <w:rPr>
                <w:bCs/>
                <w:szCs w:val="26"/>
              </w:rPr>
            </w:pPr>
          </w:p>
        </w:tc>
      </w:tr>
      <w:tr w:rsidR="00B775E6" w:rsidRPr="00353536" w14:paraId="76979B6C" w14:textId="77777777" w:rsidTr="002837F0">
        <w:trPr>
          <w:trHeight w:val="150"/>
        </w:trPr>
        <w:tc>
          <w:tcPr>
            <w:tcW w:w="342" w:type="dxa"/>
          </w:tcPr>
          <w:p w14:paraId="10350B94" w14:textId="77777777" w:rsidR="00B775E6" w:rsidRPr="00F53616" w:rsidRDefault="00B775E6" w:rsidP="00B775E6">
            <w:pPr>
              <w:pStyle w:val="NoSpacing"/>
              <w:rPr>
                <w:sz w:val="26"/>
                <w:szCs w:val="26"/>
              </w:rPr>
            </w:pPr>
          </w:p>
        </w:tc>
        <w:tc>
          <w:tcPr>
            <w:tcW w:w="990" w:type="dxa"/>
            <w:shd w:val="clear" w:color="auto" w:fill="auto"/>
          </w:tcPr>
          <w:p w14:paraId="5E09DAD8" w14:textId="77777777" w:rsidR="00B775E6" w:rsidRPr="00F53616" w:rsidRDefault="00B775E6" w:rsidP="00B775E6">
            <w:pPr>
              <w:pStyle w:val="NoSpacing"/>
              <w:rPr>
                <w:sz w:val="26"/>
                <w:szCs w:val="26"/>
              </w:rPr>
            </w:pPr>
          </w:p>
        </w:tc>
        <w:tc>
          <w:tcPr>
            <w:tcW w:w="8118" w:type="dxa"/>
            <w:shd w:val="clear" w:color="auto" w:fill="auto"/>
          </w:tcPr>
          <w:p w14:paraId="5EEF4D2E" w14:textId="6A6C6FD7" w:rsidR="006B7E00" w:rsidRPr="006B7E00" w:rsidRDefault="006B7E00" w:rsidP="006B7E00">
            <w:pPr>
              <w:spacing w:after="0" w:line="240" w:lineRule="auto"/>
              <w:jc w:val="both"/>
              <w:rPr>
                <w:bCs/>
                <w:szCs w:val="26"/>
              </w:rPr>
            </w:pPr>
            <w:r w:rsidRPr="006B7E00">
              <w:rPr>
                <w:bCs/>
                <w:szCs w:val="26"/>
              </w:rPr>
              <w:t>Sole Source procurement procedures were followed in accordance with the</w:t>
            </w:r>
          </w:p>
          <w:p w14:paraId="1D70D2C0" w14:textId="453F1B35" w:rsidR="006B7E00" w:rsidRPr="006B7E00" w:rsidRDefault="006B7E00" w:rsidP="006B7E00">
            <w:pPr>
              <w:spacing w:after="0" w:line="240" w:lineRule="auto"/>
              <w:jc w:val="both"/>
              <w:rPr>
                <w:bCs/>
                <w:szCs w:val="26"/>
              </w:rPr>
            </w:pPr>
            <w:r w:rsidRPr="006B7E00">
              <w:rPr>
                <w:bCs/>
                <w:szCs w:val="26"/>
              </w:rPr>
              <w:t>Illinois Procurement Code, 30 ILCS 500/20-25.</w:t>
            </w:r>
            <w:r w:rsidR="00FC0C09">
              <w:rPr>
                <w:bCs/>
                <w:szCs w:val="26"/>
              </w:rPr>
              <w:t xml:space="preserve"> </w:t>
            </w:r>
            <w:r w:rsidRPr="006B7E00">
              <w:rPr>
                <w:bCs/>
                <w:szCs w:val="26"/>
              </w:rPr>
              <w:t>This purchase is a sole source because it is a software license/upgrade/</w:t>
            </w:r>
            <w:r w:rsidR="00280F0E" w:rsidRPr="006B7E00">
              <w:rPr>
                <w:bCs/>
                <w:szCs w:val="26"/>
              </w:rPr>
              <w:t>maintenance,</w:t>
            </w:r>
            <w:r w:rsidRPr="006B7E00">
              <w:rPr>
                <w:bCs/>
                <w:szCs w:val="26"/>
              </w:rPr>
              <w:t xml:space="preserve"> and no other source can meet the Hospital’s documented needs.</w:t>
            </w:r>
          </w:p>
          <w:p w14:paraId="0C51DEF4" w14:textId="77777777" w:rsidR="006B7E00" w:rsidRPr="006B7E00" w:rsidRDefault="006B7E00" w:rsidP="006B7E00">
            <w:pPr>
              <w:spacing w:after="0" w:line="240" w:lineRule="auto"/>
              <w:jc w:val="both"/>
              <w:rPr>
                <w:bCs/>
                <w:szCs w:val="26"/>
              </w:rPr>
            </w:pPr>
          </w:p>
          <w:p w14:paraId="3BE2E9E4" w14:textId="031BFCF0" w:rsidR="006B7E00" w:rsidRPr="006B7E00" w:rsidRDefault="006B7E00" w:rsidP="006B7E00">
            <w:pPr>
              <w:spacing w:after="0" w:line="240" w:lineRule="auto"/>
              <w:jc w:val="both"/>
              <w:rPr>
                <w:bCs/>
                <w:szCs w:val="26"/>
              </w:rPr>
            </w:pPr>
            <w:r w:rsidRPr="006B7E00">
              <w:rPr>
                <w:bCs/>
                <w:szCs w:val="26"/>
              </w:rPr>
              <w:t>The University of Illinois Hospital and Clinics (Hospital) uses vendor software to support the work of its Health Information Management (HIM) and Clinical Documentation Improvement (CDI) Departments.</w:t>
            </w:r>
            <w:r w:rsidR="00FC0C09">
              <w:rPr>
                <w:bCs/>
                <w:szCs w:val="26"/>
              </w:rPr>
              <w:t xml:space="preserve"> </w:t>
            </w:r>
            <w:r w:rsidRPr="006B7E00">
              <w:rPr>
                <w:bCs/>
                <w:szCs w:val="26"/>
              </w:rPr>
              <w:t xml:space="preserve">The software modules include Computer Assisted Coding (CAC) (used to assign Diagnosis Related Groups and other codes to patient care and diagnoses that are required for billing) and CDI solutions that assist clinicians </w:t>
            </w:r>
            <w:r w:rsidR="00280F0E">
              <w:rPr>
                <w:bCs/>
                <w:szCs w:val="26"/>
              </w:rPr>
              <w:t xml:space="preserve">in </w:t>
            </w:r>
            <w:r w:rsidRPr="006B7E00">
              <w:rPr>
                <w:bCs/>
                <w:szCs w:val="26"/>
              </w:rPr>
              <w:t>accurately reflect</w:t>
            </w:r>
            <w:r w:rsidR="00280F0E">
              <w:rPr>
                <w:bCs/>
                <w:szCs w:val="26"/>
              </w:rPr>
              <w:t>ing</w:t>
            </w:r>
            <w:r w:rsidRPr="006B7E00">
              <w:rPr>
                <w:bCs/>
                <w:szCs w:val="26"/>
              </w:rPr>
              <w:t xml:space="preserve"> Case Mix Index (acuity), Severity of Illness and Risk of Mortality in their documentation.</w:t>
            </w:r>
            <w:r w:rsidR="00FC0C09">
              <w:rPr>
                <w:bCs/>
                <w:szCs w:val="26"/>
              </w:rPr>
              <w:t xml:space="preserve"> </w:t>
            </w:r>
            <w:r w:rsidRPr="006B7E00">
              <w:rPr>
                <w:bCs/>
                <w:szCs w:val="26"/>
              </w:rPr>
              <w:t>The software is fully integrated with the Hospital’s Epic Electronic Health Record.</w:t>
            </w:r>
            <w:r w:rsidR="00FC0C09">
              <w:rPr>
                <w:bCs/>
                <w:szCs w:val="26"/>
              </w:rPr>
              <w:t xml:space="preserve"> </w:t>
            </w:r>
            <w:r w:rsidRPr="006B7E00">
              <w:rPr>
                <w:bCs/>
                <w:szCs w:val="26"/>
              </w:rPr>
              <w:t xml:space="preserve">Additional modules support Quality and Safety initiatives by </w:t>
            </w:r>
            <w:r w:rsidR="00391CD1" w:rsidRPr="006B7E00">
              <w:rPr>
                <w:bCs/>
                <w:szCs w:val="26"/>
              </w:rPr>
              <w:t>identifying key</w:t>
            </w:r>
            <w:r w:rsidRPr="006B7E00">
              <w:rPr>
                <w:bCs/>
                <w:szCs w:val="26"/>
              </w:rPr>
              <w:t xml:space="preserve"> quality metrics such as Patient Safety Indicators and Hospital Acquired Conditions.</w:t>
            </w:r>
          </w:p>
          <w:p w14:paraId="0B33B2F6" w14:textId="77777777" w:rsidR="006B7E00" w:rsidRPr="006B7E00" w:rsidRDefault="006B7E00" w:rsidP="006B7E00">
            <w:pPr>
              <w:spacing w:after="0" w:line="240" w:lineRule="auto"/>
              <w:jc w:val="both"/>
              <w:rPr>
                <w:bCs/>
                <w:szCs w:val="26"/>
              </w:rPr>
            </w:pPr>
          </w:p>
          <w:p w14:paraId="596546C1" w14:textId="508586EB" w:rsidR="006B7E00" w:rsidRPr="006B7E00" w:rsidRDefault="006B7E00" w:rsidP="006B7E00">
            <w:pPr>
              <w:spacing w:after="0" w:line="240" w:lineRule="auto"/>
              <w:jc w:val="both"/>
              <w:rPr>
                <w:bCs/>
                <w:szCs w:val="26"/>
              </w:rPr>
            </w:pPr>
            <w:r w:rsidRPr="006B7E00">
              <w:rPr>
                <w:bCs/>
                <w:szCs w:val="26"/>
              </w:rPr>
              <w:t xml:space="preserve">Solventum is currently the only vendor that offers CAC, CDI, and Computer Assisted Physician Documentation (CAPD) technology solutions on one integrated platform that interfaces with the Epic Electronic Health Record (EHR). Adding the CAPD solution will help providers improve </w:t>
            </w:r>
            <w:r w:rsidR="00280F0E">
              <w:rPr>
                <w:bCs/>
                <w:szCs w:val="26"/>
              </w:rPr>
              <w:t>real-time</w:t>
            </w:r>
            <w:r w:rsidRPr="006B7E00">
              <w:rPr>
                <w:bCs/>
                <w:szCs w:val="26"/>
              </w:rPr>
              <w:t xml:space="preserve"> documentation and patient care. Additionally, the CAPD solution is built on Fluency Direct speech recognition technology, </w:t>
            </w:r>
            <w:r w:rsidR="00280F0E">
              <w:rPr>
                <w:bCs/>
                <w:szCs w:val="26"/>
              </w:rPr>
              <w:t>currently integrated with Epic and used by UI Health and Clinics providers</w:t>
            </w:r>
            <w:r w:rsidRPr="006B7E00">
              <w:rPr>
                <w:bCs/>
                <w:szCs w:val="26"/>
              </w:rPr>
              <w:t>.</w:t>
            </w:r>
            <w:r w:rsidR="00FC0C09">
              <w:rPr>
                <w:bCs/>
                <w:szCs w:val="26"/>
              </w:rPr>
              <w:t xml:space="preserve"> </w:t>
            </w:r>
          </w:p>
          <w:p w14:paraId="1D584D95" w14:textId="77777777" w:rsidR="006B7E00" w:rsidRPr="006B7E00" w:rsidRDefault="006B7E00" w:rsidP="006B7E00">
            <w:pPr>
              <w:spacing w:after="0" w:line="240" w:lineRule="auto"/>
              <w:jc w:val="both"/>
              <w:rPr>
                <w:bCs/>
                <w:szCs w:val="26"/>
              </w:rPr>
            </w:pPr>
          </w:p>
          <w:p w14:paraId="5FA4FD15" w14:textId="77777777" w:rsidR="006B7E00" w:rsidRPr="006B7E00" w:rsidRDefault="006B7E00" w:rsidP="006B7E00">
            <w:pPr>
              <w:spacing w:after="0" w:line="240" w:lineRule="auto"/>
              <w:jc w:val="both"/>
              <w:rPr>
                <w:b/>
                <w:bCs/>
                <w:szCs w:val="26"/>
              </w:rPr>
            </w:pPr>
            <w:r w:rsidRPr="006B7E00">
              <w:rPr>
                <w:b/>
                <w:bCs/>
                <w:szCs w:val="26"/>
              </w:rPr>
              <w:t>Business Enterprise Program (BEP) goals</w:t>
            </w:r>
            <w:r w:rsidRPr="006B7E00">
              <w:rPr>
                <w:bCs/>
                <w:szCs w:val="26"/>
              </w:rPr>
              <w:t xml:space="preserve"> are not established for sole sources per the requirements of the Illinois Procurement Code. However, Solventum does have a supplier diversity participation program.</w:t>
            </w:r>
          </w:p>
          <w:p w14:paraId="3B1D8582" w14:textId="5F15B5E0" w:rsidR="00B775E6" w:rsidRPr="00C55686" w:rsidRDefault="00B775E6" w:rsidP="00354DFE">
            <w:pPr>
              <w:spacing w:after="0" w:line="240" w:lineRule="auto"/>
              <w:rPr>
                <w:rFonts w:eastAsia="Times New Roman"/>
                <w:b/>
                <w:color w:val="000000"/>
                <w:szCs w:val="26"/>
                <w:highlight w:val="yellow"/>
              </w:rPr>
            </w:pPr>
          </w:p>
        </w:tc>
      </w:tr>
      <w:tr w:rsidR="00A44D7C" w:rsidRPr="00353536" w14:paraId="720DDE9A" w14:textId="77777777" w:rsidTr="002837F0">
        <w:trPr>
          <w:trHeight w:val="150"/>
        </w:trPr>
        <w:tc>
          <w:tcPr>
            <w:tcW w:w="342" w:type="dxa"/>
            <w:tcBorders>
              <w:bottom w:val="single" w:sz="18" w:space="0" w:color="auto"/>
            </w:tcBorders>
          </w:tcPr>
          <w:p w14:paraId="105A1895" w14:textId="77777777" w:rsidR="00A44D7C" w:rsidRPr="00F53616" w:rsidRDefault="00A44D7C" w:rsidP="00B775E6">
            <w:pPr>
              <w:pStyle w:val="NoSpacing"/>
              <w:rPr>
                <w:sz w:val="26"/>
                <w:szCs w:val="26"/>
              </w:rPr>
            </w:pPr>
          </w:p>
        </w:tc>
        <w:tc>
          <w:tcPr>
            <w:tcW w:w="990" w:type="dxa"/>
            <w:tcBorders>
              <w:bottom w:val="single" w:sz="18" w:space="0" w:color="auto"/>
            </w:tcBorders>
            <w:shd w:val="clear" w:color="auto" w:fill="auto"/>
          </w:tcPr>
          <w:p w14:paraId="6B6DC0F3" w14:textId="77777777" w:rsidR="00A44D7C" w:rsidRPr="00F53616" w:rsidRDefault="00A44D7C" w:rsidP="00B775E6">
            <w:pPr>
              <w:pStyle w:val="NoSpacing"/>
              <w:rPr>
                <w:sz w:val="26"/>
                <w:szCs w:val="26"/>
              </w:rPr>
            </w:pPr>
          </w:p>
        </w:tc>
        <w:tc>
          <w:tcPr>
            <w:tcW w:w="8118" w:type="dxa"/>
            <w:tcBorders>
              <w:bottom w:val="single" w:sz="18" w:space="0" w:color="auto"/>
            </w:tcBorders>
            <w:shd w:val="clear" w:color="auto" w:fill="auto"/>
          </w:tcPr>
          <w:p w14:paraId="6C902CA6" w14:textId="77777777" w:rsidR="00A44D7C" w:rsidRPr="00795EBC" w:rsidRDefault="00A44D7C" w:rsidP="00B775E6">
            <w:pPr>
              <w:spacing w:after="0" w:line="240" w:lineRule="auto"/>
              <w:rPr>
                <w:rFonts w:eastAsia="Times New Roman"/>
                <w:b/>
                <w:color w:val="000000"/>
                <w:szCs w:val="26"/>
              </w:rPr>
            </w:pPr>
          </w:p>
        </w:tc>
      </w:tr>
      <w:tr w:rsidR="00921042" w:rsidRPr="00353536" w14:paraId="26466DED" w14:textId="77777777" w:rsidTr="002837F0">
        <w:trPr>
          <w:trHeight w:val="150"/>
        </w:trPr>
        <w:tc>
          <w:tcPr>
            <w:tcW w:w="9450" w:type="dxa"/>
            <w:gridSpan w:val="3"/>
            <w:tcBorders>
              <w:top w:val="single" w:sz="18" w:space="0" w:color="auto"/>
              <w:bottom w:val="single" w:sz="18" w:space="0" w:color="auto"/>
            </w:tcBorders>
          </w:tcPr>
          <w:p w14:paraId="4BBCD50F" w14:textId="7DA713A0" w:rsidR="00921042" w:rsidRDefault="00921042" w:rsidP="00921042">
            <w:pPr>
              <w:tabs>
                <w:tab w:val="left" w:pos="-720"/>
                <w:tab w:val="left" w:pos="9090"/>
              </w:tabs>
              <w:suppressAutoHyphens/>
              <w:overflowPunct w:val="0"/>
              <w:autoSpaceDE w:val="0"/>
              <w:autoSpaceDN w:val="0"/>
              <w:adjustRightInd w:val="0"/>
              <w:spacing w:after="0" w:line="240" w:lineRule="auto"/>
              <w:jc w:val="center"/>
              <w:textAlignment w:val="baseline"/>
              <w:rPr>
                <w:szCs w:val="26"/>
              </w:rPr>
            </w:pPr>
            <w:r w:rsidRPr="00921042">
              <w:rPr>
                <w:rFonts w:eastAsia="Times New Roman"/>
                <w:b/>
                <w:szCs w:val="26"/>
              </w:rPr>
              <w:t>University of Illinois Springfield</w:t>
            </w:r>
          </w:p>
        </w:tc>
      </w:tr>
      <w:tr w:rsidR="00495DDF" w:rsidRPr="00353536" w14:paraId="0F96EDB8" w14:textId="77777777" w:rsidTr="002837F0">
        <w:trPr>
          <w:trHeight w:val="150"/>
        </w:trPr>
        <w:tc>
          <w:tcPr>
            <w:tcW w:w="342" w:type="dxa"/>
            <w:tcBorders>
              <w:top w:val="single" w:sz="18" w:space="0" w:color="auto"/>
              <w:bottom w:val="double" w:sz="4" w:space="0" w:color="auto"/>
            </w:tcBorders>
          </w:tcPr>
          <w:p w14:paraId="456CE490" w14:textId="251FF825" w:rsidR="00495DDF" w:rsidRDefault="00595029" w:rsidP="00B62DED">
            <w:pPr>
              <w:pStyle w:val="NoSpacing"/>
              <w:rPr>
                <w:sz w:val="26"/>
                <w:szCs w:val="26"/>
              </w:rPr>
            </w:pPr>
            <w:r>
              <w:rPr>
                <w:sz w:val="26"/>
                <w:szCs w:val="26"/>
              </w:rPr>
              <w:t>2</w:t>
            </w:r>
          </w:p>
        </w:tc>
        <w:tc>
          <w:tcPr>
            <w:tcW w:w="990" w:type="dxa"/>
            <w:tcBorders>
              <w:top w:val="single" w:sz="18" w:space="0" w:color="auto"/>
              <w:bottom w:val="double" w:sz="4" w:space="0" w:color="auto"/>
            </w:tcBorders>
            <w:shd w:val="clear" w:color="auto" w:fill="auto"/>
          </w:tcPr>
          <w:p w14:paraId="7D8946CB" w14:textId="5285F946" w:rsidR="00495DDF" w:rsidRPr="00F53616" w:rsidRDefault="00495DDF" w:rsidP="00B62DED">
            <w:pPr>
              <w:pStyle w:val="NoSpacing"/>
              <w:rPr>
                <w:sz w:val="26"/>
                <w:szCs w:val="26"/>
              </w:rPr>
            </w:pPr>
            <w:r w:rsidRPr="00F53616">
              <w:rPr>
                <w:sz w:val="26"/>
                <w:szCs w:val="26"/>
              </w:rPr>
              <w:t>Unit</w:t>
            </w:r>
          </w:p>
        </w:tc>
        <w:tc>
          <w:tcPr>
            <w:tcW w:w="8118" w:type="dxa"/>
            <w:tcBorders>
              <w:top w:val="single" w:sz="18" w:space="0" w:color="auto"/>
              <w:bottom w:val="double" w:sz="4" w:space="0" w:color="auto"/>
            </w:tcBorders>
            <w:shd w:val="clear" w:color="auto" w:fill="auto"/>
          </w:tcPr>
          <w:p w14:paraId="166DDBD3" w14:textId="100ED999" w:rsidR="00495DDF" w:rsidRDefault="00392E0F" w:rsidP="00F53FA1">
            <w:pPr>
              <w:spacing w:after="0" w:line="240" w:lineRule="auto"/>
              <w:rPr>
                <w:szCs w:val="26"/>
              </w:rPr>
            </w:pPr>
            <w:r>
              <w:rPr>
                <w:szCs w:val="26"/>
              </w:rPr>
              <w:t>UIS Utilities</w:t>
            </w:r>
          </w:p>
        </w:tc>
      </w:tr>
      <w:tr w:rsidR="00495DDF" w:rsidRPr="00353536" w14:paraId="32B5CC71" w14:textId="77777777" w:rsidTr="002837F0">
        <w:trPr>
          <w:trHeight w:val="150"/>
        </w:trPr>
        <w:tc>
          <w:tcPr>
            <w:tcW w:w="342" w:type="dxa"/>
            <w:tcBorders>
              <w:top w:val="double" w:sz="4" w:space="0" w:color="auto"/>
            </w:tcBorders>
          </w:tcPr>
          <w:p w14:paraId="3D30F3BF" w14:textId="68585882" w:rsidR="00495DDF" w:rsidRPr="00F53616" w:rsidRDefault="00495DDF" w:rsidP="00B62DED">
            <w:pPr>
              <w:pStyle w:val="NoSpacing"/>
              <w:rPr>
                <w:sz w:val="26"/>
                <w:szCs w:val="26"/>
              </w:rPr>
            </w:pPr>
          </w:p>
        </w:tc>
        <w:tc>
          <w:tcPr>
            <w:tcW w:w="990" w:type="dxa"/>
            <w:tcBorders>
              <w:top w:val="double" w:sz="4" w:space="0" w:color="auto"/>
            </w:tcBorders>
            <w:shd w:val="clear" w:color="auto" w:fill="auto"/>
          </w:tcPr>
          <w:p w14:paraId="1231464C" w14:textId="77777777" w:rsidR="00495DDF" w:rsidRPr="00F53616" w:rsidRDefault="00495DDF" w:rsidP="00B62DED">
            <w:pPr>
              <w:pStyle w:val="NoSpacing"/>
              <w:rPr>
                <w:sz w:val="26"/>
                <w:szCs w:val="26"/>
              </w:rPr>
            </w:pPr>
          </w:p>
          <w:p w14:paraId="1A03B7FC" w14:textId="4E7E5929" w:rsidR="00495DDF" w:rsidRPr="00F53616" w:rsidRDefault="00495DDF" w:rsidP="00B62DED">
            <w:pPr>
              <w:pStyle w:val="NoSpacing"/>
              <w:rPr>
                <w:sz w:val="26"/>
                <w:szCs w:val="26"/>
              </w:rPr>
            </w:pPr>
            <w:r w:rsidRPr="00F53616">
              <w:rPr>
                <w:sz w:val="26"/>
                <w:szCs w:val="26"/>
              </w:rPr>
              <w:t>Item</w:t>
            </w:r>
            <w:r w:rsidR="00FC0C09">
              <w:rPr>
                <w:sz w:val="26"/>
                <w:szCs w:val="26"/>
              </w:rPr>
              <w:t xml:space="preserve">   </w:t>
            </w:r>
          </w:p>
        </w:tc>
        <w:tc>
          <w:tcPr>
            <w:tcW w:w="8118" w:type="dxa"/>
            <w:tcBorders>
              <w:top w:val="double" w:sz="4" w:space="0" w:color="auto"/>
            </w:tcBorders>
            <w:shd w:val="clear" w:color="auto" w:fill="auto"/>
          </w:tcPr>
          <w:p w14:paraId="2568BFCF" w14:textId="77777777" w:rsidR="00495DDF" w:rsidRPr="00247931" w:rsidRDefault="00495DDF" w:rsidP="00F53FA1">
            <w:pPr>
              <w:spacing w:after="0" w:line="240" w:lineRule="auto"/>
              <w:rPr>
                <w:szCs w:val="26"/>
              </w:rPr>
            </w:pPr>
          </w:p>
          <w:p w14:paraId="1BB610F8" w14:textId="3C4CE379" w:rsidR="00495DDF" w:rsidRPr="00B62DED" w:rsidRDefault="00392E0F" w:rsidP="00F53FA1">
            <w:pPr>
              <w:spacing w:after="0" w:line="240" w:lineRule="auto"/>
              <w:rPr>
                <w:szCs w:val="26"/>
              </w:rPr>
            </w:pPr>
            <w:r>
              <w:t xml:space="preserve">Purchase of </w:t>
            </w:r>
            <w:r w:rsidR="00280F0E">
              <w:t>utilities for the Springfield campus from July 1, 2024,</w:t>
            </w:r>
            <w:r>
              <w:t xml:space="preserve"> through June 30, 2027.</w:t>
            </w:r>
          </w:p>
        </w:tc>
      </w:tr>
      <w:tr w:rsidR="00495DDF" w:rsidRPr="00353536" w14:paraId="1B3E5FB1" w14:textId="77777777" w:rsidTr="002837F0">
        <w:trPr>
          <w:trHeight w:val="150"/>
        </w:trPr>
        <w:tc>
          <w:tcPr>
            <w:tcW w:w="342" w:type="dxa"/>
          </w:tcPr>
          <w:p w14:paraId="1045557B" w14:textId="31B8528C" w:rsidR="00495DDF" w:rsidRPr="00F53616" w:rsidRDefault="00495DDF" w:rsidP="00B62DED">
            <w:pPr>
              <w:pStyle w:val="NoSpacing"/>
              <w:rPr>
                <w:sz w:val="26"/>
                <w:szCs w:val="26"/>
              </w:rPr>
            </w:pPr>
            <w:r w:rsidRPr="00F53616">
              <w:rPr>
                <w:sz w:val="26"/>
                <w:szCs w:val="26"/>
              </w:rPr>
              <w:t xml:space="preserve"> </w:t>
            </w:r>
          </w:p>
        </w:tc>
        <w:tc>
          <w:tcPr>
            <w:tcW w:w="990" w:type="dxa"/>
            <w:shd w:val="clear" w:color="auto" w:fill="auto"/>
          </w:tcPr>
          <w:p w14:paraId="4831CA71" w14:textId="77777777" w:rsidR="00495DDF" w:rsidRPr="00F53616" w:rsidRDefault="00495DDF" w:rsidP="00B62DED">
            <w:pPr>
              <w:pStyle w:val="NoSpacing"/>
              <w:rPr>
                <w:sz w:val="26"/>
                <w:szCs w:val="26"/>
              </w:rPr>
            </w:pPr>
          </w:p>
          <w:p w14:paraId="4EED015C" w14:textId="39302233" w:rsidR="00495DDF" w:rsidRPr="00F53616" w:rsidRDefault="00495DDF" w:rsidP="00B62DED">
            <w:pPr>
              <w:pStyle w:val="NoSpacing"/>
              <w:rPr>
                <w:sz w:val="26"/>
                <w:szCs w:val="26"/>
              </w:rPr>
            </w:pPr>
            <w:r w:rsidRPr="00F53616">
              <w:rPr>
                <w:sz w:val="26"/>
                <w:szCs w:val="26"/>
              </w:rPr>
              <w:t>Cost</w:t>
            </w:r>
          </w:p>
        </w:tc>
        <w:tc>
          <w:tcPr>
            <w:tcW w:w="8118" w:type="dxa"/>
            <w:shd w:val="clear" w:color="auto" w:fill="auto"/>
          </w:tcPr>
          <w:p w14:paraId="48849293" w14:textId="77777777" w:rsidR="00495DDF" w:rsidRPr="00247931" w:rsidRDefault="00495DDF" w:rsidP="00AC3D48">
            <w:pPr>
              <w:pStyle w:val="NoSpacing"/>
              <w:rPr>
                <w:spacing w:val="-3"/>
                <w:sz w:val="26"/>
                <w:szCs w:val="26"/>
              </w:rPr>
            </w:pPr>
          </w:p>
          <w:p w14:paraId="20F7DA89" w14:textId="1869273E" w:rsidR="00495DDF" w:rsidRPr="00354DFE" w:rsidRDefault="00495DDF" w:rsidP="00354DFE">
            <w:pPr>
              <w:pStyle w:val="TableParagraph"/>
              <w:spacing w:before="1"/>
              <w:ind w:left="44"/>
              <w:rPr>
                <w:bCs/>
                <w:sz w:val="26"/>
                <w:szCs w:val="26"/>
              </w:rPr>
            </w:pPr>
            <w:r w:rsidRPr="004645D1">
              <w:rPr>
                <w:bCs/>
                <w:sz w:val="26"/>
                <w:szCs w:val="26"/>
              </w:rPr>
              <w:t>$9,000,000 (estimated)</w:t>
            </w:r>
          </w:p>
          <w:p w14:paraId="755A10AB" w14:textId="069CCD81" w:rsidR="00495DDF" w:rsidRPr="00354DFE" w:rsidRDefault="00495DDF" w:rsidP="00F53FA1">
            <w:pPr>
              <w:spacing w:after="0" w:line="240" w:lineRule="auto"/>
              <w:rPr>
                <w:szCs w:val="26"/>
              </w:rPr>
            </w:pPr>
          </w:p>
        </w:tc>
      </w:tr>
      <w:tr w:rsidR="00495DDF" w:rsidRPr="00353536" w14:paraId="5BED4C76" w14:textId="77777777" w:rsidTr="002837F0">
        <w:trPr>
          <w:trHeight w:val="150"/>
        </w:trPr>
        <w:tc>
          <w:tcPr>
            <w:tcW w:w="342" w:type="dxa"/>
          </w:tcPr>
          <w:p w14:paraId="10E2A38A" w14:textId="5F877809" w:rsidR="00495DDF" w:rsidRPr="00F53616" w:rsidRDefault="00495DDF" w:rsidP="00B62DED">
            <w:pPr>
              <w:pStyle w:val="NoSpacing"/>
              <w:rPr>
                <w:sz w:val="26"/>
                <w:szCs w:val="26"/>
              </w:rPr>
            </w:pPr>
          </w:p>
        </w:tc>
        <w:tc>
          <w:tcPr>
            <w:tcW w:w="990" w:type="dxa"/>
            <w:shd w:val="clear" w:color="auto" w:fill="auto"/>
          </w:tcPr>
          <w:p w14:paraId="61A8AB0A" w14:textId="176D6699" w:rsidR="00495DDF" w:rsidRPr="00F53616" w:rsidRDefault="00495DDF" w:rsidP="00B62DED">
            <w:pPr>
              <w:pStyle w:val="NoSpacing"/>
              <w:rPr>
                <w:sz w:val="26"/>
                <w:szCs w:val="26"/>
              </w:rPr>
            </w:pPr>
            <w:r>
              <w:rPr>
                <w:sz w:val="26"/>
                <w:szCs w:val="26"/>
              </w:rPr>
              <w:t>Vendor</w:t>
            </w:r>
          </w:p>
        </w:tc>
        <w:tc>
          <w:tcPr>
            <w:tcW w:w="8118" w:type="dxa"/>
            <w:shd w:val="clear" w:color="auto" w:fill="auto"/>
          </w:tcPr>
          <w:p w14:paraId="5B05B31A" w14:textId="6D998116" w:rsidR="00495DDF" w:rsidRPr="00247931" w:rsidRDefault="00392E0F" w:rsidP="00AC3D48">
            <w:pPr>
              <w:pStyle w:val="NoSpacing"/>
              <w:rPr>
                <w:sz w:val="26"/>
                <w:szCs w:val="26"/>
              </w:rPr>
            </w:pPr>
            <w:r>
              <w:rPr>
                <w:sz w:val="26"/>
                <w:szCs w:val="26"/>
              </w:rPr>
              <w:t>City of Springfield, Illinois (City Water, Light and Power – CWLP)</w:t>
            </w:r>
            <w:r w:rsidR="00FC0C09">
              <w:rPr>
                <w:sz w:val="26"/>
                <w:szCs w:val="26"/>
              </w:rPr>
              <w:t xml:space="preserve">               </w:t>
            </w:r>
            <w:r w:rsidR="00495DDF" w:rsidRPr="00247931">
              <w:rPr>
                <w:sz w:val="26"/>
                <w:szCs w:val="26"/>
              </w:rPr>
              <w:t xml:space="preserve"> </w:t>
            </w:r>
            <w:r>
              <w:rPr>
                <w:sz w:val="26"/>
                <w:szCs w:val="26"/>
              </w:rPr>
              <w:t>Springfield</w:t>
            </w:r>
            <w:r w:rsidR="00495DDF" w:rsidRPr="00247931">
              <w:rPr>
                <w:sz w:val="26"/>
                <w:szCs w:val="26"/>
              </w:rPr>
              <w:t xml:space="preserve">, </w:t>
            </w:r>
            <w:r w:rsidR="004C09BF">
              <w:rPr>
                <w:sz w:val="26"/>
                <w:szCs w:val="26"/>
              </w:rPr>
              <w:t>IL</w:t>
            </w:r>
          </w:p>
          <w:p w14:paraId="1EB68A88" w14:textId="590419BA" w:rsidR="00495DDF" w:rsidRPr="00247931" w:rsidRDefault="00495DDF" w:rsidP="00AC3D48">
            <w:pPr>
              <w:pStyle w:val="NoSpacing"/>
              <w:rPr>
                <w:spacing w:val="-3"/>
                <w:sz w:val="26"/>
                <w:szCs w:val="26"/>
              </w:rPr>
            </w:pPr>
          </w:p>
        </w:tc>
      </w:tr>
      <w:tr w:rsidR="00495DDF" w:rsidRPr="00353536" w14:paraId="14F23DCF" w14:textId="77777777" w:rsidTr="002837F0">
        <w:trPr>
          <w:trHeight w:val="4095"/>
        </w:trPr>
        <w:tc>
          <w:tcPr>
            <w:tcW w:w="342" w:type="dxa"/>
          </w:tcPr>
          <w:p w14:paraId="793BFB49" w14:textId="77777777" w:rsidR="00495DDF" w:rsidRPr="00F53616" w:rsidRDefault="00495DDF" w:rsidP="00B62DED">
            <w:pPr>
              <w:pStyle w:val="NoSpacing"/>
              <w:rPr>
                <w:sz w:val="26"/>
                <w:szCs w:val="26"/>
              </w:rPr>
            </w:pPr>
          </w:p>
        </w:tc>
        <w:tc>
          <w:tcPr>
            <w:tcW w:w="990" w:type="dxa"/>
            <w:shd w:val="clear" w:color="auto" w:fill="auto"/>
          </w:tcPr>
          <w:p w14:paraId="0D2417A2" w14:textId="04B4DD24" w:rsidR="00495DDF" w:rsidRPr="00F53616" w:rsidRDefault="00495DDF" w:rsidP="00B62DED">
            <w:pPr>
              <w:pStyle w:val="NoSpacing"/>
              <w:rPr>
                <w:sz w:val="26"/>
                <w:szCs w:val="26"/>
              </w:rPr>
            </w:pPr>
          </w:p>
        </w:tc>
        <w:tc>
          <w:tcPr>
            <w:tcW w:w="8118" w:type="dxa"/>
            <w:shd w:val="clear" w:color="auto" w:fill="auto"/>
          </w:tcPr>
          <w:p w14:paraId="62FED6AA" w14:textId="6CBF6621" w:rsidR="004C09BF" w:rsidRPr="004C09BF" w:rsidRDefault="004C09BF" w:rsidP="004C09BF">
            <w:pPr>
              <w:pStyle w:val="NoSpacing"/>
              <w:rPr>
                <w:sz w:val="26"/>
                <w:szCs w:val="26"/>
              </w:rPr>
            </w:pPr>
            <w:r w:rsidRPr="004C09BF">
              <w:rPr>
                <w:sz w:val="26"/>
                <w:szCs w:val="26"/>
              </w:rPr>
              <w:t>This purchase is an intergovernmental agreement exempt from the Illinois Procurement Code pursuant to section 30 ILCS 500/1-10 (b)(1).</w:t>
            </w:r>
          </w:p>
          <w:p w14:paraId="657E1C62" w14:textId="77777777" w:rsidR="004C09BF" w:rsidRPr="004C09BF" w:rsidRDefault="004C09BF" w:rsidP="004C09BF">
            <w:pPr>
              <w:pStyle w:val="NoSpacing"/>
              <w:rPr>
                <w:sz w:val="26"/>
                <w:szCs w:val="26"/>
              </w:rPr>
            </w:pPr>
            <w:r w:rsidRPr="004C09BF">
              <w:rPr>
                <w:sz w:val="26"/>
                <w:szCs w:val="26"/>
              </w:rPr>
              <w:t> </w:t>
            </w:r>
          </w:p>
          <w:p w14:paraId="3213D9A2" w14:textId="659E6399" w:rsidR="004C09BF" w:rsidRPr="004C09BF" w:rsidRDefault="004C09BF" w:rsidP="004C09BF">
            <w:pPr>
              <w:pStyle w:val="NoSpacing"/>
              <w:rPr>
                <w:sz w:val="26"/>
                <w:szCs w:val="26"/>
              </w:rPr>
            </w:pPr>
            <w:r w:rsidRPr="004C09BF">
              <w:rPr>
                <w:sz w:val="26"/>
                <w:szCs w:val="26"/>
              </w:rPr>
              <w:t>The University of Illinois Springfield is required by statute to purchase utilities from City Water, Light</w:t>
            </w:r>
            <w:r w:rsidR="00280F0E">
              <w:rPr>
                <w:sz w:val="26"/>
                <w:szCs w:val="26"/>
              </w:rPr>
              <w:t>, and Power, the City of Springfield’s public utility. The statute exempts municipal systems from offering alternative retail access to their customers in an effort to protect the City’s ability to recapture capital investment made on behalf of its</w:t>
            </w:r>
            <w:r w:rsidRPr="004C09BF">
              <w:rPr>
                <w:sz w:val="26"/>
                <w:szCs w:val="26"/>
              </w:rPr>
              <w:t xml:space="preserve"> residents.</w:t>
            </w:r>
          </w:p>
          <w:p w14:paraId="3E90E342" w14:textId="77777777" w:rsidR="004C09BF" w:rsidRPr="004C09BF" w:rsidRDefault="004C09BF" w:rsidP="004C09BF">
            <w:pPr>
              <w:pStyle w:val="NoSpacing"/>
              <w:rPr>
                <w:sz w:val="26"/>
                <w:szCs w:val="26"/>
              </w:rPr>
            </w:pPr>
            <w:r w:rsidRPr="004C09BF">
              <w:rPr>
                <w:sz w:val="26"/>
                <w:szCs w:val="26"/>
              </w:rPr>
              <w:t> </w:t>
            </w:r>
          </w:p>
          <w:p w14:paraId="576B38C9" w14:textId="5D6957C6" w:rsidR="004C09BF" w:rsidRPr="004C09BF" w:rsidRDefault="004C09BF" w:rsidP="004C09BF">
            <w:pPr>
              <w:pStyle w:val="NoSpacing"/>
              <w:rPr>
                <w:sz w:val="26"/>
                <w:szCs w:val="26"/>
              </w:rPr>
            </w:pPr>
            <w:r w:rsidRPr="004C09BF">
              <w:rPr>
                <w:sz w:val="26"/>
                <w:szCs w:val="26"/>
              </w:rPr>
              <w:t xml:space="preserve">The </w:t>
            </w:r>
            <w:r w:rsidR="00280F0E">
              <w:rPr>
                <w:sz w:val="26"/>
                <w:szCs w:val="26"/>
              </w:rPr>
              <w:t>proposed pricing is considered reasonable and acceptable based upon the historical cost for these services, including previous approval for a 3-year term from July 1, 2024,</w:t>
            </w:r>
            <w:r w:rsidRPr="004C09BF">
              <w:rPr>
                <w:sz w:val="26"/>
                <w:szCs w:val="26"/>
              </w:rPr>
              <w:t xml:space="preserve"> to June 30, 202</w:t>
            </w:r>
            <w:r w:rsidR="00562F88">
              <w:rPr>
                <w:sz w:val="26"/>
                <w:szCs w:val="26"/>
              </w:rPr>
              <w:t>7</w:t>
            </w:r>
            <w:r w:rsidRPr="004C09BF">
              <w:rPr>
                <w:sz w:val="26"/>
                <w:szCs w:val="26"/>
              </w:rPr>
              <w:t>.</w:t>
            </w:r>
          </w:p>
          <w:p w14:paraId="3CAB5BEC" w14:textId="0E13B116" w:rsidR="00495DDF" w:rsidRPr="00247931" w:rsidRDefault="00495DDF" w:rsidP="00AC3D48">
            <w:pPr>
              <w:pStyle w:val="NoSpacing"/>
              <w:rPr>
                <w:sz w:val="26"/>
                <w:szCs w:val="26"/>
              </w:rPr>
            </w:pPr>
          </w:p>
        </w:tc>
      </w:tr>
      <w:tr w:rsidR="004645D1" w:rsidRPr="00353536" w14:paraId="2953CA5A" w14:textId="77777777" w:rsidTr="002837F0">
        <w:trPr>
          <w:trHeight w:val="270"/>
        </w:trPr>
        <w:tc>
          <w:tcPr>
            <w:tcW w:w="342" w:type="dxa"/>
          </w:tcPr>
          <w:p w14:paraId="437AC2A5" w14:textId="77777777" w:rsidR="004645D1" w:rsidRPr="00F53616" w:rsidRDefault="004645D1" w:rsidP="00B62DED">
            <w:pPr>
              <w:pStyle w:val="NoSpacing"/>
              <w:rPr>
                <w:sz w:val="26"/>
                <w:szCs w:val="26"/>
              </w:rPr>
            </w:pPr>
          </w:p>
        </w:tc>
        <w:tc>
          <w:tcPr>
            <w:tcW w:w="990" w:type="dxa"/>
            <w:shd w:val="clear" w:color="auto" w:fill="auto"/>
          </w:tcPr>
          <w:p w14:paraId="578A1BDE" w14:textId="77777777" w:rsidR="004645D1" w:rsidRPr="00F53616" w:rsidRDefault="004645D1" w:rsidP="00B62DED">
            <w:pPr>
              <w:pStyle w:val="NoSpacing"/>
              <w:rPr>
                <w:sz w:val="26"/>
                <w:szCs w:val="26"/>
              </w:rPr>
            </w:pPr>
          </w:p>
        </w:tc>
        <w:tc>
          <w:tcPr>
            <w:tcW w:w="8118" w:type="dxa"/>
            <w:shd w:val="clear" w:color="auto" w:fill="auto"/>
          </w:tcPr>
          <w:p w14:paraId="685BEB03" w14:textId="77777777" w:rsidR="004645D1" w:rsidRDefault="004645D1" w:rsidP="004C09BF">
            <w:pPr>
              <w:widowControl w:val="0"/>
              <w:tabs>
                <w:tab w:val="left" w:pos="2622"/>
                <w:tab w:val="left" w:pos="2682"/>
              </w:tabs>
              <w:autoSpaceDE w:val="0"/>
              <w:autoSpaceDN w:val="0"/>
              <w:spacing w:before="238" w:after="0" w:line="240" w:lineRule="auto"/>
              <w:ind w:right="850"/>
              <w:rPr>
                <w:rFonts w:eastAsia="Times New Roman"/>
                <w:b/>
                <w:color w:val="000000"/>
                <w:szCs w:val="26"/>
              </w:rPr>
            </w:pPr>
          </w:p>
        </w:tc>
      </w:tr>
      <w:tr w:rsidR="004C09BF" w:rsidRPr="00353536" w14:paraId="115FCF9D" w14:textId="77777777" w:rsidTr="002837F0">
        <w:trPr>
          <w:trHeight w:val="270"/>
        </w:trPr>
        <w:tc>
          <w:tcPr>
            <w:tcW w:w="342" w:type="dxa"/>
          </w:tcPr>
          <w:p w14:paraId="30BF5D04" w14:textId="77777777" w:rsidR="004C09BF" w:rsidRPr="00F53616" w:rsidRDefault="004C09BF" w:rsidP="00B62DED">
            <w:pPr>
              <w:pStyle w:val="NoSpacing"/>
              <w:rPr>
                <w:sz w:val="26"/>
                <w:szCs w:val="26"/>
              </w:rPr>
            </w:pPr>
          </w:p>
        </w:tc>
        <w:tc>
          <w:tcPr>
            <w:tcW w:w="990" w:type="dxa"/>
            <w:shd w:val="clear" w:color="auto" w:fill="auto"/>
          </w:tcPr>
          <w:p w14:paraId="38602CA2" w14:textId="77777777" w:rsidR="004C09BF" w:rsidRPr="00F53616" w:rsidRDefault="004C09BF" w:rsidP="00B62DED">
            <w:pPr>
              <w:pStyle w:val="NoSpacing"/>
              <w:rPr>
                <w:sz w:val="26"/>
                <w:szCs w:val="26"/>
              </w:rPr>
            </w:pPr>
          </w:p>
        </w:tc>
        <w:tc>
          <w:tcPr>
            <w:tcW w:w="8118" w:type="dxa"/>
            <w:shd w:val="clear" w:color="auto" w:fill="auto"/>
          </w:tcPr>
          <w:p w14:paraId="5C9D15F2" w14:textId="4A7C1958" w:rsidR="004C09BF" w:rsidRPr="004C09BF" w:rsidRDefault="00FC0C09" w:rsidP="004C09BF">
            <w:pPr>
              <w:widowControl w:val="0"/>
              <w:tabs>
                <w:tab w:val="left" w:pos="2622"/>
                <w:tab w:val="left" w:pos="2682"/>
              </w:tabs>
              <w:autoSpaceDE w:val="0"/>
              <w:autoSpaceDN w:val="0"/>
              <w:spacing w:before="238" w:after="0" w:line="240" w:lineRule="auto"/>
              <w:ind w:right="850"/>
              <w:rPr>
                <w:sz w:val="24"/>
              </w:rPr>
            </w:pPr>
            <w:r>
              <w:rPr>
                <w:rFonts w:eastAsia="Times New Roman"/>
                <w:b/>
                <w:color w:val="000000"/>
                <w:szCs w:val="26"/>
              </w:rPr>
              <w:t xml:space="preserve">        </w:t>
            </w:r>
            <w:r w:rsidR="004C09BF">
              <w:rPr>
                <w:rFonts w:eastAsia="Times New Roman"/>
                <w:b/>
                <w:color w:val="000000"/>
                <w:szCs w:val="26"/>
              </w:rPr>
              <w:t xml:space="preserve"> RENEWAL OPTIONS </w:t>
            </w:r>
            <w:r w:rsidR="004C09BF" w:rsidRPr="00353536">
              <w:rPr>
                <w:rFonts w:eastAsia="Times New Roman"/>
                <w:b/>
                <w:color w:val="000000"/>
                <w:szCs w:val="26"/>
              </w:rPr>
              <w:t>RECOMMENDED</w:t>
            </w:r>
          </w:p>
        </w:tc>
      </w:tr>
      <w:tr w:rsidR="004C09BF" w:rsidRPr="00353536" w14:paraId="53EC36B2" w14:textId="77777777" w:rsidTr="002837F0">
        <w:trPr>
          <w:trHeight w:val="15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4C09BF" w:rsidRPr="00353536" w14:paraId="19EC5271" w14:textId="77777777" w:rsidTr="00701ADE">
              <w:trPr>
                <w:trHeight w:val="114"/>
              </w:trPr>
              <w:tc>
                <w:tcPr>
                  <w:tcW w:w="9454" w:type="dxa"/>
                  <w:tcBorders>
                    <w:top w:val="single" w:sz="18" w:space="0" w:color="auto"/>
                    <w:bottom w:val="single" w:sz="18" w:space="0" w:color="auto"/>
                  </w:tcBorders>
                </w:tcPr>
                <w:p w14:paraId="36DEBC58" w14:textId="771BCAA9" w:rsidR="004C09BF" w:rsidRPr="00353536" w:rsidRDefault="004C09BF"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 xml:space="preserve">University of Illinois </w:t>
                  </w:r>
                  <w:r>
                    <w:rPr>
                      <w:rFonts w:eastAsia="Times New Roman"/>
                      <w:b/>
                      <w:szCs w:val="26"/>
                    </w:rPr>
                    <w:t>Urbana-Champaign</w:t>
                  </w:r>
                </w:p>
              </w:tc>
            </w:tr>
          </w:tbl>
          <w:p w14:paraId="4D51BDD3" w14:textId="7EA309F6" w:rsidR="004C09BF" w:rsidRPr="00353536" w:rsidRDefault="004C09BF" w:rsidP="00B62DED">
            <w:pPr>
              <w:spacing w:after="0" w:line="240" w:lineRule="auto"/>
              <w:ind w:left="1478"/>
              <w:rPr>
                <w:rFonts w:eastAsia="Times New Roman"/>
                <w:b/>
                <w:color w:val="000000"/>
                <w:szCs w:val="26"/>
              </w:rPr>
            </w:pPr>
          </w:p>
        </w:tc>
      </w:tr>
      <w:tr w:rsidR="004C09BF" w:rsidRPr="00353536" w14:paraId="51EE68BA" w14:textId="77777777" w:rsidTr="002837F0">
        <w:trPr>
          <w:trHeight w:val="150"/>
        </w:trPr>
        <w:tc>
          <w:tcPr>
            <w:tcW w:w="342" w:type="dxa"/>
            <w:tcBorders>
              <w:bottom w:val="double" w:sz="4" w:space="0" w:color="auto"/>
            </w:tcBorders>
          </w:tcPr>
          <w:p w14:paraId="09BC509E" w14:textId="246013AD" w:rsidR="004C09BF" w:rsidRPr="00F53616" w:rsidRDefault="00595029" w:rsidP="00F53FA1">
            <w:pPr>
              <w:pStyle w:val="NoSpacing"/>
              <w:rPr>
                <w:sz w:val="26"/>
                <w:szCs w:val="26"/>
              </w:rPr>
            </w:pPr>
            <w:r>
              <w:rPr>
                <w:sz w:val="26"/>
                <w:szCs w:val="26"/>
              </w:rPr>
              <w:t>3</w:t>
            </w:r>
          </w:p>
        </w:tc>
        <w:tc>
          <w:tcPr>
            <w:tcW w:w="990" w:type="dxa"/>
            <w:tcBorders>
              <w:bottom w:val="double" w:sz="4" w:space="0" w:color="auto"/>
            </w:tcBorders>
            <w:shd w:val="clear" w:color="auto" w:fill="auto"/>
          </w:tcPr>
          <w:p w14:paraId="186D61D1" w14:textId="0032485F" w:rsidR="004C09BF" w:rsidRPr="00F53616" w:rsidRDefault="004C09BF" w:rsidP="00F53FA1">
            <w:pPr>
              <w:pStyle w:val="NoSpacing"/>
              <w:rPr>
                <w:sz w:val="26"/>
                <w:szCs w:val="26"/>
              </w:rPr>
            </w:pPr>
            <w:r w:rsidRPr="00353536">
              <w:rPr>
                <w:sz w:val="26"/>
                <w:szCs w:val="26"/>
              </w:rPr>
              <w:t>Unit</w:t>
            </w:r>
          </w:p>
        </w:tc>
        <w:tc>
          <w:tcPr>
            <w:tcW w:w="8118" w:type="dxa"/>
            <w:tcBorders>
              <w:bottom w:val="double" w:sz="4" w:space="0" w:color="auto"/>
            </w:tcBorders>
            <w:shd w:val="clear" w:color="auto" w:fill="auto"/>
          </w:tcPr>
          <w:p w14:paraId="374E4D0B" w14:textId="3D95FCB6" w:rsidR="004C09BF" w:rsidRPr="00353536" w:rsidRDefault="004645D1" w:rsidP="00F53FA1">
            <w:pPr>
              <w:spacing w:after="0" w:line="240" w:lineRule="auto"/>
              <w:rPr>
                <w:rFonts w:eastAsia="Times New Roman"/>
                <w:b/>
                <w:color w:val="000000"/>
                <w:szCs w:val="26"/>
              </w:rPr>
            </w:pPr>
            <w:r>
              <w:t>Division of Intercollegiate Athletics</w:t>
            </w:r>
          </w:p>
        </w:tc>
      </w:tr>
      <w:tr w:rsidR="004C09BF" w:rsidRPr="00353536" w14:paraId="3F4B2C5E" w14:textId="77777777" w:rsidTr="002837F0">
        <w:trPr>
          <w:trHeight w:val="150"/>
        </w:trPr>
        <w:tc>
          <w:tcPr>
            <w:tcW w:w="342" w:type="dxa"/>
            <w:tcBorders>
              <w:top w:val="double" w:sz="4" w:space="0" w:color="auto"/>
            </w:tcBorders>
          </w:tcPr>
          <w:p w14:paraId="3F1E81C6" w14:textId="6F07678A" w:rsidR="004C09BF" w:rsidRPr="00F53616" w:rsidRDefault="004C09BF" w:rsidP="00F53FA1">
            <w:pPr>
              <w:pStyle w:val="NoSpacing"/>
              <w:rPr>
                <w:sz w:val="26"/>
                <w:szCs w:val="26"/>
              </w:rPr>
            </w:pPr>
          </w:p>
        </w:tc>
        <w:tc>
          <w:tcPr>
            <w:tcW w:w="990" w:type="dxa"/>
            <w:tcBorders>
              <w:top w:val="double" w:sz="4" w:space="0" w:color="auto"/>
            </w:tcBorders>
            <w:shd w:val="clear" w:color="auto" w:fill="auto"/>
          </w:tcPr>
          <w:p w14:paraId="738EC3C7" w14:textId="77777777" w:rsidR="004C09BF" w:rsidRPr="00353536" w:rsidRDefault="004C09BF" w:rsidP="00F052D8">
            <w:pPr>
              <w:pStyle w:val="NoSpacing"/>
              <w:rPr>
                <w:sz w:val="26"/>
                <w:szCs w:val="26"/>
              </w:rPr>
            </w:pPr>
          </w:p>
          <w:p w14:paraId="10654CF8" w14:textId="46F9AA05" w:rsidR="004C09BF" w:rsidRPr="00F53616" w:rsidRDefault="004C09BF" w:rsidP="00F53FA1">
            <w:pPr>
              <w:pStyle w:val="NoSpacing"/>
              <w:rPr>
                <w:sz w:val="26"/>
                <w:szCs w:val="26"/>
              </w:rPr>
            </w:pPr>
            <w:r w:rsidRPr="00353536">
              <w:rPr>
                <w:sz w:val="26"/>
                <w:szCs w:val="26"/>
              </w:rPr>
              <w:t>Item</w:t>
            </w:r>
          </w:p>
        </w:tc>
        <w:tc>
          <w:tcPr>
            <w:tcW w:w="8118" w:type="dxa"/>
            <w:tcBorders>
              <w:top w:val="double" w:sz="4" w:space="0" w:color="auto"/>
            </w:tcBorders>
            <w:shd w:val="clear" w:color="auto" w:fill="auto"/>
          </w:tcPr>
          <w:p w14:paraId="56B10990" w14:textId="77777777" w:rsidR="004C09BF" w:rsidRDefault="004C09BF" w:rsidP="00F052D8">
            <w:pPr>
              <w:pStyle w:val="NoSpacing"/>
              <w:rPr>
                <w:sz w:val="26"/>
                <w:szCs w:val="26"/>
              </w:rPr>
            </w:pPr>
          </w:p>
          <w:p w14:paraId="194676E0" w14:textId="5DFB230B" w:rsidR="004C09BF" w:rsidRPr="00353536" w:rsidRDefault="004645D1" w:rsidP="00F53FA1">
            <w:pPr>
              <w:spacing w:after="0" w:line="240" w:lineRule="auto"/>
              <w:rPr>
                <w:rFonts w:eastAsia="Times New Roman"/>
                <w:b/>
                <w:color w:val="000000"/>
                <w:szCs w:val="26"/>
              </w:rPr>
            </w:pPr>
            <w:bookmarkStart w:id="2" w:name="_Hlk166593233"/>
            <w:r>
              <w:rPr>
                <w:szCs w:val="26"/>
              </w:rPr>
              <w:t xml:space="preserve">Renewal option for the purchase of nutritionally balanced meals, snacks, and beverages to </w:t>
            </w:r>
            <w:r w:rsidR="00280F0E">
              <w:rPr>
                <w:szCs w:val="26"/>
              </w:rPr>
              <w:t>student-athletes</w:t>
            </w:r>
            <w:r>
              <w:rPr>
                <w:szCs w:val="26"/>
              </w:rPr>
              <w:t xml:space="preserve"> at the Varsity Room in Memorial Stadium </w:t>
            </w:r>
            <w:r w:rsidR="00280F0E">
              <w:rPr>
                <w:szCs w:val="26"/>
              </w:rPr>
              <w:t>from</w:t>
            </w:r>
            <w:r>
              <w:rPr>
                <w:szCs w:val="26"/>
              </w:rPr>
              <w:t xml:space="preserve"> July 1, 2024, through June 30, 2027</w:t>
            </w:r>
            <w:bookmarkEnd w:id="2"/>
            <w:r w:rsidR="004C09BF">
              <w:rPr>
                <w:szCs w:val="26"/>
              </w:rPr>
              <w:t>.</w:t>
            </w:r>
          </w:p>
        </w:tc>
      </w:tr>
      <w:tr w:rsidR="004C09BF" w:rsidRPr="00353536" w14:paraId="76A52A10" w14:textId="77777777" w:rsidTr="002837F0">
        <w:trPr>
          <w:trHeight w:val="150"/>
        </w:trPr>
        <w:tc>
          <w:tcPr>
            <w:tcW w:w="342" w:type="dxa"/>
          </w:tcPr>
          <w:p w14:paraId="51730172" w14:textId="310A2649" w:rsidR="004C09BF" w:rsidRPr="00F53616" w:rsidRDefault="004C09BF" w:rsidP="00F53FA1">
            <w:pPr>
              <w:pStyle w:val="NoSpacing"/>
              <w:rPr>
                <w:sz w:val="26"/>
                <w:szCs w:val="26"/>
              </w:rPr>
            </w:pPr>
          </w:p>
        </w:tc>
        <w:tc>
          <w:tcPr>
            <w:tcW w:w="990" w:type="dxa"/>
            <w:shd w:val="clear" w:color="auto" w:fill="auto"/>
          </w:tcPr>
          <w:p w14:paraId="42E37A72" w14:textId="77777777" w:rsidR="004C09BF" w:rsidRPr="00353536" w:rsidRDefault="004C09BF" w:rsidP="00F052D8">
            <w:pPr>
              <w:pStyle w:val="NoSpacing"/>
              <w:rPr>
                <w:sz w:val="26"/>
                <w:szCs w:val="26"/>
              </w:rPr>
            </w:pPr>
          </w:p>
          <w:p w14:paraId="440B4E34" w14:textId="2BDD2CF3" w:rsidR="004C09BF" w:rsidRPr="00F53616" w:rsidRDefault="004C09BF" w:rsidP="00F53FA1">
            <w:pPr>
              <w:pStyle w:val="NoSpacing"/>
              <w:rPr>
                <w:sz w:val="26"/>
                <w:szCs w:val="26"/>
              </w:rPr>
            </w:pPr>
            <w:r w:rsidRPr="00353536">
              <w:rPr>
                <w:sz w:val="26"/>
                <w:szCs w:val="26"/>
              </w:rPr>
              <w:t>Cost</w:t>
            </w:r>
          </w:p>
        </w:tc>
        <w:tc>
          <w:tcPr>
            <w:tcW w:w="8118" w:type="dxa"/>
            <w:shd w:val="clear" w:color="auto" w:fill="auto"/>
          </w:tcPr>
          <w:p w14:paraId="57AEAD8A" w14:textId="77777777" w:rsidR="004C09BF" w:rsidRPr="009F0658" w:rsidRDefault="004C09BF" w:rsidP="00F052D8">
            <w:pPr>
              <w:pStyle w:val="NoSpacing"/>
              <w:rPr>
                <w:sz w:val="26"/>
                <w:szCs w:val="26"/>
              </w:rPr>
            </w:pPr>
          </w:p>
          <w:p w14:paraId="00C3E7ED" w14:textId="2FF02741" w:rsidR="004C09BF" w:rsidRPr="001B4A24" w:rsidRDefault="004645D1" w:rsidP="004645D1">
            <w:pPr>
              <w:tabs>
                <w:tab w:val="left" w:pos="-720"/>
                <w:tab w:val="left" w:pos="0"/>
                <w:tab w:val="left" w:pos="720"/>
                <w:tab w:val="left" w:pos="1080"/>
                <w:tab w:val="left" w:pos="1440"/>
              </w:tabs>
              <w:suppressAutoHyphens/>
              <w:jc w:val="both"/>
              <w:rPr>
                <w:szCs w:val="26"/>
              </w:rPr>
            </w:pPr>
            <w:r>
              <w:rPr>
                <w:szCs w:val="26"/>
              </w:rPr>
              <w:t xml:space="preserve">$6,300,000 (Estimated) </w:t>
            </w:r>
          </w:p>
        </w:tc>
      </w:tr>
      <w:tr w:rsidR="004C09BF" w:rsidRPr="00353536" w14:paraId="31CF6898" w14:textId="77777777" w:rsidTr="002837F0">
        <w:trPr>
          <w:trHeight w:val="150"/>
        </w:trPr>
        <w:tc>
          <w:tcPr>
            <w:tcW w:w="342" w:type="dxa"/>
          </w:tcPr>
          <w:p w14:paraId="32672933" w14:textId="3EF46B74" w:rsidR="004C09BF" w:rsidRPr="00F53616" w:rsidRDefault="004C09BF" w:rsidP="00F53FA1">
            <w:pPr>
              <w:pStyle w:val="NoSpacing"/>
              <w:rPr>
                <w:sz w:val="26"/>
                <w:szCs w:val="26"/>
              </w:rPr>
            </w:pPr>
          </w:p>
        </w:tc>
        <w:tc>
          <w:tcPr>
            <w:tcW w:w="990" w:type="dxa"/>
            <w:shd w:val="clear" w:color="auto" w:fill="auto"/>
          </w:tcPr>
          <w:p w14:paraId="3AA45668" w14:textId="2C0A4689" w:rsidR="004C09BF" w:rsidRPr="00F53616" w:rsidRDefault="004C09BF" w:rsidP="00F53FA1">
            <w:pPr>
              <w:pStyle w:val="NoSpacing"/>
              <w:rPr>
                <w:sz w:val="26"/>
                <w:szCs w:val="26"/>
              </w:rPr>
            </w:pPr>
            <w:r w:rsidRPr="00353536">
              <w:rPr>
                <w:sz w:val="26"/>
                <w:szCs w:val="26"/>
              </w:rPr>
              <w:t>Vendor</w:t>
            </w:r>
          </w:p>
        </w:tc>
        <w:tc>
          <w:tcPr>
            <w:tcW w:w="8118" w:type="dxa"/>
            <w:shd w:val="clear" w:color="auto" w:fill="auto"/>
          </w:tcPr>
          <w:p w14:paraId="4D939531" w14:textId="672B8469" w:rsidR="004C09BF" w:rsidRPr="004645D1" w:rsidRDefault="004645D1" w:rsidP="004645D1">
            <w:pPr>
              <w:pStyle w:val="NoSpacing"/>
              <w:rPr>
                <w:szCs w:val="26"/>
              </w:rPr>
            </w:pPr>
            <w:r w:rsidRPr="004645D1">
              <w:rPr>
                <w:sz w:val="26"/>
                <w:szCs w:val="26"/>
              </w:rPr>
              <w:t>Hendrick Dorms, Inc., dba Hendrick House &amp; Betsy’s Bistro</w:t>
            </w:r>
            <w:r w:rsidR="00FC0C09">
              <w:rPr>
                <w:sz w:val="26"/>
                <w:szCs w:val="26"/>
              </w:rPr>
              <w:t xml:space="preserve">   </w:t>
            </w:r>
            <w:r>
              <w:rPr>
                <w:sz w:val="26"/>
                <w:szCs w:val="26"/>
              </w:rPr>
              <w:t xml:space="preserve"> </w:t>
            </w:r>
            <w:r w:rsidRPr="004645D1">
              <w:rPr>
                <w:sz w:val="26"/>
                <w:szCs w:val="26"/>
              </w:rPr>
              <w:t>Urbana, IL</w:t>
            </w:r>
          </w:p>
        </w:tc>
      </w:tr>
      <w:tr w:rsidR="004C09BF" w:rsidRPr="00353536" w14:paraId="6F1A7577" w14:textId="77777777" w:rsidTr="002837F0">
        <w:trPr>
          <w:trHeight w:val="150"/>
        </w:trPr>
        <w:tc>
          <w:tcPr>
            <w:tcW w:w="342" w:type="dxa"/>
          </w:tcPr>
          <w:p w14:paraId="71B8BFB6" w14:textId="77777777" w:rsidR="004C09BF" w:rsidRPr="00F53616" w:rsidRDefault="004C09BF" w:rsidP="00F53FA1">
            <w:pPr>
              <w:pStyle w:val="NoSpacing"/>
              <w:rPr>
                <w:sz w:val="26"/>
                <w:szCs w:val="26"/>
              </w:rPr>
            </w:pPr>
          </w:p>
        </w:tc>
        <w:tc>
          <w:tcPr>
            <w:tcW w:w="990" w:type="dxa"/>
            <w:shd w:val="clear" w:color="auto" w:fill="auto"/>
          </w:tcPr>
          <w:p w14:paraId="579F8E45" w14:textId="4E218894" w:rsidR="004C09BF" w:rsidRPr="00F53616" w:rsidRDefault="004C09BF" w:rsidP="00F53FA1">
            <w:pPr>
              <w:pStyle w:val="NoSpacing"/>
              <w:rPr>
                <w:sz w:val="26"/>
                <w:szCs w:val="26"/>
              </w:rPr>
            </w:pPr>
          </w:p>
        </w:tc>
        <w:tc>
          <w:tcPr>
            <w:tcW w:w="8118" w:type="dxa"/>
            <w:shd w:val="clear" w:color="auto" w:fill="auto"/>
          </w:tcPr>
          <w:p w14:paraId="0F3C8BDA" w14:textId="77777777" w:rsidR="002837F0" w:rsidRDefault="002837F0" w:rsidP="004645D1">
            <w:pPr>
              <w:spacing w:after="0" w:line="240" w:lineRule="auto"/>
              <w:rPr>
                <w:rFonts w:eastAsia="Times New Roman"/>
                <w:szCs w:val="26"/>
              </w:rPr>
            </w:pPr>
            <w:bookmarkStart w:id="3" w:name="_Hlk166593318"/>
          </w:p>
          <w:p w14:paraId="27A342A2" w14:textId="53D511BD" w:rsidR="004645D1" w:rsidRPr="004645D1" w:rsidRDefault="004645D1" w:rsidP="004645D1">
            <w:pPr>
              <w:spacing w:after="0" w:line="240" w:lineRule="auto"/>
              <w:rPr>
                <w:rFonts w:eastAsia="Times New Roman"/>
                <w:szCs w:val="26"/>
              </w:rPr>
            </w:pPr>
            <w:r w:rsidRPr="004645D1">
              <w:rPr>
                <w:rFonts w:eastAsia="Times New Roman"/>
                <w:szCs w:val="26"/>
              </w:rPr>
              <w:t xml:space="preserve">This will exercise all three renewal options with the original purchase </w:t>
            </w:r>
            <w:bookmarkEnd w:id="3"/>
            <w:r w:rsidRPr="004645D1">
              <w:rPr>
                <w:rFonts w:eastAsia="Times New Roman"/>
                <w:szCs w:val="26"/>
              </w:rPr>
              <w:t xml:space="preserve">approved by the Board of Trustees </w:t>
            </w:r>
            <w:bookmarkStart w:id="4" w:name="_Hlk166593709"/>
            <w:r w:rsidRPr="004645D1">
              <w:rPr>
                <w:rFonts w:eastAsia="Times New Roman"/>
                <w:szCs w:val="26"/>
              </w:rPr>
              <w:t xml:space="preserve">on July 22, 2021, for an estimated $5,300,000 </w:t>
            </w:r>
            <w:r w:rsidR="00280F0E">
              <w:rPr>
                <w:rFonts w:eastAsia="Times New Roman"/>
                <w:szCs w:val="26"/>
              </w:rPr>
              <w:t>from</w:t>
            </w:r>
            <w:r w:rsidRPr="004645D1">
              <w:rPr>
                <w:rFonts w:eastAsia="Times New Roman"/>
                <w:szCs w:val="26"/>
              </w:rPr>
              <w:t xml:space="preserve"> August 1, 2021 through June 30, 2024</w:t>
            </w:r>
            <w:bookmarkEnd w:id="4"/>
            <w:r w:rsidRPr="004645D1">
              <w:rPr>
                <w:rFonts w:eastAsia="Times New Roman"/>
                <w:szCs w:val="26"/>
              </w:rPr>
              <w:t>.</w:t>
            </w:r>
            <w:r w:rsidR="00FC0C09">
              <w:rPr>
                <w:rFonts w:eastAsia="Times New Roman"/>
                <w:szCs w:val="26"/>
              </w:rPr>
              <w:t xml:space="preserve"> </w:t>
            </w:r>
            <w:r w:rsidRPr="004645D1">
              <w:rPr>
                <w:rFonts w:eastAsia="Times New Roman"/>
                <w:szCs w:val="26"/>
              </w:rPr>
              <w:t>This purchase is exempt from the usual selection process of the procurement code because the procurement expenditure is for events or activities paid for exclusively by revenues generated by the event or activity, gifts or donations for the event or activity, private grants, or any combination thereof, per 30 ILCS 500 / 1-13(b)(2).</w:t>
            </w:r>
          </w:p>
          <w:p w14:paraId="3D401226" w14:textId="77777777" w:rsidR="004645D1" w:rsidRPr="004645D1" w:rsidRDefault="004645D1" w:rsidP="004645D1">
            <w:pPr>
              <w:spacing w:after="0" w:line="240" w:lineRule="auto"/>
              <w:rPr>
                <w:rFonts w:eastAsia="Times New Roman"/>
                <w:szCs w:val="26"/>
              </w:rPr>
            </w:pPr>
          </w:p>
          <w:p w14:paraId="5E0518B7" w14:textId="668DDCFC" w:rsidR="004645D1" w:rsidRPr="004645D1" w:rsidRDefault="004645D1" w:rsidP="004645D1">
            <w:pPr>
              <w:spacing w:after="0" w:line="240" w:lineRule="auto"/>
              <w:rPr>
                <w:rFonts w:eastAsia="Times New Roman"/>
                <w:szCs w:val="26"/>
              </w:rPr>
            </w:pPr>
            <w:r w:rsidRPr="004645D1">
              <w:rPr>
                <w:rFonts w:eastAsia="Times New Roman"/>
                <w:szCs w:val="26"/>
              </w:rPr>
              <w:t xml:space="preserve">The NCAA restrictions on providing meals to </w:t>
            </w:r>
            <w:r w:rsidR="00280F0E">
              <w:rPr>
                <w:rFonts w:eastAsia="Times New Roman"/>
                <w:szCs w:val="26"/>
              </w:rPr>
              <w:t>student-athletes</w:t>
            </w:r>
            <w:r w:rsidRPr="004645D1">
              <w:rPr>
                <w:rFonts w:eastAsia="Times New Roman"/>
                <w:szCs w:val="26"/>
              </w:rPr>
              <w:t xml:space="preserve"> were lifted in August 2014</w:t>
            </w:r>
            <w:r w:rsidR="00280F0E">
              <w:rPr>
                <w:rFonts w:eastAsia="Times New Roman"/>
                <w:szCs w:val="26"/>
              </w:rPr>
              <w:t xml:space="preserve">, allowing the University to provide unlimited meals and snacks in conjunction with student athletics participation. </w:t>
            </w:r>
            <w:r w:rsidRPr="004645D1">
              <w:rPr>
                <w:rFonts w:eastAsia="Times New Roman"/>
                <w:szCs w:val="26"/>
              </w:rPr>
              <w:t xml:space="preserve">The rule, which applies to walk-ons </w:t>
            </w:r>
            <w:r w:rsidR="00280F0E">
              <w:rPr>
                <w:rFonts w:eastAsia="Times New Roman"/>
                <w:szCs w:val="26"/>
              </w:rPr>
              <w:t>and</w:t>
            </w:r>
            <w:r w:rsidRPr="004645D1">
              <w:rPr>
                <w:rFonts w:eastAsia="Times New Roman"/>
                <w:szCs w:val="26"/>
              </w:rPr>
              <w:t xml:space="preserve"> scholarship student-athletes, is an effort to meet the nutritional needs of all </w:t>
            </w:r>
            <w:r w:rsidR="00280F0E">
              <w:rPr>
                <w:rFonts w:eastAsia="Times New Roman"/>
                <w:szCs w:val="26"/>
              </w:rPr>
              <w:t>student-athletes</w:t>
            </w:r>
            <w:r w:rsidRPr="004645D1">
              <w:rPr>
                <w:rFonts w:eastAsia="Times New Roman"/>
                <w:szCs w:val="26"/>
              </w:rPr>
              <w:t>.</w:t>
            </w:r>
            <w:r w:rsidR="00FC0C09">
              <w:rPr>
                <w:rFonts w:eastAsia="Times New Roman"/>
                <w:szCs w:val="26"/>
              </w:rPr>
              <w:t xml:space="preserve"> </w:t>
            </w:r>
          </w:p>
          <w:p w14:paraId="04920751" w14:textId="77777777" w:rsidR="004645D1" w:rsidRPr="004645D1" w:rsidRDefault="004645D1" w:rsidP="004645D1">
            <w:pPr>
              <w:spacing w:after="0" w:line="240" w:lineRule="auto"/>
              <w:rPr>
                <w:rFonts w:eastAsia="Times New Roman"/>
                <w:szCs w:val="26"/>
              </w:rPr>
            </w:pPr>
          </w:p>
          <w:p w14:paraId="712F51F0" w14:textId="69C79104" w:rsidR="004645D1" w:rsidRPr="004645D1" w:rsidRDefault="004645D1" w:rsidP="004645D1">
            <w:pPr>
              <w:spacing w:after="0" w:line="240" w:lineRule="auto"/>
              <w:rPr>
                <w:rFonts w:eastAsia="Times New Roman"/>
                <w:szCs w:val="26"/>
              </w:rPr>
            </w:pPr>
            <w:bookmarkStart w:id="5" w:name="_Hlk126671218"/>
            <w:r w:rsidRPr="004645D1">
              <w:rPr>
                <w:rFonts w:eastAsia="Times New Roman"/>
                <w:szCs w:val="26"/>
              </w:rPr>
              <w:lastRenderedPageBreak/>
              <w:t>The vendor has demonstrated satisfactory performance in fulfilling the terms and conditions of their contract.</w:t>
            </w:r>
            <w:r w:rsidR="00FC0C09">
              <w:rPr>
                <w:rFonts w:eastAsia="Times New Roman"/>
                <w:szCs w:val="26"/>
              </w:rPr>
              <w:t xml:space="preserve"> </w:t>
            </w:r>
            <w:bookmarkEnd w:id="5"/>
          </w:p>
          <w:p w14:paraId="1F21CF4D" w14:textId="7CD8E3AC" w:rsidR="004C09BF" w:rsidRPr="001B4A24" w:rsidRDefault="004C09BF" w:rsidP="001B4A24">
            <w:pPr>
              <w:spacing w:after="0" w:line="240" w:lineRule="auto"/>
              <w:ind w:left="30"/>
              <w:rPr>
                <w:szCs w:val="26"/>
              </w:rPr>
            </w:pPr>
          </w:p>
        </w:tc>
      </w:tr>
      <w:tr w:rsidR="004C09BF" w:rsidRPr="00353536" w14:paraId="6B2BEDBF" w14:textId="77777777" w:rsidTr="002837F0">
        <w:trPr>
          <w:trHeight w:val="333"/>
        </w:trPr>
        <w:tc>
          <w:tcPr>
            <w:tcW w:w="342" w:type="dxa"/>
          </w:tcPr>
          <w:p w14:paraId="2E72356C" w14:textId="77777777" w:rsidR="004C09BF" w:rsidRDefault="004C09BF" w:rsidP="00F052D8">
            <w:pPr>
              <w:pStyle w:val="NoSpacing"/>
              <w:jc w:val="both"/>
              <w:rPr>
                <w:sz w:val="26"/>
                <w:szCs w:val="26"/>
              </w:rPr>
            </w:pPr>
          </w:p>
        </w:tc>
        <w:tc>
          <w:tcPr>
            <w:tcW w:w="990" w:type="dxa"/>
            <w:shd w:val="clear" w:color="auto" w:fill="auto"/>
          </w:tcPr>
          <w:p w14:paraId="6E7830BF" w14:textId="0CC17E25" w:rsidR="004C09BF" w:rsidRPr="00353536" w:rsidRDefault="004C09BF" w:rsidP="00F052D8">
            <w:pPr>
              <w:pStyle w:val="NoSpacing"/>
              <w:jc w:val="both"/>
              <w:rPr>
                <w:sz w:val="26"/>
                <w:szCs w:val="26"/>
              </w:rPr>
            </w:pPr>
          </w:p>
        </w:tc>
        <w:tc>
          <w:tcPr>
            <w:tcW w:w="8118" w:type="dxa"/>
            <w:shd w:val="clear" w:color="auto" w:fill="auto"/>
          </w:tcPr>
          <w:p w14:paraId="13F2F84A" w14:textId="2921B483" w:rsidR="004C09BF" w:rsidRDefault="004C09BF" w:rsidP="00F052D8">
            <w:pPr>
              <w:spacing w:after="0"/>
              <w:jc w:val="both"/>
              <w:rPr>
                <w:szCs w:val="26"/>
              </w:rPr>
            </w:pP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8856C6">
        <w:trPr>
          <w:trHeight w:val="567"/>
        </w:trPr>
        <w:tc>
          <w:tcPr>
            <w:tcW w:w="342" w:type="dxa"/>
          </w:tcPr>
          <w:p w14:paraId="2FED4914" w14:textId="77777777" w:rsidR="00881246" w:rsidRPr="00353536" w:rsidRDefault="00881246" w:rsidP="005274CF">
            <w:pPr>
              <w:pStyle w:val="NoSpacing"/>
              <w:jc w:val="both"/>
              <w:rPr>
                <w:sz w:val="26"/>
                <w:szCs w:val="26"/>
              </w:rPr>
            </w:pPr>
          </w:p>
        </w:tc>
        <w:tc>
          <w:tcPr>
            <w:tcW w:w="990" w:type="dxa"/>
          </w:tcPr>
          <w:p w14:paraId="3D1945D4" w14:textId="77777777" w:rsidR="00881246" w:rsidRPr="00353536" w:rsidRDefault="00881246" w:rsidP="005274CF">
            <w:pPr>
              <w:pStyle w:val="NoSpacing"/>
              <w:jc w:val="both"/>
              <w:rPr>
                <w:sz w:val="26"/>
                <w:szCs w:val="26"/>
              </w:rPr>
            </w:pPr>
          </w:p>
        </w:tc>
        <w:tc>
          <w:tcPr>
            <w:tcW w:w="8118" w:type="dxa"/>
          </w:tcPr>
          <w:p w14:paraId="35405A80" w14:textId="2ED6269A" w:rsidR="00881246" w:rsidRPr="0035353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szCs w:val="26"/>
              </w:rPr>
            </w:pPr>
            <w:r w:rsidRPr="00353536">
              <w:rPr>
                <w:rFonts w:eastAsia="Times New Roman"/>
                <w:b/>
                <w:color w:val="000000"/>
                <w:szCs w:val="26"/>
              </w:rPr>
              <w:tab/>
            </w:r>
            <w:r w:rsidR="00FC0C09">
              <w:rPr>
                <w:rFonts w:eastAsia="Times New Roman"/>
                <w:b/>
                <w:color w:val="000000"/>
                <w:szCs w:val="26"/>
              </w:rPr>
              <w:t xml:space="preserve">        </w:t>
            </w:r>
            <w:r w:rsidR="00D6273A">
              <w:rPr>
                <w:rFonts w:eastAsia="Times New Roman"/>
                <w:b/>
                <w:color w:val="000000"/>
                <w:szCs w:val="26"/>
              </w:rPr>
              <w:t xml:space="preserve"> </w:t>
            </w:r>
            <w:r w:rsidRPr="00353536">
              <w:rPr>
                <w:rFonts w:eastAsia="Times New Roman"/>
                <w:b/>
                <w:color w:val="000000"/>
                <w:szCs w:val="26"/>
              </w:rPr>
              <w:t xml:space="preserve">CHANGE ORDER </w:t>
            </w:r>
            <w:r w:rsidR="00881246" w:rsidRPr="00353536">
              <w:rPr>
                <w:rFonts w:eastAsia="Times New Roman"/>
                <w:b/>
                <w:color w:val="000000"/>
                <w:szCs w:val="26"/>
              </w:rPr>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0FBF12DE"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 xml:space="preserve">University of Illinois </w:t>
            </w:r>
            <w:r w:rsidR="002F2D48">
              <w:rPr>
                <w:rFonts w:eastAsia="Times New Roman"/>
                <w:b/>
                <w:szCs w:val="26"/>
              </w:rPr>
              <w:t>Urbana-Champaign</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6377E" w:rsidRPr="00353536" w14:paraId="3BB2299D" w14:textId="77777777" w:rsidTr="00391CD1">
        <w:trPr>
          <w:trHeight w:val="120"/>
        </w:trPr>
        <w:tc>
          <w:tcPr>
            <w:tcW w:w="450" w:type="dxa"/>
            <w:tcBorders>
              <w:bottom w:val="double" w:sz="4" w:space="0" w:color="auto"/>
            </w:tcBorders>
          </w:tcPr>
          <w:p w14:paraId="1F8AFA6C" w14:textId="2B8FF885" w:rsidR="00F6377E" w:rsidRPr="00353536" w:rsidRDefault="00595029" w:rsidP="00F6377E">
            <w:pPr>
              <w:pStyle w:val="NoSpacing"/>
              <w:rPr>
                <w:sz w:val="26"/>
                <w:szCs w:val="26"/>
              </w:rPr>
            </w:pPr>
            <w:r>
              <w:rPr>
                <w:sz w:val="26"/>
                <w:szCs w:val="26"/>
              </w:rPr>
              <w:t>4</w:t>
            </w:r>
          </w:p>
        </w:tc>
        <w:tc>
          <w:tcPr>
            <w:tcW w:w="990" w:type="dxa"/>
            <w:tcBorders>
              <w:bottom w:val="double" w:sz="4" w:space="0" w:color="auto"/>
            </w:tcBorders>
          </w:tcPr>
          <w:p w14:paraId="31B5CEDC" w14:textId="77777777" w:rsidR="00F6377E" w:rsidRPr="00353536" w:rsidRDefault="00F6377E" w:rsidP="00F6377E">
            <w:pPr>
              <w:pStyle w:val="NoSpacing"/>
              <w:rPr>
                <w:sz w:val="26"/>
                <w:szCs w:val="26"/>
              </w:rPr>
            </w:pPr>
            <w:r w:rsidRPr="00353536">
              <w:rPr>
                <w:sz w:val="26"/>
                <w:szCs w:val="26"/>
              </w:rPr>
              <w:t>Unit</w:t>
            </w:r>
          </w:p>
        </w:tc>
        <w:tc>
          <w:tcPr>
            <w:tcW w:w="7920" w:type="dxa"/>
            <w:tcBorders>
              <w:bottom w:val="double" w:sz="4" w:space="0" w:color="auto"/>
            </w:tcBorders>
          </w:tcPr>
          <w:p w14:paraId="26CDAEA8" w14:textId="17CC1388" w:rsidR="00F6377E" w:rsidRPr="00353536" w:rsidRDefault="002F2D48" w:rsidP="00F6377E">
            <w:pPr>
              <w:pStyle w:val="NoSpacing"/>
              <w:rPr>
                <w:sz w:val="26"/>
                <w:szCs w:val="26"/>
              </w:rPr>
            </w:pPr>
            <w:r>
              <w:rPr>
                <w:sz w:val="26"/>
                <w:szCs w:val="26"/>
              </w:rPr>
              <w:t>Division of Intercollegiate Athletics</w:t>
            </w:r>
            <w:r w:rsidR="002837F0">
              <w:rPr>
                <w:sz w:val="26"/>
                <w:szCs w:val="26"/>
              </w:rPr>
              <w:t xml:space="preserve"> (DIA)</w:t>
            </w:r>
          </w:p>
        </w:tc>
      </w:tr>
      <w:tr w:rsidR="00F6377E" w:rsidRPr="00353536" w14:paraId="55FAE87F" w14:textId="77777777" w:rsidTr="00391CD1">
        <w:trPr>
          <w:trHeight w:val="648"/>
        </w:trPr>
        <w:tc>
          <w:tcPr>
            <w:tcW w:w="450" w:type="dxa"/>
            <w:tcBorders>
              <w:top w:val="double" w:sz="4" w:space="0" w:color="auto"/>
            </w:tcBorders>
          </w:tcPr>
          <w:p w14:paraId="3CF349EC" w14:textId="77777777" w:rsidR="00F6377E" w:rsidRPr="00353536" w:rsidRDefault="00F6377E" w:rsidP="00F6377E">
            <w:pPr>
              <w:pStyle w:val="NoSpacing"/>
              <w:rPr>
                <w:sz w:val="26"/>
                <w:szCs w:val="26"/>
              </w:rPr>
            </w:pPr>
          </w:p>
        </w:tc>
        <w:tc>
          <w:tcPr>
            <w:tcW w:w="990" w:type="dxa"/>
            <w:tcBorders>
              <w:top w:val="double" w:sz="4" w:space="0" w:color="auto"/>
            </w:tcBorders>
          </w:tcPr>
          <w:p w14:paraId="5C67AD10" w14:textId="77777777" w:rsidR="00F6377E" w:rsidRPr="00353536" w:rsidRDefault="00F6377E" w:rsidP="00F6377E">
            <w:pPr>
              <w:pStyle w:val="NoSpacing"/>
              <w:rPr>
                <w:sz w:val="26"/>
                <w:szCs w:val="26"/>
              </w:rPr>
            </w:pPr>
          </w:p>
          <w:p w14:paraId="10671FD9" w14:textId="77777777" w:rsidR="00F6377E" w:rsidRPr="00353536" w:rsidRDefault="00F6377E" w:rsidP="00F6377E">
            <w:pPr>
              <w:pStyle w:val="NoSpacing"/>
              <w:rPr>
                <w:sz w:val="26"/>
                <w:szCs w:val="26"/>
              </w:rPr>
            </w:pPr>
            <w:r w:rsidRPr="00353536">
              <w:rPr>
                <w:sz w:val="26"/>
                <w:szCs w:val="26"/>
              </w:rPr>
              <w:t>Item</w:t>
            </w:r>
          </w:p>
        </w:tc>
        <w:tc>
          <w:tcPr>
            <w:tcW w:w="7920" w:type="dxa"/>
            <w:tcBorders>
              <w:top w:val="double" w:sz="4" w:space="0" w:color="auto"/>
            </w:tcBorders>
            <w:vAlign w:val="center"/>
          </w:tcPr>
          <w:p w14:paraId="7AE818BC" w14:textId="77777777" w:rsidR="002F2D48" w:rsidRDefault="002F2D48" w:rsidP="00F6377E">
            <w:pPr>
              <w:pStyle w:val="NoSpacing"/>
              <w:rPr>
                <w:sz w:val="26"/>
                <w:szCs w:val="26"/>
              </w:rPr>
            </w:pPr>
          </w:p>
          <w:p w14:paraId="5F3D83EC" w14:textId="0FBC150E" w:rsidR="00F6377E" w:rsidRPr="005E6979" w:rsidRDefault="002837F0" w:rsidP="00F6377E">
            <w:pPr>
              <w:pStyle w:val="NoSpacing"/>
              <w:rPr>
                <w:sz w:val="26"/>
                <w:szCs w:val="26"/>
              </w:rPr>
            </w:pPr>
            <w:r>
              <w:rPr>
                <w:sz w:val="26"/>
                <w:szCs w:val="26"/>
              </w:rPr>
              <w:t>Internal Travel Agency</w:t>
            </w:r>
          </w:p>
        </w:tc>
      </w:tr>
      <w:tr w:rsidR="00F6377E" w:rsidRPr="00353536" w14:paraId="29935A0B" w14:textId="77777777" w:rsidTr="00BD5FE0">
        <w:trPr>
          <w:trHeight w:val="315"/>
        </w:trPr>
        <w:tc>
          <w:tcPr>
            <w:tcW w:w="450" w:type="dxa"/>
          </w:tcPr>
          <w:p w14:paraId="15B64255" w14:textId="77777777" w:rsidR="00F6377E" w:rsidRPr="00353536" w:rsidRDefault="00F6377E" w:rsidP="00F6377E">
            <w:pPr>
              <w:pStyle w:val="NoSpacing"/>
              <w:rPr>
                <w:sz w:val="26"/>
                <w:szCs w:val="26"/>
              </w:rPr>
            </w:pPr>
          </w:p>
        </w:tc>
        <w:tc>
          <w:tcPr>
            <w:tcW w:w="990" w:type="dxa"/>
          </w:tcPr>
          <w:p w14:paraId="0C1B6377" w14:textId="77777777" w:rsidR="00F6377E" w:rsidRPr="00353536" w:rsidRDefault="00F6377E" w:rsidP="00F6377E">
            <w:pPr>
              <w:pStyle w:val="NoSpacing"/>
              <w:rPr>
                <w:sz w:val="26"/>
                <w:szCs w:val="26"/>
              </w:rPr>
            </w:pPr>
          </w:p>
          <w:p w14:paraId="11C382A2" w14:textId="77777777" w:rsidR="00F6377E" w:rsidRPr="00353536" w:rsidRDefault="00F6377E" w:rsidP="00F6377E">
            <w:pPr>
              <w:pStyle w:val="NoSpacing"/>
              <w:rPr>
                <w:sz w:val="26"/>
                <w:szCs w:val="26"/>
              </w:rPr>
            </w:pPr>
            <w:r w:rsidRPr="00353536">
              <w:rPr>
                <w:sz w:val="26"/>
                <w:szCs w:val="26"/>
              </w:rPr>
              <w:t>Cost</w:t>
            </w:r>
          </w:p>
        </w:tc>
        <w:tc>
          <w:tcPr>
            <w:tcW w:w="7920" w:type="dxa"/>
          </w:tcPr>
          <w:p w14:paraId="6526F004" w14:textId="77777777" w:rsidR="001B4A24" w:rsidRPr="001B4A24" w:rsidRDefault="001B4A24" w:rsidP="001B4A24">
            <w:pPr>
              <w:pStyle w:val="NoSpacing"/>
              <w:rPr>
                <w:sz w:val="26"/>
                <w:szCs w:val="26"/>
              </w:rPr>
            </w:pPr>
          </w:p>
          <w:p w14:paraId="2A238837" w14:textId="75BF8421" w:rsidR="001B4A24" w:rsidRDefault="001B4A24" w:rsidP="001B4A24">
            <w:pPr>
              <w:pStyle w:val="NoSpacing"/>
              <w:rPr>
                <w:sz w:val="26"/>
                <w:szCs w:val="26"/>
              </w:rPr>
            </w:pPr>
            <w:r>
              <w:rPr>
                <w:sz w:val="26"/>
                <w:szCs w:val="26"/>
              </w:rPr>
              <w:t>$1</w:t>
            </w:r>
            <w:r w:rsidR="002837F0">
              <w:rPr>
                <w:sz w:val="26"/>
                <w:szCs w:val="26"/>
              </w:rPr>
              <w:t>1</w:t>
            </w:r>
            <w:r>
              <w:rPr>
                <w:sz w:val="26"/>
                <w:szCs w:val="26"/>
              </w:rPr>
              <w:t>,0</w:t>
            </w:r>
            <w:r w:rsidR="002837F0">
              <w:rPr>
                <w:sz w:val="26"/>
                <w:szCs w:val="26"/>
              </w:rPr>
              <w:t>0</w:t>
            </w:r>
            <w:r>
              <w:rPr>
                <w:sz w:val="26"/>
                <w:szCs w:val="26"/>
              </w:rPr>
              <w:t xml:space="preserve">0,000 (Estimated) </w:t>
            </w:r>
          </w:p>
          <w:p w14:paraId="302D6479" w14:textId="77777777" w:rsidR="001B4A24" w:rsidRDefault="001B4A24" w:rsidP="001B4A24">
            <w:pPr>
              <w:pStyle w:val="NoSpacing"/>
              <w:rPr>
                <w:sz w:val="26"/>
                <w:szCs w:val="26"/>
              </w:rPr>
            </w:pPr>
          </w:p>
          <w:tbl>
            <w:tblPr>
              <w:tblpPr w:leftFromText="180" w:rightFromText="180" w:vertAnchor="text" w:horzAnchor="margin" w:tblpY="-48"/>
              <w:tblOverlap w:val="never"/>
              <w:tblW w:w="6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710"/>
              <w:gridCol w:w="1620"/>
              <w:gridCol w:w="1620"/>
            </w:tblGrid>
            <w:tr w:rsidR="002837F0" w:rsidRPr="00100B68" w14:paraId="2BB3E896" w14:textId="77777777" w:rsidTr="00115238">
              <w:tc>
                <w:tcPr>
                  <w:tcW w:w="1885" w:type="dxa"/>
                </w:tcPr>
                <w:p w14:paraId="3B4FE489" w14:textId="77777777" w:rsidR="002837F0" w:rsidRPr="00100B68" w:rsidRDefault="002837F0" w:rsidP="002837F0">
                  <w:pPr>
                    <w:pStyle w:val="NoSpacing"/>
                    <w:jc w:val="center"/>
                    <w:rPr>
                      <w:b/>
                    </w:rPr>
                  </w:pPr>
                  <w:r>
                    <w:rPr>
                      <w:b/>
                    </w:rPr>
                    <w:t>Contract Term</w:t>
                  </w:r>
                </w:p>
              </w:tc>
              <w:tc>
                <w:tcPr>
                  <w:tcW w:w="1710" w:type="dxa"/>
                </w:tcPr>
                <w:p w14:paraId="02FF30D1" w14:textId="77777777" w:rsidR="002837F0" w:rsidRPr="00FB219D" w:rsidRDefault="002837F0" w:rsidP="002837F0">
                  <w:pPr>
                    <w:pStyle w:val="NoSpacing"/>
                    <w:jc w:val="center"/>
                    <w:rPr>
                      <w:b/>
                    </w:rPr>
                  </w:pPr>
                  <w:r w:rsidRPr="00FB219D">
                    <w:rPr>
                      <w:b/>
                    </w:rPr>
                    <w:t>Original Amount</w:t>
                  </w:r>
                </w:p>
                <w:p w14:paraId="13007BA0" w14:textId="77777777" w:rsidR="002837F0" w:rsidRPr="00100B68" w:rsidRDefault="002837F0" w:rsidP="002837F0">
                  <w:pPr>
                    <w:pStyle w:val="NoSpacing"/>
                    <w:jc w:val="center"/>
                    <w:rPr>
                      <w:b/>
                    </w:rPr>
                  </w:pPr>
                  <w:r w:rsidRPr="00FB219D">
                    <w:rPr>
                      <w:b/>
                    </w:rPr>
                    <w:t>(est.)</w:t>
                  </w:r>
                </w:p>
              </w:tc>
              <w:tc>
                <w:tcPr>
                  <w:tcW w:w="1620" w:type="dxa"/>
                </w:tcPr>
                <w:p w14:paraId="1493575C" w14:textId="77777777" w:rsidR="002837F0" w:rsidRPr="00FB219D" w:rsidRDefault="002837F0" w:rsidP="002837F0">
                  <w:pPr>
                    <w:pStyle w:val="NoSpacing"/>
                    <w:jc w:val="center"/>
                    <w:rPr>
                      <w:b/>
                    </w:rPr>
                  </w:pPr>
                  <w:r w:rsidRPr="00FB219D">
                    <w:rPr>
                      <w:b/>
                    </w:rPr>
                    <w:t>Change Order</w:t>
                  </w:r>
                </w:p>
                <w:p w14:paraId="738B31AC" w14:textId="77777777" w:rsidR="002837F0" w:rsidRPr="00100B68" w:rsidRDefault="002837F0" w:rsidP="002837F0">
                  <w:pPr>
                    <w:pStyle w:val="NoSpacing"/>
                    <w:jc w:val="center"/>
                    <w:rPr>
                      <w:b/>
                    </w:rPr>
                  </w:pPr>
                  <w:r w:rsidRPr="00FB219D">
                    <w:rPr>
                      <w:b/>
                    </w:rPr>
                    <w:t>(est.)</w:t>
                  </w:r>
                </w:p>
              </w:tc>
              <w:tc>
                <w:tcPr>
                  <w:tcW w:w="1620" w:type="dxa"/>
                </w:tcPr>
                <w:p w14:paraId="3DFD77BD" w14:textId="77777777" w:rsidR="002837F0" w:rsidRPr="00FB219D" w:rsidRDefault="002837F0" w:rsidP="002837F0">
                  <w:pPr>
                    <w:pStyle w:val="NoSpacing"/>
                    <w:jc w:val="center"/>
                    <w:rPr>
                      <w:b/>
                    </w:rPr>
                  </w:pPr>
                  <w:r w:rsidRPr="00FB219D">
                    <w:rPr>
                      <w:b/>
                    </w:rPr>
                    <w:t>New Total</w:t>
                  </w:r>
                </w:p>
                <w:p w14:paraId="3FE76900" w14:textId="77777777" w:rsidR="002837F0" w:rsidRPr="00100B68" w:rsidRDefault="002837F0" w:rsidP="002837F0">
                  <w:pPr>
                    <w:pStyle w:val="NoSpacing"/>
                    <w:jc w:val="center"/>
                    <w:rPr>
                      <w:b/>
                    </w:rPr>
                  </w:pPr>
                  <w:r w:rsidRPr="00FB219D">
                    <w:rPr>
                      <w:b/>
                    </w:rPr>
                    <w:t>(est.)</w:t>
                  </w:r>
                </w:p>
              </w:tc>
            </w:tr>
            <w:tr w:rsidR="002837F0" w:rsidRPr="00100B68" w14:paraId="50A606B4" w14:textId="77777777" w:rsidTr="00115238">
              <w:tc>
                <w:tcPr>
                  <w:tcW w:w="1885" w:type="dxa"/>
                </w:tcPr>
                <w:p w14:paraId="2FEE9630" w14:textId="77777777" w:rsidR="002837F0" w:rsidRPr="00100B68" w:rsidRDefault="002837F0" w:rsidP="002837F0">
                  <w:pPr>
                    <w:pStyle w:val="NoSpacing"/>
                    <w:jc w:val="center"/>
                  </w:pPr>
                  <w:r>
                    <w:t>8/11/20 – 8/10/25</w:t>
                  </w:r>
                </w:p>
              </w:tc>
              <w:tc>
                <w:tcPr>
                  <w:tcW w:w="1710" w:type="dxa"/>
                </w:tcPr>
                <w:p w14:paraId="6F048527" w14:textId="77777777" w:rsidR="002837F0" w:rsidRPr="00100B68" w:rsidRDefault="002837F0" w:rsidP="002837F0">
                  <w:pPr>
                    <w:pStyle w:val="NoSpacing"/>
                    <w:jc w:val="center"/>
                  </w:pPr>
                  <w:r>
                    <w:t>$26,387,180.56</w:t>
                  </w:r>
                </w:p>
              </w:tc>
              <w:tc>
                <w:tcPr>
                  <w:tcW w:w="1620" w:type="dxa"/>
                </w:tcPr>
                <w:p w14:paraId="1B752195" w14:textId="77777777" w:rsidR="002837F0" w:rsidRPr="00100B68" w:rsidRDefault="002837F0" w:rsidP="002837F0">
                  <w:pPr>
                    <w:pStyle w:val="NoSpacing"/>
                    <w:jc w:val="center"/>
                  </w:pPr>
                  <w:r>
                    <w:t>$11,000,000</w:t>
                  </w:r>
                </w:p>
              </w:tc>
              <w:tc>
                <w:tcPr>
                  <w:tcW w:w="1620" w:type="dxa"/>
                </w:tcPr>
                <w:p w14:paraId="779600B5" w14:textId="77777777" w:rsidR="002837F0" w:rsidRPr="00100B68" w:rsidRDefault="002837F0" w:rsidP="002837F0">
                  <w:pPr>
                    <w:pStyle w:val="NoSpacing"/>
                    <w:jc w:val="center"/>
                  </w:pPr>
                  <w:r>
                    <w:t>$37,387,180.56</w:t>
                  </w:r>
                </w:p>
              </w:tc>
            </w:tr>
          </w:tbl>
          <w:p w14:paraId="6DB93EE5" w14:textId="77777777" w:rsidR="001B4A24" w:rsidRDefault="001B4A24" w:rsidP="001B4A24">
            <w:pPr>
              <w:tabs>
                <w:tab w:val="left" w:pos="-720"/>
                <w:tab w:val="left" w:pos="0"/>
                <w:tab w:val="left" w:pos="720"/>
                <w:tab w:val="left" w:pos="1080"/>
                <w:tab w:val="left" w:pos="1440"/>
              </w:tabs>
              <w:suppressAutoHyphens/>
              <w:jc w:val="both"/>
              <w:rPr>
                <w:szCs w:val="26"/>
              </w:rPr>
            </w:pPr>
          </w:p>
          <w:p w14:paraId="3B6194B9" w14:textId="4F3CD781" w:rsidR="002837F0" w:rsidRPr="008856C6" w:rsidRDefault="002837F0" w:rsidP="001B4A24">
            <w:pPr>
              <w:tabs>
                <w:tab w:val="left" w:pos="-720"/>
                <w:tab w:val="left" w:pos="0"/>
                <w:tab w:val="left" w:pos="720"/>
                <w:tab w:val="left" w:pos="1080"/>
                <w:tab w:val="left" w:pos="1440"/>
              </w:tabs>
              <w:suppressAutoHyphens/>
              <w:jc w:val="both"/>
              <w:rPr>
                <w:szCs w:val="26"/>
              </w:rPr>
            </w:pPr>
          </w:p>
        </w:tc>
      </w:tr>
      <w:tr w:rsidR="00F6377E" w:rsidRPr="00353536" w14:paraId="766A4E98" w14:textId="77777777" w:rsidTr="00BD5FE0">
        <w:trPr>
          <w:trHeight w:val="150"/>
        </w:trPr>
        <w:tc>
          <w:tcPr>
            <w:tcW w:w="450" w:type="dxa"/>
          </w:tcPr>
          <w:p w14:paraId="14F233DC" w14:textId="77777777" w:rsidR="00F6377E" w:rsidRPr="00353536" w:rsidRDefault="00F6377E" w:rsidP="00F6377E">
            <w:pPr>
              <w:pStyle w:val="NoSpacing"/>
              <w:rPr>
                <w:sz w:val="26"/>
                <w:szCs w:val="26"/>
              </w:rPr>
            </w:pPr>
          </w:p>
        </w:tc>
        <w:tc>
          <w:tcPr>
            <w:tcW w:w="990" w:type="dxa"/>
            <w:shd w:val="clear" w:color="auto" w:fill="auto"/>
          </w:tcPr>
          <w:p w14:paraId="7C865FCA" w14:textId="77777777" w:rsidR="001B4A24" w:rsidRDefault="001B4A24" w:rsidP="00F6377E">
            <w:pPr>
              <w:pStyle w:val="NoSpacing"/>
              <w:rPr>
                <w:sz w:val="26"/>
                <w:szCs w:val="26"/>
              </w:rPr>
            </w:pPr>
          </w:p>
          <w:p w14:paraId="14DFD6F3" w14:textId="4072507B" w:rsidR="00F6377E" w:rsidRPr="00353536" w:rsidRDefault="00F6377E" w:rsidP="00F6377E">
            <w:pPr>
              <w:pStyle w:val="NoSpacing"/>
              <w:rPr>
                <w:sz w:val="26"/>
                <w:szCs w:val="26"/>
              </w:rPr>
            </w:pPr>
            <w:r w:rsidRPr="00353536">
              <w:rPr>
                <w:sz w:val="26"/>
                <w:szCs w:val="26"/>
              </w:rPr>
              <w:t>Vendor</w:t>
            </w:r>
          </w:p>
        </w:tc>
        <w:tc>
          <w:tcPr>
            <w:tcW w:w="7920" w:type="dxa"/>
            <w:shd w:val="clear" w:color="auto" w:fill="auto"/>
          </w:tcPr>
          <w:p w14:paraId="6DB5E075" w14:textId="77777777" w:rsidR="001B4A24" w:rsidRDefault="001B4A24" w:rsidP="001B4A24">
            <w:pPr>
              <w:pStyle w:val="NoSpacing"/>
              <w:rPr>
                <w:sz w:val="26"/>
                <w:szCs w:val="26"/>
              </w:rPr>
            </w:pPr>
          </w:p>
          <w:p w14:paraId="095EDCA4" w14:textId="3D35D1D2" w:rsidR="002837F0" w:rsidRPr="002837F0" w:rsidRDefault="002837F0" w:rsidP="002837F0">
            <w:pPr>
              <w:pStyle w:val="NoSpacing"/>
              <w:rPr>
                <w:sz w:val="26"/>
                <w:szCs w:val="26"/>
              </w:rPr>
            </w:pPr>
            <w:r w:rsidRPr="002837F0">
              <w:rPr>
                <w:sz w:val="26"/>
                <w:szCs w:val="26"/>
              </w:rPr>
              <w:t>Anthony Travel, LLC</w:t>
            </w:r>
            <w:r w:rsidR="00FC0C09">
              <w:rPr>
                <w:sz w:val="26"/>
                <w:szCs w:val="26"/>
              </w:rPr>
              <w:t xml:space="preserve">                               </w:t>
            </w:r>
            <w:r w:rsidRPr="002837F0">
              <w:rPr>
                <w:sz w:val="26"/>
                <w:szCs w:val="26"/>
              </w:rPr>
              <w:t>Dallas, TX</w:t>
            </w:r>
          </w:p>
          <w:p w14:paraId="14D2CF60" w14:textId="77777777" w:rsidR="00F6377E" w:rsidRPr="00353536" w:rsidRDefault="00F6377E" w:rsidP="00F6377E">
            <w:pPr>
              <w:pStyle w:val="NoSpacing"/>
              <w:jc w:val="both"/>
              <w:rPr>
                <w:sz w:val="26"/>
                <w:szCs w:val="26"/>
              </w:rPr>
            </w:pPr>
          </w:p>
        </w:tc>
      </w:tr>
      <w:tr w:rsidR="00F6377E" w:rsidRPr="00353536" w14:paraId="0CC80085" w14:textId="77777777" w:rsidTr="00BD5FE0">
        <w:trPr>
          <w:trHeight w:val="150"/>
        </w:trPr>
        <w:tc>
          <w:tcPr>
            <w:tcW w:w="450" w:type="dxa"/>
          </w:tcPr>
          <w:p w14:paraId="67560A50" w14:textId="77777777" w:rsidR="00F6377E" w:rsidRPr="00353536" w:rsidRDefault="00F6377E" w:rsidP="00F6377E">
            <w:pPr>
              <w:pStyle w:val="NoSpacing"/>
              <w:rPr>
                <w:sz w:val="26"/>
                <w:szCs w:val="26"/>
              </w:rPr>
            </w:pPr>
          </w:p>
        </w:tc>
        <w:tc>
          <w:tcPr>
            <w:tcW w:w="990" w:type="dxa"/>
            <w:shd w:val="clear" w:color="auto" w:fill="auto"/>
          </w:tcPr>
          <w:p w14:paraId="6AD68AE2" w14:textId="77777777" w:rsidR="00F6377E" w:rsidRPr="00353536" w:rsidRDefault="00F6377E" w:rsidP="00F6377E">
            <w:pPr>
              <w:pStyle w:val="NoSpacing"/>
              <w:rPr>
                <w:sz w:val="26"/>
                <w:szCs w:val="26"/>
              </w:rPr>
            </w:pPr>
          </w:p>
        </w:tc>
        <w:tc>
          <w:tcPr>
            <w:tcW w:w="7920" w:type="dxa"/>
            <w:shd w:val="clear" w:color="auto" w:fill="auto"/>
          </w:tcPr>
          <w:p w14:paraId="3DF5F0C9" w14:textId="696B79B2" w:rsidR="002837F0" w:rsidRPr="00DE510F" w:rsidRDefault="002837F0" w:rsidP="002837F0">
            <w:pPr>
              <w:ind w:right="15"/>
              <w:rPr>
                <w:szCs w:val="26"/>
              </w:rPr>
            </w:pPr>
            <w:r>
              <w:rPr>
                <w:szCs w:val="26"/>
              </w:rPr>
              <w:t>Competitive bidding procedures were followed in accordance with the Illinois Procurement Code</w:t>
            </w:r>
            <w:r>
              <w:t>.</w:t>
            </w:r>
          </w:p>
          <w:p w14:paraId="1F2327D0" w14:textId="77777777" w:rsidR="002837F0" w:rsidRDefault="002837F0" w:rsidP="002837F0">
            <w:pPr>
              <w:pStyle w:val="BodyText"/>
              <w:spacing w:line="20" w:lineRule="exact"/>
              <w:ind w:left="186" w:right="15"/>
              <w:rPr>
                <w:sz w:val="2"/>
              </w:rPr>
            </w:pPr>
          </w:p>
          <w:p w14:paraId="152BA308" w14:textId="0D938091" w:rsidR="00280F0E" w:rsidRDefault="002837F0" w:rsidP="00391CD1">
            <w:pPr>
              <w:pStyle w:val="BodyText"/>
              <w:ind w:right="15"/>
              <w:rPr>
                <w:sz w:val="26"/>
                <w:szCs w:val="26"/>
              </w:rPr>
            </w:pPr>
            <w:r>
              <w:rPr>
                <w:sz w:val="26"/>
                <w:szCs w:val="26"/>
              </w:rPr>
              <w:t>On August 12, 2020, an award was executed with Anthony Travel, LLC</w:t>
            </w:r>
            <w:r w:rsidR="00280F0E">
              <w:rPr>
                <w:sz w:val="26"/>
                <w:szCs w:val="26"/>
              </w:rPr>
              <w:t>, to provide comprehensive travel agency services and a dedicated full-time in-house representative(s) located on-site</w:t>
            </w:r>
            <w:r>
              <w:rPr>
                <w:sz w:val="26"/>
                <w:szCs w:val="26"/>
              </w:rPr>
              <w:t xml:space="preserve"> at DIA</w:t>
            </w:r>
            <w:r w:rsidRPr="007C247A">
              <w:rPr>
                <w:sz w:val="26"/>
                <w:szCs w:val="26"/>
              </w:rPr>
              <w:t>.</w:t>
            </w:r>
            <w:r w:rsidR="00FC0C09">
              <w:rPr>
                <w:sz w:val="26"/>
                <w:szCs w:val="26"/>
              </w:rPr>
              <w:t xml:space="preserve"> </w:t>
            </w:r>
            <w:r>
              <w:rPr>
                <w:sz w:val="26"/>
                <w:szCs w:val="26"/>
              </w:rPr>
              <w:t xml:space="preserve">Anthony Travel, LLC provides a complete travel management program, including a dedicated service representative, </w:t>
            </w:r>
            <w:r w:rsidR="00280F0E">
              <w:rPr>
                <w:sz w:val="26"/>
                <w:szCs w:val="26"/>
              </w:rPr>
              <w:t>a high level of customer service, online reservation capabilities,</w:t>
            </w:r>
            <w:r>
              <w:rPr>
                <w:sz w:val="26"/>
                <w:szCs w:val="26"/>
              </w:rPr>
              <w:t xml:space="preserve"> and cost savings related to travel expenses.</w:t>
            </w:r>
            <w:r w:rsidR="00FC0C09">
              <w:rPr>
                <w:sz w:val="26"/>
                <w:szCs w:val="26"/>
              </w:rPr>
              <w:t xml:space="preserve"> </w:t>
            </w:r>
          </w:p>
          <w:p w14:paraId="28D84B28" w14:textId="223AD434" w:rsidR="00080C61" w:rsidRPr="00F052D8" w:rsidRDefault="002837F0" w:rsidP="00391CD1">
            <w:pPr>
              <w:pStyle w:val="BodyText"/>
              <w:ind w:right="15"/>
              <w:rPr>
                <w:color w:val="000000"/>
                <w:sz w:val="26"/>
                <w:szCs w:val="26"/>
              </w:rPr>
            </w:pPr>
            <w:r>
              <w:rPr>
                <w:sz w:val="26"/>
                <w:szCs w:val="26"/>
              </w:rPr>
              <w:t xml:space="preserve">Previously, </w:t>
            </w:r>
            <w:r w:rsidR="009B3812">
              <w:rPr>
                <w:sz w:val="26"/>
                <w:szCs w:val="26"/>
              </w:rPr>
              <w:t xml:space="preserve">some of the travel costs were paid outside of the contract, and </w:t>
            </w:r>
            <w:r>
              <w:rPr>
                <w:sz w:val="26"/>
                <w:szCs w:val="26"/>
              </w:rPr>
              <w:t>these services were performed by internal staff and use of the University’s system online booking tool.</w:t>
            </w:r>
            <w:r w:rsidR="00FC0C09">
              <w:rPr>
                <w:sz w:val="26"/>
                <w:szCs w:val="26"/>
              </w:rPr>
              <w:t xml:space="preserve"> </w:t>
            </w:r>
            <w:r w:rsidR="009B3812">
              <w:rPr>
                <w:sz w:val="26"/>
                <w:szCs w:val="26"/>
              </w:rPr>
              <w:t xml:space="preserve"> This arrangement aggregates more of the travel costs into one centralized service.</w:t>
            </w:r>
          </w:p>
        </w:tc>
      </w:tr>
      <w:tr w:rsidR="002F2D48" w:rsidRPr="00353536" w14:paraId="31D27605" w14:textId="77777777" w:rsidTr="00391CD1">
        <w:trPr>
          <w:trHeight w:val="432"/>
        </w:trPr>
        <w:tc>
          <w:tcPr>
            <w:tcW w:w="450" w:type="dxa"/>
          </w:tcPr>
          <w:p w14:paraId="4B44AAE9" w14:textId="77777777" w:rsidR="002F2D48" w:rsidRPr="00353536" w:rsidRDefault="002F2D48" w:rsidP="00F6377E">
            <w:pPr>
              <w:pStyle w:val="NoSpacing"/>
              <w:rPr>
                <w:sz w:val="26"/>
                <w:szCs w:val="26"/>
              </w:rPr>
            </w:pPr>
          </w:p>
        </w:tc>
        <w:tc>
          <w:tcPr>
            <w:tcW w:w="990" w:type="dxa"/>
          </w:tcPr>
          <w:p w14:paraId="245D903A" w14:textId="77777777" w:rsidR="002F2D48" w:rsidRPr="00353536" w:rsidRDefault="002F2D48" w:rsidP="00F6377E">
            <w:pPr>
              <w:pStyle w:val="NoSpacing"/>
              <w:rPr>
                <w:sz w:val="26"/>
                <w:szCs w:val="26"/>
              </w:rPr>
            </w:pPr>
          </w:p>
        </w:tc>
        <w:tc>
          <w:tcPr>
            <w:tcW w:w="7920" w:type="dxa"/>
          </w:tcPr>
          <w:p w14:paraId="3472C3E8" w14:textId="77777777" w:rsidR="00080C61" w:rsidRDefault="00080C61" w:rsidP="00080C61">
            <w:pPr>
              <w:tabs>
                <w:tab w:val="left" w:pos="-720"/>
                <w:tab w:val="left" w:pos="9090"/>
              </w:tabs>
              <w:suppressAutoHyphens/>
              <w:overflowPunct w:val="0"/>
              <w:autoSpaceDE w:val="0"/>
              <w:autoSpaceDN w:val="0"/>
              <w:adjustRightInd w:val="0"/>
              <w:spacing w:after="0" w:line="240" w:lineRule="auto"/>
              <w:textAlignment w:val="baseline"/>
              <w:rPr>
                <w:szCs w:val="26"/>
              </w:rPr>
            </w:pPr>
          </w:p>
        </w:tc>
      </w:tr>
      <w:tr w:rsidR="002F2D48" w:rsidRPr="00353536" w14:paraId="105F6C1C" w14:textId="77777777" w:rsidTr="00391CD1">
        <w:trPr>
          <w:trHeight w:val="387"/>
        </w:trPr>
        <w:tc>
          <w:tcPr>
            <w:tcW w:w="450" w:type="dxa"/>
            <w:tcBorders>
              <w:bottom w:val="double" w:sz="4" w:space="0" w:color="auto"/>
            </w:tcBorders>
          </w:tcPr>
          <w:p w14:paraId="26593BEF" w14:textId="567A567C" w:rsidR="002F2D48" w:rsidRPr="00353536" w:rsidRDefault="00595029" w:rsidP="002F2D48">
            <w:pPr>
              <w:pStyle w:val="NoSpacing"/>
              <w:rPr>
                <w:sz w:val="26"/>
                <w:szCs w:val="26"/>
              </w:rPr>
            </w:pPr>
            <w:r>
              <w:rPr>
                <w:sz w:val="26"/>
                <w:szCs w:val="26"/>
              </w:rPr>
              <w:t>5</w:t>
            </w:r>
          </w:p>
        </w:tc>
        <w:tc>
          <w:tcPr>
            <w:tcW w:w="990" w:type="dxa"/>
            <w:tcBorders>
              <w:bottom w:val="double" w:sz="4" w:space="0" w:color="auto"/>
            </w:tcBorders>
          </w:tcPr>
          <w:p w14:paraId="485D05F5" w14:textId="64859F4B" w:rsidR="002F2D48" w:rsidRPr="00353536" w:rsidRDefault="002F2D48" w:rsidP="002F2D48">
            <w:pPr>
              <w:pStyle w:val="NoSpacing"/>
              <w:rPr>
                <w:sz w:val="26"/>
                <w:szCs w:val="26"/>
              </w:rPr>
            </w:pPr>
            <w:r w:rsidRPr="00353536">
              <w:rPr>
                <w:sz w:val="26"/>
                <w:szCs w:val="26"/>
              </w:rPr>
              <w:t>Unit</w:t>
            </w:r>
          </w:p>
        </w:tc>
        <w:tc>
          <w:tcPr>
            <w:tcW w:w="7920" w:type="dxa"/>
            <w:tcBorders>
              <w:bottom w:val="double" w:sz="4" w:space="0" w:color="auto"/>
            </w:tcBorders>
          </w:tcPr>
          <w:p w14:paraId="33BA6272" w14:textId="57597D57" w:rsidR="002F2D48" w:rsidRPr="00353536" w:rsidRDefault="005C04A8" w:rsidP="002F2D48">
            <w:pPr>
              <w:pStyle w:val="NoSpacing"/>
              <w:rPr>
                <w:sz w:val="26"/>
                <w:szCs w:val="26"/>
              </w:rPr>
            </w:pPr>
            <w:r>
              <w:rPr>
                <w:sz w:val="26"/>
              </w:rPr>
              <w:t>UIUC Campus Auxiliary Services</w:t>
            </w:r>
          </w:p>
        </w:tc>
      </w:tr>
      <w:tr w:rsidR="002F2D48" w:rsidRPr="00353536" w14:paraId="045C8F96" w14:textId="77777777" w:rsidTr="00391CD1">
        <w:trPr>
          <w:trHeight w:val="549"/>
        </w:trPr>
        <w:tc>
          <w:tcPr>
            <w:tcW w:w="450" w:type="dxa"/>
            <w:tcBorders>
              <w:top w:val="double" w:sz="4" w:space="0" w:color="auto"/>
            </w:tcBorders>
          </w:tcPr>
          <w:p w14:paraId="3CC5413A" w14:textId="77777777" w:rsidR="002F2D48" w:rsidRPr="00353536" w:rsidRDefault="002F2D48" w:rsidP="002F2D48">
            <w:pPr>
              <w:pStyle w:val="NoSpacing"/>
              <w:rPr>
                <w:sz w:val="26"/>
                <w:szCs w:val="26"/>
              </w:rPr>
            </w:pPr>
          </w:p>
        </w:tc>
        <w:tc>
          <w:tcPr>
            <w:tcW w:w="990" w:type="dxa"/>
            <w:tcBorders>
              <w:top w:val="double" w:sz="4" w:space="0" w:color="auto"/>
            </w:tcBorders>
          </w:tcPr>
          <w:p w14:paraId="0854B016" w14:textId="77777777" w:rsidR="002F2D48" w:rsidRPr="00353536" w:rsidRDefault="002F2D48" w:rsidP="002F2D48">
            <w:pPr>
              <w:pStyle w:val="NoSpacing"/>
              <w:rPr>
                <w:sz w:val="26"/>
                <w:szCs w:val="26"/>
              </w:rPr>
            </w:pPr>
          </w:p>
          <w:p w14:paraId="766417B9" w14:textId="33F3F3BD" w:rsidR="002F2D48" w:rsidRPr="00353536" w:rsidRDefault="002F2D48" w:rsidP="002F2D48">
            <w:pPr>
              <w:pStyle w:val="NoSpacing"/>
              <w:rPr>
                <w:sz w:val="26"/>
                <w:szCs w:val="26"/>
              </w:rPr>
            </w:pPr>
            <w:r w:rsidRPr="00353536">
              <w:rPr>
                <w:sz w:val="26"/>
                <w:szCs w:val="26"/>
              </w:rPr>
              <w:t>Item</w:t>
            </w:r>
          </w:p>
        </w:tc>
        <w:tc>
          <w:tcPr>
            <w:tcW w:w="7920" w:type="dxa"/>
            <w:tcBorders>
              <w:top w:val="double" w:sz="4" w:space="0" w:color="auto"/>
            </w:tcBorders>
            <w:vAlign w:val="center"/>
          </w:tcPr>
          <w:p w14:paraId="750736B7" w14:textId="77777777" w:rsidR="002F2D48" w:rsidRDefault="002F2D48" w:rsidP="002F2D48">
            <w:pPr>
              <w:pStyle w:val="NoSpacing"/>
              <w:rPr>
                <w:sz w:val="26"/>
                <w:szCs w:val="26"/>
              </w:rPr>
            </w:pPr>
          </w:p>
          <w:p w14:paraId="78EF033F" w14:textId="2735E18D" w:rsidR="002F2D48" w:rsidRPr="00353536" w:rsidRDefault="005C04A8" w:rsidP="002F2D48">
            <w:pPr>
              <w:pStyle w:val="NoSpacing"/>
              <w:rPr>
                <w:sz w:val="26"/>
                <w:szCs w:val="26"/>
              </w:rPr>
            </w:pPr>
            <w:r>
              <w:rPr>
                <w:sz w:val="26"/>
                <w:szCs w:val="26"/>
              </w:rPr>
              <w:t>Student Health Insurance</w:t>
            </w:r>
          </w:p>
        </w:tc>
      </w:tr>
      <w:tr w:rsidR="002F2D48" w:rsidRPr="00353536" w14:paraId="465EAE4D" w14:textId="77777777" w:rsidTr="00BD5FE0">
        <w:trPr>
          <w:trHeight w:val="549"/>
        </w:trPr>
        <w:tc>
          <w:tcPr>
            <w:tcW w:w="450" w:type="dxa"/>
          </w:tcPr>
          <w:p w14:paraId="3A9380FD" w14:textId="77777777" w:rsidR="002F2D48" w:rsidRPr="00353536" w:rsidRDefault="002F2D48" w:rsidP="002F2D48">
            <w:pPr>
              <w:pStyle w:val="NoSpacing"/>
              <w:rPr>
                <w:sz w:val="26"/>
                <w:szCs w:val="26"/>
              </w:rPr>
            </w:pPr>
          </w:p>
        </w:tc>
        <w:tc>
          <w:tcPr>
            <w:tcW w:w="990" w:type="dxa"/>
          </w:tcPr>
          <w:p w14:paraId="28EC8481" w14:textId="77777777" w:rsidR="002F2D48" w:rsidRPr="00353536" w:rsidRDefault="002F2D48" w:rsidP="002F2D48">
            <w:pPr>
              <w:pStyle w:val="NoSpacing"/>
              <w:rPr>
                <w:sz w:val="26"/>
                <w:szCs w:val="26"/>
              </w:rPr>
            </w:pPr>
          </w:p>
          <w:p w14:paraId="47C84D91" w14:textId="14A40BB4" w:rsidR="002F2D48" w:rsidRPr="00353536" w:rsidRDefault="002F2D48" w:rsidP="002F2D48">
            <w:pPr>
              <w:pStyle w:val="NoSpacing"/>
              <w:rPr>
                <w:sz w:val="26"/>
                <w:szCs w:val="26"/>
              </w:rPr>
            </w:pPr>
            <w:r w:rsidRPr="00353536">
              <w:rPr>
                <w:sz w:val="26"/>
                <w:szCs w:val="26"/>
              </w:rPr>
              <w:t>Cost</w:t>
            </w:r>
          </w:p>
        </w:tc>
        <w:tc>
          <w:tcPr>
            <w:tcW w:w="7920" w:type="dxa"/>
          </w:tcPr>
          <w:p w14:paraId="092D158E" w14:textId="77777777" w:rsidR="001F55E7" w:rsidRDefault="001F55E7" w:rsidP="002F2D48">
            <w:pPr>
              <w:pStyle w:val="NoSpacing"/>
              <w:rPr>
                <w:sz w:val="26"/>
                <w:szCs w:val="26"/>
              </w:rPr>
            </w:pPr>
          </w:p>
          <w:p w14:paraId="6A547D7A" w14:textId="23B1AC3F" w:rsidR="002F2D48" w:rsidRPr="00353536" w:rsidRDefault="001F55E7" w:rsidP="002F2D48">
            <w:pPr>
              <w:pStyle w:val="NoSpacing"/>
              <w:rPr>
                <w:sz w:val="26"/>
                <w:szCs w:val="26"/>
              </w:rPr>
            </w:pPr>
            <w:r w:rsidRPr="00CB7456">
              <w:rPr>
                <w:sz w:val="26"/>
                <w:szCs w:val="26"/>
              </w:rPr>
              <w:t>$</w:t>
            </w:r>
            <w:r w:rsidR="00CB7456">
              <w:rPr>
                <w:sz w:val="26"/>
                <w:szCs w:val="26"/>
              </w:rPr>
              <w:t>25,000,000</w:t>
            </w:r>
            <w:r w:rsidR="00391CD1">
              <w:rPr>
                <w:sz w:val="26"/>
                <w:szCs w:val="26"/>
              </w:rPr>
              <w:t xml:space="preserve"> (estimated)</w:t>
            </w:r>
          </w:p>
        </w:tc>
      </w:tr>
      <w:tr w:rsidR="002F2D48" w:rsidRPr="00353536" w14:paraId="75DB0BB4" w14:textId="77777777" w:rsidTr="00BD5FE0">
        <w:trPr>
          <w:trHeight w:val="549"/>
        </w:trPr>
        <w:tc>
          <w:tcPr>
            <w:tcW w:w="450" w:type="dxa"/>
          </w:tcPr>
          <w:p w14:paraId="13CBFA3C" w14:textId="77777777" w:rsidR="002F2D48" w:rsidRPr="00353536" w:rsidRDefault="002F2D48" w:rsidP="002F2D48">
            <w:pPr>
              <w:pStyle w:val="NoSpacing"/>
              <w:rPr>
                <w:sz w:val="26"/>
                <w:szCs w:val="26"/>
              </w:rPr>
            </w:pPr>
          </w:p>
        </w:tc>
        <w:tc>
          <w:tcPr>
            <w:tcW w:w="990" w:type="dxa"/>
          </w:tcPr>
          <w:p w14:paraId="0E565B05" w14:textId="77777777" w:rsidR="002F2D48" w:rsidRPr="00353536" w:rsidRDefault="002F2D48" w:rsidP="002F2D48">
            <w:pPr>
              <w:pStyle w:val="NoSpacing"/>
              <w:rPr>
                <w:sz w:val="26"/>
                <w:szCs w:val="26"/>
              </w:rPr>
            </w:pPr>
          </w:p>
          <w:p w14:paraId="134B7916" w14:textId="21EE891D" w:rsidR="002F2D48" w:rsidRPr="00353536" w:rsidRDefault="002F2D48" w:rsidP="002F2D48">
            <w:pPr>
              <w:pStyle w:val="NoSpacing"/>
              <w:rPr>
                <w:sz w:val="26"/>
                <w:szCs w:val="26"/>
              </w:rPr>
            </w:pPr>
            <w:r w:rsidRPr="00353536">
              <w:rPr>
                <w:sz w:val="26"/>
                <w:szCs w:val="26"/>
              </w:rPr>
              <w:t>Vendor</w:t>
            </w:r>
          </w:p>
        </w:tc>
        <w:tc>
          <w:tcPr>
            <w:tcW w:w="7920" w:type="dxa"/>
          </w:tcPr>
          <w:p w14:paraId="28A9EDD5" w14:textId="77777777" w:rsidR="002F2D48" w:rsidRDefault="002F2D48" w:rsidP="002F2D48">
            <w:pPr>
              <w:pStyle w:val="NoSpacing"/>
              <w:rPr>
                <w:sz w:val="26"/>
                <w:szCs w:val="26"/>
              </w:rPr>
            </w:pPr>
          </w:p>
          <w:p w14:paraId="118DB14E" w14:textId="618BDF4C" w:rsidR="005C04A8" w:rsidRPr="005C04A8" w:rsidRDefault="005C04A8" w:rsidP="005C04A8">
            <w:pPr>
              <w:pStyle w:val="NoSpacing"/>
              <w:rPr>
                <w:sz w:val="26"/>
                <w:szCs w:val="26"/>
              </w:rPr>
            </w:pPr>
            <w:r w:rsidRPr="005C04A8">
              <w:rPr>
                <w:sz w:val="26"/>
                <w:szCs w:val="26"/>
              </w:rPr>
              <w:t>United Healthcare Services, Inc.</w:t>
            </w:r>
            <w:r w:rsidR="00FC0C09">
              <w:rPr>
                <w:sz w:val="26"/>
                <w:szCs w:val="26"/>
              </w:rPr>
              <w:t xml:space="preserve">                 </w:t>
            </w:r>
            <w:r w:rsidRPr="005C04A8">
              <w:rPr>
                <w:sz w:val="26"/>
                <w:szCs w:val="26"/>
              </w:rPr>
              <w:t>St. Petersburg, FL</w:t>
            </w:r>
          </w:p>
          <w:p w14:paraId="5170F7B0" w14:textId="7A6F0E8A" w:rsidR="001F55E7" w:rsidRPr="00353536" w:rsidRDefault="001F55E7" w:rsidP="002F2D48">
            <w:pPr>
              <w:pStyle w:val="NoSpacing"/>
              <w:rPr>
                <w:sz w:val="26"/>
                <w:szCs w:val="26"/>
              </w:rPr>
            </w:pPr>
          </w:p>
        </w:tc>
      </w:tr>
      <w:tr w:rsidR="002F2D48" w:rsidRPr="00353536" w14:paraId="587C6B7F" w14:textId="77777777" w:rsidTr="00BD5FE0">
        <w:trPr>
          <w:trHeight w:val="549"/>
        </w:trPr>
        <w:tc>
          <w:tcPr>
            <w:tcW w:w="450" w:type="dxa"/>
          </w:tcPr>
          <w:p w14:paraId="3B26DB52" w14:textId="77777777" w:rsidR="002F2D48" w:rsidRPr="00353536" w:rsidRDefault="002F2D48" w:rsidP="002F2D48">
            <w:pPr>
              <w:pStyle w:val="NoSpacing"/>
              <w:rPr>
                <w:sz w:val="26"/>
                <w:szCs w:val="26"/>
              </w:rPr>
            </w:pPr>
          </w:p>
        </w:tc>
        <w:tc>
          <w:tcPr>
            <w:tcW w:w="990" w:type="dxa"/>
          </w:tcPr>
          <w:p w14:paraId="5CB8A417" w14:textId="77777777" w:rsidR="002F2D48" w:rsidRPr="00353536" w:rsidRDefault="002F2D48" w:rsidP="002F2D48">
            <w:pPr>
              <w:pStyle w:val="NoSpacing"/>
              <w:rPr>
                <w:sz w:val="26"/>
                <w:szCs w:val="26"/>
              </w:rPr>
            </w:pPr>
          </w:p>
        </w:tc>
        <w:tc>
          <w:tcPr>
            <w:tcW w:w="7920" w:type="dxa"/>
          </w:tcPr>
          <w:p w14:paraId="7AA77F52" w14:textId="091014C6" w:rsidR="005C04A8" w:rsidRPr="005C04A8" w:rsidRDefault="005C04A8" w:rsidP="005C04A8">
            <w:pPr>
              <w:spacing w:after="0" w:line="240" w:lineRule="auto"/>
              <w:ind w:right="15"/>
              <w:rPr>
                <w:rFonts w:eastAsia="Times New Roman"/>
                <w:szCs w:val="26"/>
              </w:rPr>
            </w:pPr>
            <w:r w:rsidRPr="005C04A8">
              <w:rPr>
                <w:rFonts w:eastAsia="Times New Roman"/>
                <w:szCs w:val="26"/>
              </w:rPr>
              <w:t>Competitive bidding procedures were followed in accordance with the Illinois Procurement Code</w:t>
            </w:r>
            <w:r w:rsidRPr="005C04A8">
              <w:rPr>
                <w:rFonts w:eastAsia="Times New Roman"/>
                <w:sz w:val="24"/>
                <w:szCs w:val="24"/>
              </w:rPr>
              <w:t>.</w:t>
            </w:r>
            <w:r w:rsidR="00FC0C09">
              <w:rPr>
                <w:rFonts w:eastAsia="Times New Roman"/>
                <w:sz w:val="24"/>
                <w:szCs w:val="24"/>
              </w:rPr>
              <w:t xml:space="preserve"> </w:t>
            </w:r>
            <w:r w:rsidRPr="005C04A8">
              <w:rPr>
                <w:rFonts w:eastAsia="Times New Roman"/>
                <w:szCs w:val="26"/>
              </w:rPr>
              <w:t>This is a change order to the Board of Trustee</w:t>
            </w:r>
            <w:r w:rsidR="00FC0C09">
              <w:rPr>
                <w:rFonts w:eastAsia="Times New Roman"/>
                <w:szCs w:val="26"/>
              </w:rPr>
              <w:t>s</w:t>
            </w:r>
            <w:r w:rsidRPr="005C04A8">
              <w:rPr>
                <w:rFonts w:eastAsia="Times New Roman"/>
                <w:szCs w:val="26"/>
              </w:rPr>
              <w:t xml:space="preserve"> approval on July 22, 2021.</w:t>
            </w:r>
          </w:p>
          <w:p w14:paraId="06CC74B6" w14:textId="77777777" w:rsidR="005C04A8" w:rsidRPr="005C04A8" w:rsidRDefault="005C04A8" w:rsidP="005C04A8">
            <w:pPr>
              <w:spacing w:after="120" w:line="20" w:lineRule="exact"/>
              <w:ind w:left="186" w:right="15"/>
              <w:rPr>
                <w:rFonts w:eastAsia="Times New Roman"/>
                <w:sz w:val="2"/>
                <w:szCs w:val="24"/>
              </w:rPr>
            </w:pPr>
          </w:p>
          <w:p w14:paraId="6CA630C6" w14:textId="77777777" w:rsidR="005C04A8" w:rsidRPr="005C04A8" w:rsidRDefault="005C04A8" w:rsidP="005C04A8">
            <w:pPr>
              <w:spacing w:after="0" w:line="240" w:lineRule="auto"/>
              <w:rPr>
                <w:rFonts w:eastAsia="Times New Roman"/>
                <w:szCs w:val="26"/>
              </w:rPr>
            </w:pPr>
            <w:r w:rsidRPr="005C04A8">
              <w:rPr>
                <w:rFonts w:eastAsia="Times New Roman"/>
                <w:szCs w:val="26"/>
              </w:rPr>
              <w:t>The vendor provides student health insurance as well as routine administrative services, including claims adjudication and claim payments through a Student Health Insurance Plan (SHIP) designed as a preferred provider organization (PPO) model that must offer two levels of coverage payment of 80% of usual and customary charges for non-network providers, and 80% of the preferred allowance for in-network providers.</w:t>
            </w:r>
          </w:p>
          <w:p w14:paraId="3EAA00C9" w14:textId="77777777" w:rsidR="005C04A8" w:rsidRPr="005C04A8" w:rsidRDefault="005C04A8" w:rsidP="005C04A8">
            <w:pPr>
              <w:spacing w:after="0" w:line="240" w:lineRule="auto"/>
              <w:rPr>
                <w:rFonts w:eastAsia="Times New Roman"/>
                <w:szCs w:val="26"/>
              </w:rPr>
            </w:pPr>
          </w:p>
          <w:p w14:paraId="327BF540" w14:textId="35E7C1DB" w:rsidR="002F2D48" w:rsidRPr="00353536" w:rsidRDefault="005C04A8" w:rsidP="00391CD1">
            <w:pPr>
              <w:spacing w:after="0" w:line="240" w:lineRule="auto"/>
            </w:pPr>
            <w:r w:rsidRPr="005C04A8">
              <w:rPr>
                <w:rFonts w:eastAsia="Times New Roman"/>
                <w:szCs w:val="26"/>
              </w:rPr>
              <w:t>The University requires all registered students either participate in the University of Illinois at Urbana-Champaign (UIUC) Student Health Insurance Plan (SHIP) or provide proof of comparable insurance, called a hard waiver.</w:t>
            </w:r>
            <w:r w:rsidR="00FC0C09">
              <w:rPr>
                <w:rFonts w:eastAsia="Times New Roman"/>
                <w:szCs w:val="26"/>
              </w:rPr>
              <w:t xml:space="preserve"> </w:t>
            </w:r>
            <w:r w:rsidRPr="005C04A8">
              <w:rPr>
                <w:rFonts w:eastAsia="Times New Roman"/>
                <w:szCs w:val="26"/>
              </w:rPr>
              <w:t>The University assesses the SHIP fee each semester and the University subsequently provides an electronic submission of eligible students to the insurance company.</w:t>
            </w:r>
            <w:r w:rsidR="00FC0C09">
              <w:rPr>
                <w:rFonts w:eastAsia="Times New Roman"/>
                <w:szCs w:val="26"/>
              </w:rPr>
              <w:t xml:space="preserve"> </w:t>
            </w:r>
            <w:r w:rsidRPr="005C04A8">
              <w:rPr>
                <w:rFonts w:eastAsia="Times New Roman"/>
                <w:szCs w:val="26"/>
              </w:rPr>
              <w:t>The vendor will handle enrollment of spouse and dependents and premium collection.</w:t>
            </w:r>
          </w:p>
        </w:tc>
      </w:tr>
      <w:tr w:rsidR="002F2D48" w:rsidRPr="00353536" w14:paraId="7077310F" w14:textId="77777777" w:rsidTr="00CB7456">
        <w:trPr>
          <w:trHeight w:val="423"/>
        </w:trPr>
        <w:tc>
          <w:tcPr>
            <w:tcW w:w="450" w:type="dxa"/>
          </w:tcPr>
          <w:p w14:paraId="1EEAAC02" w14:textId="77777777" w:rsidR="002F2D48" w:rsidRPr="00353536" w:rsidRDefault="002F2D48" w:rsidP="002F2D48">
            <w:pPr>
              <w:pStyle w:val="NoSpacing"/>
              <w:rPr>
                <w:sz w:val="26"/>
                <w:szCs w:val="26"/>
              </w:rPr>
            </w:pPr>
          </w:p>
        </w:tc>
        <w:tc>
          <w:tcPr>
            <w:tcW w:w="990" w:type="dxa"/>
          </w:tcPr>
          <w:p w14:paraId="2ED6F657" w14:textId="77777777" w:rsidR="002F2D48" w:rsidRDefault="002F2D48" w:rsidP="002F2D48">
            <w:pPr>
              <w:pStyle w:val="NoSpacing"/>
              <w:rPr>
                <w:sz w:val="26"/>
                <w:szCs w:val="26"/>
              </w:rPr>
            </w:pPr>
          </w:p>
          <w:p w14:paraId="2BD57888" w14:textId="77777777" w:rsidR="00BD5FE0" w:rsidRPr="00353536" w:rsidRDefault="00BD5FE0" w:rsidP="002F2D48">
            <w:pPr>
              <w:pStyle w:val="NoSpacing"/>
              <w:rPr>
                <w:sz w:val="26"/>
                <w:szCs w:val="26"/>
              </w:rPr>
            </w:pPr>
          </w:p>
        </w:tc>
        <w:tc>
          <w:tcPr>
            <w:tcW w:w="7920" w:type="dxa"/>
          </w:tcPr>
          <w:p w14:paraId="377DCEE6" w14:textId="77777777" w:rsidR="002F2D48" w:rsidRPr="00353536" w:rsidRDefault="002F2D48" w:rsidP="002F2D48">
            <w:pPr>
              <w:pStyle w:val="NoSpacing"/>
              <w:rPr>
                <w:sz w:val="26"/>
                <w:szCs w:val="26"/>
              </w:rPr>
            </w:pPr>
          </w:p>
        </w:tc>
      </w:tr>
    </w:tbl>
    <w:p w14:paraId="33C686F8" w14:textId="6F1D6868" w:rsidR="0076023D" w:rsidRPr="00353536"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SUMMARY OF PURCHASES</w:t>
            </w:r>
          </w:p>
        </w:tc>
      </w:tr>
      <w:tr w:rsidR="00F24C73" w:rsidRPr="00353536" w14:paraId="3CAD725D" w14:textId="77777777" w:rsidTr="00A05784">
        <w:trPr>
          <w:trHeight w:val="394"/>
        </w:trPr>
        <w:tc>
          <w:tcPr>
            <w:tcW w:w="5693" w:type="dxa"/>
          </w:tcPr>
          <w:p w14:paraId="0461E231" w14:textId="14D72918" w:rsidR="00F24C73" w:rsidRPr="00353536" w:rsidRDefault="00F24C73"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University of Illinois at</w:t>
            </w:r>
            <w:r>
              <w:rPr>
                <w:rFonts w:eastAsia="Times New Roman"/>
                <w:szCs w:val="26"/>
              </w:rPr>
              <w:t xml:space="preserve"> Chicago</w:t>
            </w:r>
          </w:p>
        </w:tc>
        <w:tc>
          <w:tcPr>
            <w:tcW w:w="1902" w:type="dxa"/>
            <w:shd w:val="clear" w:color="auto" w:fill="auto"/>
          </w:tcPr>
          <w:p w14:paraId="3A2F1E62" w14:textId="03F66211" w:rsidR="00F24C73" w:rsidRPr="0097228A" w:rsidRDefault="00F24C73" w:rsidP="00AD2AF9">
            <w:pPr>
              <w:overflowPunct w:val="0"/>
              <w:autoSpaceDE w:val="0"/>
              <w:autoSpaceDN w:val="0"/>
              <w:adjustRightInd w:val="0"/>
              <w:spacing w:after="0" w:line="240" w:lineRule="auto"/>
              <w:textAlignment w:val="baseline"/>
              <w:rPr>
                <w:rFonts w:eastAsia="Times New Roman"/>
                <w:szCs w:val="26"/>
              </w:rPr>
            </w:pPr>
            <w:r>
              <w:rPr>
                <w:rFonts w:eastAsia="Times New Roman"/>
                <w:szCs w:val="26"/>
              </w:rPr>
              <w:t>$ 6,410,040</w:t>
            </w:r>
          </w:p>
        </w:tc>
      </w:tr>
      <w:tr w:rsidR="000E15C9" w:rsidRPr="00353536" w14:paraId="3EBF655C" w14:textId="77777777" w:rsidTr="00A05784">
        <w:trPr>
          <w:trHeight w:val="394"/>
        </w:trPr>
        <w:tc>
          <w:tcPr>
            <w:tcW w:w="5693" w:type="dxa"/>
          </w:tcPr>
          <w:p w14:paraId="78561DD1" w14:textId="68A161DB" w:rsidR="000E15C9" w:rsidRPr="00353536" w:rsidRDefault="000E15C9"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University of Illinois at</w:t>
            </w:r>
            <w:r w:rsidR="00F24C73">
              <w:rPr>
                <w:rFonts w:eastAsia="Times New Roman"/>
                <w:szCs w:val="26"/>
              </w:rPr>
              <w:t xml:space="preserve"> Springfield</w:t>
            </w:r>
          </w:p>
        </w:tc>
        <w:tc>
          <w:tcPr>
            <w:tcW w:w="1902" w:type="dxa"/>
            <w:shd w:val="clear" w:color="auto" w:fill="auto"/>
          </w:tcPr>
          <w:p w14:paraId="1AC2D057" w14:textId="240E4C5B" w:rsidR="000E15C9" w:rsidRPr="0097228A" w:rsidRDefault="000E15C9" w:rsidP="00AD2AF9">
            <w:pPr>
              <w:overflowPunct w:val="0"/>
              <w:autoSpaceDE w:val="0"/>
              <w:autoSpaceDN w:val="0"/>
              <w:adjustRightInd w:val="0"/>
              <w:spacing w:after="0" w:line="240" w:lineRule="auto"/>
              <w:textAlignment w:val="baseline"/>
              <w:rPr>
                <w:rFonts w:eastAsia="Times New Roman"/>
                <w:szCs w:val="26"/>
              </w:rPr>
            </w:pPr>
            <w:r w:rsidRPr="00E44D3C">
              <w:rPr>
                <w:rFonts w:eastAsia="Times New Roman"/>
                <w:szCs w:val="26"/>
              </w:rPr>
              <w:t>$</w:t>
            </w:r>
            <w:r w:rsidR="0097228A" w:rsidRPr="00E44D3C">
              <w:rPr>
                <w:rFonts w:eastAsia="Times New Roman"/>
                <w:szCs w:val="26"/>
              </w:rPr>
              <w:t xml:space="preserve"> </w:t>
            </w:r>
            <w:r w:rsidR="00F24C73">
              <w:rPr>
                <w:rFonts w:eastAsia="Times New Roman"/>
                <w:szCs w:val="26"/>
              </w:rPr>
              <w:t>9,000,000</w:t>
            </w:r>
            <w:r w:rsidRPr="0097228A">
              <w:rPr>
                <w:rFonts w:eastAsia="Times New Roman"/>
                <w:szCs w:val="26"/>
              </w:rPr>
              <w:t xml:space="preserve"> </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color w:val="000000"/>
                <w:szCs w:val="26"/>
              </w:rPr>
              <w:t>Grand Total</w:t>
            </w:r>
          </w:p>
        </w:tc>
        <w:tc>
          <w:tcPr>
            <w:tcW w:w="1902" w:type="dxa"/>
            <w:shd w:val="clear" w:color="auto" w:fill="auto"/>
          </w:tcPr>
          <w:p w14:paraId="0B588B2D" w14:textId="1D347DBC" w:rsidR="002C343C" w:rsidRPr="0097228A" w:rsidRDefault="002C343C" w:rsidP="002A641F">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595029">
              <w:rPr>
                <w:rFonts w:eastAsia="Times New Roman"/>
                <w:szCs w:val="26"/>
              </w:rPr>
              <w:t>15</w:t>
            </w:r>
            <w:r w:rsidR="00F24C73">
              <w:rPr>
                <w:rFonts w:eastAsia="Times New Roman"/>
                <w:szCs w:val="26"/>
              </w:rPr>
              <w:t>,410,040</w:t>
            </w:r>
          </w:p>
        </w:tc>
      </w:tr>
      <w:tr w:rsidR="00A53454" w:rsidRPr="00353536" w14:paraId="5E40F003" w14:textId="77777777" w:rsidTr="00A05784">
        <w:trPr>
          <w:trHeight w:val="394"/>
        </w:trPr>
        <w:tc>
          <w:tcPr>
            <w:tcW w:w="5693" w:type="dxa"/>
          </w:tcPr>
          <w:p w14:paraId="6F8FE53B" w14:textId="77777777" w:rsidR="00A53454" w:rsidRPr="00353536" w:rsidRDefault="00A53454" w:rsidP="009412F7">
            <w:pPr>
              <w:overflowPunct w:val="0"/>
              <w:autoSpaceDE w:val="0"/>
              <w:autoSpaceDN w:val="0"/>
              <w:adjustRightInd w:val="0"/>
              <w:spacing w:after="0" w:line="240" w:lineRule="auto"/>
              <w:textAlignment w:val="baseline"/>
              <w:rPr>
                <w:rFonts w:eastAsia="Times New Roman"/>
                <w:szCs w:val="26"/>
              </w:rPr>
            </w:pPr>
          </w:p>
        </w:tc>
        <w:tc>
          <w:tcPr>
            <w:tcW w:w="1902" w:type="dxa"/>
            <w:shd w:val="clear" w:color="auto" w:fill="auto"/>
          </w:tcPr>
          <w:p w14:paraId="7E5A0363" w14:textId="77777777" w:rsidR="00A53454" w:rsidRPr="00353536" w:rsidRDefault="00A53454" w:rsidP="00AD2AF9">
            <w:pPr>
              <w:overflowPunct w:val="0"/>
              <w:autoSpaceDE w:val="0"/>
              <w:autoSpaceDN w:val="0"/>
              <w:adjustRightInd w:val="0"/>
              <w:spacing w:after="0" w:line="240" w:lineRule="auto"/>
              <w:textAlignment w:val="baseline"/>
              <w:rPr>
                <w:rFonts w:eastAsia="Times New Roman"/>
                <w:szCs w:val="26"/>
                <w:highlight w:val="yellow"/>
              </w:rPr>
            </w:pPr>
          </w:p>
        </w:tc>
      </w:tr>
      <w:tr w:rsidR="00A53454" w:rsidRPr="00353536" w14:paraId="35D8E633" w14:textId="77777777" w:rsidTr="00520C04">
        <w:trPr>
          <w:trHeight w:val="394"/>
        </w:trPr>
        <w:tc>
          <w:tcPr>
            <w:tcW w:w="7595" w:type="dxa"/>
            <w:gridSpan w:val="2"/>
          </w:tcPr>
          <w:p w14:paraId="22DDE64D" w14:textId="7BED404F"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highlight w:val="yellow"/>
              </w:rPr>
            </w:pPr>
            <w:r w:rsidRPr="00353536">
              <w:rPr>
                <w:rFonts w:eastAsia="Times New Roman"/>
                <w:b/>
                <w:szCs w:val="26"/>
              </w:rPr>
              <w:t xml:space="preserve">SUMMARY OF </w:t>
            </w:r>
            <w:r w:rsidR="00540E60">
              <w:rPr>
                <w:rFonts w:eastAsia="Times New Roman"/>
                <w:b/>
                <w:szCs w:val="26"/>
              </w:rPr>
              <w:t>RENEWALS</w:t>
            </w:r>
          </w:p>
        </w:tc>
      </w:tr>
      <w:tr w:rsidR="00A53454" w:rsidRPr="00353536" w14:paraId="15952539" w14:textId="77777777" w:rsidTr="00A05784">
        <w:trPr>
          <w:trHeight w:val="394"/>
        </w:trPr>
        <w:tc>
          <w:tcPr>
            <w:tcW w:w="5693" w:type="dxa"/>
          </w:tcPr>
          <w:p w14:paraId="04CC1882" w14:textId="12415B7A" w:rsidR="00A53454" w:rsidRPr="00353536" w:rsidRDefault="00A53454" w:rsidP="00A53454">
            <w:pPr>
              <w:overflowPunct w:val="0"/>
              <w:autoSpaceDE w:val="0"/>
              <w:autoSpaceDN w:val="0"/>
              <w:adjustRightInd w:val="0"/>
              <w:spacing w:after="0" w:line="240" w:lineRule="auto"/>
              <w:textAlignment w:val="baseline"/>
              <w:rPr>
                <w:rFonts w:eastAsia="Times New Roman"/>
                <w:szCs w:val="26"/>
              </w:rPr>
            </w:pPr>
            <w:r w:rsidRPr="00D6273A">
              <w:rPr>
                <w:rFonts w:eastAsia="Times New Roman"/>
                <w:bCs/>
                <w:szCs w:val="26"/>
              </w:rPr>
              <w:t xml:space="preserve">University of Illinois at </w:t>
            </w:r>
            <w:r>
              <w:rPr>
                <w:rFonts w:eastAsia="Times New Roman"/>
                <w:bCs/>
                <w:szCs w:val="26"/>
              </w:rPr>
              <w:t>Urbana-Champaign</w:t>
            </w:r>
          </w:p>
        </w:tc>
        <w:tc>
          <w:tcPr>
            <w:tcW w:w="1902" w:type="dxa"/>
            <w:shd w:val="clear" w:color="auto" w:fill="auto"/>
          </w:tcPr>
          <w:p w14:paraId="24D4DFA9" w14:textId="77C2B012" w:rsidR="00A53454" w:rsidRPr="0097228A" w:rsidRDefault="00A53454" w:rsidP="00A53454">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 xml:space="preserve">$ </w:t>
            </w:r>
            <w:r w:rsidR="00391CD1">
              <w:rPr>
                <w:rFonts w:eastAsia="Times New Roman"/>
                <w:szCs w:val="26"/>
              </w:rPr>
              <w:t>6,3</w:t>
            </w:r>
            <w:r w:rsidR="00F24C73">
              <w:rPr>
                <w:rFonts w:eastAsia="Times New Roman"/>
                <w:szCs w:val="26"/>
              </w:rPr>
              <w:t>00,000</w:t>
            </w:r>
          </w:p>
        </w:tc>
      </w:tr>
      <w:tr w:rsidR="00540E60" w:rsidRPr="00353536" w14:paraId="777789C8" w14:textId="77777777" w:rsidTr="00A05784">
        <w:trPr>
          <w:trHeight w:val="394"/>
        </w:trPr>
        <w:tc>
          <w:tcPr>
            <w:tcW w:w="5693" w:type="dxa"/>
          </w:tcPr>
          <w:p w14:paraId="577EC4B0" w14:textId="77777777" w:rsidR="00540E60" w:rsidRPr="00353536" w:rsidRDefault="00540E60"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72CC3A56" w14:textId="354C73D9" w:rsidR="00540E60" w:rsidRPr="00D6273A" w:rsidRDefault="00540E60" w:rsidP="00540E60">
            <w:pPr>
              <w:overflowPunct w:val="0"/>
              <w:autoSpaceDE w:val="0"/>
              <w:autoSpaceDN w:val="0"/>
              <w:adjustRightInd w:val="0"/>
              <w:spacing w:after="0" w:line="240" w:lineRule="auto"/>
              <w:textAlignment w:val="baseline"/>
              <w:rPr>
                <w:rFonts w:eastAsia="Times New Roman"/>
                <w:bCs/>
                <w:szCs w:val="26"/>
              </w:rPr>
            </w:pPr>
            <w:r w:rsidRPr="00353536">
              <w:rPr>
                <w:rFonts w:eastAsia="Times New Roman"/>
                <w:color w:val="000000"/>
                <w:szCs w:val="26"/>
              </w:rPr>
              <w:t>Grand Total</w:t>
            </w:r>
          </w:p>
        </w:tc>
        <w:tc>
          <w:tcPr>
            <w:tcW w:w="1902" w:type="dxa"/>
            <w:shd w:val="clear" w:color="auto" w:fill="auto"/>
          </w:tcPr>
          <w:p w14:paraId="1FE6E1F7" w14:textId="62EC1C13" w:rsidR="00540E60" w:rsidRPr="0097228A" w:rsidRDefault="00F3539B" w:rsidP="00A53454">
            <w:pPr>
              <w:overflowPunct w:val="0"/>
              <w:autoSpaceDE w:val="0"/>
              <w:autoSpaceDN w:val="0"/>
              <w:adjustRightInd w:val="0"/>
              <w:spacing w:after="0" w:line="240" w:lineRule="auto"/>
              <w:textAlignment w:val="baseline"/>
              <w:rPr>
                <w:rFonts w:eastAsia="Times New Roman"/>
                <w:szCs w:val="26"/>
              </w:rPr>
            </w:pPr>
            <w:r>
              <w:rPr>
                <w:rFonts w:eastAsia="Times New Roman"/>
                <w:szCs w:val="26"/>
              </w:rPr>
              <w:t>$</w:t>
            </w:r>
            <w:r w:rsidR="00F24C73">
              <w:rPr>
                <w:rFonts w:eastAsia="Times New Roman"/>
                <w:szCs w:val="26"/>
              </w:rPr>
              <w:t xml:space="preserve"> </w:t>
            </w:r>
            <w:r w:rsidR="00391CD1">
              <w:rPr>
                <w:rFonts w:eastAsia="Times New Roman"/>
                <w:szCs w:val="26"/>
              </w:rPr>
              <w:t>6,3</w:t>
            </w:r>
            <w:r w:rsidR="00F24C73">
              <w:rPr>
                <w:rFonts w:eastAsia="Times New Roman"/>
                <w:szCs w:val="26"/>
              </w:rPr>
              <w:t>00,000</w:t>
            </w:r>
          </w:p>
        </w:tc>
      </w:tr>
      <w:tr w:rsidR="00540E60" w:rsidRPr="00353536" w14:paraId="1AF35B9C" w14:textId="77777777" w:rsidTr="00A05784">
        <w:trPr>
          <w:trHeight w:val="394"/>
        </w:trPr>
        <w:tc>
          <w:tcPr>
            <w:tcW w:w="5693" w:type="dxa"/>
          </w:tcPr>
          <w:p w14:paraId="77DAE2C5" w14:textId="77777777" w:rsidR="00540E60" w:rsidRPr="00D6273A" w:rsidRDefault="00540E60" w:rsidP="00A53454">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233A9F06" w14:textId="77777777" w:rsidR="00540E60" w:rsidRDefault="00540E60" w:rsidP="00A53454">
            <w:pPr>
              <w:overflowPunct w:val="0"/>
              <w:autoSpaceDE w:val="0"/>
              <w:autoSpaceDN w:val="0"/>
              <w:adjustRightInd w:val="0"/>
              <w:spacing w:after="0" w:line="240" w:lineRule="auto"/>
              <w:textAlignment w:val="baseline"/>
              <w:rPr>
                <w:rFonts w:eastAsia="Times New Roman"/>
                <w:szCs w:val="26"/>
              </w:rPr>
            </w:pPr>
          </w:p>
        </w:tc>
      </w:tr>
      <w:tr w:rsidR="00A53454" w:rsidRPr="00353536" w14:paraId="61494642" w14:textId="77777777" w:rsidTr="00FC7ED3">
        <w:trPr>
          <w:trHeight w:val="350"/>
        </w:trPr>
        <w:tc>
          <w:tcPr>
            <w:tcW w:w="7595" w:type="dxa"/>
            <w:gridSpan w:val="2"/>
          </w:tcPr>
          <w:p w14:paraId="7DB9F06B" w14:textId="2C629E05"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rPr>
            </w:pPr>
            <w:r w:rsidRPr="00353536">
              <w:rPr>
                <w:rFonts w:eastAsia="Times New Roman"/>
                <w:b/>
                <w:szCs w:val="26"/>
              </w:rPr>
              <w:t xml:space="preserve">SUMMARY OF </w:t>
            </w:r>
            <w:r>
              <w:rPr>
                <w:rFonts w:eastAsia="Times New Roman"/>
                <w:b/>
                <w:szCs w:val="26"/>
              </w:rPr>
              <w:t>CHANGE ORDERS</w:t>
            </w:r>
          </w:p>
        </w:tc>
      </w:tr>
      <w:tr w:rsidR="002F2D48" w:rsidRPr="00353536" w14:paraId="76E5AA4B" w14:textId="77777777" w:rsidTr="00A05784">
        <w:trPr>
          <w:trHeight w:val="350"/>
        </w:trPr>
        <w:tc>
          <w:tcPr>
            <w:tcW w:w="5693" w:type="dxa"/>
          </w:tcPr>
          <w:p w14:paraId="173C473F" w14:textId="11F046CA" w:rsidR="002F2D48" w:rsidRDefault="002F2D48"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6273A">
              <w:rPr>
                <w:rFonts w:eastAsia="Times New Roman"/>
                <w:bCs/>
                <w:szCs w:val="26"/>
              </w:rPr>
              <w:t xml:space="preserve">University of Illinois at </w:t>
            </w:r>
            <w:r>
              <w:rPr>
                <w:rFonts w:eastAsia="Times New Roman"/>
                <w:bCs/>
                <w:szCs w:val="26"/>
              </w:rPr>
              <w:t>Urbana-Champaign</w:t>
            </w:r>
          </w:p>
        </w:tc>
        <w:tc>
          <w:tcPr>
            <w:tcW w:w="1902" w:type="dxa"/>
            <w:shd w:val="clear" w:color="auto" w:fill="auto"/>
          </w:tcPr>
          <w:p w14:paraId="7E8607C9" w14:textId="09F9080C" w:rsidR="002F2D48" w:rsidRPr="00821EB7" w:rsidRDefault="00F3539B" w:rsidP="00A53454">
            <w:pPr>
              <w:overflowPunct w:val="0"/>
              <w:autoSpaceDE w:val="0"/>
              <w:autoSpaceDN w:val="0"/>
              <w:adjustRightInd w:val="0"/>
              <w:spacing w:after="0" w:line="240" w:lineRule="auto"/>
              <w:textAlignment w:val="baseline"/>
              <w:rPr>
                <w:rFonts w:eastAsia="Times New Roman"/>
                <w:szCs w:val="26"/>
              </w:rPr>
            </w:pPr>
            <w:r>
              <w:rPr>
                <w:rFonts w:eastAsia="Times New Roman"/>
                <w:szCs w:val="26"/>
              </w:rPr>
              <w:t>$ 1</w:t>
            </w:r>
            <w:r w:rsidR="00F24C73">
              <w:rPr>
                <w:rFonts w:eastAsia="Times New Roman"/>
                <w:szCs w:val="26"/>
              </w:rPr>
              <w:t>1,000,000</w:t>
            </w:r>
          </w:p>
        </w:tc>
      </w:tr>
      <w:tr w:rsidR="00A53454" w:rsidRPr="00353536" w14:paraId="1EE89680" w14:textId="77777777" w:rsidTr="00A05784">
        <w:trPr>
          <w:trHeight w:val="350"/>
        </w:trPr>
        <w:tc>
          <w:tcPr>
            <w:tcW w:w="5693" w:type="dxa"/>
          </w:tcPr>
          <w:p w14:paraId="1298BE8D" w14:textId="1B29609A"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Pr>
                <w:rFonts w:eastAsia="Times New Roman"/>
                <w:color w:val="000000"/>
                <w:szCs w:val="26"/>
              </w:rPr>
              <w:t xml:space="preserve">University of Illinois at </w:t>
            </w:r>
            <w:r w:rsidR="00F24C73">
              <w:rPr>
                <w:rFonts w:eastAsia="Times New Roman"/>
                <w:color w:val="000000"/>
                <w:szCs w:val="26"/>
              </w:rPr>
              <w:t>Urbana-Champaign</w:t>
            </w:r>
          </w:p>
        </w:tc>
        <w:tc>
          <w:tcPr>
            <w:tcW w:w="1902" w:type="dxa"/>
            <w:shd w:val="clear" w:color="auto" w:fill="auto"/>
          </w:tcPr>
          <w:p w14:paraId="08D2ED5C" w14:textId="203398DB" w:rsidR="00A53454" w:rsidRPr="00F3539B" w:rsidRDefault="00A53454"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 xml:space="preserve">$ </w:t>
            </w:r>
            <w:r w:rsidR="00F24C73">
              <w:rPr>
                <w:rFonts w:eastAsia="Times New Roman"/>
                <w:szCs w:val="26"/>
              </w:rPr>
              <w:t>25,000,000</w:t>
            </w:r>
          </w:p>
        </w:tc>
      </w:tr>
      <w:tr w:rsidR="00A53454" w:rsidRPr="00353536" w14:paraId="5449BA2F" w14:textId="77777777" w:rsidTr="00A05784">
        <w:trPr>
          <w:trHeight w:val="350"/>
        </w:trPr>
        <w:tc>
          <w:tcPr>
            <w:tcW w:w="5693" w:type="dxa"/>
          </w:tcPr>
          <w:p w14:paraId="41FBB381" w14:textId="359E226F"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 xml:space="preserve">Recommended from </w:t>
            </w:r>
            <w:r>
              <w:rPr>
                <w:rFonts w:eastAsia="Times New Roman"/>
                <w:color w:val="000000"/>
                <w:szCs w:val="26"/>
              </w:rPr>
              <w:t>Institutional</w:t>
            </w:r>
            <w:r w:rsidRPr="00353536">
              <w:rPr>
                <w:rFonts w:eastAsia="Times New Roman"/>
                <w:color w:val="000000"/>
                <w:szCs w:val="26"/>
              </w:rPr>
              <w:t xml:space="preserve"> Funds</w:t>
            </w:r>
          </w:p>
          <w:p w14:paraId="14C85AB8" w14:textId="702231E1"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Grand Total</w:t>
            </w:r>
          </w:p>
        </w:tc>
        <w:tc>
          <w:tcPr>
            <w:tcW w:w="1902" w:type="dxa"/>
            <w:shd w:val="clear" w:color="auto" w:fill="auto"/>
          </w:tcPr>
          <w:p w14:paraId="654CF46C" w14:textId="3CC698D5" w:rsidR="00CC0310" w:rsidRPr="00F3539B" w:rsidRDefault="00540E60"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 xml:space="preserve">$ </w:t>
            </w:r>
            <w:r w:rsidR="00F24C73">
              <w:rPr>
                <w:rFonts w:eastAsia="Times New Roman"/>
                <w:szCs w:val="26"/>
              </w:rPr>
              <w:t>36,000,000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FC0C09">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9E53" w14:textId="77777777" w:rsidR="00172298" w:rsidRDefault="00172298" w:rsidP="00A817DF">
      <w:pPr>
        <w:spacing w:after="0" w:line="240" w:lineRule="auto"/>
      </w:pPr>
      <w:r>
        <w:separator/>
      </w:r>
    </w:p>
  </w:endnote>
  <w:endnote w:type="continuationSeparator" w:id="0">
    <w:p w14:paraId="1AD1A390" w14:textId="77777777" w:rsidR="00172298" w:rsidRDefault="00172298"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550A" w14:textId="77777777" w:rsidR="00172298" w:rsidRDefault="00172298" w:rsidP="00A817DF">
      <w:pPr>
        <w:spacing w:after="0" w:line="240" w:lineRule="auto"/>
      </w:pPr>
      <w:r>
        <w:separator/>
      </w:r>
    </w:p>
  </w:footnote>
  <w:footnote w:type="continuationSeparator" w:id="0">
    <w:p w14:paraId="69E978C0" w14:textId="77777777" w:rsidR="00172298" w:rsidRDefault="00172298"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wNDM3NjA3tzQyMzRU0lEKTi0uzszPAykwrAUAXiHLrywAAAA="/>
  </w:docVars>
  <w:rsids>
    <w:rsidRoot w:val="00790C45"/>
    <w:rsid w:val="000031A9"/>
    <w:rsid w:val="00004D4E"/>
    <w:rsid w:val="00010EA7"/>
    <w:rsid w:val="00011B5E"/>
    <w:rsid w:val="00012052"/>
    <w:rsid w:val="000143EE"/>
    <w:rsid w:val="00015DC9"/>
    <w:rsid w:val="00024F05"/>
    <w:rsid w:val="00040E89"/>
    <w:rsid w:val="00044FA0"/>
    <w:rsid w:val="00045674"/>
    <w:rsid w:val="00045879"/>
    <w:rsid w:val="00050736"/>
    <w:rsid w:val="000623F4"/>
    <w:rsid w:val="000628A6"/>
    <w:rsid w:val="000671B9"/>
    <w:rsid w:val="000707D0"/>
    <w:rsid w:val="000715A9"/>
    <w:rsid w:val="00075885"/>
    <w:rsid w:val="00080C61"/>
    <w:rsid w:val="00081788"/>
    <w:rsid w:val="00081B16"/>
    <w:rsid w:val="000833FC"/>
    <w:rsid w:val="00084D66"/>
    <w:rsid w:val="00085CAE"/>
    <w:rsid w:val="00086CBF"/>
    <w:rsid w:val="00090A46"/>
    <w:rsid w:val="00091912"/>
    <w:rsid w:val="00091CFA"/>
    <w:rsid w:val="0009228A"/>
    <w:rsid w:val="00094741"/>
    <w:rsid w:val="000A0032"/>
    <w:rsid w:val="000A16D9"/>
    <w:rsid w:val="000B04AB"/>
    <w:rsid w:val="000B3155"/>
    <w:rsid w:val="000B3742"/>
    <w:rsid w:val="000B5B85"/>
    <w:rsid w:val="000B69D6"/>
    <w:rsid w:val="000C2912"/>
    <w:rsid w:val="000C6006"/>
    <w:rsid w:val="000D35D5"/>
    <w:rsid w:val="000D5BC3"/>
    <w:rsid w:val="000D6281"/>
    <w:rsid w:val="000E15C9"/>
    <w:rsid w:val="000E51D1"/>
    <w:rsid w:val="000F53D3"/>
    <w:rsid w:val="000F72ED"/>
    <w:rsid w:val="001069F8"/>
    <w:rsid w:val="00112E2B"/>
    <w:rsid w:val="00114F6C"/>
    <w:rsid w:val="00124B96"/>
    <w:rsid w:val="00125422"/>
    <w:rsid w:val="00130E3F"/>
    <w:rsid w:val="00141D9C"/>
    <w:rsid w:val="00151197"/>
    <w:rsid w:val="00152827"/>
    <w:rsid w:val="001610D8"/>
    <w:rsid w:val="00162A4C"/>
    <w:rsid w:val="00165B0B"/>
    <w:rsid w:val="00172298"/>
    <w:rsid w:val="00172D76"/>
    <w:rsid w:val="001730D7"/>
    <w:rsid w:val="00182841"/>
    <w:rsid w:val="00184765"/>
    <w:rsid w:val="00196069"/>
    <w:rsid w:val="0019733B"/>
    <w:rsid w:val="001A0B41"/>
    <w:rsid w:val="001A31BF"/>
    <w:rsid w:val="001A33EE"/>
    <w:rsid w:val="001A4080"/>
    <w:rsid w:val="001A5F67"/>
    <w:rsid w:val="001B2AC1"/>
    <w:rsid w:val="001B4A24"/>
    <w:rsid w:val="001B4AC0"/>
    <w:rsid w:val="001B4D8B"/>
    <w:rsid w:val="001B762B"/>
    <w:rsid w:val="001C153F"/>
    <w:rsid w:val="001D3AA7"/>
    <w:rsid w:val="001D78B4"/>
    <w:rsid w:val="001E6078"/>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17BC"/>
    <w:rsid w:val="00264C63"/>
    <w:rsid w:val="00271695"/>
    <w:rsid w:val="00271CE3"/>
    <w:rsid w:val="00274904"/>
    <w:rsid w:val="00274EEF"/>
    <w:rsid w:val="00276FA8"/>
    <w:rsid w:val="00280F0E"/>
    <w:rsid w:val="002837F0"/>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E0B93"/>
    <w:rsid w:val="002E1375"/>
    <w:rsid w:val="002E31C2"/>
    <w:rsid w:val="002E44F4"/>
    <w:rsid w:val="002F04D8"/>
    <w:rsid w:val="002F2D48"/>
    <w:rsid w:val="002F4DAF"/>
    <w:rsid w:val="00302C3A"/>
    <w:rsid w:val="003045AE"/>
    <w:rsid w:val="00306B06"/>
    <w:rsid w:val="00307B8F"/>
    <w:rsid w:val="00307D0C"/>
    <w:rsid w:val="00315A3D"/>
    <w:rsid w:val="003175D4"/>
    <w:rsid w:val="00317DD0"/>
    <w:rsid w:val="00333ECF"/>
    <w:rsid w:val="003376C9"/>
    <w:rsid w:val="00343729"/>
    <w:rsid w:val="00346ABB"/>
    <w:rsid w:val="00353536"/>
    <w:rsid w:val="00354DFE"/>
    <w:rsid w:val="00357D48"/>
    <w:rsid w:val="00361DE1"/>
    <w:rsid w:val="00363B1C"/>
    <w:rsid w:val="003672DA"/>
    <w:rsid w:val="00372028"/>
    <w:rsid w:val="00380E12"/>
    <w:rsid w:val="003900FD"/>
    <w:rsid w:val="003907E9"/>
    <w:rsid w:val="00390FC0"/>
    <w:rsid w:val="00391558"/>
    <w:rsid w:val="00391CD1"/>
    <w:rsid w:val="0039204D"/>
    <w:rsid w:val="00392E0F"/>
    <w:rsid w:val="00395D90"/>
    <w:rsid w:val="003A175C"/>
    <w:rsid w:val="003A2088"/>
    <w:rsid w:val="003A5B58"/>
    <w:rsid w:val="003B7D68"/>
    <w:rsid w:val="003C1ADD"/>
    <w:rsid w:val="003C4265"/>
    <w:rsid w:val="003D06D9"/>
    <w:rsid w:val="003D1DBE"/>
    <w:rsid w:val="003D312D"/>
    <w:rsid w:val="003D5357"/>
    <w:rsid w:val="003D7C25"/>
    <w:rsid w:val="003E14BF"/>
    <w:rsid w:val="003E1FA3"/>
    <w:rsid w:val="003E42E4"/>
    <w:rsid w:val="003E62CF"/>
    <w:rsid w:val="003F3C8D"/>
    <w:rsid w:val="003F4DDE"/>
    <w:rsid w:val="003F6C7A"/>
    <w:rsid w:val="00416087"/>
    <w:rsid w:val="00420B03"/>
    <w:rsid w:val="00425BB7"/>
    <w:rsid w:val="00426458"/>
    <w:rsid w:val="00427DA3"/>
    <w:rsid w:val="00431751"/>
    <w:rsid w:val="00432068"/>
    <w:rsid w:val="00435F85"/>
    <w:rsid w:val="00437797"/>
    <w:rsid w:val="00450F9C"/>
    <w:rsid w:val="00457CDE"/>
    <w:rsid w:val="004645D1"/>
    <w:rsid w:val="00464D6F"/>
    <w:rsid w:val="00467717"/>
    <w:rsid w:val="00470228"/>
    <w:rsid w:val="0047290A"/>
    <w:rsid w:val="00477568"/>
    <w:rsid w:val="00480227"/>
    <w:rsid w:val="00481670"/>
    <w:rsid w:val="0048342A"/>
    <w:rsid w:val="00487510"/>
    <w:rsid w:val="00495DDF"/>
    <w:rsid w:val="004A1335"/>
    <w:rsid w:val="004A6CB4"/>
    <w:rsid w:val="004A7669"/>
    <w:rsid w:val="004A7B2E"/>
    <w:rsid w:val="004B23AD"/>
    <w:rsid w:val="004B2BDA"/>
    <w:rsid w:val="004C0608"/>
    <w:rsid w:val="004C09BF"/>
    <w:rsid w:val="004C43B8"/>
    <w:rsid w:val="004D28A4"/>
    <w:rsid w:val="004E2F4F"/>
    <w:rsid w:val="004F31D7"/>
    <w:rsid w:val="004F787F"/>
    <w:rsid w:val="005122F2"/>
    <w:rsid w:val="005145D8"/>
    <w:rsid w:val="00517741"/>
    <w:rsid w:val="00525289"/>
    <w:rsid w:val="00525D4A"/>
    <w:rsid w:val="00526A44"/>
    <w:rsid w:val="00537F38"/>
    <w:rsid w:val="00540E60"/>
    <w:rsid w:val="00542702"/>
    <w:rsid w:val="00552EB0"/>
    <w:rsid w:val="00555371"/>
    <w:rsid w:val="00562F88"/>
    <w:rsid w:val="0057172C"/>
    <w:rsid w:val="005733AC"/>
    <w:rsid w:val="00573A23"/>
    <w:rsid w:val="005745EF"/>
    <w:rsid w:val="005917CC"/>
    <w:rsid w:val="00595029"/>
    <w:rsid w:val="005978EE"/>
    <w:rsid w:val="005C04A8"/>
    <w:rsid w:val="005C38D7"/>
    <w:rsid w:val="005C393C"/>
    <w:rsid w:val="005C45AE"/>
    <w:rsid w:val="005D08FB"/>
    <w:rsid w:val="005D66E5"/>
    <w:rsid w:val="005D6E7E"/>
    <w:rsid w:val="005E0483"/>
    <w:rsid w:val="005E0799"/>
    <w:rsid w:val="005E6979"/>
    <w:rsid w:val="005E70D5"/>
    <w:rsid w:val="00602119"/>
    <w:rsid w:val="0060572F"/>
    <w:rsid w:val="006059B6"/>
    <w:rsid w:val="00606D2C"/>
    <w:rsid w:val="00610227"/>
    <w:rsid w:val="00621395"/>
    <w:rsid w:val="00622E41"/>
    <w:rsid w:val="00631E2A"/>
    <w:rsid w:val="00652AC9"/>
    <w:rsid w:val="00652B42"/>
    <w:rsid w:val="00652F1D"/>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B7E00"/>
    <w:rsid w:val="006C0830"/>
    <w:rsid w:val="006C5858"/>
    <w:rsid w:val="006D4B9B"/>
    <w:rsid w:val="006D7B82"/>
    <w:rsid w:val="006E2C01"/>
    <w:rsid w:val="006F037C"/>
    <w:rsid w:val="006F4DF5"/>
    <w:rsid w:val="006F53BA"/>
    <w:rsid w:val="00703E4D"/>
    <w:rsid w:val="007071F3"/>
    <w:rsid w:val="00711A18"/>
    <w:rsid w:val="007123BD"/>
    <w:rsid w:val="00725371"/>
    <w:rsid w:val="00725DF2"/>
    <w:rsid w:val="00752484"/>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49EB"/>
    <w:rsid w:val="007C715E"/>
    <w:rsid w:val="007D2DAF"/>
    <w:rsid w:val="007D384F"/>
    <w:rsid w:val="007E11BA"/>
    <w:rsid w:val="007E5C88"/>
    <w:rsid w:val="007F0D35"/>
    <w:rsid w:val="007F1BA7"/>
    <w:rsid w:val="007F2C48"/>
    <w:rsid w:val="00800461"/>
    <w:rsid w:val="00802220"/>
    <w:rsid w:val="00803F05"/>
    <w:rsid w:val="00804CCE"/>
    <w:rsid w:val="00806DE8"/>
    <w:rsid w:val="0081581A"/>
    <w:rsid w:val="0081669D"/>
    <w:rsid w:val="00821EB7"/>
    <w:rsid w:val="00822060"/>
    <w:rsid w:val="00824193"/>
    <w:rsid w:val="008327E0"/>
    <w:rsid w:val="008331ED"/>
    <w:rsid w:val="00833E5D"/>
    <w:rsid w:val="00834684"/>
    <w:rsid w:val="00837CEB"/>
    <w:rsid w:val="00840758"/>
    <w:rsid w:val="00850E03"/>
    <w:rsid w:val="00852D8E"/>
    <w:rsid w:val="00856201"/>
    <w:rsid w:val="0086174B"/>
    <w:rsid w:val="00862ECF"/>
    <w:rsid w:val="00866607"/>
    <w:rsid w:val="008667B4"/>
    <w:rsid w:val="0088073D"/>
    <w:rsid w:val="00881246"/>
    <w:rsid w:val="008856C6"/>
    <w:rsid w:val="00896404"/>
    <w:rsid w:val="008A0A3A"/>
    <w:rsid w:val="008A49BE"/>
    <w:rsid w:val="008A4E81"/>
    <w:rsid w:val="008A5F5A"/>
    <w:rsid w:val="008A76F6"/>
    <w:rsid w:val="008B1803"/>
    <w:rsid w:val="008C5291"/>
    <w:rsid w:val="008D3D78"/>
    <w:rsid w:val="008E48B9"/>
    <w:rsid w:val="00903D90"/>
    <w:rsid w:val="0090482B"/>
    <w:rsid w:val="009112AA"/>
    <w:rsid w:val="009140AC"/>
    <w:rsid w:val="00916E9E"/>
    <w:rsid w:val="0091703F"/>
    <w:rsid w:val="009208B6"/>
    <w:rsid w:val="00921042"/>
    <w:rsid w:val="0092193D"/>
    <w:rsid w:val="00923084"/>
    <w:rsid w:val="009239A5"/>
    <w:rsid w:val="0093137B"/>
    <w:rsid w:val="00932F29"/>
    <w:rsid w:val="00934E68"/>
    <w:rsid w:val="00934FC6"/>
    <w:rsid w:val="00937704"/>
    <w:rsid w:val="00937AC3"/>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1FAA"/>
    <w:rsid w:val="009B3812"/>
    <w:rsid w:val="009C04C5"/>
    <w:rsid w:val="009C37EA"/>
    <w:rsid w:val="009C42A4"/>
    <w:rsid w:val="009D005A"/>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572B"/>
    <w:rsid w:val="00AD6BCE"/>
    <w:rsid w:val="00AE5100"/>
    <w:rsid w:val="00AE655F"/>
    <w:rsid w:val="00AE6FCA"/>
    <w:rsid w:val="00AE7E41"/>
    <w:rsid w:val="00AF1920"/>
    <w:rsid w:val="00AF7580"/>
    <w:rsid w:val="00AF7A7C"/>
    <w:rsid w:val="00B07E57"/>
    <w:rsid w:val="00B16D5F"/>
    <w:rsid w:val="00B175A3"/>
    <w:rsid w:val="00B32B03"/>
    <w:rsid w:val="00B34107"/>
    <w:rsid w:val="00B37520"/>
    <w:rsid w:val="00B42D4C"/>
    <w:rsid w:val="00B51B04"/>
    <w:rsid w:val="00B53ECD"/>
    <w:rsid w:val="00B557C9"/>
    <w:rsid w:val="00B55900"/>
    <w:rsid w:val="00B57AE3"/>
    <w:rsid w:val="00B62DED"/>
    <w:rsid w:val="00B64B99"/>
    <w:rsid w:val="00B64FF8"/>
    <w:rsid w:val="00B7436F"/>
    <w:rsid w:val="00B74CD2"/>
    <w:rsid w:val="00B75F06"/>
    <w:rsid w:val="00B775E6"/>
    <w:rsid w:val="00B77647"/>
    <w:rsid w:val="00B81279"/>
    <w:rsid w:val="00B81529"/>
    <w:rsid w:val="00B93AC4"/>
    <w:rsid w:val="00B973C4"/>
    <w:rsid w:val="00BA1D2D"/>
    <w:rsid w:val="00BA1FD0"/>
    <w:rsid w:val="00BA31FA"/>
    <w:rsid w:val="00BB45D5"/>
    <w:rsid w:val="00BD5FE0"/>
    <w:rsid w:val="00BE6129"/>
    <w:rsid w:val="00BF0F74"/>
    <w:rsid w:val="00BF29E2"/>
    <w:rsid w:val="00BF79DF"/>
    <w:rsid w:val="00C16DFA"/>
    <w:rsid w:val="00C279B8"/>
    <w:rsid w:val="00C411D8"/>
    <w:rsid w:val="00C413AA"/>
    <w:rsid w:val="00C41497"/>
    <w:rsid w:val="00C4531C"/>
    <w:rsid w:val="00C54A45"/>
    <w:rsid w:val="00C55686"/>
    <w:rsid w:val="00C56EDF"/>
    <w:rsid w:val="00C70B26"/>
    <w:rsid w:val="00C71135"/>
    <w:rsid w:val="00C73B9E"/>
    <w:rsid w:val="00C754ED"/>
    <w:rsid w:val="00CA1216"/>
    <w:rsid w:val="00CA6A48"/>
    <w:rsid w:val="00CA7D87"/>
    <w:rsid w:val="00CB17B7"/>
    <w:rsid w:val="00CB625C"/>
    <w:rsid w:val="00CB7456"/>
    <w:rsid w:val="00CC0310"/>
    <w:rsid w:val="00CD33D1"/>
    <w:rsid w:val="00CD3429"/>
    <w:rsid w:val="00CD4B28"/>
    <w:rsid w:val="00CE657C"/>
    <w:rsid w:val="00CF0EC5"/>
    <w:rsid w:val="00CF6C35"/>
    <w:rsid w:val="00CF7DF5"/>
    <w:rsid w:val="00D0051A"/>
    <w:rsid w:val="00D058D4"/>
    <w:rsid w:val="00D1519C"/>
    <w:rsid w:val="00D202A1"/>
    <w:rsid w:val="00D20528"/>
    <w:rsid w:val="00D20988"/>
    <w:rsid w:val="00D2252D"/>
    <w:rsid w:val="00D23363"/>
    <w:rsid w:val="00D30961"/>
    <w:rsid w:val="00D33D9D"/>
    <w:rsid w:val="00D452DC"/>
    <w:rsid w:val="00D4686B"/>
    <w:rsid w:val="00D53AE3"/>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6846"/>
    <w:rsid w:val="00DE6907"/>
    <w:rsid w:val="00DF4C72"/>
    <w:rsid w:val="00DF4DBC"/>
    <w:rsid w:val="00E026AB"/>
    <w:rsid w:val="00E11F13"/>
    <w:rsid w:val="00E31D29"/>
    <w:rsid w:val="00E3408D"/>
    <w:rsid w:val="00E44C01"/>
    <w:rsid w:val="00E44D3C"/>
    <w:rsid w:val="00E50F57"/>
    <w:rsid w:val="00E612F0"/>
    <w:rsid w:val="00E61324"/>
    <w:rsid w:val="00E6345C"/>
    <w:rsid w:val="00E65C97"/>
    <w:rsid w:val="00E678BD"/>
    <w:rsid w:val="00E757FE"/>
    <w:rsid w:val="00E805DA"/>
    <w:rsid w:val="00E805FF"/>
    <w:rsid w:val="00E859F8"/>
    <w:rsid w:val="00E94B0E"/>
    <w:rsid w:val="00E9558D"/>
    <w:rsid w:val="00EA78BD"/>
    <w:rsid w:val="00EB675E"/>
    <w:rsid w:val="00EC160D"/>
    <w:rsid w:val="00EC188D"/>
    <w:rsid w:val="00EC4354"/>
    <w:rsid w:val="00EC5861"/>
    <w:rsid w:val="00ED2C9D"/>
    <w:rsid w:val="00ED2FEE"/>
    <w:rsid w:val="00ED57F4"/>
    <w:rsid w:val="00EF06B3"/>
    <w:rsid w:val="00EF100E"/>
    <w:rsid w:val="00EF2B70"/>
    <w:rsid w:val="00EF33AD"/>
    <w:rsid w:val="00EF47C6"/>
    <w:rsid w:val="00EF52E4"/>
    <w:rsid w:val="00F03156"/>
    <w:rsid w:val="00F052D8"/>
    <w:rsid w:val="00F073A6"/>
    <w:rsid w:val="00F076EC"/>
    <w:rsid w:val="00F122AF"/>
    <w:rsid w:val="00F13CFE"/>
    <w:rsid w:val="00F17643"/>
    <w:rsid w:val="00F22646"/>
    <w:rsid w:val="00F23B9C"/>
    <w:rsid w:val="00F24C73"/>
    <w:rsid w:val="00F3108F"/>
    <w:rsid w:val="00F32041"/>
    <w:rsid w:val="00F33E3E"/>
    <w:rsid w:val="00F3539B"/>
    <w:rsid w:val="00F35A06"/>
    <w:rsid w:val="00F376EB"/>
    <w:rsid w:val="00F37A72"/>
    <w:rsid w:val="00F41ABD"/>
    <w:rsid w:val="00F4322A"/>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A54"/>
    <w:rsid w:val="00F9536A"/>
    <w:rsid w:val="00FA423B"/>
    <w:rsid w:val="00FB766B"/>
    <w:rsid w:val="00FC0C09"/>
    <w:rsid w:val="00FC4CA9"/>
    <w:rsid w:val="00FC5D5F"/>
    <w:rsid w:val="00FD10D6"/>
    <w:rsid w:val="00FD438A"/>
    <w:rsid w:val="00FD52BB"/>
    <w:rsid w:val="00FE3653"/>
    <w:rsid w:val="00FE4204"/>
    <w:rsid w:val="00FE4C20"/>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76018">
      <w:bodyDiv w:val="1"/>
      <w:marLeft w:val="0"/>
      <w:marRight w:val="0"/>
      <w:marTop w:val="0"/>
      <w:marBottom w:val="0"/>
      <w:divBdr>
        <w:top w:val="none" w:sz="0" w:space="0" w:color="auto"/>
        <w:left w:val="none" w:sz="0" w:space="0" w:color="auto"/>
        <w:bottom w:val="none" w:sz="0" w:space="0" w:color="auto"/>
        <w:right w:val="none" w:sz="0" w:space="0" w:color="auto"/>
      </w:divBdr>
    </w:div>
    <w:div w:id="476651538">
      <w:bodyDiv w:val="1"/>
      <w:marLeft w:val="0"/>
      <w:marRight w:val="0"/>
      <w:marTop w:val="0"/>
      <w:marBottom w:val="0"/>
      <w:divBdr>
        <w:top w:val="none" w:sz="0" w:space="0" w:color="auto"/>
        <w:left w:val="none" w:sz="0" w:space="0" w:color="auto"/>
        <w:bottom w:val="none" w:sz="0" w:space="0" w:color="auto"/>
        <w:right w:val="none" w:sz="0" w:space="0" w:color="auto"/>
      </w:divBdr>
    </w:div>
    <w:div w:id="640840854">
      <w:bodyDiv w:val="1"/>
      <w:marLeft w:val="0"/>
      <w:marRight w:val="0"/>
      <w:marTop w:val="0"/>
      <w:marBottom w:val="0"/>
      <w:divBdr>
        <w:top w:val="none" w:sz="0" w:space="0" w:color="auto"/>
        <w:left w:val="none" w:sz="0" w:space="0" w:color="auto"/>
        <w:bottom w:val="none" w:sz="0" w:space="0" w:color="auto"/>
        <w:right w:val="none" w:sz="0" w:space="0" w:color="auto"/>
      </w:divBdr>
    </w:div>
    <w:div w:id="747730516">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883445807">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48928419">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401906310">
      <w:bodyDiv w:val="1"/>
      <w:marLeft w:val="0"/>
      <w:marRight w:val="0"/>
      <w:marTop w:val="0"/>
      <w:marBottom w:val="0"/>
      <w:divBdr>
        <w:top w:val="none" w:sz="0" w:space="0" w:color="auto"/>
        <w:left w:val="none" w:sz="0" w:space="0" w:color="auto"/>
        <w:bottom w:val="none" w:sz="0" w:space="0" w:color="auto"/>
        <w:right w:val="none" w:sz="0" w:space="0" w:color="auto"/>
      </w:divBdr>
    </w:div>
    <w:div w:id="1544975148">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59548595">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 w:id="21195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4</cp:revision>
  <cp:lastPrinted>2024-02-21T15:44:00Z</cp:lastPrinted>
  <dcterms:created xsi:type="dcterms:W3CDTF">2024-07-10T20:48:00Z</dcterms:created>
  <dcterms:modified xsi:type="dcterms:W3CDTF">2024-07-11T17:28:00Z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f19bc3559e27e114fd2a7787e57082e17c05a038440a3d4b1a92f7101eb8e898</vt:lpwstr>
  </property>
</Properties>
</file>