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755" w:type="dxa"/>
        <w:tblLook w:val="04A0" w:firstRow="1" w:lastRow="0" w:firstColumn="1" w:lastColumn="0" w:noHBand="0" w:noVBand="1"/>
      </w:tblPr>
      <w:tblGrid>
        <w:gridCol w:w="2785"/>
        <w:gridCol w:w="1260"/>
        <w:gridCol w:w="236"/>
        <w:gridCol w:w="2880"/>
        <w:gridCol w:w="990"/>
        <w:gridCol w:w="990"/>
        <w:gridCol w:w="236"/>
        <w:gridCol w:w="4118"/>
        <w:gridCol w:w="1260"/>
      </w:tblGrid>
      <w:tr w:rsidR="00AB06D4" w14:paraId="4C39C6D7" w14:textId="77777777" w:rsidTr="00D061EF">
        <w:tc>
          <w:tcPr>
            <w:tcW w:w="2785" w:type="dxa"/>
            <w:shd w:val="clear" w:color="auto" w:fill="1F3864" w:themeFill="accent1" w:themeFillShade="80"/>
            <w:vAlign w:val="center"/>
          </w:tcPr>
          <w:p w14:paraId="4F65FB7D" w14:textId="20205E98" w:rsidR="00AB06D4" w:rsidRDefault="00AB06D4" w:rsidP="008F1C4A">
            <w:pPr>
              <w:jc w:val="center"/>
            </w:pPr>
            <w:r w:rsidRPr="00770487">
              <w:rPr>
                <w:b/>
                <w:bCs/>
              </w:rPr>
              <w:t>Policy CP Requirements</w:t>
            </w:r>
          </w:p>
        </w:tc>
        <w:tc>
          <w:tcPr>
            <w:tcW w:w="1260" w:type="dxa"/>
            <w:shd w:val="clear" w:color="auto" w:fill="1F3864" w:themeFill="accent1" w:themeFillShade="80"/>
            <w:vAlign w:val="center"/>
          </w:tcPr>
          <w:p w14:paraId="160A224D" w14:textId="7A19EB54" w:rsidR="00AB06D4" w:rsidRDefault="00AB06D4" w:rsidP="008F1C4A">
            <w:pPr>
              <w:jc w:val="center"/>
            </w:pPr>
          </w:p>
        </w:tc>
        <w:tc>
          <w:tcPr>
            <w:tcW w:w="236" w:type="dxa"/>
            <w:shd w:val="clear" w:color="auto" w:fill="1F3864" w:themeFill="accent1" w:themeFillShade="80"/>
            <w:vAlign w:val="center"/>
          </w:tcPr>
          <w:p w14:paraId="1DD29D4C" w14:textId="77777777" w:rsidR="00AB06D4" w:rsidRDefault="00AB06D4" w:rsidP="008F1C4A">
            <w:pPr>
              <w:jc w:val="center"/>
            </w:pPr>
          </w:p>
        </w:tc>
        <w:tc>
          <w:tcPr>
            <w:tcW w:w="2880" w:type="dxa"/>
            <w:shd w:val="clear" w:color="auto" w:fill="1F3864" w:themeFill="accent1" w:themeFillShade="80"/>
          </w:tcPr>
          <w:p w14:paraId="7F49B660" w14:textId="77777777" w:rsidR="00AB06D4" w:rsidRPr="008C5798" w:rsidRDefault="00AB06D4" w:rsidP="008C5798">
            <w:pPr>
              <w:jc w:val="center"/>
              <w:rPr>
                <w:b/>
                <w:bCs/>
              </w:rPr>
            </w:pPr>
            <w:r w:rsidRPr="008C5798">
              <w:rPr>
                <w:b/>
                <w:bCs/>
              </w:rPr>
              <w:t>Hedging Position Summary</w:t>
            </w:r>
          </w:p>
          <w:p w14:paraId="33E91E5D" w14:textId="0D17FDB8" w:rsidR="00AB06D4" w:rsidRDefault="00AB06D4" w:rsidP="008C5798">
            <w:pPr>
              <w:jc w:val="center"/>
            </w:pPr>
            <w:r w:rsidRPr="007B78A1">
              <w:rPr>
                <w:b/>
                <w:bCs/>
                <w:sz w:val="18"/>
                <w:szCs w:val="18"/>
              </w:rPr>
              <w:t>(In Millions)</w:t>
            </w:r>
          </w:p>
        </w:tc>
        <w:tc>
          <w:tcPr>
            <w:tcW w:w="990" w:type="dxa"/>
            <w:shd w:val="clear" w:color="auto" w:fill="1F3864" w:themeFill="accent1" w:themeFillShade="80"/>
          </w:tcPr>
          <w:p w14:paraId="34D1220C" w14:textId="77777777" w:rsidR="00AB06D4" w:rsidRDefault="00AB06D4" w:rsidP="00527465">
            <w:pPr>
              <w:jc w:val="center"/>
              <w:rPr>
                <w:b/>
                <w:bCs/>
                <w:sz w:val="20"/>
                <w:szCs w:val="20"/>
              </w:rPr>
            </w:pPr>
          </w:p>
          <w:p w14:paraId="113EA0A4" w14:textId="6C6D3683" w:rsidR="00AB06D4" w:rsidRPr="008C5798" w:rsidRDefault="00AB06D4" w:rsidP="00527465">
            <w:pPr>
              <w:jc w:val="center"/>
              <w:rPr>
                <w:b/>
                <w:bCs/>
              </w:rPr>
            </w:pPr>
            <w:r w:rsidRPr="008C5798">
              <w:rPr>
                <w:b/>
                <w:bCs/>
                <w:sz w:val="20"/>
                <w:szCs w:val="20"/>
              </w:rPr>
              <w:t>Notional</w:t>
            </w:r>
          </w:p>
        </w:tc>
        <w:tc>
          <w:tcPr>
            <w:tcW w:w="990" w:type="dxa"/>
            <w:shd w:val="clear" w:color="auto" w:fill="1F3864" w:themeFill="accent1" w:themeFillShade="80"/>
          </w:tcPr>
          <w:p w14:paraId="56810B68" w14:textId="77777777" w:rsidR="00AB06D4" w:rsidRDefault="00AB06D4" w:rsidP="00527465">
            <w:pPr>
              <w:jc w:val="center"/>
              <w:rPr>
                <w:b/>
                <w:bCs/>
                <w:sz w:val="20"/>
                <w:szCs w:val="20"/>
              </w:rPr>
            </w:pPr>
          </w:p>
          <w:p w14:paraId="2AA578AA" w14:textId="5613F3E9" w:rsidR="00AB06D4" w:rsidRPr="008C5798" w:rsidRDefault="00AB06D4" w:rsidP="00527465">
            <w:pPr>
              <w:jc w:val="center"/>
              <w:rPr>
                <w:b/>
                <w:bCs/>
              </w:rPr>
            </w:pPr>
            <w:r w:rsidRPr="008C5798">
              <w:rPr>
                <w:b/>
                <w:bCs/>
                <w:sz w:val="20"/>
                <w:szCs w:val="20"/>
              </w:rPr>
              <w:t>NTE</w:t>
            </w:r>
          </w:p>
        </w:tc>
        <w:tc>
          <w:tcPr>
            <w:tcW w:w="236" w:type="dxa"/>
            <w:shd w:val="clear" w:color="auto" w:fill="1F3864" w:themeFill="accent1" w:themeFillShade="80"/>
          </w:tcPr>
          <w:p w14:paraId="2912D75E" w14:textId="77777777" w:rsidR="00AB06D4" w:rsidRDefault="00AB06D4"/>
        </w:tc>
        <w:tc>
          <w:tcPr>
            <w:tcW w:w="4118" w:type="dxa"/>
            <w:shd w:val="clear" w:color="auto" w:fill="1F3864" w:themeFill="accent1" w:themeFillShade="80"/>
            <w:vAlign w:val="center"/>
          </w:tcPr>
          <w:p w14:paraId="5A4129F0" w14:textId="38B22B9E" w:rsidR="00AB06D4" w:rsidRDefault="00AB06D4" w:rsidP="008F1C4A">
            <w:pPr>
              <w:jc w:val="center"/>
            </w:pPr>
            <w:r>
              <w:rPr>
                <w:b/>
                <w:bCs/>
              </w:rPr>
              <w:t xml:space="preserve">                            </w:t>
            </w:r>
            <w:r w:rsidRPr="008C5798">
              <w:rPr>
                <w:b/>
                <w:bCs/>
              </w:rPr>
              <w:t xml:space="preserve">Collateral </w:t>
            </w:r>
            <w:r>
              <w:rPr>
                <w:b/>
                <w:bCs/>
              </w:rPr>
              <w:t>S</w:t>
            </w:r>
            <w:r w:rsidRPr="008C5798">
              <w:rPr>
                <w:b/>
                <w:bCs/>
              </w:rPr>
              <w:t>ummary</w:t>
            </w:r>
          </w:p>
        </w:tc>
        <w:tc>
          <w:tcPr>
            <w:tcW w:w="1260" w:type="dxa"/>
            <w:shd w:val="clear" w:color="auto" w:fill="1F3864" w:themeFill="accent1" w:themeFillShade="80"/>
            <w:vAlign w:val="center"/>
          </w:tcPr>
          <w:p w14:paraId="0382CE87" w14:textId="589079A5" w:rsidR="00AB06D4" w:rsidRDefault="00AB06D4" w:rsidP="008F1C4A">
            <w:pPr>
              <w:jc w:val="center"/>
            </w:pPr>
          </w:p>
        </w:tc>
      </w:tr>
      <w:tr w:rsidR="00AB06D4" w14:paraId="50CA3D11" w14:textId="2FC71507" w:rsidTr="00F403D9">
        <w:tc>
          <w:tcPr>
            <w:tcW w:w="2785" w:type="dxa"/>
          </w:tcPr>
          <w:p w14:paraId="6A702865" w14:textId="00FFF33D" w:rsidR="00AB06D4" w:rsidRPr="001E1AE6" w:rsidRDefault="00AB06D4" w:rsidP="001E0660">
            <w:pPr>
              <w:rPr>
                <w:sz w:val="20"/>
                <w:szCs w:val="20"/>
              </w:rPr>
            </w:pPr>
            <w:r w:rsidRPr="001E1AE6">
              <w:rPr>
                <w:sz w:val="20"/>
                <w:szCs w:val="20"/>
              </w:rPr>
              <w:t>Reporting Requirements Met</w:t>
            </w:r>
          </w:p>
        </w:tc>
        <w:tc>
          <w:tcPr>
            <w:tcW w:w="1260" w:type="dxa"/>
          </w:tcPr>
          <w:p w14:paraId="580270C3" w14:textId="38B23710" w:rsidR="00AB06D4" w:rsidRPr="001E1AE6" w:rsidRDefault="00AB06D4" w:rsidP="001E0660">
            <w:pPr>
              <w:rPr>
                <w:sz w:val="20"/>
                <w:szCs w:val="20"/>
              </w:rPr>
            </w:pPr>
            <w:r w:rsidRPr="001E1AE6">
              <w:rPr>
                <w:sz w:val="20"/>
                <w:szCs w:val="20"/>
              </w:rPr>
              <w:t>Yes</w:t>
            </w:r>
            <w:r w:rsidRPr="001E1AE6">
              <w:rPr>
                <w:sz w:val="20"/>
                <w:szCs w:val="20"/>
                <w:vertAlign w:val="superscript"/>
              </w:rPr>
              <w:t xml:space="preserve"> (1) (2)</w:t>
            </w:r>
          </w:p>
        </w:tc>
        <w:tc>
          <w:tcPr>
            <w:tcW w:w="236" w:type="dxa"/>
            <w:shd w:val="clear" w:color="auto" w:fill="1F3864" w:themeFill="accent1" w:themeFillShade="80"/>
          </w:tcPr>
          <w:p w14:paraId="70ACBDE1" w14:textId="77777777" w:rsidR="00AB06D4" w:rsidRDefault="00AB06D4" w:rsidP="001E0660"/>
        </w:tc>
        <w:tc>
          <w:tcPr>
            <w:tcW w:w="2880" w:type="dxa"/>
          </w:tcPr>
          <w:p w14:paraId="3481DFC7" w14:textId="73C8FE54" w:rsidR="00AB06D4" w:rsidRPr="001E1AE6" w:rsidRDefault="00AB06D4" w:rsidP="001E0660">
            <w:pPr>
              <w:rPr>
                <w:sz w:val="20"/>
                <w:szCs w:val="20"/>
              </w:rPr>
            </w:pPr>
            <w:r w:rsidRPr="001E1AE6">
              <w:rPr>
                <w:sz w:val="20"/>
                <w:szCs w:val="20"/>
              </w:rPr>
              <w:t>Interest Rate Swaps</w:t>
            </w:r>
          </w:p>
        </w:tc>
        <w:tc>
          <w:tcPr>
            <w:tcW w:w="990" w:type="dxa"/>
          </w:tcPr>
          <w:p w14:paraId="2DFD6729" w14:textId="778E1A3D" w:rsidR="00AB06D4" w:rsidRPr="001E1AE6" w:rsidRDefault="00AB06D4" w:rsidP="00F403D9">
            <w:pPr>
              <w:jc w:val="right"/>
              <w:rPr>
                <w:sz w:val="20"/>
                <w:szCs w:val="20"/>
              </w:rPr>
            </w:pPr>
            <w:r w:rsidRPr="001E1AE6">
              <w:rPr>
                <w:sz w:val="20"/>
                <w:szCs w:val="20"/>
              </w:rPr>
              <w:t>$</w:t>
            </w:r>
            <w:r w:rsidR="00727267">
              <w:rPr>
                <w:sz w:val="20"/>
                <w:szCs w:val="20"/>
              </w:rPr>
              <w:t xml:space="preserve">    </w:t>
            </w:r>
            <w:r w:rsidR="00A21CFA">
              <w:rPr>
                <w:sz w:val="20"/>
                <w:szCs w:val="20"/>
              </w:rPr>
              <w:t>0.00</w:t>
            </w:r>
          </w:p>
        </w:tc>
        <w:tc>
          <w:tcPr>
            <w:tcW w:w="990" w:type="dxa"/>
          </w:tcPr>
          <w:p w14:paraId="6D6B64A3" w14:textId="3B3A6163" w:rsidR="00AB06D4" w:rsidRPr="001E1AE6" w:rsidRDefault="00AB06D4" w:rsidP="00527465">
            <w:pPr>
              <w:jc w:val="right"/>
              <w:rPr>
                <w:sz w:val="20"/>
                <w:szCs w:val="20"/>
              </w:rPr>
            </w:pPr>
            <w:r w:rsidRPr="001E1AE6">
              <w:rPr>
                <w:sz w:val="20"/>
                <w:szCs w:val="20"/>
              </w:rPr>
              <w:t>$</w:t>
            </w:r>
            <w:r w:rsidR="00727267">
              <w:rPr>
                <w:sz w:val="20"/>
                <w:szCs w:val="20"/>
              </w:rPr>
              <w:t xml:space="preserve">    </w:t>
            </w:r>
            <w:r w:rsidRPr="001E1AE6">
              <w:rPr>
                <w:sz w:val="20"/>
                <w:szCs w:val="20"/>
              </w:rPr>
              <w:t xml:space="preserve"> 0.</w:t>
            </w:r>
            <w:r w:rsidR="004D5A36">
              <w:rPr>
                <w:sz w:val="20"/>
                <w:szCs w:val="20"/>
              </w:rPr>
              <w:t>0</w:t>
            </w:r>
            <w:r w:rsidR="00727267">
              <w:rPr>
                <w:sz w:val="20"/>
                <w:szCs w:val="20"/>
              </w:rPr>
              <w:t>0</w:t>
            </w:r>
          </w:p>
        </w:tc>
        <w:tc>
          <w:tcPr>
            <w:tcW w:w="236" w:type="dxa"/>
            <w:shd w:val="clear" w:color="auto" w:fill="1F3864" w:themeFill="accent1" w:themeFillShade="80"/>
          </w:tcPr>
          <w:p w14:paraId="4C00ABC3" w14:textId="77777777" w:rsidR="00AB06D4" w:rsidRPr="001E1AE6" w:rsidRDefault="00AB06D4" w:rsidP="001E0660">
            <w:pPr>
              <w:rPr>
                <w:sz w:val="20"/>
                <w:szCs w:val="20"/>
              </w:rPr>
            </w:pPr>
          </w:p>
        </w:tc>
        <w:tc>
          <w:tcPr>
            <w:tcW w:w="4118" w:type="dxa"/>
          </w:tcPr>
          <w:p w14:paraId="54F19903" w14:textId="28397BEC" w:rsidR="00AB06D4" w:rsidRPr="001E1AE6" w:rsidRDefault="00AB06D4" w:rsidP="001E0660">
            <w:pPr>
              <w:rPr>
                <w:b/>
                <w:bCs/>
                <w:sz w:val="20"/>
                <w:szCs w:val="20"/>
              </w:rPr>
            </w:pPr>
            <w:r w:rsidRPr="001E1AE6">
              <w:rPr>
                <w:b/>
                <w:bCs/>
                <w:sz w:val="20"/>
                <w:szCs w:val="20"/>
              </w:rPr>
              <w:t>CP Collateral Held by PEI:</w:t>
            </w:r>
          </w:p>
        </w:tc>
        <w:tc>
          <w:tcPr>
            <w:tcW w:w="1260" w:type="dxa"/>
            <w:vAlign w:val="center"/>
          </w:tcPr>
          <w:p w14:paraId="037E80CB" w14:textId="065B8757" w:rsidR="00AB06D4" w:rsidRPr="001E1AE6" w:rsidRDefault="00AB06D4" w:rsidP="001E0660">
            <w:pPr>
              <w:jc w:val="right"/>
              <w:rPr>
                <w:sz w:val="20"/>
                <w:szCs w:val="20"/>
              </w:rPr>
            </w:pPr>
          </w:p>
        </w:tc>
      </w:tr>
      <w:tr w:rsidR="00AB06D4" w14:paraId="7818C59A" w14:textId="271F97A8" w:rsidTr="00F403D9">
        <w:tc>
          <w:tcPr>
            <w:tcW w:w="2785" w:type="dxa"/>
          </w:tcPr>
          <w:p w14:paraId="79959E39" w14:textId="08DDFC07" w:rsidR="00AB06D4" w:rsidRPr="001E1AE6" w:rsidRDefault="00AB06D4" w:rsidP="001E0660">
            <w:pPr>
              <w:rPr>
                <w:sz w:val="20"/>
                <w:szCs w:val="20"/>
              </w:rPr>
            </w:pPr>
            <w:r w:rsidRPr="001E1AE6">
              <w:rPr>
                <w:sz w:val="20"/>
                <w:szCs w:val="20"/>
              </w:rPr>
              <w:t>CP Rating Qualifications Met</w:t>
            </w:r>
          </w:p>
        </w:tc>
        <w:tc>
          <w:tcPr>
            <w:tcW w:w="1260" w:type="dxa"/>
          </w:tcPr>
          <w:p w14:paraId="70A9C2E4" w14:textId="24E64FE9" w:rsidR="00AB06D4" w:rsidRPr="001E1AE6" w:rsidRDefault="00AB06D4" w:rsidP="00D061EF">
            <w:pPr>
              <w:rPr>
                <w:sz w:val="20"/>
                <w:szCs w:val="20"/>
              </w:rPr>
            </w:pPr>
            <w:r w:rsidRPr="001E1AE6">
              <w:rPr>
                <w:sz w:val="20"/>
                <w:szCs w:val="20"/>
              </w:rPr>
              <w:t xml:space="preserve">Yes </w:t>
            </w:r>
            <w:r w:rsidRPr="001E1AE6">
              <w:rPr>
                <w:sz w:val="20"/>
                <w:szCs w:val="20"/>
                <w:vertAlign w:val="superscript"/>
              </w:rPr>
              <w:t>(2) (3)</w:t>
            </w:r>
            <w:r w:rsidR="00D061EF">
              <w:rPr>
                <w:sz w:val="20"/>
                <w:szCs w:val="20"/>
                <w:vertAlign w:val="superscript"/>
              </w:rPr>
              <w:t xml:space="preserve"> (4) </w:t>
            </w:r>
            <w:r w:rsidRPr="001E1AE6">
              <w:rPr>
                <w:sz w:val="20"/>
                <w:szCs w:val="20"/>
                <w:vertAlign w:val="superscript"/>
              </w:rPr>
              <w:t>(</w:t>
            </w:r>
            <w:r w:rsidR="00D061EF">
              <w:rPr>
                <w:sz w:val="20"/>
                <w:szCs w:val="20"/>
                <w:vertAlign w:val="superscript"/>
              </w:rPr>
              <w:t>7</w:t>
            </w:r>
            <w:r w:rsidRPr="001E1AE6">
              <w:rPr>
                <w:sz w:val="20"/>
                <w:szCs w:val="20"/>
                <w:vertAlign w:val="superscript"/>
              </w:rPr>
              <w:t>)</w:t>
            </w:r>
          </w:p>
        </w:tc>
        <w:tc>
          <w:tcPr>
            <w:tcW w:w="236" w:type="dxa"/>
            <w:shd w:val="clear" w:color="auto" w:fill="1F3864" w:themeFill="accent1" w:themeFillShade="80"/>
          </w:tcPr>
          <w:p w14:paraId="3BA69FC9" w14:textId="77777777" w:rsidR="00AB06D4" w:rsidRDefault="00AB06D4" w:rsidP="001E0660"/>
        </w:tc>
        <w:tc>
          <w:tcPr>
            <w:tcW w:w="2880" w:type="dxa"/>
          </w:tcPr>
          <w:p w14:paraId="4C78F43B" w14:textId="6DED4930" w:rsidR="00AB06D4" w:rsidRPr="001E1AE6" w:rsidRDefault="00AB06D4" w:rsidP="001E0660">
            <w:pPr>
              <w:rPr>
                <w:sz w:val="20"/>
                <w:szCs w:val="20"/>
              </w:rPr>
            </w:pPr>
            <w:r w:rsidRPr="001E1AE6">
              <w:rPr>
                <w:sz w:val="20"/>
                <w:szCs w:val="20"/>
              </w:rPr>
              <w:t>Futures Contracts, Financial</w:t>
            </w:r>
          </w:p>
        </w:tc>
        <w:tc>
          <w:tcPr>
            <w:tcW w:w="990" w:type="dxa"/>
          </w:tcPr>
          <w:p w14:paraId="024CBEB6" w14:textId="67F205AA" w:rsidR="00AB06D4" w:rsidRPr="001E1AE6" w:rsidRDefault="00AB06D4" w:rsidP="00F403D9">
            <w:pPr>
              <w:jc w:val="right"/>
              <w:rPr>
                <w:sz w:val="20"/>
                <w:szCs w:val="20"/>
              </w:rPr>
            </w:pPr>
            <w:r>
              <w:rPr>
                <w:sz w:val="20"/>
                <w:szCs w:val="20"/>
              </w:rPr>
              <w:t>1</w:t>
            </w:r>
            <w:r w:rsidR="00ED320F">
              <w:rPr>
                <w:sz w:val="20"/>
                <w:szCs w:val="20"/>
              </w:rPr>
              <w:t>4</w:t>
            </w:r>
            <w:r>
              <w:rPr>
                <w:sz w:val="20"/>
                <w:szCs w:val="20"/>
              </w:rPr>
              <w:t>.</w:t>
            </w:r>
            <w:r w:rsidR="00A21CFA">
              <w:rPr>
                <w:sz w:val="20"/>
                <w:szCs w:val="20"/>
              </w:rPr>
              <w:t>5</w:t>
            </w:r>
            <w:r w:rsidR="00727267">
              <w:rPr>
                <w:sz w:val="20"/>
                <w:szCs w:val="20"/>
              </w:rPr>
              <w:t>3</w:t>
            </w:r>
          </w:p>
        </w:tc>
        <w:tc>
          <w:tcPr>
            <w:tcW w:w="990" w:type="dxa"/>
          </w:tcPr>
          <w:p w14:paraId="553CF3AE" w14:textId="25B94EF5" w:rsidR="00AB06D4" w:rsidRPr="001E1AE6" w:rsidRDefault="00727267" w:rsidP="00527465">
            <w:pPr>
              <w:jc w:val="right"/>
              <w:rPr>
                <w:sz w:val="20"/>
                <w:szCs w:val="20"/>
              </w:rPr>
            </w:pPr>
            <w:r>
              <w:rPr>
                <w:sz w:val="20"/>
                <w:szCs w:val="20"/>
              </w:rPr>
              <w:t>3.72</w:t>
            </w:r>
          </w:p>
        </w:tc>
        <w:tc>
          <w:tcPr>
            <w:tcW w:w="236" w:type="dxa"/>
            <w:shd w:val="clear" w:color="auto" w:fill="1F3864" w:themeFill="accent1" w:themeFillShade="80"/>
          </w:tcPr>
          <w:p w14:paraId="1E5D3075" w14:textId="77777777" w:rsidR="00AB06D4" w:rsidRPr="001E1AE6" w:rsidRDefault="00AB06D4" w:rsidP="001E0660">
            <w:pPr>
              <w:rPr>
                <w:sz w:val="20"/>
                <w:szCs w:val="20"/>
              </w:rPr>
            </w:pPr>
          </w:p>
        </w:tc>
        <w:tc>
          <w:tcPr>
            <w:tcW w:w="4118" w:type="dxa"/>
          </w:tcPr>
          <w:p w14:paraId="1FA850FD" w14:textId="26342935" w:rsidR="00AB06D4" w:rsidRPr="001E1AE6" w:rsidRDefault="00AB06D4" w:rsidP="001E0660">
            <w:pPr>
              <w:rPr>
                <w:sz w:val="20"/>
                <w:szCs w:val="20"/>
              </w:rPr>
            </w:pPr>
            <w:r w:rsidRPr="001E1AE6">
              <w:rPr>
                <w:sz w:val="20"/>
                <w:szCs w:val="20"/>
              </w:rPr>
              <w:t>Rail Splitter Wind (HSBC Bank LOC)</w:t>
            </w:r>
          </w:p>
        </w:tc>
        <w:tc>
          <w:tcPr>
            <w:tcW w:w="1260" w:type="dxa"/>
            <w:vAlign w:val="center"/>
          </w:tcPr>
          <w:p w14:paraId="0209CC72" w14:textId="0E2DC8BF" w:rsidR="00AB06D4" w:rsidRPr="001E1AE6" w:rsidRDefault="00AB06D4" w:rsidP="001E0660">
            <w:pPr>
              <w:jc w:val="right"/>
              <w:rPr>
                <w:sz w:val="20"/>
                <w:szCs w:val="20"/>
              </w:rPr>
            </w:pPr>
            <w:r w:rsidRPr="001E1AE6">
              <w:rPr>
                <w:sz w:val="20"/>
                <w:szCs w:val="20"/>
              </w:rPr>
              <w:t>$2,500,000</w:t>
            </w:r>
          </w:p>
        </w:tc>
      </w:tr>
      <w:tr w:rsidR="00AB06D4" w14:paraId="0208CB25" w14:textId="4CF4DEAC" w:rsidTr="00F403D9">
        <w:tc>
          <w:tcPr>
            <w:tcW w:w="2785" w:type="dxa"/>
          </w:tcPr>
          <w:p w14:paraId="6961A1A0" w14:textId="2979156D" w:rsidR="00AB06D4" w:rsidRPr="001E1AE6" w:rsidRDefault="00AB06D4" w:rsidP="001E0660">
            <w:pPr>
              <w:rPr>
                <w:sz w:val="20"/>
                <w:szCs w:val="20"/>
              </w:rPr>
            </w:pPr>
            <w:r w:rsidRPr="001E1AE6">
              <w:rPr>
                <w:sz w:val="20"/>
                <w:szCs w:val="20"/>
              </w:rPr>
              <w:t>Within CP NTE Limits</w:t>
            </w:r>
          </w:p>
        </w:tc>
        <w:tc>
          <w:tcPr>
            <w:tcW w:w="1260" w:type="dxa"/>
          </w:tcPr>
          <w:p w14:paraId="60D8D4D9" w14:textId="4F24EA22" w:rsidR="00AB06D4" w:rsidRPr="001E1AE6" w:rsidRDefault="00AB06D4" w:rsidP="001E0660">
            <w:pPr>
              <w:rPr>
                <w:sz w:val="20"/>
                <w:szCs w:val="20"/>
              </w:rPr>
            </w:pPr>
            <w:r w:rsidRPr="001E1AE6">
              <w:rPr>
                <w:sz w:val="20"/>
                <w:szCs w:val="20"/>
              </w:rPr>
              <w:t xml:space="preserve">Yes </w:t>
            </w:r>
            <w:r w:rsidRPr="001E1AE6">
              <w:rPr>
                <w:sz w:val="20"/>
                <w:szCs w:val="20"/>
                <w:vertAlign w:val="superscript"/>
              </w:rPr>
              <w:t>(3) (</w:t>
            </w:r>
            <w:r w:rsidR="00D061EF">
              <w:rPr>
                <w:sz w:val="20"/>
                <w:szCs w:val="20"/>
                <w:vertAlign w:val="superscript"/>
              </w:rPr>
              <w:t>6) (7</w:t>
            </w:r>
            <w:r w:rsidRPr="001E1AE6">
              <w:rPr>
                <w:sz w:val="20"/>
                <w:szCs w:val="20"/>
                <w:vertAlign w:val="superscript"/>
              </w:rPr>
              <w:t>)</w:t>
            </w:r>
          </w:p>
        </w:tc>
        <w:tc>
          <w:tcPr>
            <w:tcW w:w="236" w:type="dxa"/>
            <w:shd w:val="clear" w:color="auto" w:fill="1F3864" w:themeFill="accent1" w:themeFillShade="80"/>
          </w:tcPr>
          <w:p w14:paraId="796A6BCF" w14:textId="77777777" w:rsidR="00AB06D4" w:rsidRDefault="00AB06D4" w:rsidP="001E0660"/>
        </w:tc>
        <w:tc>
          <w:tcPr>
            <w:tcW w:w="2880" w:type="dxa"/>
          </w:tcPr>
          <w:p w14:paraId="0B8E44CC" w14:textId="32DC940A" w:rsidR="00AB06D4" w:rsidRPr="001E1AE6" w:rsidRDefault="00AB06D4" w:rsidP="001E0660">
            <w:pPr>
              <w:rPr>
                <w:sz w:val="20"/>
                <w:szCs w:val="20"/>
              </w:rPr>
            </w:pPr>
            <w:r w:rsidRPr="001E1AE6">
              <w:rPr>
                <w:sz w:val="20"/>
                <w:szCs w:val="20"/>
              </w:rPr>
              <w:t>Forward Purchase, Physical</w:t>
            </w:r>
            <w:r w:rsidRPr="001E1AE6">
              <w:rPr>
                <w:sz w:val="20"/>
                <w:szCs w:val="20"/>
                <w:vertAlign w:val="superscript"/>
              </w:rPr>
              <w:t xml:space="preserve"> (5)</w:t>
            </w:r>
          </w:p>
        </w:tc>
        <w:tc>
          <w:tcPr>
            <w:tcW w:w="990" w:type="dxa"/>
          </w:tcPr>
          <w:p w14:paraId="02B6E262" w14:textId="608AFE31" w:rsidR="00AB06D4" w:rsidRPr="001E1AE6" w:rsidRDefault="00E23682" w:rsidP="00F403D9">
            <w:pPr>
              <w:jc w:val="right"/>
              <w:rPr>
                <w:sz w:val="20"/>
                <w:szCs w:val="20"/>
              </w:rPr>
            </w:pPr>
            <w:r>
              <w:rPr>
                <w:sz w:val="20"/>
                <w:szCs w:val="20"/>
              </w:rPr>
              <w:t>2</w:t>
            </w:r>
            <w:r w:rsidR="00727267">
              <w:rPr>
                <w:sz w:val="20"/>
                <w:szCs w:val="20"/>
              </w:rPr>
              <w:t>7.39</w:t>
            </w:r>
          </w:p>
        </w:tc>
        <w:tc>
          <w:tcPr>
            <w:tcW w:w="990" w:type="dxa"/>
          </w:tcPr>
          <w:p w14:paraId="3D177895" w14:textId="6264BCA2" w:rsidR="00AB06D4" w:rsidRPr="001E1AE6" w:rsidRDefault="00727267" w:rsidP="00527465">
            <w:pPr>
              <w:jc w:val="right"/>
              <w:rPr>
                <w:sz w:val="20"/>
                <w:szCs w:val="20"/>
              </w:rPr>
            </w:pPr>
            <w:r>
              <w:rPr>
                <w:sz w:val="20"/>
                <w:szCs w:val="20"/>
              </w:rPr>
              <w:t>4.11</w:t>
            </w:r>
          </w:p>
        </w:tc>
        <w:tc>
          <w:tcPr>
            <w:tcW w:w="236" w:type="dxa"/>
            <w:shd w:val="clear" w:color="auto" w:fill="1F3864" w:themeFill="accent1" w:themeFillShade="80"/>
          </w:tcPr>
          <w:p w14:paraId="4879C1B3" w14:textId="77777777" w:rsidR="00AB06D4" w:rsidRPr="001E1AE6" w:rsidRDefault="00AB06D4" w:rsidP="001E0660">
            <w:pPr>
              <w:rPr>
                <w:sz w:val="20"/>
                <w:szCs w:val="20"/>
              </w:rPr>
            </w:pPr>
          </w:p>
        </w:tc>
        <w:tc>
          <w:tcPr>
            <w:tcW w:w="4118" w:type="dxa"/>
          </w:tcPr>
          <w:p w14:paraId="4F485206" w14:textId="2981EA3C" w:rsidR="00AB06D4" w:rsidRPr="001E1AE6" w:rsidRDefault="00AB06D4" w:rsidP="001E0660">
            <w:pPr>
              <w:rPr>
                <w:sz w:val="20"/>
                <w:szCs w:val="20"/>
              </w:rPr>
            </w:pPr>
            <w:r w:rsidRPr="001E1AE6">
              <w:rPr>
                <w:sz w:val="20"/>
                <w:szCs w:val="20"/>
              </w:rPr>
              <w:t>TransAlta Bank (Bank Nova Scotia LOC)</w:t>
            </w:r>
          </w:p>
        </w:tc>
        <w:tc>
          <w:tcPr>
            <w:tcW w:w="1260" w:type="dxa"/>
            <w:vAlign w:val="center"/>
          </w:tcPr>
          <w:p w14:paraId="690F3B3C" w14:textId="40FCBB93" w:rsidR="00AB06D4" w:rsidRPr="001E1AE6" w:rsidRDefault="00AB06D4" w:rsidP="001E0660">
            <w:pPr>
              <w:jc w:val="right"/>
              <w:rPr>
                <w:sz w:val="20"/>
                <w:szCs w:val="20"/>
              </w:rPr>
            </w:pPr>
            <w:r w:rsidRPr="001E1AE6">
              <w:rPr>
                <w:sz w:val="20"/>
                <w:szCs w:val="20"/>
              </w:rPr>
              <w:t>$25,000</w:t>
            </w:r>
          </w:p>
        </w:tc>
      </w:tr>
      <w:tr w:rsidR="00AB06D4" w14:paraId="20E087E2" w14:textId="086059F9" w:rsidTr="00F403D9">
        <w:tc>
          <w:tcPr>
            <w:tcW w:w="2785" w:type="dxa"/>
          </w:tcPr>
          <w:p w14:paraId="2665F920" w14:textId="3F128DF0" w:rsidR="00AB06D4" w:rsidRPr="001E1AE6" w:rsidRDefault="00AB06D4" w:rsidP="001E0660">
            <w:pPr>
              <w:rPr>
                <w:sz w:val="20"/>
                <w:szCs w:val="20"/>
              </w:rPr>
            </w:pPr>
            <w:r w:rsidRPr="001E1AE6">
              <w:rPr>
                <w:sz w:val="20"/>
                <w:szCs w:val="20"/>
              </w:rPr>
              <w:t>Under CP Concentration Limits</w:t>
            </w:r>
          </w:p>
        </w:tc>
        <w:tc>
          <w:tcPr>
            <w:tcW w:w="1260" w:type="dxa"/>
          </w:tcPr>
          <w:p w14:paraId="401A0763" w14:textId="0222AD2E" w:rsidR="00AB06D4" w:rsidRPr="001E1AE6" w:rsidRDefault="00AB06D4" w:rsidP="001E0660">
            <w:pPr>
              <w:rPr>
                <w:sz w:val="20"/>
                <w:szCs w:val="20"/>
              </w:rPr>
            </w:pPr>
            <w:r w:rsidRPr="001E1AE6">
              <w:rPr>
                <w:sz w:val="20"/>
                <w:szCs w:val="20"/>
              </w:rPr>
              <w:t>Yes</w:t>
            </w:r>
          </w:p>
        </w:tc>
        <w:tc>
          <w:tcPr>
            <w:tcW w:w="236" w:type="dxa"/>
            <w:shd w:val="clear" w:color="auto" w:fill="1F3864" w:themeFill="accent1" w:themeFillShade="80"/>
          </w:tcPr>
          <w:p w14:paraId="419A3483" w14:textId="77777777" w:rsidR="00AB06D4" w:rsidRDefault="00AB06D4" w:rsidP="001E0660"/>
        </w:tc>
        <w:tc>
          <w:tcPr>
            <w:tcW w:w="2880" w:type="dxa"/>
          </w:tcPr>
          <w:p w14:paraId="3E037586" w14:textId="0D53CFB8" w:rsidR="00AB06D4" w:rsidRPr="001E1AE6" w:rsidRDefault="00AB06D4" w:rsidP="001E0660">
            <w:pPr>
              <w:rPr>
                <w:sz w:val="20"/>
                <w:szCs w:val="20"/>
              </w:rPr>
            </w:pPr>
            <w:r w:rsidRPr="001E1AE6">
              <w:rPr>
                <w:sz w:val="20"/>
                <w:szCs w:val="20"/>
              </w:rPr>
              <w:t xml:space="preserve">Solar PPA </w:t>
            </w:r>
            <w:r w:rsidRPr="001E1AE6">
              <w:rPr>
                <w:sz w:val="20"/>
                <w:szCs w:val="20"/>
                <w:vertAlign w:val="superscript"/>
              </w:rPr>
              <w:t>(2) (4)</w:t>
            </w:r>
          </w:p>
        </w:tc>
        <w:tc>
          <w:tcPr>
            <w:tcW w:w="990" w:type="dxa"/>
          </w:tcPr>
          <w:p w14:paraId="53DD4D5F" w14:textId="2E8F7761" w:rsidR="00AB06D4" w:rsidRPr="001E1AE6" w:rsidRDefault="00727267" w:rsidP="00F403D9">
            <w:pPr>
              <w:jc w:val="right"/>
              <w:rPr>
                <w:sz w:val="20"/>
                <w:szCs w:val="20"/>
              </w:rPr>
            </w:pPr>
            <w:r>
              <w:rPr>
                <w:sz w:val="20"/>
                <w:szCs w:val="20"/>
              </w:rPr>
              <w:t>16.97</w:t>
            </w:r>
          </w:p>
        </w:tc>
        <w:tc>
          <w:tcPr>
            <w:tcW w:w="990" w:type="dxa"/>
          </w:tcPr>
          <w:p w14:paraId="6BEE0FCC" w14:textId="5FC02308" w:rsidR="00AB06D4" w:rsidRPr="001E1AE6" w:rsidRDefault="00AB06D4" w:rsidP="00527465">
            <w:pPr>
              <w:jc w:val="right"/>
              <w:rPr>
                <w:sz w:val="20"/>
                <w:szCs w:val="20"/>
              </w:rPr>
            </w:pPr>
            <w:r w:rsidRPr="001E1AE6">
              <w:rPr>
                <w:sz w:val="20"/>
                <w:szCs w:val="20"/>
              </w:rPr>
              <w:t>(</w:t>
            </w:r>
            <w:r>
              <w:rPr>
                <w:sz w:val="20"/>
                <w:szCs w:val="20"/>
              </w:rPr>
              <w:t>1</w:t>
            </w:r>
            <w:r w:rsidR="004D5A36">
              <w:rPr>
                <w:sz w:val="20"/>
                <w:szCs w:val="20"/>
              </w:rPr>
              <w:t>7</w:t>
            </w:r>
            <w:r w:rsidRPr="001E1AE6">
              <w:rPr>
                <w:sz w:val="20"/>
                <w:szCs w:val="20"/>
              </w:rPr>
              <w:t>.</w:t>
            </w:r>
            <w:r w:rsidR="00A21CFA">
              <w:rPr>
                <w:sz w:val="20"/>
                <w:szCs w:val="20"/>
              </w:rPr>
              <w:t>2</w:t>
            </w:r>
            <w:r w:rsidR="00727267">
              <w:rPr>
                <w:sz w:val="20"/>
                <w:szCs w:val="20"/>
              </w:rPr>
              <w:t>5</w:t>
            </w:r>
            <w:r w:rsidRPr="001E1AE6">
              <w:rPr>
                <w:sz w:val="20"/>
                <w:szCs w:val="20"/>
              </w:rPr>
              <w:t>)</w:t>
            </w:r>
          </w:p>
        </w:tc>
        <w:tc>
          <w:tcPr>
            <w:tcW w:w="236" w:type="dxa"/>
            <w:shd w:val="clear" w:color="auto" w:fill="1F3864" w:themeFill="accent1" w:themeFillShade="80"/>
          </w:tcPr>
          <w:p w14:paraId="26E10098" w14:textId="77777777" w:rsidR="00AB06D4" w:rsidRPr="001E1AE6" w:rsidRDefault="00AB06D4" w:rsidP="001E0660">
            <w:pPr>
              <w:rPr>
                <w:sz w:val="20"/>
                <w:szCs w:val="20"/>
              </w:rPr>
            </w:pPr>
          </w:p>
        </w:tc>
        <w:tc>
          <w:tcPr>
            <w:tcW w:w="4118" w:type="dxa"/>
          </w:tcPr>
          <w:p w14:paraId="4B015D72" w14:textId="6B1DF7F7" w:rsidR="00AB06D4" w:rsidRPr="001E1AE6" w:rsidRDefault="00AB06D4" w:rsidP="001E0660">
            <w:pPr>
              <w:rPr>
                <w:sz w:val="20"/>
                <w:szCs w:val="20"/>
              </w:rPr>
            </w:pPr>
            <w:r w:rsidRPr="001E1AE6">
              <w:rPr>
                <w:sz w:val="20"/>
                <w:szCs w:val="20"/>
              </w:rPr>
              <w:t>Northern Cardinal (Commonwealth Bank LOC)</w:t>
            </w:r>
          </w:p>
        </w:tc>
        <w:tc>
          <w:tcPr>
            <w:tcW w:w="1260" w:type="dxa"/>
            <w:vAlign w:val="center"/>
          </w:tcPr>
          <w:p w14:paraId="73684B85" w14:textId="480658D4" w:rsidR="00AB06D4" w:rsidRPr="001E1AE6" w:rsidRDefault="00AB06D4" w:rsidP="001E0660">
            <w:pPr>
              <w:jc w:val="right"/>
              <w:rPr>
                <w:sz w:val="20"/>
                <w:szCs w:val="20"/>
              </w:rPr>
            </w:pPr>
            <w:r w:rsidRPr="001E1AE6">
              <w:rPr>
                <w:sz w:val="20"/>
                <w:szCs w:val="20"/>
              </w:rPr>
              <w:t>$1,000,000</w:t>
            </w:r>
          </w:p>
        </w:tc>
      </w:tr>
      <w:tr w:rsidR="00AB06D4" w14:paraId="787E1AC9" w14:textId="032611A6" w:rsidTr="00F403D9">
        <w:tc>
          <w:tcPr>
            <w:tcW w:w="2785" w:type="dxa"/>
          </w:tcPr>
          <w:p w14:paraId="60C9B993" w14:textId="77777777" w:rsidR="00AB06D4" w:rsidRDefault="00AB06D4" w:rsidP="001E0660"/>
        </w:tc>
        <w:tc>
          <w:tcPr>
            <w:tcW w:w="1260" w:type="dxa"/>
          </w:tcPr>
          <w:p w14:paraId="1797D4C4" w14:textId="77777777" w:rsidR="00AB06D4" w:rsidRDefault="00AB06D4" w:rsidP="001E0660"/>
        </w:tc>
        <w:tc>
          <w:tcPr>
            <w:tcW w:w="236" w:type="dxa"/>
            <w:shd w:val="clear" w:color="auto" w:fill="1F3864" w:themeFill="accent1" w:themeFillShade="80"/>
          </w:tcPr>
          <w:p w14:paraId="36CA28F6" w14:textId="77777777" w:rsidR="00AB06D4" w:rsidRDefault="00AB06D4" w:rsidP="001E0660"/>
        </w:tc>
        <w:tc>
          <w:tcPr>
            <w:tcW w:w="2880" w:type="dxa"/>
          </w:tcPr>
          <w:p w14:paraId="645A7DC7" w14:textId="77777777" w:rsidR="00AB06D4" w:rsidRPr="001E1AE6" w:rsidRDefault="00AB06D4" w:rsidP="001E0660">
            <w:pPr>
              <w:rPr>
                <w:sz w:val="20"/>
                <w:szCs w:val="20"/>
              </w:rPr>
            </w:pPr>
          </w:p>
        </w:tc>
        <w:tc>
          <w:tcPr>
            <w:tcW w:w="990" w:type="dxa"/>
          </w:tcPr>
          <w:p w14:paraId="04924355" w14:textId="25C07BCF" w:rsidR="00AB06D4" w:rsidRPr="001E1AE6" w:rsidRDefault="00AB06D4" w:rsidP="00F403D9">
            <w:pPr>
              <w:jc w:val="right"/>
              <w:rPr>
                <w:sz w:val="20"/>
                <w:szCs w:val="20"/>
              </w:rPr>
            </w:pPr>
          </w:p>
        </w:tc>
        <w:tc>
          <w:tcPr>
            <w:tcW w:w="990" w:type="dxa"/>
          </w:tcPr>
          <w:p w14:paraId="7A2DBECF" w14:textId="77777777" w:rsidR="00AB06D4" w:rsidRPr="001E1AE6" w:rsidRDefault="00AB06D4" w:rsidP="00527465">
            <w:pPr>
              <w:jc w:val="right"/>
              <w:rPr>
                <w:sz w:val="20"/>
                <w:szCs w:val="20"/>
              </w:rPr>
            </w:pPr>
          </w:p>
        </w:tc>
        <w:tc>
          <w:tcPr>
            <w:tcW w:w="236" w:type="dxa"/>
            <w:shd w:val="clear" w:color="auto" w:fill="1F3864" w:themeFill="accent1" w:themeFillShade="80"/>
          </w:tcPr>
          <w:p w14:paraId="47FE0E79" w14:textId="77777777" w:rsidR="00AB06D4" w:rsidRPr="001E1AE6" w:rsidRDefault="00AB06D4" w:rsidP="001E0660">
            <w:pPr>
              <w:rPr>
                <w:sz w:val="20"/>
                <w:szCs w:val="20"/>
              </w:rPr>
            </w:pPr>
          </w:p>
        </w:tc>
        <w:tc>
          <w:tcPr>
            <w:tcW w:w="4118" w:type="dxa"/>
          </w:tcPr>
          <w:p w14:paraId="30A9B616" w14:textId="777C5FE0" w:rsidR="00AB06D4" w:rsidRPr="001E1AE6" w:rsidRDefault="00AB06D4" w:rsidP="001E0660">
            <w:pPr>
              <w:rPr>
                <w:sz w:val="20"/>
                <w:szCs w:val="20"/>
              </w:rPr>
            </w:pPr>
            <w:r w:rsidRPr="001E1AE6">
              <w:rPr>
                <w:sz w:val="20"/>
                <w:szCs w:val="20"/>
              </w:rPr>
              <w:t>Direct Energy/NRG (Deutsche Bank LOC)</w:t>
            </w:r>
          </w:p>
        </w:tc>
        <w:tc>
          <w:tcPr>
            <w:tcW w:w="1260" w:type="dxa"/>
            <w:vAlign w:val="center"/>
          </w:tcPr>
          <w:p w14:paraId="667FC92C" w14:textId="7F70AE37" w:rsidR="00AB06D4" w:rsidRPr="001E1AE6" w:rsidRDefault="00AB06D4" w:rsidP="001E0660">
            <w:pPr>
              <w:jc w:val="right"/>
              <w:rPr>
                <w:sz w:val="20"/>
                <w:szCs w:val="20"/>
              </w:rPr>
            </w:pPr>
            <w:r w:rsidRPr="001E1AE6">
              <w:rPr>
                <w:sz w:val="20"/>
                <w:szCs w:val="20"/>
              </w:rPr>
              <w:t>$200,000</w:t>
            </w:r>
          </w:p>
        </w:tc>
      </w:tr>
      <w:tr w:rsidR="004D5A36" w14:paraId="207F0819" w14:textId="77777777" w:rsidTr="00F403D9">
        <w:tc>
          <w:tcPr>
            <w:tcW w:w="2785" w:type="dxa"/>
          </w:tcPr>
          <w:p w14:paraId="68017E90" w14:textId="77777777" w:rsidR="004D5A36" w:rsidRDefault="004D5A36" w:rsidP="001E0660"/>
        </w:tc>
        <w:tc>
          <w:tcPr>
            <w:tcW w:w="1260" w:type="dxa"/>
          </w:tcPr>
          <w:p w14:paraId="1C614C35" w14:textId="77777777" w:rsidR="004D5A36" w:rsidRDefault="004D5A36" w:rsidP="001E0660"/>
        </w:tc>
        <w:tc>
          <w:tcPr>
            <w:tcW w:w="236" w:type="dxa"/>
            <w:shd w:val="clear" w:color="auto" w:fill="1F3864" w:themeFill="accent1" w:themeFillShade="80"/>
          </w:tcPr>
          <w:p w14:paraId="5BB54453" w14:textId="77777777" w:rsidR="004D5A36" w:rsidRDefault="004D5A36" w:rsidP="001E0660"/>
        </w:tc>
        <w:tc>
          <w:tcPr>
            <w:tcW w:w="2880" w:type="dxa"/>
          </w:tcPr>
          <w:p w14:paraId="540B1166" w14:textId="77777777" w:rsidR="004D5A36" w:rsidRPr="001E1AE6" w:rsidRDefault="004D5A36" w:rsidP="001E0660">
            <w:pPr>
              <w:rPr>
                <w:b/>
                <w:bCs/>
                <w:sz w:val="20"/>
                <w:szCs w:val="20"/>
              </w:rPr>
            </w:pPr>
          </w:p>
        </w:tc>
        <w:tc>
          <w:tcPr>
            <w:tcW w:w="990" w:type="dxa"/>
          </w:tcPr>
          <w:p w14:paraId="47A74973" w14:textId="77777777" w:rsidR="004D5A36" w:rsidRPr="001E1AE6" w:rsidRDefault="004D5A36" w:rsidP="00F403D9">
            <w:pPr>
              <w:jc w:val="right"/>
              <w:rPr>
                <w:b/>
                <w:bCs/>
                <w:sz w:val="20"/>
                <w:szCs w:val="20"/>
              </w:rPr>
            </w:pPr>
          </w:p>
        </w:tc>
        <w:tc>
          <w:tcPr>
            <w:tcW w:w="990" w:type="dxa"/>
          </w:tcPr>
          <w:p w14:paraId="77B9A0FB" w14:textId="77777777" w:rsidR="004D5A36" w:rsidRDefault="004D5A36" w:rsidP="00527465">
            <w:pPr>
              <w:jc w:val="right"/>
              <w:rPr>
                <w:b/>
                <w:bCs/>
                <w:sz w:val="20"/>
                <w:szCs w:val="20"/>
              </w:rPr>
            </w:pPr>
          </w:p>
        </w:tc>
        <w:tc>
          <w:tcPr>
            <w:tcW w:w="236" w:type="dxa"/>
            <w:shd w:val="clear" w:color="auto" w:fill="1F3864" w:themeFill="accent1" w:themeFillShade="80"/>
          </w:tcPr>
          <w:p w14:paraId="2761C614" w14:textId="77777777" w:rsidR="004D5A36" w:rsidRPr="001E1AE6" w:rsidRDefault="004D5A36" w:rsidP="001E0660">
            <w:pPr>
              <w:rPr>
                <w:sz w:val="20"/>
                <w:szCs w:val="20"/>
              </w:rPr>
            </w:pPr>
          </w:p>
        </w:tc>
        <w:tc>
          <w:tcPr>
            <w:tcW w:w="4118" w:type="dxa"/>
          </w:tcPr>
          <w:p w14:paraId="6CF8C1B5" w14:textId="3F1BC012" w:rsidR="004D5A36" w:rsidRPr="00E33127" w:rsidRDefault="004D5A36" w:rsidP="001E0660">
            <w:pPr>
              <w:rPr>
                <w:sz w:val="20"/>
                <w:szCs w:val="20"/>
              </w:rPr>
            </w:pPr>
            <w:r w:rsidRPr="00E33127">
              <w:rPr>
                <w:sz w:val="20"/>
                <w:szCs w:val="20"/>
              </w:rPr>
              <w:t>Mansfield Power (JPMorgan Chase Bank LOC)</w:t>
            </w:r>
          </w:p>
        </w:tc>
        <w:tc>
          <w:tcPr>
            <w:tcW w:w="1260" w:type="dxa"/>
            <w:vAlign w:val="center"/>
          </w:tcPr>
          <w:p w14:paraId="1E2C31CB" w14:textId="64623CC2" w:rsidR="004D5A36" w:rsidRPr="001E1AE6" w:rsidRDefault="004D5A36" w:rsidP="001E0660">
            <w:pPr>
              <w:jc w:val="right"/>
              <w:rPr>
                <w:sz w:val="20"/>
                <w:szCs w:val="20"/>
              </w:rPr>
            </w:pPr>
            <w:r>
              <w:rPr>
                <w:sz w:val="20"/>
                <w:szCs w:val="20"/>
              </w:rPr>
              <w:t>$</w:t>
            </w:r>
            <w:r w:rsidR="000B2D9C">
              <w:rPr>
                <w:sz w:val="20"/>
                <w:szCs w:val="20"/>
              </w:rPr>
              <w:t>500</w:t>
            </w:r>
            <w:r>
              <w:rPr>
                <w:sz w:val="20"/>
                <w:szCs w:val="20"/>
              </w:rPr>
              <w:t>,000</w:t>
            </w:r>
          </w:p>
        </w:tc>
      </w:tr>
      <w:tr w:rsidR="00AB06D4" w14:paraId="6ED8C7F9" w14:textId="77777777" w:rsidTr="00541C00">
        <w:tc>
          <w:tcPr>
            <w:tcW w:w="2785" w:type="dxa"/>
          </w:tcPr>
          <w:p w14:paraId="22514BF3" w14:textId="77777777" w:rsidR="00AB06D4" w:rsidRDefault="00AB06D4" w:rsidP="001E0660"/>
        </w:tc>
        <w:tc>
          <w:tcPr>
            <w:tcW w:w="1260" w:type="dxa"/>
          </w:tcPr>
          <w:p w14:paraId="23DB6B84" w14:textId="77777777" w:rsidR="00AB06D4" w:rsidRDefault="00AB06D4" w:rsidP="001E0660"/>
        </w:tc>
        <w:tc>
          <w:tcPr>
            <w:tcW w:w="236" w:type="dxa"/>
            <w:shd w:val="clear" w:color="auto" w:fill="1F3864" w:themeFill="accent1" w:themeFillShade="80"/>
          </w:tcPr>
          <w:p w14:paraId="33B8704F" w14:textId="77777777" w:rsidR="00AB06D4" w:rsidRDefault="00AB06D4" w:rsidP="001E0660"/>
        </w:tc>
        <w:tc>
          <w:tcPr>
            <w:tcW w:w="2880" w:type="dxa"/>
          </w:tcPr>
          <w:p w14:paraId="45B959DF" w14:textId="568420BC" w:rsidR="00AB06D4" w:rsidRPr="001E1AE6" w:rsidRDefault="00AB06D4" w:rsidP="001E0660">
            <w:pPr>
              <w:rPr>
                <w:b/>
                <w:bCs/>
                <w:sz w:val="20"/>
                <w:szCs w:val="20"/>
              </w:rPr>
            </w:pPr>
            <w:r w:rsidRPr="001E1AE6">
              <w:rPr>
                <w:b/>
                <w:bCs/>
                <w:sz w:val="20"/>
                <w:szCs w:val="20"/>
              </w:rPr>
              <w:t>Total</w:t>
            </w:r>
            <w:r w:rsidR="00F403D9">
              <w:rPr>
                <w:b/>
                <w:bCs/>
                <w:sz w:val="20"/>
                <w:szCs w:val="20"/>
              </w:rPr>
              <w:t xml:space="preserve"> All Derivative Agreements</w:t>
            </w:r>
          </w:p>
        </w:tc>
        <w:tc>
          <w:tcPr>
            <w:tcW w:w="990" w:type="dxa"/>
            <w:vAlign w:val="bottom"/>
          </w:tcPr>
          <w:p w14:paraId="72B98B50" w14:textId="7BBFC681" w:rsidR="00AB06D4" w:rsidRPr="001E1AE6" w:rsidRDefault="00AB06D4" w:rsidP="00541C00">
            <w:pPr>
              <w:jc w:val="right"/>
              <w:rPr>
                <w:b/>
                <w:bCs/>
                <w:sz w:val="20"/>
                <w:szCs w:val="20"/>
              </w:rPr>
            </w:pPr>
            <w:r w:rsidRPr="001E1AE6">
              <w:rPr>
                <w:b/>
                <w:bCs/>
                <w:sz w:val="20"/>
                <w:szCs w:val="20"/>
              </w:rPr>
              <w:t>$</w:t>
            </w:r>
            <w:r w:rsidR="00727267">
              <w:rPr>
                <w:b/>
                <w:bCs/>
                <w:sz w:val="20"/>
                <w:szCs w:val="20"/>
              </w:rPr>
              <w:t>58.89</w:t>
            </w:r>
          </w:p>
        </w:tc>
        <w:tc>
          <w:tcPr>
            <w:tcW w:w="990" w:type="dxa"/>
            <w:vAlign w:val="bottom"/>
          </w:tcPr>
          <w:p w14:paraId="53226AF5" w14:textId="18F5CD9D" w:rsidR="00AB06D4" w:rsidRPr="001E1AE6" w:rsidRDefault="00AB06D4" w:rsidP="00541C00">
            <w:pPr>
              <w:jc w:val="right"/>
              <w:rPr>
                <w:b/>
                <w:bCs/>
                <w:sz w:val="20"/>
                <w:szCs w:val="20"/>
              </w:rPr>
            </w:pPr>
            <w:r>
              <w:rPr>
                <w:b/>
                <w:bCs/>
                <w:sz w:val="20"/>
                <w:szCs w:val="20"/>
              </w:rPr>
              <w:t>(</w:t>
            </w:r>
            <w:r w:rsidRPr="001E1AE6">
              <w:rPr>
                <w:b/>
                <w:bCs/>
                <w:sz w:val="20"/>
                <w:szCs w:val="20"/>
              </w:rPr>
              <w:t>$</w:t>
            </w:r>
            <w:r w:rsidR="00A21CFA">
              <w:rPr>
                <w:b/>
                <w:bCs/>
                <w:sz w:val="20"/>
                <w:szCs w:val="20"/>
              </w:rPr>
              <w:t>9</w:t>
            </w:r>
            <w:r>
              <w:rPr>
                <w:b/>
                <w:bCs/>
                <w:sz w:val="20"/>
                <w:szCs w:val="20"/>
              </w:rPr>
              <w:t>.</w:t>
            </w:r>
            <w:r w:rsidR="00727267">
              <w:rPr>
                <w:b/>
                <w:bCs/>
                <w:sz w:val="20"/>
                <w:szCs w:val="20"/>
              </w:rPr>
              <w:t>42</w:t>
            </w:r>
            <w:r>
              <w:rPr>
                <w:b/>
                <w:bCs/>
                <w:sz w:val="20"/>
                <w:szCs w:val="20"/>
              </w:rPr>
              <w:t>)</w:t>
            </w:r>
          </w:p>
        </w:tc>
        <w:tc>
          <w:tcPr>
            <w:tcW w:w="236" w:type="dxa"/>
            <w:shd w:val="clear" w:color="auto" w:fill="1F3864" w:themeFill="accent1" w:themeFillShade="80"/>
          </w:tcPr>
          <w:p w14:paraId="6A6E0C3F" w14:textId="77777777" w:rsidR="00AB06D4" w:rsidRPr="001E1AE6" w:rsidRDefault="00AB06D4" w:rsidP="001E0660">
            <w:pPr>
              <w:rPr>
                <w:sz w:val="20"/>
                <w:szCs w:val="20"/>
              </w:rPr>
            </w:pPr>
          </w:p>
        </w:tc>
        <w:tc>
          <w:tcPr>
            <w:tcW w:w="4118" w:type="dxa"/>
          </w:tcPr>
          <w:p w14:paraId="1AD8C586" w14:textId="417E6019" w:rsidR="00AB06D4" w:rsidRPr="001E1AE6" w:rsidRDefault="00AB06D4" w:rsidP="001E0660">
            <w:pPr>
              <w:rPr>
                <w:b/>
                <w:bCs/>
                <w:sz w:val="20"/>
                <w:szCs w:val="20"/>
              </w:rPr>
            </w:pPr>
            <w:r w:rsidRPr="001E1AE6">
              <w:rPr>
                <w:b/>
                <w:bCs/>
                <w:sz w:val="20"/>
                <w:szCs w:val="20"/>
              </w:rPr>
              <w:t>PEI’s Collateral Held by CP:</w:t>
            </w:r>
          </w:p>
        </w:tc>
        <w:tc>
          <w:tcPr>
            <w:tcW w:w="1260" w:type="dxa"/>
            <w:vAlign w:val="center"/>
          </w:tcPr>
          <w:p w14:paraId="091E6A18" w14:textId="2C1053B0" w:rsidR="00AB06D4" w:rsidRPr="001E1AE6" w:rsidRDefault="00AB06D4" w:rsidP="001E0660">
            <w:pPr>
              <w:jc w:val="right"/>
              <w:rPr>
                <w:sz w:val="20"/>
                <w:szCs w:val="20"/>
              </w:rPr>
            </w:pPr>
          </w:p>
        </w:tc>
      </w:tr>
      <w:tr w:rsidR="00AB06D4" w14:paraId="5799896D" w14:textId="77777777" w:rsidTr="00D061EF">
        <w:tc>
          <w:tcPr>
            <w:tcW w:w="2785" w:type="dxa"/>
          </w:tcPr>
          <w:p w14:paraId="23DCBDE4" w14:textId="77777777" w:rsidR="00AB06D4" w:rsidRDefault="00AB06D4" w:rsidP="001E0660"/>
        </w:tc>
        <w:tc>
          <w:tcPr>
            <w:tcW w:w="1260" w:type="dxa"/>
          </w:tcPr>
          <w:p w14:paraId="666D8953" w14:textId="77777777" w:rsidR="00AB06D4" w:rsidRDefault="00AB06D4" w:rsidP="001E0660"/>
        </w:tc>
        <w:tc>
          <w:tcPr>
            <w:tcW w:w="236" w:type="dxa"/>
            <w:shd w:val="clear" w:color="auto" w:fill="1F3864" w:themeFill="accent1" w:themeFillShade="80"/>
          </w:tcPr>
          <w:p w14:paraId="133A2985" w14:textId="77777777" w:rsidR="00AB06D4" w:rsidRDefault="00AB06D4" w:rsidP="001E0660"/>
        </w:tc>
        <w:tc>
          <w:tcPr>
            <w:tcW w:w="2880" w:type="dxa"/>
          </w:tcPr>
          <w:p w14:paraId="39578A2A" w14:textId="77777777" w:rsidR="00AB06D4" w:rsidRPr="001E1AE6" w:rsidRDefault="00AB06D4" w:rsidP="001E0660">
            <w:pPr>
              <w:rPr>
                <w:sz w:val="20"/>
                <w:szCs w:val="20"/>
              </w:rPr>
            </w:pPr>
          </w:p>
        </w:tc>
        <w:tc>
          <w:tcPr>
            <w:tcW w:w="990" w:type="dxa"/>
          </w:tcPr>
          <w:p w14:paraId="6E5C4599" w14:textId="77777777" w:rsidR="00AB06D4" w:rsidRPr="001E1AE6" w:rsidRDefault="00AB06D4" w:rsidP="001E0660">
            <w:pPr>
              <w:rPr>
                <w:sz w:val="20"/>
                <w:szCs w:val="20"/>
              </w:rPr>
            </w:pPr>
          </w:p>
        </w:tc>
        <w:tc>
          <w:tcPr>
            <w:tcW w:w="990" w:type="dxa"/>
          </w:tcPr>
          <w:p w14:paraId="64E6DE57" w14:textId="77777777" w:rsidR="00AB06D4" w:rsidRPr="001E1AE6" w:rsidRDefault="00AB06D4" w:rsidP="001E0660">
            <w:pPr>
              <w:rPr>
                <w:sz w:val="20"/>
                <w:szCs w:val="20"/>
              </w:rPr>
            </w:pPr>
          </w:p>
        </w:tc>
        <w:tc>
          <w:tcPr>
            <w:tcW w:w="236" w:type="dxa"/>
            <w:shd w:val="clear" w:color="auto" w:fill="1F3864" w:themeFill="accent1" w:themeFillShade="80"/>
          </w:tcPr>
          <w:p w14:paraId="07EC8ED8" w14:textId="77777777" w:rsidR="00AB06D4" w:rsidRPr="001E1AE6" w:rsidRDefault="00AB06D4" w:rsidP="001E0660">
            <w:pPr>
              <w:rPr>
                <w:sz w:val="20"/>
                <w:szCs w:val="20"/>
              </w:rPr>
            </w:pPr>
          </w:p>
        </w:tc>
        <w:tc>
          <w:tcPr>
            <w:tcW w:w="4118" w:type="dxa"/>
          </w:tcPr>
          <w:p w14:paraId="1930A2C7" w14:textId="099A3978" w:rsidR="00AB06D4" w:rsidRPr="001E1AE6" w:rsidRDefault="00AB06D4" w:rsidP="001E0660">
            <w:pPr>
              <w:rPr>
                <w:sz w:val="20"/>
                <w:szCs w:val="20"/>
              </w:rPr>
            </w:pPr>
            <w:r w:rsidRPr="001E1AE6">
              <w:rPr>
                <w:sz w:val="20"/>
                <w:szCs w:val="20"/>
              </w:rPr>
              <w:t>Margin Exposure on Futures</w:t>
            </w:r>
          </w:p>
        </w:tc>
        <w:tc>
          <w:tcPr>
            <w:tcW w:w="1260" w:type="dxa"/>
            <w:vAlign w:val="center"/>
          </w:tcPr>
          <w:p w14:paraId="79E16982" w14:textId="0E929CE8" w:rsidR="00AB06D4" w:rsidRPr="001E1AE6" w:rsidRDefault="00AB06D4" w:rsidP="001E0660">
            <w:pPr>
              <w:jc w:val="right"/>
              <w:rPr>
                <w:sz w:val="20"/>
                <w:szCs w:val="20"/>
              </w:rPr>
            </w:pPr>
            <w:r w:rsidRPr="001E1AE6">
              <w:rPr>
                <w:sz w:val="20"/>
                <w:szCs w:val="20"/>
              </w:rPr>
              <w:t>$</w:t>
            </w:r>
            <w:r w:rsidR="00A21CFA">
              <w:rPr>
                <w:sz w:val="20"/>
                <w:szCs w:val="20"/>
              </w:rPr>
              <w:t>7</w:t>
            </w:r>
            <w:r w:rsidR="00727267">
              <w:rPr>
                <w:sz w:val="20"/>
                <w:szCs w:val="20"/>
              </w:rPr>
              <w:t>34</w:t>
            </w:r>
            <w:r w:rsidRPr="001E1AE6">
              <w:rPr>
                <w:sz w:val="20"/>
                <w:szCs w:val="20"/>
              </w:rPr>
              <w:t>,</w:t>
            </w:r>
            <w:r w:rsidR="00727267">
              <w:rPr>
                <w:sz w:val="20"/>
                <w:szCs w:val="20"/>
              </w:rPr>
              <w:t>309</w:t>
            </w:r>
          </w:p>
        </w:tc>
      </w:tr>
    </w:tbl>
    <w:p w14:paraId="13414D61" w14:textId="62290DEE" w:rsidR="006F418B" w:rsidRPr="004237DA" w:rsidRDefault="006F418B">
      <w:pPr>
        <w:rPr>
          <w:sz w:val="4"/>
          <w:szCs w:val="4"/>
        </w:rPr>
      </w:pPr>
    </w:p>
    <w:tbl>
      <w:tblPr>
        <w:tblStyle w:val="TableGrid"/>
        <w:tblW w:w="14755" w:type="dxa"/>
        <w:tblLook w:val="04A0" w:firstRow="1" w:lastRow="0" w:firstColumn="1" w:lastColumn="0" w:noHBand="0" w:noVBand="1"/>
      </w:tblPr>
      <w:tblGrid>
        <w:gridCol w:w="4892"/>
        <w:gridCol w:w="4893"/>
        <w:gridCol w:w="4970"/>
      </w:tblGrid>
      <w:tr w:rsidR="00D761A0" w14:paraId="217B0E54" w14:textId="77777777" w:rsidTr="002553FD">
        <w:tc>
          <w:tcPr>
            <w:tcW w:w="4892" w:type="dxa"/>
            <w:shd w:val="clear" w:color="auto" w:fill="1F3864" w:themeFill="accent1" w:themeFillShade="80"/>
          </w:tcPr>
          <w:p w14:paraId="38BA8438" w14:textId="6FDA3645" w:rsidR="00D761A0" w:rsidRDefault="002553FD" w:rsidP="002553FD">
            <w:pPr>
              <w:jc w:val="center"/>
            </w:pPr>
            <w:r w:rsidRPr="002553FD">
              <w:t>Material Events Since Last Report</w:t>
            </w:r>
          </w:p>
        </w:tc>
        <w:tc>
          <w:tcPr>
            <w:tcW w:w="4893" w:type="dxa"/>
            <w:shd w:val="clear" w:color="auto" w:fill="1F3864" w:themeFill="accent1" w:themeFillShade="80"/>
          </w:tcPr>
          <w:p w14:paraId="666F369A" w14:textId="22E26E76" w:rsidR="00D761A0" w:rsidRDefault="002553FD" w:rsidP="002553FD">
            <w:pPr>
              <w:jc w:val="center"/>
            </w:pPr>
            <w:r w:rsidRPr="002553FD">
              <w:t xml:space="preserve">CP Qualification Risk Management </w:t>
            </w:r>
            <w:r w:rsidRPr="002553FD">
              <w:rPr>
                <w:vertAlign w:val="superscript"/>
              </w:rPr>
              <w:t>(3)</w:t>
            </w:r>
            <w:r w:rsidR="00DC6064">
              <w:rPr>
                <w:vertAlign w:val="superscript"/>
              </w:rPr>
              <w:t xml:space="preserve"> (4)</w:t>
            </w:r>
            <w:r w:rsidRPr="002553FD">
              <w:rPr>
                <w:vertAlign w:val="superscript"/>
              </w:rPr>
              <w:t xml:space="preserve"> (</w:t>
            </w:r>
            <w:r w:rsidR="00DC6064">
              <w:rPr>
                <w:vertAlign w:val="superscript"/>
              </w:rPr>
              <w:t>7</w:t>
            </w:r>
            <w:r w:rsidRPr="002553FD">
              <w:rPr>
                <w:vertAlign w:val="superscript"/>
              </w:rPr>
              <w:t>)</w:t>
            </w:r>
          </w:p>
        </w:tc>
        <w:tc>
          <w:tcPr>
            <w:tcW w:w="4970" w:type="dxa"/>
            <w:shd w:val="clear" w:color="auto" w:fill="1F3864" w:themeFill="accent1" w:themeFillShade="80"/>
          </w:tcPr>
          <w:p w14:paraId="538E9F1D" w14:textId="0F7283A7" w:rsidR="00D761A0" w:rsidRDefault="002553FD" w:rsidP="002553FD">
            <w:pPr>
              <w:jc w:val="center"/>
            </w:pPr>
            <w:r w:rsidRPr="002553FD">
              <w:t xml:space="preserve">Counterparty (CP) NTE Risk Management </w:t>
            </w:r>
            <w:r w:rsidRPr="002553FD">
              <w:rPr>
                <w:vertAlign w:val="superscript"/>
              </w:rPr>
              <w:t xml:space="preserve">(3) </w:t>
            </w:r>
            <w:r w:rsidR="00DC6064">
              <w:rPr>
                <w:vertAlign w:val="superscript"/>
              </w:rPr>
              <w:t xml:space="preserve">(6) </w:t>
            </w:r>
            <w:r w:rsidRPr="002553FD">
              <w:rPr>
                <w:vertAlign w:val="superscript"/>
              </w:rPr>
              <w:t>(</w:t>
            </w:r>
            <w:r w:rsidR="00DC6064">
              <w:rPr>
                <w:vertAlign w:val="superscript"/>
              </w:rPr>
              <w:t>7</w:t>
            </w:r>
            <w:r w:rsidRPr="002553FD">
              <w:rPr>
                <w:vertAlign w:val="superscript"/>
              </w:rPr>
              <w:t>)</w:t>
            </w:r>
          </w:p>
        </w:tc>
      </w:tr>
      <w:tr w:rsidR="00D761A0" w14:paraId="69A867F2" w14:textId="77777777" w:rsidTr="005071FF">
        <w:trPr>
          <w:trHeight w:val="7757"/>
        </w:trPr>
        <w:tc>
          <w:tcPr>
            <w:tcW w:w="4892" w:type="dxa"/>
          </w:tcPr>
          <w:p w14:paraId="114D1E59" w14:textId="3E4A5477" w:rsidR="00F6003B" w:rsidRDefault="00F6003B" w:rsidP="00F6003B">
            <w:r>
              <w:t xml:space="preserve">**The U of I redeemed both the HSFS 1997B and 2008 VRDO on 5/1/2024. Both </w:t>
            </w:r>
            <w:r w:rsidR="00B16B37">
              <w:t>LOCs</w:t>
            </w:r>
            <w:r>
              <w:t xml:space="preserve"> were terminated after the redemption. The HSFS 2008 interest rate swap was terminated on 4/29/24 with a settlement of the termination payment from the UI to Deutsche Bank on 5/1/24 of $21,900. The UI's bond portfolio is now 100% fixed rate. There is no interest rate exposure from the 2008 swap agreement.</w:t>
            </w:r>
          </w:p>
          <w:p w14:paraId="0F88FB25" w14:textId="77777777" w:rsidR="00727267" w:rsidRDefault="00727267" w:rsidP="00727267">
            <w:r>
              <w:t>**On 5/6/24, Mansfield increased the LOC from $.25M to $.5M to cover NTE and meet PEI policy requirements.</w:t>
            </w:r>
          </w:p>
          <w:p w14:paraId="08E16A7C" w14:textId="151781DA" w:rsidR="004D5A36" w:rsidRPr="004D5A36" w:rsidRDefault="00727267" w:rsidP="00727267">
            <w:r>
              <w:t>** Moody's upgraded Commonwealth Bank of Australia from Aa2 to Aa1 on 5/27/24, outlook stable.</w:t>
            </w:r>
          </w:p>
        </w:tc>
        <w:tc>
          <w:tcPr>
            <w:tcW w:w="4893" w:type="dxa"/>
          </w:tcPr>
          <w:p w14:paraId="4ABED2D7" w14:textId="7E257FCB" w:rsidR="00D761A0" w:rsidRPr="00106A32" w:rsidRDefault="00F6003B" w:rsidP="00D9538F">
            <w:r w:rsidRPr="00F6003B">
              <w:t>The energy industry necessitated action by the PEI Board of Directors to approve a policy accepting a lower credit rating than the System policy to qualify CPs for physical hedges (forward purchases).  This exception has been approved by the U of I System CFO in accordance with the University Policy.(3)  Neither Rail Splitter nor Mansfield is rated but has provided a $2.5 million LOC from HSBC Bank and $0.25 million LOC from JPMorgan respectively. TransAlta's rating declined below acceptable limits, so they have provided a $25,000 LOC from the Bank of Nova Scotia to meet policy qualifications. Direct Energy, through parent NRG, provided LOC from Deutsche Bank AG for $0.2 million. Northern Cardinal is not rated but has PCG, LOC, and approved qualification exception.(4)  Counterparty credit rating exception was approved by the PEI Treasurer 11/2/23 to qualify IGS as a supply counterparty for natural gas to 36 UIC Peoples accounts and removed NTE collateral requirement.(7)  System and PEI policies require regular due diligence reviews of the financial strength of CPs by the hedging transaction originator ensuring compliance.</w:t>
            </w:r>
          </w:p>
        </w:tc>
        <w:tc>
          <w:tcPr>
            <w:tcW w:w="4970" w:type="dxa"/>
          </w:tcPr>
          <w:p w14:paraId="13DADD17" w14:textId="77777777" w:rsidR="00F6003B" w:rsidRDefault="00F6003B" w:rsidP="00F6003B">
            <w:r>
              <w:t>Exposure to a CP is determined by NTE value net of collateral and is limited based on CP credit rating. The PEI policy accepts a higher exposure limit on the BBB/Baa category than the university Policy; an approved policy exception.(3) (6)</w:t>
            </w:r>
          </w:p>
          <w:p w14:paraId="4E60781F" w14:textId="77777777" w:rsidR="00F6003B" w:rsidRDefault="00F6003B" w:rsidP="00F6003B"/>
          <w:p w14:paraId="15AB5A00" w14:textId="65ED2303" w:rsidR="00D761A0" w:rsidRPr="00106A32" w:rsidRDefault="00F6003B" w:rsidP="00F6003B">
            <w:r>
              <w:t>BP, DTE, Constellation, and AEP provide recourse through Credit or Adequate Assurances provisions if reasonable grounds exist regarding unsatisfactory creditworthiness or performance. Others provided an LOC as collateral, noted in above Collateral Summary.  IGS has an approved exception from a NTE collateral requirement.(7) It is incumbent upon PEI to monitor and request Performance Assurance if a rating change triggers the policy collateral requirements.</w:t>
            </w:r>
          </w:p>
        </w:tc>
      </w:tr>
    </w:tbl>
    <w:p w14:paraId="0A0C9F49" w14:textId="083329CD" w:rsidR="00D941FB" w:rsidRPr="00A07F94" w:rsidRDefault="00D941FB" w:rsidP="00383E1E">
      <w:pPr>
        <w:rPr>
          <w:sz w:val="2"/>
          <w:szCs w:val="2"/>
        </w:rPr>
      </w:pPr>
    </w:p>
    <w:p w14:paraId="7F5B42A4" w14:textId="55A3787D" w:rsidR="00FB5832" w:rsidRDefault="00FB5832" w:rsidP="002A31EC">
      <w:pPr>
        <w:jc w:val="center"/>
        <w:rPr>
          <w:sz w:val="6"/>
          <w:szCs w:val="6"/>
        </w:rPr>
      </w:pPr>
    </w:p>
    <w:p w14:paraId="1BEF12CB" w14:textId="0E92172C" w:rsidR="00BA6607" w:rsidRDefault="00727267" w:rsidP="002A31EC">
      <w:pPr>
        <w:jc w:val="center"/>
        <w:rPr>
          <w:sz w:val="6"/>
          <w:szCs w:val="6"/>
        </w:rPr>
      </w:pPr>
      <w:r>
        <w:rPr>
          <w:noProof/>
        </w:rPr>
        <w:drawing>
          <wp:inline distT="0" distB="0" distL="0" distR="0" wp14:anchorId="158F9E39" wp14:editId="13A486BA">
            <wp:extent cx="8163763" cy="3343047"/>
            <wp:effectExtent l="0" t="0" r="8890" b="10160"/>
            <wp:docPr id="11022878" name="Chart 1" descr="bar graph showing total NTE of all derivative agreements for each year August 2023 through May 202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FA1CF0" w14:textId="77777777" w:rsidR="00BA6607" w:rsidRDefault="00BA6607" w:rsidP="002A31EC">
      <w:pPr>
        <w:jc w:val="center"/>
        <w:rPr>
          <w:sz w:val="6"/>
          <w:szCs w:val="6"/>
        </w:rPr>
      </w:pPr>
    </w:p>
    <w:p w14:paraId="610F46FE" w14:textId="3E86DDFF" w:rsidR="00233AAE" w:rsidRDefault="00727267" w:rsidP="00233AAE">
      <w:pPr>
        <w:jc w:val="center"/>
        <w:rPr>
          <w:noProof/>
          <w:sz w:val="10"/>
          <w:szCs w:val="10"/>
        </w:rPr>
      </w:pPr>
      <w:r>
        <w:rPr>
          <w:noProof/>
        </w:rPr>
        <w:drawing>
          <wp:inline distT="0" distB="0" distL="0" distR="0" wp14:anchorId="56FF45B2" wp14:editId="0317E385">
            <wp:extent cx="8105241" cy="3101645"/>
            <wp:effectExtent l="0" t="0" r="10160" b="3810"/>
            <wp:docPr id="931482981" name="Chart 1" descr="Pie chart of counterparty concentration as of May 202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B9ED00" w14:textId="49EC3237" w:rsidR="0063277C" w:rsidRDefault="0063277C" w:rsidP="00233AAE">
      <w:pPr>
        <w:jc w:val="center"/>
        <w:rPr>
          <w:noProof/>
          <w:sz w:val="10"/>
          <w:szCs w:val="10"/>
        </w:rPr>
      </w:pPr>
    </w:p>
    <w:p w14:paraId="1A3E0902" w14:textId="37786F8B" w:rsidR="00A07F94" w:rsidRDefault="00A07F94" w:rsidP="00233AAE">
      <w:pPr>
        <w:jc w:val="center"/>
        <w:rPr>
          <w:noProof/>
          <w:sz w:val="10"/>
          <w:szCs w:val="10"/>
        </w:rPr>
      </w:pPr>
    </w:p>
    <w:p w14:paraId="5E7CC0A8" w14:textId="40E7AAD0" w:rsidR="006F166C" w:rsidRDefault="006F166C" w:rsidP="00233AAE">
      <w:pPr>
        <w:jc w:val="center"/>
        <w:rPr>
          <w:noProof/>
          <w:sz w:val="10"/>
          <w:szCs w:val="10"/>
        </w:rPr>
      </w:pPr>
    </w:p>
    <w:tbl>
      <w:tblPr>
        <w:tblW w:w="14634" w:type="dxa"/>
        <w:tblLook w:val="04A0" w:firstRow="1" w:lastRow="0" w:firstColumn="1" w:lastColumn="0" w:noHBand="0" w:noVBand="1"/>
      </w:tblPr>
      <w:tblGrid>
        <w:gridCol w:w="1218"/>
        <w:gridCol w:w="1448"/>
        <w:gridCol w:w="1532"/>
        <w:gridCol w:w="1192"/>
        <w:gridCol w:w="1117"/>
        <w:gridCol w:w="1196"/>
        <w:gridCol w:w="891"/>
        <w:gridCol w:w="1016"/>
        <w:gridCol w:w="812"/>
        <w:gridCol w:w="812"/>
        <w:gridCol w:w="1008"/>
        <w:gridCol w:w="1055"/>
        <w:gridCol w:w="1337"/>
      </w:tblGrid>
      <w:tr w:rsidR="00CF54DE" w:rsidRPr="00AB662C" w14:paraId="24DED36C" w14:textId="77777777" w:rsidTr="002C1A1F">
        <w:trPr>
          <w:trHeight w:val="981"/>
          <w:tblHeader/>
        </w:trPr>
        <w:tc>
          <w:tcPr>
            <w:tcW w:w="1218" w:type="dxa"/>
            <w:tcBorders>
              <w:top w:val="nil"/>
              <w:left w:val="single" w:sz="8" w:space="0" w:color="auto"/>
              <w:bottom w:val="single" w:sz="8" w:space="0" w:color="auto"/>
              <w:right w:val="nil"/>
            </w:tcBorders>
            <w:shd w:val="clear" w:color="000000" w:fill="16365C"/>
            <w:vAlign w:val="bottom"/>
            <w:hideMark/>
          </w:tcPr>
          <w:p w14:paraId="65025378"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Responsible Unit/Dept.</w:t>
            </w:r>
          </w:p>
        </w:tc>
        <w:tc>
          <w:tcPr>
            <w:tcW w:w="1448" w:type="dxa"/>
            <w:tcBorders>
              <w:top w:val="nil"/>
              <w:left w:val="nil"/>
              <w:bottom w:val="single" w:sz="8" w:space="0" w:color="auto"/>
              <w:right w:val="nil"/>
            </w:tcBorders>
            <w:shd w:val="clear" w:color="000000" w:fill="16365C"/>
            <w:noWrap/>
            <w:vAlign w:val="bottom"/>
            <w:hideMark/>
          </w:tcPr>
          <w:p w14:paraId="2549014E"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Counterparty</w:t>
            </w:r>
          </w:p>
        </w:tc>
        <w:tc>
          <w:tcPr>
            <w:tcW w:w="1532" w:type="dxa"/>
            <w:tcBorders>
              <w:top w:val="nil"/>
              <w:left w:val="nil"/>
              <w:bottom w:val="single" w:sz="8" w:space="0" w:color="auto"/>
              <w:right w:val="nil"/>
            </w:tcBorders>
            <w:shd w:val="clear" w:color="000000" w:fill="16365C"/>
            <w:vAlign w:val="bottom"/>
            <w:hideMark/>
          </w:tcPr>
          <w:p w14:paraId="7CC3D796"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CSP</w:t>
            </w:r>
            <w:r w:rsidRPr="00AB662C">
              <w:rPr>
                <w:rFonts w:ascii="Arial" w:eastAsia="Times New Roman" w:hAnsi="Arial" w:cs="Arial"/>
                <w:b/>
                <w:bCs/>
                <w:color w:val="FFFFFF"/>
                <w:sz w:val="16"/>
                <w:szCs w:val="16"/>
              </w:rPr>
              <w:br w:type="page"/>
              <w:t>Rated Entity/</w:t>
            </w:r>
            <w:r w:rsidRPr="00AB662C">
              <w:rPr>
                <w:rFonts w:ascii="Arial" w:eastAsia="Times New Roman" w:hAnsi="Arial" w:cs="Arial"/>
                <w:b/>
                <w:bCs/>
                <w:color w:val="FFFFFF"/>
                <w:sz w:val="16"/>
                <w:szCs w:val="16"/>
              </w:rPr>
              <w:br w:type="page"/>
              <w:t>Exchange</w:t>
            </w:r>
          </w:p>
        </w:tc>
        <w:tc>
          <w:tcPr>
            <w:tcW w:w="1192" w:type="dxa"/>
            <w:tcBorders>
              <w:top w:val="nil"/>
              <w:left w:val="nil"/>
              <w:bottom w:val="single" w:sz="8" w:space="0" w:color="auto"/>
              <w:right w:val="nil"/>
            </w:tcBorders>
            <w:shd w:val="clear" w:color="000000" w:fill="16365C"/>
            <w:vAlign w:val="bottom"/>
            <w:hideMark/>
          </w:tcPr>
          <w:p w14:paraId="003295EC"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br w:type="page"/>
              <w:t>Bond Rating</w:t>
            </w:r>
            <w:r w:rsidRPr="00AB662C">
              <w:rPr>
                <w:rFonts w:ascii="Arial" w:eastAsia="Times New Roman" w:hAnsi="Arial" w:cs="Arial"/>
                <w:b/>
                <w:bCs/>
                <w:color w:val="FFFFFF"/>
                <w:sz w:val="16"/>
                <w:szCs w:val="16"/>
              </w:rPr>
              <w:br w:type="page"/>
              <w:t>S&amp;P / Moody's</w:t>
            </w:r>
          </w:p>
        </w:tc>
        <w:tc>
          <w:tcPr>
            <w:tcW w:w="1117" w:type="dxa"/>
            <w:tcBorders>
              <w:top w:val="nil"/>
              <w:left w:val="nil"/>
              <w:bottom w:val="single" w:sz="8" w:space="0" w:color="auto"/>
              <w:right w:val="nil"/>
            </w:tcBorders>
            <w:shd w:val="clear" w:color="000000" w:fill="16365C"/>
            <w:vAlign w:val="bottom"/>
            <w:hideMark/>
          </w:tcPr>
          <w:p w14:paraId="2FAE3F19" w14:textId="57ECFB3B"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Expires</w:t>
            </w:r>
            <w:r w:rsidRPr="00AB662C">
              <w:rPr>
                <w:rFonts w:ascii="Arial" w:eastAsia="Times New Roman" w:hAnsi="Arial" w:cs="Arial"/>
                <w:b/>
                <w:bCs/>
                <w:color w:val="FFFFFF"/>
                <w:sz w:val="16"/>
                <w:szCs w:val="16"/>
              </w:rPr>
              <w:br w:type="page"/>
            </w:r>
            <w:r w:rsidR="004547BB">
              <w:rPr>
                <w:rFonts w:ascii="Arial" w:eastAsia="Times New Roman" w:hAnsi="Arial" w:cs="Arial"/>
                <w:b/>
                <w:bCs/>
                <w:color w:val="FFFFFF"/>
                <w:sz w:val="16"/>
                <w:szCs w:val="16"/>
              </w:rPr>
              <w:t xml:space="preserve"> / FY Range</w:t>
            </w:r>
          </w:p>
        </w:tc>
        <w:tc>
          <w:tcPr>
            <w:tcW w:w="1196" w:type="dxa"/>
            <w:tcBorders>
              <w:top w:val="nil"/>
              <w:left w:val="nil"/>
              <w:bottom w:val="single" w:sz="8" w:space="0" w:color="auto"/>
              <w:right w:val="nil"/>
            </w:tcBorders>
            <w:shd w:val="clear" w:color="000000" w:fill="16365C"/>
            <w:vAlign w:val="bottom"/>
            <w:hideMark/>
          </w:tcPr>
          <w:p w14:paraId="4AB77D0C"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Underlying Asset / Liability</w:t>
            </w:r>
          </w:p>
        </w:tc>
        <w:tc>
          <w:tcPr>
            <w:tcW w:w="891" w:type="dxa"/>
            <w:tcBorders>
              <w:top w:val="nil"/>
              <w:left w:val="nil"/>
              <w:bottom w:val="single" w:sz="8" w:space="0" w:color="auto"/>
              <w:right w:val="nil"/>
            </w:tcBorders>
            <w:shd w:val="clear" w:color="000000" w:fill="16365C"/>
            <w:vAlign w:val="bottom"/>
            <w:hideMark/>
          </w:tcPr>
          <w:p w14:paraId="7C450AD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Orig Contract</w:t>
            </w:r>
          </w:p>
        </w:tc>
        <w:tc>
          <w:tcPr>
            <w:tcW w:w="1016" w:type="dxa"/>
            <w:tcBorders>
              <w:top w:val="nil"/>
              <w:left w:val="nil"/>
              <w:bottom w:val="single" w:sz="8" w:space="0" w:color="auto"/>
              <w:right w:val="nil"/>
            </w:tcBorders>
            <w:shd w:val="clear" w:color="000000" w:fill="16365C"/>
            <w:vAlign w:val="bottom"/>
            <w:hideMark/>
          </w:tcPr>
          <w:p w14:paraId="7FBE30B2"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Current Notional / Contract</w:t>
            </w:r>
            <w:r w:rsidRPr="00AB662C">
              <w:rPr>
                <w:rFonts w:ascii="Arial" w:eastAsia="Times New Roman" w:hAnsi="Arial" w:cs="Arial"/>
                <w:b/>
                <w:bCs/>
                <w:color w:val="FFFFFF"/>
                <w:sz w:val="16"/>
                <w:szCs w:val="16"/>
              </w:rPr>
              <w:br w:type="page"/>
              <w:t>In Millions</w:t>
            </w:r>
          </w:p>
        </w:tc>
        <w:tc>
          <w:tcPr>
            <w:tcW w:w="812" w:type="dxa"/>
            <w:tcBorders>
              <w:top w:val="nil"/>
              <w:left w:val="nil"/>
              <w:bottom w:val="single" w:sz="8" w:space="0" w:color="auto"/>
              <w:right w:val="nil"/>
            </w:tcBorders>
            <w:shd w:val="clear" w:color="000000" w:fill="16365C"/>
            <w:vAlign w:val="bottom"/>
            <w:hideMark/>
          </w:tcPr>
          <w:p w14:paraId="3E5F2542"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br w:type="page"/>
              <w:t>Market Value</w:t>
            </w:r>
            <w:r w:rsidRPr="00AB662C">
              <w:rPr>
                <w:rFonts w:ascii="Arial" w:eastAsia="Times New Roman" w:hAnsi="Arial" w:cs="Arial"/>
                <w:b/>
                <w:bCs/>
                <w:color w:val="FFFFFF"/>
                <w:sz w:val="16"/>
                <w:szCs w:val="16"/>
              </w:rPr>
              <w:br w:type="page"/>
              <w:t>In Millions</w:t>
            </w:r>
          </w:p>
        </w:tc>
        <w:tc>
          <w:tcPr>
            <w:tcW w:w="812" w:type="dxa"/>
            <w:tcBorders>
              <w:top w:val="nil"/>
              <w:left w:val="nil"/>
              <w:bottom w:val="single" w:sz="8" w:space="0" w:color="auto"/>
              <w:right w:val="nil"/>
            </w:tcBorders>
            <w:shd w:val="clear" w:color="000000" w:fill="16365C"/>
            <w:vAlign w:val="bottom"/>
            <w:hideMark/>
          </w:tcPr>
          <w:p w14:paraId="632533E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*MTM or NTE </w:t>
            </w:r>
            <w:r w:rsidRPr="00AB662C">
              <w:rPr>
                <w:rFonts w:ascii="Arial" w:eastAsia="Times New Roman" w:hAnsi="Arial" w:cs="Arial"/>
                <w:b/>
                <w:bCs/>
                <w:color w:val="FFFFFF"/>
                <w:sz w:val="16"/>
                <w:szCs w:val="16"/>
                <w:vertAlign w:val="superscript"/>
              </w:rPr>
              <w:t>(5)</w:t>
            </w:r>
            <w:r w:rsidRPr="00AB662C">
              <w:rPr>
                <w:rFonts w:ascii="Arial" w:eastAsia="Times New Roman" w:hAnsi="Arial" w:cs="Arial"/>
                <w:b/>
                <w:bCs/>
                <w:color w:val="FFFFFF"/>
                <w:sz w:val="16"/>
                <w:szCs w:val="16"/>
              </w:rPr>
              <w:t xml:space="preserve"> In Millions</w:t>
            </w:r>
          </w:p>
        </w:tc>
        <w:tc>
          <w:tcPr>
            <w:tcW w:w="1008" w:type="dxa"/>
            <w:tcBorders>
              <w:top w:val="nil"/>
              <w:left w:val="nil"/>
              <w:bottom w:val="single" w:sz="8" w:space="0" w:color="auto"/>
              <w:right w:val="nil"/>
            </w:tcBorders>
            <w:shd w:val="clear" w:color="000000" w:fill="16365C"/>
            <w:vAlign w:val="bottom"/>
            <w:hideMark/>
          </w:tcPr>
          <w:p w14:paraId="254550CE" w14:textId="5296C33D"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System </w:t>
            </w:r>
            <w:r w:rsidR="00DC5B3D" w:rsidRPr="00AB662C">
              <w:rPr>
                <w:rFonts w:ascii="Arial" w:eastAsia="Times New Roman" w:hAnsi="Arial" w:cs="Arial"/>
                <w:b/>
                <w:bCs/>
                <w:color w:val="FFFFFF"/>
                <w:sz w:val="16"/>
                <w:szCs w:val="16"/>
              </w:rPr>
              <w:t>Guarantee (</w:t>
            </w:r>
            <w:r w:rsidRPr="00AB662C">
              <w:rPr>
                <w:rFonts w:ascii="Arial" w:eastAsia="Times New Roman" w:hAnsi="Arial" w:cs="Arial"/>
                <w:b/>
                <w:bCs/>
                <w:color w:val="FFFFFF"/>
                <w:sz w:val="16"/>
                <w:szCs w:val="16"/>
              </w:rPr>
              <w:t>Credit Limit)</w:t>
            </w:r>
            <w:r w:rsidRPr="00AB662C">
              <w:rPr>
                <w:rFonts w:ascii="Arial" w:eastAsia="Times New Roman" w:hAnsi="Arial" w:cs="Arial"/>
                <w:b/>
                <w:bCs/>
                <w:color w:val="FFFFFF"/>
                <w:sz w:val="16"/>
                <w:szCs w:val="16"/>
              </w:rPr>
              <w:br w:type="page"/>
              <w:t>In Millions</w:t>
            </w:r>
          </w:p>
        </w:tc>
        <w:tc>
          <w:tcPr>
            <w:tcW w:w="1055" w:type="dxa"/>
            <w:tcBorders>
              <w:top w:val="nil"/>
              <w:left w:val="nil"/>
              <w:bottom w:val="single" w:sz="8" w:space="0" w:color="auto"/>
              <w:right w:val="nil"/>
            </w:tcBorders>
            <w:shd w:val="clear" w:color="000000" w:fill="16365C"/>
            <w:vAlign w:val="bottom"/>
            <w:hideMark/>
          </w:tcPr>
          <w:p w14:paraId="6F39BC89" w14:textId="347B515A"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PCG - </w:t>
            </w:r>
            <w:r w:rsidR="00B22BF3" w:rsidRPr="00AB662C">
              <w:rPr>
                <w:rFonts w:ascii="Arial" w:eastAsia="Times New Roman" w:hAnsi="Arial" w:cs="Arial"/>
                <w:b/>
                <w:bCs/>
                <w:color w:val="FFFFFF"/>
                <w:sz w:val="16"/>
                <w:szCs w:val="16"/>
              </w:rPr>
              <w:t>LOC (</w:t>
            </w:r>
            <w:r w:rsidRPr="00AB662C">
              <w:rPr>
                <w:rFonts w:ascii="Arial" w:eastAsia="Times New Roman" w:hAnsi="Arial" w:cs="Arial"/>
                <w:b/>
                <w:bCs/>
                <w:color w:val="FFFFFF"/>
                <w:sz w:val="16"/>
                <w:szCs w:val="16"/>
              </w:rPr>
              <w:t xml:space="preserve">Credit Limit) </w:t>
            </w:r>
          </w:p>
        </w:tc>
        <w:tc>
          <w:tcPr>
            <w:tcW w:w="1337" w:type="dxa"/>
            <w:tcBorders>
              <w:top w:val="nil"/>
              <w:left w:val="nil"/>
              <w:bottom w:val="single" w:sz="8" w:space="0" w:color="auto"/>
              <w:right w:val="single" w:sz="8" w:space="0" w:color="auto"/>
            </w:tcBorders>
            <w:shd w:val="clear" w:color="000000" w:fill="16365C"/>
            <w:vAlign w:val="bottom"/>
            <w:hideMark/>
          </w:tcPr>
          <w:p w14:paraId="1502BB7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Counterparty Threshold (Collateral Requirements)</w:t>
            </w:r>
          </w:p>
        </w:tc>
      </w:tr>
      <w:tr w:rsidR="00F852BC" w:rsidRPr="00D97147" w14:paraId="5FC131EF" w14:textId="77777777" w:rsidTr="002C1A1F">
        <w:trPr>
          <w:trHeight w:val="597"/>
        </w:trPr>
        <w:tc>
          <w:tcPr>
            <w:tcW w:w="1218" w:type="dxa"/>
            <w:tcBorders>
              <w:top w:val="nil"/>
              <w:left w:val="single" w:sz="8" w:space="0" w:color="auto"/>
              <w:bottom w:val="nil"/>
              <w:right w:val="nil"/>
            </w:tcBorders>
            <w:shd w:val="clear" w:color="auto" w:fill="auto"/>
            <w:noWrap/>
            <w:hideMark/>
          </w:tcPr>
          <w:p w14:paraId="13618E22" w14:textId="71A8AB44" w:rsidR="00AB662C" w:rsidRPr="00AB662C" w:rsidRDefault="00576A56" w:rsidP="00C52AAE">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FINANCIAL HEDGES</w:t>
            </w:r>
          </w:p>
        </w:tc>
        <w:tc>
          <w:tcPr>
            <w:tcW w:w="1448" w:type="dxa"/>
            <w:tcBorders>
              <w:top w:val="nil"/>
              <w:left w:val="nil"/>
              <w:right w:val="nil"/>
            </w:tcBorders>
            <w:shd w:val="clear" w:color="auto" w:fill="auto"/>
            <w:hideMark/>
          </w:tcPr>
          <w:p w14:paraId="20967529"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532" w:type="dxa"/>
            <w:tcBorders>
              <w:top w:val="nil"/>
              <w:left w:val="nil"/>
              <w:bottom w:val="nil"/>
              <w:right w:val="nil"/>
            </w:tcBorders>
            <w:shd w:val="clear" w:color="auto" w:fill="auto"/>
            <w:hideMark/>
          </w:tcPr>
          <w:p w14:paraId="47197252"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2" w:type="dxa"/>
            <w:tcBorders>
              <w:top w:val="nil"/>
              <w:left w:val="nil"/>
              <w:bottom w:val="nil"/>
              <w:right w:val="nil"/>
            </w:tcBorders>
            <w:shd w:val="clear" w:color="auto" w:fill="auto"/>
            <w:hideMark/>
          </w:tcPr>
          <w:p w14:paraId="3643981E" w14:textId="54883631"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Qualifying Rating</w:t>
            </w:r>
            <w:r w:rsidRPr="00D97147">
              <w:rPr>
                <w:rFonts w:ascii="Arial" w:eastAsia="Times New Roman" w:hAnsi="Arial" w:cs="Arial"/>
                <w:b/>
                <w:bCs/>
                <w:color w:val="000000"/>
                <w:sz w:val="18"/>
                <w:szCs w:val="18"/>
              </w:rPr>
              <w:t xml:space="preserve"> </w:t>
            </w:r>
            <w:r w:rsidRPr="00AB662C">
              <w:rPr>
                <w:rFonts w:ascii="Arial" w:eastAsia="Times New Roman" w:hAnsi="Arial" w:cs="Arial"/>
                <w:b/>
                <w:bCs/>
                <w:color w:val="000000"/>
                <w:sz w:val="18"/>
                <w:szCs w:val="18"/>
              </w:rPr>
              <w:t>A- / A3</w:t>
            </w:r>
          </w:p>
        </w:tc>
        <w:tc>
          <w:tcPr>
            <w:tcW w:w="1117" w:type="dxa"/>
            <w:tcBorders>
              <w:top w:val="nil"/>
              <w:left w:val="nil"/>
              <w:bottom w:val="nil"/>
              <w:right w:val="nil"/>
            </w:tcBorders>
            <w:shd w:val="clear" w:color="auto" w:fill="auto"/>
            <w:hideMark/>
          </w:tcPr>
          <w:p w14:paraId="5A2F990E"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nil"/>
              <w:right w:val="nil"/>
            </w:tcBorders>
            <w:shd w:val="clear" w:color="auto" w:fill="auto"/>
            <w:hideMark/>
          </w:tcPr>
          <w:p w14:paraId="6F0F85F9"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891" w:type="dxa"/>
            <w:tcBorders>
              <w:top w:val="nil"/>
              <w:left w:val="nil"/>
              <w:bottom w:val="nil"/>
              <w:right w:val="nil"/>
            </w:tcBorders>
            <w:shd w:val="clear" w:color="auto" w:fill="auto"/>
            <w:hideMark/>
          </w:tcPr>
          <w:p w14:paraId="4193A422" w14:textId="0DD5EBE2" w:rsidR="00AB662C" w:rsidRPr="00AB662C" w:rsidRDefault="00AB662C" w:rsidP="00C52AAE">
            <w:pPr>
              <w:spacing w:after="0" w:line="240" w:lineRule="auto"/>
              <w:jc w:val="center"/>
              <w:rPr>
                <w:rFonts w:ascii="Arial" w:eastAsia="Times New Roman" w:hAnsi="Arial" w:cs="Arial"/>
                <w:color w:val="000000"/>
                <w:sz w:val="18"/>
                <w:szCs w:val="18"/>
              </w:rPr>
            </w:pPr>
          </w:p>
        </w:tc>
        <w:tc>
          <w:tcPr>
            <w:tcW w:w="1016" w:type="dxa"/>
            <w:tcBorders>
              <w:top w:val="nil"/>
              <w:left w:val="nil"/>
              <w:bottom w:val="nil"/>
              <w:right w:val="nil"/>
            </w:tcBorders>
            <w:shd w:val="clear" w:color="auto" w:fill="auto"/>
            <w:hideMark/>
          </w:tcPr>
          <w:p w14:paraId="580C7DCC" w14:textId="62C6FCF0" w:rsidR="00AB662C" w:rsidRPr="00AB662C" w:rsidRDefault="00AB662C"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hideMark/>
          </w:tcPr>
          <w:p w14:paraId="7242E5F4" w14:textId="06E27A1A" w:rsidR="00AB662C" w:rsidRPr="00AB662C" w:rsidRDefault="00AB662C"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hideMark/>
          </w:tcPr>
          <w:p w14:paraId="0B7CC299" w14:textId="3972F509" w:rsidR="00AB662C" w:rsidRPr="00AB662C" w:rsidRDefault="00AB662C" w:rsidP="00C52AAE">
            <w:pPr>
              <w:spacing w:after="0" w:line="240" w:lineRule="auto"/>
              <w:jc w:val="center"/>
              <w:rPr>
                <w:rFonts w:ascii="Arial" w:eastAsia="Times New Roman" w:hAnsi="Arial" w:cs="Arial"/>
                <w:color w:val="000000"/>
                <w:sz w:val="18"/>
                <w:szCs w:val="18"/>
              </w:rPr>
            </w:pPr>
          </w:p>
        </w:tc>
        <w:tc>
          <w:tcPr>
            <w:tcW w:w="1008" w:type="dxa"/>
            <w:tcBorders>
              <w:top w:val="nil"/>
              <w:left w:val="nil"/>
              <w:bottom w:val="nil"/>
              <w:right w:val="nil"/>
            </w:tcBorders>
            <w:shd w:val="clear" w:color="auto" w:fill="auto"/>
            <w:hideMark/>
          </w:tcPr>
          <w:p w14:paraId="4C420BEC" w14:textId="0A2F3FF3" w:rsidR="00AB662C" w:rsidRPr="00AB662C" w:rsidRDefault="00AB662C" w:rsidP="00C52AAE">
            <w:pPr>
              <w:spacing w:after="0" w:line="240" w:lineRule="auto"/>
              <w:jc w:val="center"/>
              <w:rPr>
                <w:rFonts w:ascii="Arial" w:eastAsia="Times New Roman" w:hAnsi="Arial" w:cs="Arial"/>
                <w:color w:val="000000"/>
                <w:sz w:val="18"/>
                <w:szCs w:val="18"/>
              </w:rPr>
            </w:pPr>
          </w:p>
        </w:tc>
        <w:tc>
          <w:tcPr>
            <w:tcW w:w="1055" w:type="dxa"/>
            <w:tcBorders>
              <w:top w:val="nil"/>
              <w:left w:val="nil"/>
              <w:bottom w:val="nil"/>
              <w:right w:val="nil"/>
            </w:tcBorders>
            <w:shd w:val="clear" w:color="auto" w:fill="auto"/>
            <w:hideMark/>
          </w:tcPr>
          <w:p w14:paraId="1CD03A3F" w14:textId="51B51369" w:rsidR="00AB662C" w:rsidRPr="00AB662C" w:rsidRDefault="00AB662C" w:rsidP="00C52AAE">
            <w:pPr>
              <w:spacing w:after="0" w:line="240" w:lineRule="auto"/>
              <w:jc w:val="center"/>
              <w:rPr>
                <w:rFonts w:ascii="Arial" w:eastAsia="Times New Roman" w:hAnsi="Arial" w:cs="Arial"/>
                <w:color w:val="000000"/>
                <w:sz w:val="18"/>
                <w:szCs w:val="18"/>
              </w:rPr>
            </w:pPr>
          </w:p>
        </w:tc>
        <w:tc>
          <w:tcPr>
            <w:tcW w:w="1337" w:type="dxa"/>
            <w:tcBorders>
              <w:top w:val="nil"/>
              <w:left w:val="nil"/>
              <w:bottom w:val="nil"/>
              <w:right w:val="single" w:sz="8" w:space="0" w:color="auto"/>
            </w:tcBorders>
            <w:shd w:val="clear" w:color="auto" w:fill="auto"/>
            <w:hideMark/>
          </w:tcPr>
          <w:p w14:paraId="7B5750B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r>
      <w:tr w:rsidR="00CF54DE" w:rsidRPr="00D97147" w14:paraId="3E144D02" w14:textId="77777777" w:rsidTr="002C1A1F">
        <w:trPr>
          <w:trHeight w:val="373"/>
        </w:trPr>
        <w:tc>
          <w:tcPr>
            <w:tcW w:w="1218" w:type="dxa"/>
            <w:tcBorders>
              <w:top w:val="nil"/>
              <w:left w:val="single" w:sz="8" w:space="0" w:color="auto"/>
              <w:bottom w:val="nil"/>
            </w:tcBorders>
            <w:shd w:val="clear" w:color="auto" w:fill="D9E2F3" w:themeFill="accent1" w:themeFillTint="33"/>
            <w:noWrap/>
            <w:hideMark/>
          </w:tcPr>
          <w:p w14:paraId="72465396"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System Interest Rate Swaps</w:t>
            </w:r>
          </w:p>
        </w:tc>
        <w:tc>
          <w:tcPr>
            <w:tcW w:w="1448" w:type="dxa"/>
            <w:tcBorders>
              <w:top w:val="nil"/>
              <w:bottom w:val="nil"/>
              <w:right w:val="nil"/>
            </w:tcBorders>
            <w:shd w:val="clear" w:color="auto" w:fill="D9E2F3" w:themeFill="accent1" w:themeFillTint="33"/>
          </w:tcPr>
          <w:p w14:paraId="11A57E8F" w14:textId="1D7A2767"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D9E2F3" w:themeFill="accent1" w:themeFillTint="33"/>
            <w:hideMark/>
          </w:tcPr>
          <w:p w14:paraId="14F4FA89"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2" w:type="dxa"/>
            <w:tcBorders>
              <w:top w:val="nil"/>
              <w:left w:val="nil"/>
              <w:bottom w:val="nil"/>
              <w:right w:val="nil"/>
            </w:tcBorders>
            <w:shd w:val="clear" w:color="auto" w:fill="D9E2F3" w:themeFill="accent1" w:themeFillTint="33"/>
            <w:hideMark/>
          </w:tcPr>
          <w:p w14:paraId="153C114B"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17" w:type="dxa"/>
            <w:tcBorders>
              <w:top w:val="nil"/>
              <w:left w:val="nil"/>
              <w:bottom w:val="nil"/>
              <w:right w:val="nil"/>
            </w:tcBorders>
            <w:shd w:val="clear" w:color="auto" w:fill="D9E2F3" w:themeFill="accent1" w:themeFillTint="33"/>
            <w:hideMark/>
          </w:tcPr>
          <w:p w14:paraId="3C703493"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nil"/>
              <w:right w:val="nil"/>
            </w:tcBorders>
            <w:shd w:val="clear" w:color="auto" w:fill="D9E2F3" w:themeFill="accent1" w:themeFillTint="33"/>
            <w:hideMark/>
          </w:tcPr>
          <w:p w14:paraId="379DCC6F"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891" w:type="dxa"/>
            <w:tcBorders>
              <w:top w:val="nil"/>
              <w:left w:val="nil"/>
              <w:bottom w:val="nil"/>
              <w:right w:val="nil"/>
            </w:tcBorders>
            <w:shd w:val="clear" w:color="auto" w:fill="D9E2F3" w:themeFill="accent1" w:themeFillTint="33"/>
            <w:hideMark/>
          </w:tcPr>
          <w:p w14:paraId="3BB8A0C8" w14:textId="2AB67D96" w:rsidR="00C52AAE" w:rsidRPr="00AB662C" w:rsidRDefault="00C52AAE" w:rsidP="00C52AAE">
            <w:pPr>
              <w:spacing w:after="0" w:line="240" w:lineRule="auto"/>
              <w:jc w:val="center"/>
              <w:rPr>
                <w:rFonts w:ascii="Arial" w:eastAsia="Times New Roman" w:hAnsi="Arial" w:cs="Arial"/>
                <w:color w:val="000000"/>
                <w:sz w:val="18"/>
                <w:szCs w:val="18"/>
              </w:rPr>
            </w:pPr>
          </w:p>
        </w:tc>
        <w:tc>
          <w:tcPr>
            <w:tcW w:w="1016" w:type="dxa"/>
            <w:tcBorders>
              <w:top w:val="nil"/>
              <w:left w:val="nil"/>
              <w:bottom w:val="nil"/>
              <w:right w:val="nil"/>
            </w:tcBorders>
            <w:shd w:val="clear" w:color="auto" w:fill="D9E2F3" w:themeFill="accent1" w:themeFillTint="33"/>
            <w:hideMark/>
          </w:tcPr>
          <w:p w14:paraId="34FCE60F" w14:textId="35FCA02F" w:rsidR="00C52AAE" w:rsidRPr="00AB662C" w:rsidRDefault="00C52AAE"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D9E2F3" w:themeFill="accent1" w:themeFillTint="33"/>
            <w:hideMark/>
          </w:tcPr>
          <w:p w14:paraId="65129946" w14:textId="379A09DC" w:rsidR="00C52AAE" w:rsidRPr="00AB662C" w:rsidRDefault="00C52AAE"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D9E2F3" w:themeFill="accent1" w:themeFillTint="33"/>
            <w:hideMark/>
          </w:tcPr>
          <w:p w14:paraId="158F0BBE" w14:textId="2B790E25" w:rsidR="00C52AAE" w:rsidRPr="00AB662C" w:rsidRDefault="00C52AAE" w:rsidP="00C52AAE">
            <w:pPr>
              <w:spacing w:after="0" w:line="240" w:lineRule="auto"/>
              <w:jc w:val="center"/>
              <w:rPr>
                <w:rFonts w:ascii="Arial" w:eastAsia="Times New Roman" w:hAnsi="Arial" w:cs="Arial"/>
                <w:color w:val="000000"/>
                <w:sz w:val="18"/>
                <w:szCs w:val="18"/>
              </w:rPr>
            </w:pPr>
          </w:p>
        </w:tc>
        <w:tc>
          <w:tcPr>
            <w:tcW w:w="1008" w:type="dxa"/>
            <w:tcBorders>
              <w:top w:val="nil"/>
              <w:left w:val="nil"/>
              <w:bottom w:val="nil"/>
              <w:right w:val="nil"/>
            </w:tcBorders>
            <w:shd w:val="clear" w:color="auto" w:fill="D9E2F3" w:themeFill="accent1" w:themeFillTint="33"/>
            <w:hideMark/>
          </w:tcPr>
          <w:p w14:paraId="2BC22E6C" w14:textId="5E207762" w:rsidR="00C52AAE" w:rsidRPr="00AB662C" w:rsidRDefault="00C52AAE" w:rsidP="00C52AAE">
            <w:pPr>
              <w:spacing w:after="0" w:line="240" w:lineRule="auto"/>
              <w:jc w:val="center"/>
              <w:rPr>
                <w:rFonts w:ascii="Arial" w:eastAsia="Times New Roman" w:hAnsi="Arial" w:cs="Arial"/>
                <w:color w:val="000000"/>
                <w:sz w:val="18"/>
                <w:szCs w:val="18"/>
              </w:rPr>
            </w:pPr>
          </w:p>
        </w:tc>
        <w:tc>
          <w:tcPr>
            <w:tcW w:w="1055" w:type="dxa"/>
            <w:tcBorders>
              <w:top w:val="nil"/>
              <w:left w:val="nil"/>
              <w:bottom w:val="nil"/>
              <w:right w:val="nil"/>
            </w:tcBorders>
            <w:shd w:val="clear" w:color="auto" w:fill="D9E2F3" w:themeFill="accent1" w:themeFillTint="33"/>
            <w:hideMark/>
          </w:tcPr>
          <w:p w14:paraId="537BBA21" w14:textId="1E90D18E" w:rsidR="00C52AAE" w:rsidRPr="00AB662C" w:rsidRDefault="00C52AAE" w:rsidP="00C52AAE">
            <w:pPr>
              <w:spacing w:after="0" w:line="240" w:lineRule="auto"/>
              <w:jc w:val="center"/>
              <w:rPr>
                <w:rFonts w:ascii="Arial" w:eastAsia="Times New Roman" w:hAnsi="Arial" w:cs="Arial"/>
                <w:color w:val="000000"/>
                <w:sz w:val="18"/>
                <w:szCs w:val="18"/>
              </w:rPr>
            </w:pPr>
          </w:p>
        </w:tc>
        <w:tc>
          <w:tcPr>
            <w:tcW w:w="1337" w:type="dxa"/>
            <w:tcBorders>
              <w:top w:val="nil"/>
              <w:left w:val="nil"/>
              <w:bottom w:val="nil"/>
              <w:right w:val="single" w:sz="8" w:space="0" w:color="auto"/>
            </w:tcBorders>
            <w:shd w:val="clear" w:color="auto" w:fill="D9E2F3" w:themeFill="accent1" w:themeFillTint="33"/>
            <w:hideMark/>
          </w:tcPr>
          <w:p w14:paraId="4CA0561C" w14:textId="77777777" w:rsidR="00C52AAE" w:rsidRPr="00AB662C" w:rsidRDefault="00C52AAE"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r>
      <w:tr w:rsidR="00F852BC" w:rsidRPr="00D97147" w14:paraId="0691FBDA" w14:textId="77777777" w:rsidTr="002C1A1F">
        <w:trPr>
          <w:trHeight w:val="522"/>
        </w:trPr>
        <w:tc>
          <w:tcPr>
            <w:tcW w:w="1218" w:type="dxa"/>
            <w:tcBorders>
              <w:top w:val="nil"/>
              <w:left w:val="single" w:sz="8" w:space="0" w:color="auto"/>
              <w:bottom w:val="nil"/>
              <w:right w:val="nil"/>
            </w:tcBorders>
            <w:shd w:val="clear" w:color="auto" w:fill="auto"/>
            <w:hideMark/>
          </w:tcPr>
          <w:p w14:paraId="2BDB2197"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Capital Financing</w:t>
            </w:r>
          </w:p>
        </w:tc>
        <w:tc>
          <w:tcPr>
            <w:tcW w:w="1448" w:type="dxa"/>
            <w:tcBorders>
              <w:top w:val="nil"/>
              <w:left w:val="nil"/>
              <w:right w:val="nil"/>
            </w:tcBorders>
            <w:shd w:val="clear" w:color="auto" w:fill="auto"/>
            <w:hideMark/>
          </w:tcPr>
          <w:p w14:paraId="10A46BDC" w14:textId="71720E43" w:rsidR="00AB662C" w:rsidRPr="00AB662C" w:rsidRDefault="00974C6E" w:rsidP="00C52AAE">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Deutsche Bank AG</w:t>
            </w:r>
          </w:p>
        </w:tc>
        <w:tc>
          <w:tcPr>
            <w:tcW w:w="1532" w:type="dxa"/>
            <w:tcBorders>
              <w:top w:val="nil"/>
              <w:left w:val="nil"/>
              <w:bottom w:val="nil"/>
              <w:right w:val="nil"/>
            </w:tcBorders>
            <w:shd w:val="clear" w:color="auto" w:fill="auto"/>
            <w:hideMark/>
          </w:tcPr>
          <w:p w14:paraId="0ECA8DC6"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Deutsche Bank AG (CSP)</w:t>
            </w:r>
          </w:p>
        </w:tc>
        <w:tc>
          <w:tcPr>
            <w:tcW w:w="1192" w:type="dxa"/>
            <w:tcBorders>
              <w:top w:val="nil"/>
              <w:left w:val="nil"/>
              <w:bottom w:val="nil"/>
              <w:right w:val="nil"/>
            </w:tcBorders>
            <w:shd w:val="clear" w:color="auto" w:fill="auto"/>
            <w:hideMark/>
          </w:tcPr>
          <w:p w14:paraId="0BAD96E9" w14:textId="3251C06C"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w:t>
            </w:r>
            <w:r w:rsidR="001D0842">
              <w:rPr>
                <w:rFonts w:ascii="Arial" w:eastAsia="Times New Roman" w:hAnsi="Arial" w:cs="Arial"/>
                <w:color w:val="000000"/>
                <w:sz w:val="18"/>
                <w:szCs w:val="18"/>
              </w:rPr>
              <w:t>1</w:t>
            </w:r>
          </w:p>
        </w:tc>
        <w:tc>
          <w:tcPr>
            <w:tcW w:w="1117" w:type="dxa"/>
            <w:tcBorders>
              <w:top w:val="nil"/>
              <w:left w:val="nil"/>
              <w:bottom w:val="nil"/>
              <w:right w:val="nil"/>
            </w:tcBorders>
            <w:shd w:val="clear" w:color="auto" w:fill="auto"/>
            <w:noWrap/>
            <w:hideMark/>
          </w:tcPr>
          <w:p w14:paraId="1D83220B"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10/1/2026</w:t>
            </w:r>
          </w:p>
        </w:tc>
        <w:tc>
          <w:tcPr>
            <w:tcW w:w="1196" w:type="dxa"/>
            <w:tcBorders>
              <w:top w:val="nil"/>
              <w:left w:val="nil"/>
              <w:bottom w:val="nil"/>
              <w:right w:val="nil"/>
            </w:tcBorders>
            <w:shd w:val="clear" w:color="auto" w:fill="auto"/>
            <w:hideMark/>
          </w:tcPr>
          <w:p w14:paraId="4ABDB8B7"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HSFS 2008</w:t>
            </w:r>
          </w:p>
        </w:tc>
        <w:tc>
          <w:tcPr>
            <w:tcW w:w="891" w:type="dxa"/>
            <w:tcBorders>
              <w:top w:val="nil"/>
              <w:left w:val="nil"/>
              <w:bottom w:val="single" w:sz="4" w:space="0" w:color="auto"/>
              <w:right w:val="nil"/>
            </w:tcBorders>
            <w:shd w:val="clear" w:color="auto" w:fill="auto"/>
            <w:noWrap/>
            <w:hideMark/>
          </w:tcPr>
          <w:p w14:paraId="6B643193" w14:textId="79C381A5"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$40.88</w:t>
            </w:r>
          </w:p>
        </w:tc>
        <w:tc>
          <w:tcPr>
            <w:tcW w:w="1016" w:type="dxa"/>
            <w:tcBorders>
              <w:top w:val="nil"/>
              <w:left w:val="nil"/>
              <w:bottom w:val="single" w:sz="4" w:space="0" w:color="auto"/>
              <w:right w:val="nil"/>
            </w:tcBorders>
            <w:shd w:val="clear" w:color="auto" w:fill="auto"/>
            <w:noWrap/>
            <w:hideMark/>
          </w:tcPr>
          <w:p w14:paraId="7DCEC039" w14:textId="18BED5F5" w:rsidR="00AB662C" w:rsidRPr="00AB662C" w:rsidRDefault="007130CC"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974C6E">
              <w:rPr>
                <w:rFonts w:ascii="Arial" w:eastAsia="Times New Roman" w:hAnsi="Arial" w:cs="Arial"/>
                <w:color w:val="000000"/>
                <w:sz w:val="18"/>
                <w:szCs w:val="18"/>
              </w:rPr>
              <w:t>.</w:t>
            </w:r>
            <w:r>
              <w:rPr>
                <w:rFonts w:ascii="Arial" w:eastAsia="Times New Roman" w:hAnsi="Arial" w:cs="Arial"/>
                <w:color w:val="000000"/>
                <w:sz w:val="18"/>
                <w:szCs w:val="18"/>
              </w:rPr>
              <w:t>00</w:t>
            </w:r>
          </w:p>
        </w:tc>
        <w:tc>
          <w:tcPr>
            <w:tcW w:w="812" w:type="dxa"/>
            <w:tcBorders>
              <w:top w:val="nil"/>
              <w:left w:val="nil"/>
              <w:bottom w:val="single" w:sz="4" w:space="0" w:color="auto"/>
              <w:right w:val="nil"/>
            </w:tcBorders>
            <w:shd w:val="clear" w:color="auto" w:fill="auto"/>
            <w:noWrap/>
            <w:hideMark/>
          </w:tcPr>
          <w:p w14:paraId="7FB1333A" w14:textId="5DF79976" w:rsidR="00AB662C" w:rsidRPr="00AB662C" w:rsidRDefault="00AB662C"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single" w:sz="4" w:space="0" w:color="auto"/>
              <w:right w:val="nil"/>
            </w:tcBorders>
            <w:shd w:val="clear" w:color="auto" w:fill="auto"/>
            <w:noWrap/>
            <w:hideMark/>
          </w:tcPr>
          <w:p w14:paraId="4C074742" w14:textId="7EFB3054" w:rsidR="00AB662C" w:rsidRPr="00A5119B" w:rsidRDefault="00AB662C" w:rsidP="00C52AAE">
            <w:pPr>
              <w:spacing w:after="0" w:line="240" w:lineRule="auto"/>
              <w:jc w:val="center"/>
              <w:rPr>
                <w:rFonts w:ascii="Arial" w:eastAsia="Times New Roman" w:hAnsi="Arial" w:cs="Arial"/>
                <w:color w:val="000000" w:themeColor="text1"/>
                <w:sz w:val="18"/>
                <w:szCs w:val="18"/>
              </w:rPr>
            </w:pPr>
            <w:r w:rsidRPr="00A5119B">
              <w:rPr>
                <w:rFonts w:ascii="Arial" w:eastAsia="Times New Roman" w:hAnsi="Arial" w:cs="Arial"/>
                <w:color w:val="000000" w:themeColor="text1"/>
                <w:sz w:val="18"/>
                <w:szCs w:val="18"/>
              </w:rPr>
              <w:t>(0.</w:t>
            </w:r>
            <w:r w:rsidR="00555351">
              <w:rPr>
                <w:rFonts w:ascii="Arial" w:eastAsia="Times New Roman" w:hAnsi="Arial" w:cs="Arial"/>
                <w:color w:val="000000" w:themeColor="text1"/>
                <w:sz w:val="18"/>
                <w:szCs w:val="18"/>
              </w:rPr>
              <w:t>0</w:t>
            </w:r>
            <w:r w:rsidR="00954A0D">
              <w:rPr>
                <w:rFonts w:ascii="Arial" w:eastAsia="Times New Roman" w:hAnsi="Arial" w:cs="Arial"/>
                <w:color w:val="000000" w:themeColor="text1"/>
                <w:sz w:val="18"/>
                <w:szCs w:val="18"/>
              </w:rPr>
              <w:t>0</w:t>
            </w:r>
            <w:r w:rsidRPr="00A5119B">
              <w:rPr>
                <w:rFonts w:ascii="Arial" w:eastAsia="Times New Roman" w:hAnsi="Arial" w:cs="Arial"/>
                <w:color w:val="000000" w:themeColor="text1"/>
                <w:sz w:val="18"/>
                <w:szCs w:val="18"/>
              </w:rPr>
              <w:t>)</w:t>
            </w:r>
          </w:p>
        </w:tc>
        <w:tc>
          <w:tcPr>
            <w:tcW w:w="1008" w:type="dxa"/>
            <w:tcBorders>
              <w:top w:val="nil"/>
              <w:left w:val="nil"/>
              <w:bottom w:val="single" w:sz="4" w:space="0" w:color="auto"/>
              <w:right w:val="nil"/>
            </w:tcBorders>
            <w:shd w:val="clear" w:color="auto" w:fill="auto"/>
            <w:noWrap/>
            <w:hideMark/>
          </w:tcPr>
          <w:p w14:paraId="4E458D50" w14:textId="7EC72D4A"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auto"/>
            <w:noWrap/>
            <w:hideMark/>
          </w:tcPr>
          <w:p w14:paraId="5D4B03D6" w14:textId="3A215F87"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hideMark/>
          </w:tcPr>
          <w:p w14:paraId="21DF176A" w14:textId="4C24F3B4"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Predate Policy </w:t>
            </w:r>
          </w:p>
        </w:tc>
      </w:tr>
      <w:tr w:rsidR="00CF54DE" w:rsidRPr="00D97147" w14:paraId="38271B1D" w14:textId="77777777" w:rsidTr="002C1A1F">
        <w:trPr>
          <w:trHeight w:val="261"/>
        </w:trPr>
        <w:tc>
          <w:tcPr>
            <w:tcW w:w="1218" w:type="dxa"/>
            <w:tcBorders>
              <w:top w:val="nil"/>
              <w:left w:val="single" w:sz="8" w:space="0" w:color="auto"/>
              <w:bottom w:val="nil"/>
            </w:tcBorders>
            <w:shd w:val="clear" w:color="auto" w:fill="D9E2F3" w:themeFill="accent1" w:themeFillTint="33"/>
            <w:noWrap/>
            <w:hideMark/>
          </w:tcPr>
          <w:p w14:paraId="1F55B28A"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PEI Energy Futures Contracts</w:t>
            </w:r>
          </w:p>
        </w:tc>
        <w:tc>
          <w:tcPr>
            <w:tcW w:w="1448" w:type="dxa"/>
            <w:tcBorders>
              <w:top w:val="nil"/>
              <w:bottom w:val="nil"/>
              <w:right w:val="nil"/>
            </w:tcBorders>
            <w:shd w:val="clear" w:color="auto" w:fill="D9E2F3" w:themeFill="accent1" w:themeFillTint="33"/>
          </w:tcPr>
          <w:p w14:paraId="29779278" w14:textId="64B21828"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D9E2F3" w:themeFill="accent1" w:themeFillTint="33"/>
            <w:noWrap/>
            <w:hideMark/>
          </w:tcPr>
          <w:p w14:paraId="6B3AC8E1"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2" w:type="dxa"/>
            <w:tcBorders>
              <w:top w:val="nil"/>
              <w:left w:val="nil"/>
              <w:bottom w:val="nil"/>
              <w:right w:val="nil"/>
            </w:tcBorders>
            <w:shd w:val="clear" w:color="auto" w:fill="D9E2F3" w:themeFill="accent1" w:themeFillTint="33"/>
            <w:hideMark/>
          </w:tcPr>
          <w:p w14:paraId="49393DEC"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17" w:type="dxa"/>
            <w:tcBorders>
              <w:top w:val="nil"/>
              <w:left w:val="nil"/>
              <w:bottom w:val="nil"/>
              <w:right w:val="nil"/>
            </w:tcBorders>
            <w:shd w:val="clear" w:color="auto" w:fill="D9E2F3" w:themeFill="accent1" w:themeFillTint="33"/>
            <w:hideMark/>
          </w:tcPr>
          <w:p w14:paraId="34096D03"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nil"/>
              <w:right w:val="nil"/>
            </w:tcBorders>
            <w:shd w:val="clear" w:color="auto" w:fill="D9E2F3" w:themeFill="accent1" w:themeFillTint="33"/>
            <w:hideMark/>
          </w:tcPr>
          <w:p w14:paraId="68A7E39B"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nil"/>
              <w:left w:val="nil"/>
              <w:bottom w:val="nil"/>
              <w:right w:val="nil"/>
            </w:tcBorders>
            <w:shd w:val="clear" w:color="auto" w:fill="D9E2F3" w:themeFill="accent1" w:themeFillTint="33"/>
            <w:noWrap/>
            <w:hideMark/>
          </w:tcPr>
          <w:p w14:paraId="0BD39125" w14:textId="5C51848F" w:rsidR="00C52AAE" w:rsidRPr="00AB662C" w:rsidRDefault="00C52AAE"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40.88</w:t>
            </w:r>
          </w:p>
        </w:tc>
        <w:tc>
          <w:tcPr>
            <w:tcW w:w="1016" w:type="dxa"/>
            <w:tcBorders>
              <w:top w:val="nil"/>
              <w:left w:val="nil"/>
              <w:bottom w:val="nil"/>
              <w:right w:val="nil"/>
            </w:tcBorders>
            <w:shd w:val="clear" w:color="auto" w:fill="D9E2F3" w:themeFill="accent1" w:themeFillTint="33"/>
            <w:noWrap/>
            <w:hideMark/>
          </w:tcPr>
          <w:p w14:paraId="4E73F821" w14:textId="24C2CD00" w:rsidR="00C52AAE" w:rsidRPr="00AB662C" w:rsidRDefault="007130CC"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00974C6E">
              <w:rPr>
                <w:rFonts w:ascii="Arial" w:eastAsia="Times New Roman" w:hAnsi="Arial" w:cs="Arial"/>
                <w:b/>
                <w:bCs/>
                <w:color w:val="000000"/>
                <w:sz w:val="18"/>
                <w:szCs w:val="18"/>
              </w:rPr>
              <w:t>.</w:t>
            </w:r>
            <w:r>
              <w:rPr>
                <w:rFonts w:ascii="Arial" w:eastAsia="Times New Roman" w:hAnsi="Arial" w:cs="Arial"/>
                <w:b/>
                <w:bCs/>
                <w:color w:val="000000"/>
                <w:sz w:val="18"/>
                <w:szCs w:val="18"/>
              </w:rPr>
              <w:t>00</w:t>
            </w:r>
          </w:p>
        </w:tc>
        <w:tc>
          <w:tcPr>
            <w:tcW w:w="812" w:type="dxa"/>
            <w:tcBorders>
              <w:top w:val="nil"/>
              <w:left w:val="nil"/>
              <w:bottom w:val="nil"/>
              <w:right w:val="nil"/>
            </w:tcBorders>
            <w:shd w:val="clear" w:color="auto" w:fill="D9E2F3" w:themeFill="accent1" w:themeFillTint="33"/>
            <w:noWrap/>
            <w:hideMark/>
          </w:tcPr>
          <w:p w14:paraId="5202F2F6" w14:textId="057C220E"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hideMark/>
          </w:tcPr>
          <w:p w14:paraId="562FB390" w14:textId="346C3DA9" w:rsidR="00C52AAE" w:rsidRPr="00A5119B" w:rsidRDefault="00C52AAE" w:rsidP="00C52AAE">
            <w:pPr>
              <w:spacing w:after="0" w:line="240" w:lineRule="auto"/>
              <w:jc w:val="center"/>
              <w:rPr>
                <w:rFonts w:ascii="Arial" w:eastAsia="Times New Roman" w:hAnsi="Arial" w:cs="Arial"/>
                <w:b/>
                <w:bCs/>
                <w:color w:val="000000" w:themeColor="text1"/>
                <w:sz w:val="18"/>
                <w:szCs w:val="18"/>
              </w:rPr>
            </w:pPr>
            <w:r w:rsidRPr="00A5119B">
              <w:rPr>
                <w:rFonts w:ascii="Arial" w:eastAsia="Times New Roman" w:hAnsi="Arial" w:cs="Arial"/>
                <w:b/>
                <w:bCs/>
                <w:color w:val="000000" w:themeColor="text1"/>
                <w:sz w:val="18"/>
                <w:szCs w:val="18"/>
              </w:rPr>
              <w:t>(0</w:t>
            </w:r>
            <w:r w:rsidR="00C53508">
              <w:rPr>
                <w:rFonts w:ascii="Arial" w:eastAsia="Times New Roman" w:hAnsi="Arial" w:cs="Arial"/>
                <w:b/>
                <w:bCs/>
                <w:color w:val="000000" w:themeColor="text1"/>
                <w:sz w:val="18"/>
                <w:szCs w:val="18"/>
              </w:rPr>
              <w:t>.</w:t>
            </w:r>
            <w:r w:rsidR="00555351">
              <w:rPr>
                <w:rFonts w:ascii="Arial" w:eastAsia="Times New Roman" w:hAnsi="Arial" w:cs="Arial"/>
                <w:b/>
                <w:bCs/>
                <w:color w:val="000000" w:themeColor="text1"/>
                <w:sz w:val="18"/>
                <w:szCs w:val="18"/>
              </w:rPr>
              <w:t>0</w:t>
            </w:r>
            <w:r w:rsidR="00954A0D">
              <w:rPr>
                <w:rFonts w:ascii="Arial" w:eastAsia="Times New Roman" w:hAnsi="Arial" w:cs="Arial"/>
                <w:b/>
                <w:bCs/>
                <w:color w:val="000000" w:themeColor="text1"/>
                <w:sz w:val="18"/>
                <w:szCs w:val="18"/>
              </w:rPr>
              <w:t>0</w:t>
            </w:r>
            <w:r w:rsidRPr="00A5119B">
              <w:rPr>
                <w:rFonts w:ascii="Arial" w:eastAsia="Times New Roman" w:hAnsi="Arial" w:cs="Arial"/>
                <w:b/>
                <w:bCs/>
                <w:color w:val="000000" w:themeColor="text1"/>
                <w:sz w:val="18"/>
                <w:szCs w:val="18"/>
              </w:rPr>
              <w:t>)</w:t>
            </w:r>
          </w:p>
        </w:tc>
        <w:tc>
          <w:tcPr>
            <w:tcW w:w="1008" w:type="dxa"/>
            <w:tcBorders>
              <w:top w:val="nil"/>
              <w:left w:val="nil"/>
              <w:bottom w:val="nil"/>
              <w:right w:val="nil"/>
            </w:tcBorders>
            <w:shd w:val="clear" w:color="auto" w:fill="D9E2F3" w:themeFill="accent1" w:themeFillTint="33"/>
            <w:noWrap/>
            <w:hideMark/>
          </w:tcPr>
          <w:p w14:paraId="7F08803D" w14:textId="06333301"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nil"/>
              <w:right w:val="nil"/>
            </w:tcBorders>
            <w:shd w:val="clear" w:color="auto" w:fill="D9E2F3" w:themeFill="accent1" w:themeFillTint="33"/>
            <w:noWrap/>
            <w:hideMark/>
          </w:tcPr>
          <w:p w14:paraId="042C97B4" w14:textId="75385E83"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3DC48B77"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F852BC" w:rsidRPr="00D97147" w14:paraId="3E8A00AB" w14:textId="77777777" w:rsidTr="002C1A1F">
        <w:trPr>
          <w:trHeight w:val="522"/>
        </w:trPr>
        <w:tc>
          <w:tcPr>
            <w:tcW w:w="1218" w:type="dxa"/>
            <w:tcBorders>
              <w:top w:val="nil"/>
              <w:left w:val="single" w:sz="8" w:space="0" w:color="auto"/>
              <w:bottom w:val="nil"/>
              <w:right w:val="nil"/>
            </w:tcBorders>
            <w:shd w:val="clear" w:color="auto" w:fill="auto"/>
            <w:hideMark/>
          </w:tcPr>
          <w:p w14:paraId="4F47FAEE"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17725CA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StoneX Financial Inc.</w:t>
            </w:r>
          </w:p>
        </w:tc>
        <w:tc>
          <w:tcPr>
            <w:tcW w:w="1532" w:type="dxa"/>
            <w:tcBorders>
              <w:top w:val="nil"/>
              <w:left w:val="nil"/>
              <w:bottom w:val="nil"/>
              <w:right w:val="nil"/>
            </w:tcBorders>
            <w:shd w:val="clear" w:color="auto" w:fill="auto"/>
            <w:hideMark/>
          </w:tcPr>
          <w:p w14:paraId="1959EEA8"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InterContinental Exchange (ICE)</w:t>
            </w:r>
          </w:p>
        </w:tc>
        <w:tc>
          <w:tcPr>
            <w:tcW w:w="1192" w:type="dxa"/>
            <w:tcBorders>
              <w:top w:val="nil"/>
              <w:left w:val="nil"/>
              <w:bottom w:val="nil"/>
              <w:right w:val="nil"/>
            </w:tcBorders>
            <w:shd w:val="clear" w:color="auto" w:fill="auto"/>
            <w:hideMark/>
          </w:tcPr>
          <w:p w14:paraId="2A25510A" w14:textId="5DAB948F"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w:t>
            </w:r>
            <w:r w:rsidR="001D0842">
              <w:rPr>
                <w:rFonts w:ascii="Arial" w:eastAsia="Times New Roman" w:hAnsi="Arial" w:cs="Arial"/>
                <w:color w:val="000000"/>
                <w:sz w:val="18"/>
                <w:szCs w:val="18"/>
              </w:rPr>
              <w:t>3</w:t>
            </w:r>
          </w:p>
        </w:tc>
        <w:tc>
          <w:tcPr>
            <w:tcW w:w="1117" w:type="dxa"/>
            <w:tcBorders>
              <w:top w:val="nil"/>
              <w:left w:val="nil"/>
              <w:bottom w:val="nil"/>
              <w:right w:val="nil"/>
            </w:tcBorders>
            <w:shd w:val="clear" w:color="auto" w:fill="auto"/>
            <w:noWrap/>
            <w:hideMark/>
          </w:tcPr>
          <w:p w14:paraId="74A2B456" w14:textId="5A625E12"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E2759F">
              <w:rPr>
                <w:rFonts w:ascii="Arial" w:eastAsia="Times New Roman" w:hAnsi="Arial" w:cs="Arial"/>
                <w:color w:val="000000"/>
                <w:sz w:val="18"/>
                <w:szCs w:val="18"/>
              </w:rPr>
              <w:t>4</w:t>
            </w:r>
            <w:r w:rsidRPr="00AB662C">
              <w:rPr>
                <w:rFonts w:ascii="Arial" w:eastAsia="Times New Roman" w:hAnsi="Arial" w:cs="Arial"/>
                <w:color w:val="000000"/>
                <w:sz w:val="18"/>
                <w:szCs w:val="18"/>
              </w:rPr>
              <w:t>-2028</w:t>
            </w:r>
          </w:p>
        </w:tc>
        <w:tc>
          <w:tcPr>
            <w:tcW w:w="1196" w:type="dxa"/>
            <w:tcBorders>
              <w:top w:val="nil"/>
              <w:left w:val="nil"/>
              <w:bottom w:val="nil"/>
              <w:right w:val="nil"/>
            </w:tcBorders>
            <w:shd w:val="clear" w:color="auto" w:fill="auto"/>
            <w:hideMark/>
          </w:tcPr>
          <w:p w14:paraId="20ED40EE"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single" w:sz="4" w:space="0" w:color="auto"/>
              <w:right w:val="nil"/>
            </w:tcBorders>
            <w:shd w:val="clear" w:color="auto" w:fill="auto"/>
            <w:noWrap/>
            <w:hideMark/>
          </w:tcPr>
          <w:p w14:paraId="48E09D56" w14:textId="40C624D6" w:rsidR="00AB662C" w:rsidRPr="00AB662C" w:rsidRDefault="003E1050"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9274E6">
              <w:rPr>
                <w:rFonts w:ascii="Arial" w:eastAsia="Times New Roman" w:hAnsi="Arial" w:cs="Arial"/>
                <w:b/>
                <w:bCs/>
                <w:color w:val="000000"/>
                <w:sz w:val="18"/>
                <w:szCs w:val="18"/>
              </w:rPr>
              <w:t>5</w:t>
            </w:r>
            <w:r>
              <w:rPr>
                <w:rFonts w:ascii="Arial" w:eastAsia="Times New Roman" w:hAnsi="Arial" w:cs="Arial"/>
                <w:b/>
                <w:bCs/>
                <w:color w:val="000000"/>
                <w:sz w:val="18"/>
                <w:szCs w:val="18"/>
              </w:rPr>
              <w:t>.</w:t>
            </w:r>
            <w:r w:rsidR="009274E6">
              <w:rPr>
                <w:rFonts w:ascii="Arial" w:eastAsia="Times New Roman" w:hAnsi="Arial" w:cs="Arial"/>
                <w:b/>
                <w:bCs/>
                <w:color w:val="000000"/>
                <w:sz w:val="18"/>
                <w:szCs w:val="18"/>
              </w:rPr>
              <w:t>66</w:t>
            </w:r>
          </w:p>
        </w:tc>
        <w:tc>
          <w:tcPr>
            <w:tcW w:w="1016" w:type="dxa"/>
            <w:tcBorders>
              <w:top w:val="nil"/>
              <w:left w:val="nil"/>
              <w:bottom w:val="single" w:sz="4" w:space="0" w:color="auto"/>
              <w:right w:val="nil"/>
            </w:tcBorders>
            <w:shd w:val="clear" w:color="auto" w:fill="auto"/>
            <w:noWrap/>
            <w:hideMark/>
          </w:tcPr>
          <w:p w14:paraId="6C00D2E4" w14:textId="34AD4FBE" w:rsidR="00AB662C" w:rsidRPr="00AB662C" w:rsidRDefault="007D4242"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974C6E">
              <w:rPr>
                <w:rFonts w:ascii="Arial" w:eastAsia="Times New Roman" w:hAnsi="Arial" w:cs="Arial"/>
                <w:color w:val="000000"/>
                <w:sz w:val="18"/>
                <w:szCs w:val="18"/>
              </w:rPr>
              <w:t>4</w:t>
            </w:r>
            <w:r w:rsidR="00AB662C" w:rsidRPr="00AB662C">
              <w:rPr>
                <w:rFonts w:ascii="Arial" w:eastAsia="Times New Roman" w:hAnsi="Arial" w:cs="Arial"/>
                <w:color w:val="000000"/>
                <w:sz w:val="18"/>
                <w:szCs w:val="18"/>
              </w:rPr>
              <w:t>.</w:t>
            </w:r>
            <w:r w:rsidR="007130CC">
              <w:rPr>
                <w:rFonts w:ascii="Arial" w:eastAsia="Times New Roman" w:hAnsi="Arial" w:cs="Arial"/>
                <w:color w:val="000000"/>
                <w:sz w:val="18"/>
                <w:szCs w:val="18"/>
              </w:rPr>
              <w:t>5</w:t>
            </w:r>
            <w:r w:rsidR="00954A0D">
              <w:rPr>
                <w:rFonts w:ascii="Arial" w:eastAsia="Times New Roman" w:hAnsi="Arial" w:cs="Arial"/>
                <w:color w:val="000000"/>
                <w:sz w:val="18"/>
                <w:szCs w:val="18"/>
              </w:rPr>
              <w:t>3</w:t>
            </w:r>
          </w:p>
        </w:tc>
        <w:tc>
          <w:tcPr>
            <w:tcW w:w="812" w:type="dxa"/>
            <w:tcBorders>
              <w:top w:val="nil"/>
              <w:left w:val="nil"/>
              <w:bottom w:val="single" w:sz="4" w:space="0" w:color="auto"/>
              <w:right w:val="nil"/>
            </w:tcBorders>
            <w:shd w:val="clear" w:color="auto" w:fill="auto"/>
            <w:noWrap/>
            <w:hideMark/>
          </w:tcPr>
          <w:p w14:paraId="76A76F2F" w14:textId="52FD7837" w:rsidR="00AB662C" w:rsidRPr="00AB662C" w:rsidRDefault="007130CC"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18</w:t>
            </w:r>
            <w:r w:rsidR="00227E7C">
              <w:rPr>
                <w:rFonts w:ascii="Arial" w:eastAsia="Times New Roman" w:hAnsi="Arial" w:cs="Arial"/>
                <w:color w:val="000000"/>
                <w:sz w:val="18"/>
                <w:szCs w:val="18"/>
              </w:rPr>
              <w:t>.</w:t>
            </w:r>
            <w:r w:rsidR="00954A0D">
              <w:rPr>
                <w:rFonts w:ascii="Arial" w:eastAsia="Times New Roman" w:hAnsi="Arial" w:cs="Arial"/>
                <w:color w:val="000000"/>
                <w:sz w:val="18"/>
                <w:szCs w:val="18"/>
              </w:rPr>
              <w:t>25</w:t>
            </w:r>
          </w:p>
        </w:tc>
        <w:tc>
          <w:tcPr>
            <w:tcW w:w="812" w:type="dxa"/>
            <w:tcBorders>
              <w:top w:val="nil"/>
              <w:left w:val="nil"/>
              <w:bottom w:val="single" w:sz="4" w:space="0" w:color="auto"/>
              <w:right w:val="nil"/>
            </w:tcBorders>
            <w:shd w:val="clear" w:color="auto" w:fill="auto"/>
            <w:noWrap/>
            <w:hideMark/>
          </w:tcPr>
          <w:p w14:paraId="10614FBE" w14:textId="5B3D1A24" w:rsidR="00AB662C" w:rsidRPr="00AB662C" w:rsidRDefault="00954A0D"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3.72</w:t>
            </w:r>
          </w:p>
        </w:tc>
        <w:tc>
          <w:tcPr>
            <w:tcW w:w="1008" w:type="dxa"/>
            <w:tcBorders>
              <w:top w:val="nil"/>
              <w:left w:val="nil"/>
              <w:bottom w:val="single" w:sz="4" w:space="0" w:color="auto"/>
              <w:right w:val="nil"/>
            </w:tcBorders>
            <w:shd w:val="clear" w:color="auto" w:fill="auto"/>
            <w:noWrap/>
            <w:hideMark/>
          </w:tcPr>
          <w:p w14:paraId="003CF4A2" w14:textId="517E34AD"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auto"/>
            <w:noWrap/>
            <w:hideMark/>
          </w:tcPr>
          <w:p w14:paraId="3D819EB4" w14:textId="71B7B626"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hideMark/>
          </w:tcPr>
          <w:p w14:paraId="30B22D8B" w14:textId="40A62E03"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None Exchange Traded </w:t>
            </w:r>
          </w:p>
        </w:tc>
      </w:tr>
      <w:tr w:rsidR="00CF54DE" w:rsidRPr="00D97147" w14:paraId="65B08121" w14:textId="77777777" w:rsidTr="002C1A1F">
        <w:trPr>
          <w:trHeight w:val="261"/>
        </w:trPr>
        <w:tc>
          <w:tcPr>
            <w:tcW w:w="1218" w:type="dxa"/>
            <w:tcBorders>
              <w:top w:val="nil"/>
              <w:left w:val="single" w:sz="8" w:space="0" w:color="auto"/>
              <w:bottom w:val="nil"/>
              <w:right w:val="nil"/>
            </w:tcBorders>
            <w:shd w:val="clear" w:color="auto" w:fill="D9E2F3" w:themeFill="accent1" w:themeFillTint="33"/>
            <w:hideMark/>
          </w:tcPr>
          <w:p w14:paraId="4F486B6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nil"/>
              <w:right w:val="nil"/>
            </w:tcBorders>
            <w:shd w:val="clear" w:color="auto" w:fill="D9E2F3" w:themeFill="accent1" w:themeFillTint="33"/>
            <w:noWrap/>
            <w:hideMark/>
          </w:tcPr>
          <w:p w14:paraId="284DFD2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nil"/>
              <w:right w:val="nil"/>
            </w:tcBorders>
            <w:shd w:val="clear" w:color="auto" w:fill="D9E2F3" w:themeFill="accent1" w:themeFillTint="33"/>
            <w:hideMark/>
          </w:tcPr>
          <w:p w14:paraId="52F4AE3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2" w:type="dxa"/>
            <w:tcBorders>
              <w:top w:val="nil"/>
              <w:left w:val="nil"/>
              <w:bottom w:val="nil"/>
              <w:right w:val="nil"/>
            </w:tcBorders>
            <w:shd w:val="clear" w:color="auto" w:fill="D9E2F3" w:themeFill="accent1" w:themeFillTint="33"/>
            <w:hideMark/>
          </w:tcPr>
          <w:p w14:paraId="0FCD0612"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nil"/>
              <w:right w:val="nil"/>
            </w:tcBorders>
            <w:shd w:val="clear" w:color="auto" w:fill="D9E2F3" w:themeFill="accent1" w:themeFillTint="33"/>
            <w:hideMark/>
          </w:tcPr>
          <w:p w14:paraId="476EA4F3"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6" w:type="dxa"/>
            <w:tcBorders>
              <w:top w:val="nil"/>
              <w:left w:val="nil"/>
              <w:bottom w:val="nil"/>
              <w:right w:val="nil"/>
            </w:tcBorders>
            <w:shd w:val="clear" w:color="auto" w:fill="D9E2F3" w:themeFill="accent1" w:themeFillTint="33"/>
            <w:noWrap/>
            <w:hideMark/>
          </w:tcPr>
          <w:p w14:paraId="7ABAD1E5"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nil"/>
              <w:left w:val="nil"/>
              <w:bottom w:val="nil"/>
              <w:right w:val="nil"/>
            </w:tcBorders>
            <w:shd w:val="clear" w:color="auto" w:fill="D9E2F3" w:themeFill="accent1" w:themeFillTint="33"/>
            <w:noWrap/>
            <w:hideMark/>
          </w:tcPr>
          <w:p w14:paraId="6C13334D" w14:textId="6C9475A5" w:rsidR="00AB662C" w:rsidRPr="00AB662C" w:rsidRDefault="003E1050"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009274E6">
              <w:rPr>
                <w:rFonts w:ascii="Arial" w:eastAsia="Times New Roman" w:hAnsi="Arial" w:cs="Arial"/>
                <w:b/>
                <w:bCs/>
                <w:color w:val="000000"/>
                <w:sz w:val="18"/>
                <w:szCs w:val="18"/>
              </w:rPr>
              <w:t>6</w:t>
            </w:r>
            <w:r w:rsidR="00AB662C" w:rsidRPr="00AB662C">
              <w:rPr>
                <w:rFonts w:ascii="Arial" w:eastAsia="Times New Roman" w:hAnsi="Arial" w:cs="Arial"/>
                <w:b/>
                <w:bCs/>
                <w:color w:val="000000"/>
                <w:sz w:val="18"/>
                <w:szCs w:val="18"/>
              </w:rPr>
              <w:t>.</w:t>
            </w:r>
            <w:r w:rsidR="009274E6">
              <w:rPr>
                <w:rFonts w:ascii="Arial" w:eastAsia="Times New Roman" w:hAnsi="Arial" w:cs="Arial"/>
                <w:b/>
                <w:bCs/>
                <w:color w:val="000000"/>
                <w:sz w:val="18"/>
                <w:szCs w:val="18"/>
              </w:rPr>
              <w:t>54</w:t>
            </w:r>
          </w:p>
        </w:tc>
        <w:tc>
          <w:tcPr>
            <w:tcW w:w="1016" w:type="dxa"/>
            <w:tcBorders>
              <w:top w:val="nil"/>
              <w:left w:val="nil"/>
              <w:bottom w:val="nil"/>
              <w:right w:val="nil"/>
            </w:tcBorders>
            <w:shd w:val="clear" w:color="auto" w:fill="D9E2F3" w:themeFill="accent1" w:themeFillTint="33"/>
            <w:noWrap/>
            <w:hideMark/>
          </w:tcPr>
          <w:p w14:paraId="37A40D94" w14:textId="00D64E08" w:rsidR="00AB662C" w:rsidRPr="00AB662C" w:rsidRDefault="007130CC"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974C6E">
              <w:rPr>
                <w:rFonts w:ascii="Arial" w:eastAsia="Times New Roman" w:hAnsi="Arial" w:cs="Arial"/>
                <w:b/>
                <w:bCs/>
                <w:color w:val="000000"/>
                <w:sz w:val="18"/>
                <w:szCs w:val="18"/>
              </w:rPr>
              <w:t>4</w:t>
            </w:r>
            <w:r w:rsidR="00227E7C">
              <w:rPr>
                <w:rFonts w:ascii="Arial" w:eastAsia="Times New Roman" w:hAnsi="Arial" w:cs="Arial"/>
                <w:b/>
                <w:bCs/>
                <w:color w:val="000000"/>
                <w:sz w:val="18"/>
                <w:szCs w:val="18"/>
              </w:rPr>
              <w:t>.</w:t>
            </w:r>
            <w:r>
              <w:rPr>
                <w:rFonts w:ascii="Arial" w:eastAsia="Times New Roman" w:hAnsi="Arial" w:cs="Arial"/>
                <w:b/>
                <w:bCs/>
                <w:color w:val="000000"/>
                <w:sz w:val="18"/>
                <w:szCs w:val="18"/>
              </w:rPr>
              <w:t>5</w:t>
            </w:r>
            <w:r w:rsidR="00954A0D">
              <w:rPr>
                <w:rFonts w:ascii="Arial" w:eastAsia="Times New Roman" w:hAnsi="Arial" w:cs="Arial"/>
                <w:b/>
                <w:bCs/>
                <w:color w:val="000000"/>
                <w:sz w:val="18"/>
                <w:szCs w:val="18"/>
              </w:rPr>
              <w:t>3</w:t>
            </w:r>
          </w:p>
        </w:tc>
        <w:tc>
          <w:tcPr>
            <w:tcW w:w="812" w:type="dxa"/>
            <w:tcBorders>
              <w:top w:val="nil"/>
              <w:left w:val="nil"/>
              <w:bottom w:val="nil"/>
              <w:right w:val="nil"/>
            </w:tcBorders>
            <w:shd w:val="clear" w:color="auto" w:fill="D9E2F3" w:themeFill="accent1" w:themeFillTint="33"/>
            <w:noWrap/>
            <w:hideMark/>
          </w:tcPr>
          <w:p w14:paraId="2BA9C34E" w14:textId="6972CA68"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hideMark/>
          </w:tcPr>
          <w:p w14:paraId="2AB64754" w14:textId="13F5D026" w:rsidR="00AB662C" w:rsidRPr="00AB662C" w:rsidRDefault="00954A0D"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3.72</w:t>
            </w:r>
          </w:p>
        </w:tc>
        <w:tc>
          <w:tcPr>
            <w:tcW w:w="1008" w:type="dxa"/>
            <w:tcBorders>
              <w:top w:val="nil"/>
              <w:left w:val="nil"/>
              <w:bottom w:val="nil"/>
              <w:right w:val="nil"/>
            </w:tcBorders>
            <w:shd w:val="clear" w:color="auto" w:fill="D9E2F3" w:themeFill="accent1" w:themeFillTint="33"/>
            <w:noWrap/>
            <w:hideMark/>
          </w:tcPr>
          <w:p w14:paraId="2DDB19A3" w14:textId="6F5A99BB"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nil"/>
              <w:right w:val="nil"/>
            </w:tcBorders>
            <w:shd w:val="clear" w:color="auto" w:fill="D9E2F3" w:themeFill="accent1" w:themeFillTint="33"/>
            <w:noWrap/>
            <w:hideMark/>
          </w:tcPr>
          <w:p w14:paraId="49735DED" w14:textId="01C886E9"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69E73386" w14:textId="77777777" w:rsidR="00AB662C" w:rsidRPr="00AB662C" w:rsidRDefault="00AB662C"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F852BC" w:rsidRPr="00D97147" w14:paraId="3342114A" w14:textId="77777777" w:rsidTr="002C1A1F">
        <w:trPr>
          <w:trHeight w:val="675"/>
        </w:trPr>
        <w:tc>
          <w:tcPr>
            <w:tcW w:w="1218" w:type="dxa"/>
            <w:tcBorders>
              <w:top w:val="nil"/>
              <w:left w:val="single" w:sz="8" w:space="0" w:color="auto"/>
              <w:bottom w:val="nil"/>
              <w:right w:val="nil"/>
            </w:tcBorders>
            <w:shd w:val="clear" w:color="auto" w:fill="auto"/>
            <w:noWrap/>
            <w:hideMark/>
          </w:tcPr>
          <w:p w14:paraId="3F56CCF1" w14:textId="28ABE9FF" w:rsidR="00C52AAE" w:rsidRPr="00AB662C" w:rsidRDefault="00576A56" w:rsidP="00C52AAE">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PHYSICAL HEDGES</w:t>
            </w:r>
            <w:r w:rsidR="00C52AAE" w:rsidRPr="00AB662C">
              <w:rPr>
                <w:rFonts w:ascii="Arial" w:eastAsia="Times New Roman" w:hAnsi="Arial" w:cs="Arial"/>
                <w:b/>
                <w:bCs/>
                <w:color w:val="000000"/>
                <w:sz w:val="18"/>
                <w:szCs w:val="18"/>
              </w:rPr>
              <w:t xml:space="preserve"> </w:t>
            </w:r>
          </w:p>
        </w:tc>
        <w:tc>
          <w:tcPr>
            <w:tcW w:w="1448" w:type="dxa"/>
            <w:tcBorders>
              <w:top w:val="nil"/>
              <w:left w:val="nil"/>
              <w:right w:val="nil"/>
            </w:tcBorders>
            <w:shd w:val="clear" w:color="auto" w:fill="auto"/>
            <w:hideMark/>
          </w:tcPr>
          <w:p w14:paraId="0001205B"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auto"/>
            <w:hideMark/>
          </w:tcPr>
          <w:p w14:paraId="4642FEA0"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Qualifying Rating (3)</w:t>
            </w:r>
          </w:p>
        </w:tc>
        <w:tc>
          <w:tcPr>
            <w:tcW w:w="1192" w:type="dxa"/>
            <w:tcBorders>
              <w:top w:val="nil"/>
              <w:left w:val="nil"/>
              <w:bottom w:val="nil"/>
              <w:right w:val="nil"/>
            </w:tcBorders>
            <w:shd w:val="clear" w:color="auto" w:fill="auto"/>
            <w:noWrap/>
            <w:hideMark/>
          </w:tcPr>
          <w:p w14:paraId="4D1D57CE"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vertAlign w:val="superscript"/>
              </w:rPr>
              <w:t xml:space="preserve">BBB-/Baa3 or BB+/Ba1 with </w:t>
            </w:r>
            <w:r w:rsidRPr="00D97147">
              <w:rPr>
                <w:rFonts w:ascii="Arial" w:eastAsia="Times New Roman" w:hAnsi="Arial" w:cs="Arial"/>
                <w:b/>
                <w:bCs/>
                <w:color w:val="000000"/>
                <w:sz w:val="18"/>
                <w:szCs w:val="18"/>
                <w:vertAlign w:val="superscript"/>
              </w:rPr>
              <w:t>L</w:t>
            </w:r>
            <w:r w:rsidRPr="00AB662C">
              <w:rPr>
                <w:rFonts w:ascii="Arial" w:eastAsia="Times New Roman" w:hAnsi="Arial" w:cs="Arial"/>
                <w:b/>
                <w:bCs/>
                <w:color w:val="000000"/>
                <w:sz w:val="18"/>
                <w:szCs w:val="18"/>
                <w:vertAlign w:val="superscript"/>
              </w:rPr>
              <w:t>OC or PCG</w:t>
            </w:r>
          </w:p>
        </w:tc>
        <w:tc>
          <w:tcPr>
            <w:tcW w:w="1117" w:type="dxa"/>
            <w:tcBorders>
              <w:top w:val="nil"/>
              <w:left w:val="nil"/>
              <w:bottom w:val="nil"/>
              <w:right w:val="nil"/>
            </w:tcBorders>
            <w:shd w:val="clear" w:color="auto" w:fill="auto"/>
          </w:tcPr>
          <w:p w14:paraId="132F297B" w14:textId="56DBE642" w:rsidR="00C52AAE" w:rsidRPr="00AB662C" w:rsidRDefault="00C52AAE" w:rsidP="00C52AAE">
            <w:pPr>
              <w:spacing w:after="0" w:line="240" w:lineRule="auto"/>
              <w:rPr>
                <w:rFonts w:ascii="Arial" w:eastAsia="Times New Roman" w:hAnsi="Arial" w:cs="Arial"/>
                <w:b/>
                <w:bCs/>
                <w:color w:val="000000"/>
                <w:sz w:val="18"/>
                <w:szCs w:val="18"/>
              </w:rPr>
            </w:pPr>
          </w:p>
        </w:tc>
        <w:tc>
          <w:tcPr>
            <w:tcW w:w="1196" w:type="dxa"/>
            <w:tcBorders>
              <w:top w:val="nil"/>
              <w:left w:val="nil"/>
              <w:bottom w:val="nil"/>
              <w:right w:val="nil"/>
            </w:tcBorders>
            <w:shd w:val="clear" w:color="auto" w:fill="auto"/>
            <w:hideMark/>
          </w:tcPr>
          <w:p w14:paraId="1356FD7F"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891" w:type="dxa"/>
            <w:tcBorders>
              <w:top w:val="nil"/>
              <w:left w:val="nil"/>
              <w:bottom w:val="nil"/>
              <w:right w:val="nil"/>
            </w:tcBorders>
            <w:shd w:val="clear" w:color="auto" w:fill="auto"/>
            <w:noWrap/>
            <w:hideMark/>
          </w:tcPr>
          <w:p w14:paraId="0B47B241"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16" w:type="dxa"/>
            <w:tcBorders>
              <w:top w:val="nil"/>
              <w:left w:val="nil"/>
              <w:bottom w:val="nil"/>
              <w:right w:val="nil"/>
            </w:tcBorders>
            <w:shd w:val="clear" w:color="auto" w:fill="auto"/>
            <w:noWrap/>
            <w:hideMark/>
          </w:tcPr>
          <w:p w14:paraId="588E152B"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auto"/>
            <w:noWrap/>
            <w:hideMark/>
          </w:tcPr>
          <w:p w14:paraId="5DCEFD3E"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auto"/>
            <w:noWrap/>
            <w:hideMark/>
          </w:tcPr>
          <w:p w14:paraId="68D61F91"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08" w:type="dxa"/>
            <w:tcBorders>
              <w:top w:val="nil"/>
              <w:left w:val="nil"/>
              <w:bottom w:val="nil"/>
              <w:right w:val="nil"/>
            </w:tcBorders>
            <w:shd w:val="clear" w:color="auto" w:fill="auto"/>
            <w:noWrap/>
            <w:hideMark/>
          </w:tcPr>
          <w:p w14:paraId="7985FB07"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55" w:type="dxa"/>
            <w:tcBorders>
              <w:top w:val="nil"/>
              <w:left w:val="nil"/>
              <w:bottom w:val="nil"/>
              <w:right w:val="nil"/>
            </w:tcBorders>
            <w:shd w:val="clear" w:color="auto" w:fill="auto"/>
            <w:noWrap/>
            <w:hideMark/>
          </w:tcPr>
          <w:p w14:paraId="23FC3754"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auto"/>
            <w:noWrap/>
            <w:hideMark/>
          </w:tcPr>
          <w:p w14:paraId="1DE347B1"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F54DE" w:rsidRPr="00D97147" w14:paraId="6B74847A" w14:textId="77777777" w:rsidTr="002C1A1F">
        <w:trPr>
          <w:trHeight w:val="261"/>
        </w:trPr>
        <w:tc>
          <w:tcPr>
            <w:tcW w:w="1218" w:type="dxa"/>
            <w:tcBorders>
              <w:top w:val="nil"/>
              <w:left w:val="single" w:sz="8" w:space="0" w:color="auto"/>
              <w:bottom w:val="nil"/>
            </w:tcBorders>
            <w:shd w:val="clear" w:color="auto" w:fill="D9E2F3" w:themeFill="accent1" w:themeFillTint="33"/>
            <w:noWrap/>
            <w:hideMark/>
          </w:tcPr>
          <w:p w14:paraId="6122A8A5"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xml:space="preserve">PEI Energy Forward </w:t>
            </w:r>
            <w:r>
              <w:rPr>
                <w:rFonts w:ascii="Arial" w:eastAsia="Times New Roman" w:hAnsi="Arial" w:cs="Arial"/>
                <w:b/>
                <w:bCs/>
                <w:color w:val="000000"/>
                <w:sz w:val="18"/>
                <w:szCs w:val="18"/>
              </w:rPr>
              <w:t>P</w:t>
            </w:r>
            <w:r w:rsidRPr="00AB662C">
              <w:rPr>
                <w:rFonts w:ascii="Arial" w:eastAsia="Times New Roman" w:hAnsi="Arial" w:cs="Arial"/>
                <w:b/>
                <w:bCs/>
                <w:color w:val="000000"/>
                <w:sz w:val="18"/>
                <w:szCs w:val="18"/>
              </w:rPr>
              <w:t>urchases</w:t>
            </w:r>
          </w:p>
        </w:tc>
        <w:tc>
          <w:tcPr>
            <w:tcW w:w="1448" w:type="dxa"/>
            <w:tcBorders>
              <w:top w:val="nil"/>
              <w:bottom w:val="nil"/>
              <w:right w:val="nil"/>
            </w:tcBorders>
            <w:shd w:val="clear" w:color="auto" w:fill="D9E2F3" w:themeFill="accent1" w:themeFillTint="33"/>
          </w:tcPr>
          <w:p w14:paraId="089E225F" w14:textId="0C66DC6B"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D9E2F3" w:themeFill="accent1" w:themeFillTint="33"/>
            <w:hideMark/>
          </w:tcPr>
          <w:p w14:paraId="35994BDD"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1192" w:type="dxa"/>
            <w:tcBorders>
              <w:top w:val="nil"/>
              <w:left w:val="nil"/>
              <w:bottom w:val="nil"/>
              <w:right w:val="nil"/>
            </w:tcBorders>
            <w:shd w:val="clear" w:color="auto" w:fill="D9E2F3" w:themeFill="accent1" w:themeFillTint="33"/>
            <w:noWrap/>
            <w:hideMark/>
          </w:tcPr>
          <w:p w14:paraId="55001D59"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D9E2F3" w:themeFill="accent1" w:themeFillTint="33"/>
            <w:hideMark/>
          </w:tcPr>
          <w:p w14:paraId="0072C4CA"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1196" w:type="dxa"/>
            <w:tcBorders>
              <w:top w:val="nil"/>
              <w:left w:val="nil"/>
              <w:bottom w:val="nil"/>
              <w:right w:val="nil"/>
            </w:tcBorders>
            <w:shd w:val="clear" w:color="auto" w:fill="D9E2F3" w:themeFill="accent1" w:themeFillTint="33"/>
            <w:hideMark/>
          </w:tcPr>
          <w:p w14:paraId="4DF42A9C"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D9E2F3" w:themeFill="accent1" w:themeFillTint="33"/>
            <w:noWrap/>
            <w:hideMark/>
          </w:tcPr>
          <w:p w14:paraId="2B13897A"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16" w:type="dxa"/>
            <w:tcBorders>
              <w:top w:val="nil"/>
              <w:left w:val="nil"/>
              <w:bottom w:val="nil"/>
              <w:right w:val="nil"/>
            </w:tcBorders>
            <w:shd w:val="clear" w:color="auto" w:fill="D9E2F3" w:themeFill="accent1" w:themeFillTint="33"/>
            <w:noWrap/>
            <w:hideMark/>
          </w:tcPr>
          <w:p w14:paraId="278DD45B"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D9E2F3" w:themeFill="accent1" w:themeFillTint="33"/>
            <w:noWrap/>
            <w:hideMark/>
          </w:tcPr>
          <w:p w14:paraId="07186208"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D9E2F3" w:themeFill="accent1" w:themeFillTint="33"/>
            <w:noWrap/>
            <w:hideMark/>
          </w:tcPr>
          <w:p w14:paraId="4D757E82"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08" w:type="dxa"/>
            <w:tcBorders>
              <w:top w:val="nil"/>
              <w:left w:val="nil"/>
              <w:bottom w:val="nil"/>
              <w:right w:val="nil"/>
            </w:tcBorders>
            <w:shd w:val="clear" w:color="auto" w:fill="D9E2F3" w:themeFill="accent1" w:themeFillTint="33"/>
            <w:noWrap/>
            <w:hideMark/>
          </w:tcPr>
          <w:p w14:paraId="2F832482"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55" w:type="dxa"/>
            <w:tcBorders>
              <w:top w:val="nil"/>
              <w:left w:val="nil"/>
              <w:bottom w:val="nil"/>
              <w:right w:val="nil"/>
            </w:tcBorders>
            <w:shd w:val="clear" w:color="auto" w:fill="D9E2F3" w:themeFill="accent1" w:themeFillTint="33"/>
            <w:noWrap/>
            <w:hideMark/>
          </w:tcPr>
          <w:p w14:paraId="551C5C8D"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3C177872"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F852BC" w:rsidRPr="00D97147" w14:paraId="48EE3ADC" w14:textId="77777777" w:rsidTr="002C1A1F">
        <w:trPr>
          <w:trHeight w:val="546"/>
        </w:trPr>
        <w:tc>
          <w:tcPr>
            <w:tcW w:w="1218" w:type="dxa"/>
            <w:tcBorders>
              <w:top w:val="nil"/>
              <w:left w:val="single" w:sz="8" w:space="0" w:color="auto"/>
              <w:bottom w:val="nil"/>
              <w:right w:val="nil"/>
            </w:tcBorders>
            <w:shd w:val="clear" w:color="auto" w:fill="auto"/>
            <w:hideMark/>
          </w:tcPr>
          <w:p w14:paraId="700B3F1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7A7F6E07" w14:textId="72ACB719"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BP Canada Energy Marketing Corp</w:t>
            </w:r>
          </w:p>
        </w:tc>
        <w:tc>
          <w:tcPr>
            <w:tcW w:w="1532" w:type="dxa"/>
            <w:tcBorders>
              <w:top w:val="nil"/>
              <w:left w:val="nil"/>
              <w:bottom w:val="nil"/>
              <w:right w:val="nil"/>
            </w:tcBorders>
            <w:shd w:val="clear" w:color="auto" w:fill="auto"/>
            <w:hideMark/>
          </w:tcPr>
          <w:p w14:paraId="05ACF05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BP Corporation North America, Inc. (PCG)</w:t>
            </w:r>
          </w:p>
        </w:tc>
        <w:tc>
          <w:tcPr>
            <w:tcW w:w="1192" w:type="dxa"/>
            <w:tcBorders>
              <w:top w:val="nil"/>
              <w:left w:val="nil"/>
              <w:bottom w:val="nil"/>
              <w:right w:val="nil"/>
            </w:tcBorders>
            <w:shd w:val="clear" w:color="auto" w:fill="auto"/>
            <w:hideMark/>
          </w:tcPr>
          <w:p w14:paraId="568C0AF2" w14:textId="353A66FB"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w:t>
            </w:r>
            <w:r w:rsidR="001D0842">
              <w:rPr>
                <w:rFonts w:ascii="Arial" w:eastAsia="Times New Roman" w:hAnsi="Arial" w:cs="Arial"/>
                <w:color w:val="000000"/>
                <w:sz w:val="18"/>
                <w:szCs w:val="18"/>
              </w:rPr>
              <w:t>2</w:t>
            </w:r>
          </w:p>
        </w:tc>
        <w:tc>
          <w:tcPr>
            <w:tcW w:w="1117" w:type="dxa"/>
            <w:tcBorders>
              <w:top w:val="nil"/>
              <w:left w:val="nil"/>
              <w:bottom w:val="nil"/>
              <w:right w:val="nil"/>
            </w:tcBorders>
            <w:shd w:val="clear" w:color="auto" w:fill="auto"/>
            <w:hideMark/>
          </w:tcPr>
          <w:p w14:paraId="558CD69B" w14:textId="7B49F572"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E2759F">
              <w:rPr>
                <w:rFonts w:ascii="Arial" w:eastAsia="Times New Roman" w:hAnsi="Arial" w:cs="Arial"/>
                <w:color w:val="000000"/>
                <w:sz w:val="18"/>
                <w:szCs w:val="18"/>
              </w:rPr>
              <w:t>4</w:t>
            </w:r>
            <w:r w:rsidRPr="00AB662C">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hideMark/>
          </w:tcPr>
          <w:p w14:paraId="1711D958"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hideMark/>
          </w:tcPr>
          <w:p w14:paraId="22CBC110" w14:textId="42BAADEE" w:rsidR="00AB662C" w:rsidRPr="00AB662C" w:rsidRDefault="00481948"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0A3E52">
              <w:rPr>
                <w:rFonts w:ascii="Arial" w:eastAsia="Times New Roman" w:hAnsi="Arial" w:cs="Arial"/>
                <w:b/>
                <w:bCs/>
                <w:color w:val="000000"/>
                <w:sz w:val="18"/>
                <w:szCs w:val="18"/>
              </w:rPr>
              <w:t>0</w:t>
            </w:r>
            <w:r w:rsidR="003B1275">
              <w:rPr>
                <w:rFonts w:ascii="Arial" w:eastAsia="Times New Roman" w:hAnsi="Arial" w:cs="Arial"/>
                <w:b/>
                <w:bCs/>
                <w:color w:val="000000"/>
                <w:sz w:val="18"/>
                <w:szCs w:val="18"/>
              </w:rPr>
              <w:t>.</w:t>
            </w:r>
            <w:r w:rsidR="002F3B14">
              <w:rPr>
                <w:rFonts w:ascii="Arial" w:eastAsia="Times New Roman" w:hAnsi="Arial" w:cs="Arial"/>
                <w:b/>
                <w:bCs/>
                <w:color w:val="000000"/>
                <w:sz w:val="18"/>
                <w:szCs w:val="18"/>
              </w:rPr>
              <w:t>70</w:t>
            </w:r>
          </w:p>
        </w:tc>
        <w:tc>
          <w:tcPr>
            <w:tcW w:w="1016" w:type="dxa"/>
            <w:tcBorders>
              <w:top w:val="nil"/>
              <w:left w:val="nil"/>
              <w:bottom w:val="nil"/>
              <w:right w:val="nil"/>
            </w:tcBorders>
            <w:shd w:val="clear" w:color="auto" w:fill="auto"/>
            <w:noWrap/>
            <w:hideMark/>
          </w:tcPr>
          <w:p w14:paraId="7DBA5036" w14:textId="52839A49" w:rsidR="00AB662C" w:rsidRPr="00AB662C" w:rsidRDefault="00954A0D"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1.53</w:t>
            </w:r>
          </w:p>
        </w:tc>
        <w:tc>
          <w:tcPr>
            <w:tcW w:w="812" w:type="dxa"/>
            <w:tcBorders>
              <w:top w:val="nil"/>
              <w:left w:val="nil"/>
              <w:bottom w:val="nil"/>
              <w:right w:val="nil"/>
            </w:tcBorders>
            <w:shd w:val="clear" w:color="auto" w:fill="auto"/>
            <w:noWrap/>
            <w:hideMark/>
          </w:tcPr>
          <w:p w14:paraId="6FA419CE" w14:textId="3AAEF1FD" w:rsidR="00AB662C" w:rsidRPr="00AB662C" w:rsidRDefault="00F852BC"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DD1F05">
              <w:rPr>
                <w:rFonts w:ascii="Arial" w:eastAsia="Times New Roman" w:hAnsi="Arial" w:cs="Arial"/>
                <w:color w:val="000000"/>
                <w:sz w:val="18"/>
                <w:szCs w:val="18"/>
              </w:rPr>
              <w:t>.</w:t>
            </w:r>
            <w:r w:rsidR="00954A0D">
              <w:rPr>
                <w:rFonts w:ascii="Arial" w:eastAsia="Times New Roman" w:hAnsi="Arial" w:cs="Arial"/>
                <w:color w:val="000000"/>
                <w:sz w:val="18"/>
                <w:szCs w:val="18"/>
              </w:rPr>
              <w:t>55</w:t>
            </w:r>
          </w:p>
        </w:tc>
        <w:tc>
          <w:tcPr>
            <w:tcW w:w="812" w:type="dxa"/>
            <w:tcBorders>
              <w:top w:val="nil"/>
              <w:left w:val="nil"/>
              <w:bottom w:val="nil"/>
              <w:right w:val="nil"/>
            </w:tcBorders>
            <w:shd w:val="clear" w:color="auto" w:fill="auto"/>
            <w:noWrap/>
            <w:hideMark/>
          </w:tcPr>
          <w:p w14:paraId="057EED26" w14:textId="545EDFCB" w:rsidR="00AB662C" w:rsidRPr="00AB662C" w:rsidRDefault="002F3B14"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954A0D">
              <w:rPr>
                <w:rFonts w:ascii="Arial" w:eastAsia="Times New Roman" w:hAnsi="Arial" w:cs="Arial"/>
                <w:color w:val="000000"/>
                <w:sz w:val="18"/>
                <w:szCs w:val="18"/>
              </w:rPr>
              <w:t>02</w:t>
            </w:r>
          </w:p>
        </w:tc>
        <w:tc>
          <w:tcPr>
            <w:tcW w:w="1008" w:type="dxa"/>
            <w:tcBorders>
              <w:top w:val="nil"/>
              <w:left w:val="nil"/>
              <w:bottom w:val="nil"/>
              <w:right w:val="nil"/>
            </w:tcBorders>
            <w:shd w:val="clear" w:color="auto" w:fill="auto"/>
            <w:noWrap/>
            <w:hideMark/>
          </w:tcPr>
          <w:p w14:paraId="715C8146" w14:textId="12815249"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10.00</w:t>
            </w:r>
          </w:p>
        </w:tc>
        <w:tc>
          <w:tcPr>
            <w:tcW w:w="1055" w:type="dxa"/>
            <w:tcBorders>
              <w:top w:val="nil"/>
              <w:left w:val="nil"/>
              <w:bottom w:val="nil"/>
              <w:right w:val="nil"/>
            </w:tcBorders>
            <w:shd w:val="clear" w:color="auto" w:fill="auto"/>
            <w:noWrap/>
            <w:hideMark/>
          </w:tcPr>
          <w:p w14:paraId="04D85CA9" w14:textId="063E6A07"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1.00</w:t>
            </w:r>
          </w:p>
        </w:tc>
        <w:tc>
          <w:tcPr>
            <w:tcW w:w="1337" w:type="dxa"/>
            <w:tcBorders>
              <w:top w:val="nil"/>
              <w:left w:val="nil"/>
              <w:bottom w:val="nil"/>
              <w:right w:val="single" w:sz="8" w:space="0" w:color="auto"/>
            </w:tcBorders>
            <w:shd w:val="clear" w:color="auto" w:fill="auto"/>
            <w:hideMark/>
          </w:tcPr>
          <w:p w14:paraId="7B67672E" w14:textId="423FF8F7"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Adequate Assurance </w:t>
            </w:r>
          </w:p>
        </w:tc>
      </w:tr>
      <w:tr w:rsidR="00CF54DE" w:rsidRPr="00D97147" w14:paraId="1E02A7DD" w14:textId="77777777" w:rsidTr="002C1A1F">
        <w:trPr>
          <w:trHeight w:val="522"/>
        </w:trPr>
        <w:tc>
          <w:tcPr>
            <w:tcW w:w="1218" w:type="dxa"/>
            <w:tcBorders>
              <w:top w:val="nil"/>
              <w:left w:val="single" w:sz="8" w:space="0" w:color="auto"/>
              <w:bottom w:val="nil"/>
              <w:right w:val="nil"/>
            </w:tcBorders>
            <w:shd w:val="clear" w:color="auto" w:fill="D9E2F3" w:themeFill="accent1" w:themeFillTint="33"/>
            <w:hideMark/>
          </w:tcPr>
          <w:p w14:paraId="7654DA2B"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3042921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Direct Energy Business Marketing</w:t>
            </w:r>
          </w:p>
        </w:tc>
        <w:tc>
          <w:tcPr>
            <w:tcW w:w="1532" w:type="dxa"/>
            <w:tcBorders>
              <w:top w:val="nil"/>
              <w:left w:val="nil"/>
              <w:bottom w:val="nil"/>
              <w:right w:val="nil"/>
            </w:tcBorders>
            <w:shd w:val="clear" w:color="auto" w:fill="D9E2F3" w:themeFill="accent1" w:themeFillTint="33"/>
            <w:hideMark/>
          </w:tcPr>
          <w:p w14:paraId="04EA662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Deutsche Bank AG, NY Branch (LOC)</w:t>
            </w:r>
          </w:p>
        </w:tc>
        <w:tc>
          <w:tcPr>
            <w:tcW w:w="1192" w:type="dxa"/>
            <w:tcBorders>
              <w:top w:val="nil"/>
              <w:left w:val="nil"/>
              <w:bottom w:val="nil"/>
              <w:right w:val="nil"/>
            </w:tcBorders>
            <w:shd w:val="clear" w:color="auto" w:fill="D9E2F3" w:themeFill="accent1" w:themeFillTint="33"/>
            <w:hideMark/>
          </w:tcPr>
          <w:p w14:paraId="2F5CAC33" w14:textId="530815BC"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w:t>
            </w:r>
            <w:r w:rsidR="00C823E2">
              <w:rPr>
                <w:rFonts w:ascii="Arial" w:eastAsia="Times New Roman" w:hAnsi="Arial" w:cs="Arial"/>
                <w:color w:val="000000"/>
                <w:sz w:val="18"/>
                <w:szCs w:val="18"/>
              </w:rPr>
              <w:t>1</w:t>
            </w:r>
          </w:p>
        </w:tc>
        <w:tc>
          <w:tcPr>
            <w:tcW w:w="1117" w:type="dxa"/>
            <w:tcBorders>
              <w:top w:val="nil"/>
              <w:left w:val="nil"/>
              <w:bottom w:val="nil"/>
              <w:right w:val="nil"/>
            </w:tcBorders>
            <w:shd w:val="clear" w:color="auto" w:fill="D9E2F3" w:themeFill="accent1" w:themeFillTint="33"/>
            <w:hideMark/>
          </w:tcPr>
          <w:p w14:paraId="1146DA73" w14:textId="649EBC6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2024</w:t>
            </w:r>
          </w:p>
        </w:tc>
        <w:tc>
          <w:tcPr>
            <w:tcW w:w="1196" w:type="dxa"/>
            <w:tcBorders>
              <w:top w:val="nil"/>
              <w:left w:val="nil"/>
              <w:bottom w:val="nil"/>
              <w:right w:val="nil"/>
            </w:tcBorders>
            <w:shd w:val="clear" w:color="auto" w:fill="D9E2F3" w:themeFill="accent1" w:themeFillTint="33"/>
            <w:hideMark/>
          </w:tcPr>
          <w:p w14:paraId="663730E9"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hideMark/>
          </w:tcPr>
          <w:p w14:paraId="6E5C5141" w14:textId="7F796B83" w:rsidR="00AB662C" w:rsidRPr="00AB662C" w:rsidRDefault="00481948"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00AB662C" w:rsidRPr="00AB662C">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21</w:t>
            </w:r>
          </w:p>
        </w:tc>
        <w:tc>
          <w:tcPr>
            <w:tcW w:w="1016" w:type="dxa"/>
            <w:tcBorders>
              <w:top w:val="nil"/>
              <w:left w:val="nil"/>
              <w:bottom w:val="nil"/>
              <w:right w:val="nil"/>
            </w:tcBorders>
            <w:shd w:val="clear" w:color="auto" w:fill="D9E2F3" w:themeFill="accent1" w:themeFillTint="33"/>
            <w:noWrap/>
            <w:hideMark/>
          </w:tcPr>
          <w:p w14:paraId="66A6190E" w14:textId="12A6583C"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B525EB">
              <w:rPr>
                <w:rFonts w:ascii="Arial" w:eastAsia="Times New Roman" w:hAnsi="Arial" w:cs="Arial"/>
                <w:color w:val="000000"/>
                <w:sz w:val="18"/>
                <w:szCs w:val="18"/>
              </w:rPr>
              <w:t>0</w:t>
            </w:r>
            <w:r w:rsidR="00954A0D">
              <w:rPr>
                <w:rFonts w:ascii="Arial" w:eastAsia="Times New Roman" w:hAnsi="Arial" w:cs="Arial"/>
                <w:color w:val="000000"/>
                <w:sz w:val="18"/>
                <w:szCs w:val="18"/>
              </w:rPr>
              <w:t>1</w:t>
            </w:r>
          </w:p>
        </w:tc>
        <w:tc>
          <w:tcPr>
            <w:tcW w:w="812" w:type="dxa"/>
            <w:tcBorders>
              <w:top w:val="nil"/>
              <w:left w:val="nil"/>
              <w:bottom w:val="nil"/>
              <w:right w:val="nil"/>
            </w:tcBorders>
            <w:shd w:val="clear" w:color="auto" w:fill="D9E2F3" w:themeFill="accent1" w:themeFillTint="33"/>
            <w:noWrap/>
            <w:hideMark/>
          </w:tcPr>
          <w:p w14:paraId="0D1C2467" w14:textId="2548D169" w:rsidR="00AB662C" w:rsidRPr="00AB662C" w:rsidRDefault="003B1AC5"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B525EB">
              <w:rPr>
                <w:rFonts w:ascii="Arial" w:eastAsia="Times New Roman" w:hAnsi="Arial" w:cs="Arial"/>
                <w:color w:val="000000"/>
                <w:sz w:val="18"/>
                <w:szCs w:val="18"/>
              </w:rPr>
              <w:t>0</w:t>
            </w:r>
            <w:r w:rsidR="00F852BC">
              <w:rPr>
                <w:rFonts w:ascii="Arial" w:eastAsia="Times New Roman" w:hAnsi="Arial" w:cs="Arial"/>
                <w:color w:val="000000"/>
                <w:sz w:val="18"/>
                <w:szCs w:val="18"/>
              </w:rPr>
              <w:t>1</w:t>
            </w:r>
          </w:p>
        </w:tc>
        <w:tc>
          <w:tcPr>
            <w:tcW w:w="812" w:type="dxa"/>
            <w:tcBorders>
              <w:top w:val="nil"/>
              <w:left w:val="nil"/>
              <w:bottom w:val="nil"/>
              <w:right w:val="nil"/>
            </w:tcBorders>
            <w:shd w:val="clear" w:color="auto" w:fill="D9E2F3" w:themeFill="accent1" w:themeFillTint="33"/>
            <w:noWrap/>
            <w:hideMark/>
          </w:tcPr>
          <w:p w14:paraId="0BAD2FA1" w14:textId="7135C3A9"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B525EB">
              <w:rPr>
                <w:rFonts w:ascii="Arial" w:eastAsia="Times New Roman" w:hAnsi="Arial" w:cs="Arial"/>
                <w:color w:val="000000"/>
                <w:sz w:val="18"/>
                <w:szCs w:val="18"/>
              </w:rPr>
              <w:t>0</w:t>
            </w:r>
            <w:r w:rsidR="00954A0D">
              <w:rPr>
                <w:rFonts w:ascii="Arial" w:eastAsia="Times New Roman" w:hAnsi="Arial" w:cs="Arial"/>
                <w:color w:val="000000"/>
                <w:sz w:val="18"/>
                <w:szCs w:val="18"/>
              </w:rPr>
              <w:t>0</w:t>
            </w:r>
          </w:p>
        </w:tc>
        <w:tc>
          <w:tcPr>
            <w:tcW w:w="1008" w:type="dxa"/>
            <w:tcBorders>
              <w:top w:val="nil"/>
              <w:left w:val="nil"/>
              <w:bottom w:val="nil"/>
              <w:right w:val="nil"/>
            </w:tcBorders>
            <w:shd w:val="clear" w:color="auto" w:fill="D9E2F3" w:themeFill="accent1" w:themeFillTint="33"/>
            <w:noWrap/>
            <w:hideMark/>
          </w:tcPr>
          <w:p w14:paraId="0E08ED69" w14:textId="29B4FED6"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07889849" w14:textId="3B5EDDBD" w:rsidR="00AB662C" w:rsidRPr="00AB662C" w:rsidRDefault="004C1633"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0.20</w:t>
            </w:r>
          </w:p>
        </w:tc>
        <w:tc>
          <w:tcPr>
            <w:tcW w:w="1337" w:type="dxa"/>
            <w:tcBorders>
              <w:top w:val="nil"/>
              <w:left w:val="nil"/>
              <w:bottom w:val="nil"/>
              <w:right w:val="single" w:sz="8" w:space="0" w:color="auto"/>
            </w:tcBorders>
            <w:shd w:val="clear" w:color="auto" w:fill="D9E2F3" w:themeFill="accent1" w:themeFillTint="33"/>
            <w:hideMark/>
          </w:tcPr>
          <w:p w14:paraId="1E46D268" w14:textId="4B247BCE"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 LOC</w:t>
            </w:r>
          </w:p>
        </w:tc>
      </w:tr>
      <w:tr w:rsidR="00F852BC" w:rsidRPr="00D97147" w14:paraId="3FA39623" w14:textId="77777777" w:rsidTr="002C1A1F">
        <w:trPr>
          <w:trHeight w:val="522"/>
        </w:trPr>
        <w:tc>
          <w:tcPr>
            <w:tcW w:w="1218" w:type="dxa"/>
            <w:tcBorders>
              <w:top w:val="nil"/>
              <w:left w:val="single" w:sz="8" w:space="0" w:color="auto"/>
              <w:bottom w:val="nil"/>
              <w:right w:val="nil"/>
            </w:tcBorders>
            <w:shd w:val="clear" w:color="auto" w:fill="auto"/>
          </w:tcPr>
          <w:p w14:paraId="68D5E905" w14:textId="28B4DD98"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tcPr>
          <w:p w14:paraId="71594FBD" w14:textId="1040C99B"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DTE Energy Trading, Inc.</w:t>
            </w:r>
          </w:p>
        </w:tc>
        <w:tc>
          <w:tcPr>
            <w:tcW w:w="1532" w:type="dxa"/>
            <w:tcBorders>
              <w:top w:val="nil"/>
              <w:left w:val="nil"/>
              <w:bottom w:val="nil"/>
              <w:right w:val="nil"/>
            </w:tcBorders>
            <w:shd w:val="clear" w:color="auto" w:fill="auto"/>
          </w:tcPr>
          <w:p w14:paraId="0A54E738" w14:textId="78033C6C"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DTE Energy Company</w:t>
            </w:r>
            <w:r w:rsidRPr="00481948">
              <w:rPr>
                <w:rFonts w:ascii="Arial" w:eastAsia="Times New Roman" w:hAnsi="Arial" w:cs="Arial"/>
                <w:color w:val="000000"/>
                <w:sz w:val="16"/>
                <w:szCs w:val="16"/>
              </w:rPr>
              <w:t xml:space="preserve"> (PCG)</w:t>
            </w:r>
          </w:p>
        </w:tc>
        <w:tc>
          <w:tcPr>
            <w:tcW w:w="1192" w:type="dxa"/>
            <w:tcBorders>
              <w:top w:val="nil"/>
              <w:left w:val="nil"/>
              <w:bottom w:val="nil"/>
              <w:right w:val="nil"/>
            </w:tcBorders>
            <w:shd w:val="clear" w:color="auto" w:fill="auto"/>
          </w:tcPr>
          <w:p w14:paraId="76371600" w14:textId="57FE9D28"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BBB+ </w:t>
            </w:r>
            <w:r w:rsidRPr="00AB662C">
              <w:rPr>
                <w:rFonts w:ascii="Arial" w:eastAsia="Times New Roman" w:hAnsi="Arial" w:cs="Arial"/>
                <w:color w:val="000000"/>
                <w:sz w:val="18"/>
                <w:szCs w:val="18"/>
              </w:rPr>
              <w:t>/</w:t>
            </w:r>
            <w:r>
              <w:rPr>
                <w:rFonts w:ascii="Arial" w:eastAsia="Times New Roman" w:hAnsi="Arial" w:cs="Arial"/>
                <w:color w:val="000000"/>
                <w:sz w:val="18"/>
                <w:szCs w:val="18"/>
              </w:rPr>
              <w:t xml:space="preserve"> </w:t>
            </w:r>
            <w:r w:rsidRPr="00AB662C">
              <w:rPr>
                <w:rFonts w:ascii="Arial" w:eastAsia="Times New Roman" w:hAnsi="Arial" w:cs="Arial"/>
                <w:color w:val="000000"/>
                <w:sz w:val="18"/>
                <w:szCs w:val="18"/>
              </w:rPr>
              <w:t>Baa</w:t>
            </w:r>
            <w:r>
              <w:rPr>
                <w:rFonts w:ascii="Arial" w:eastAsia="Times New Roman" w:hAnsi="Arial" w:cs="Arial"/>
                <w:color w:val="000000"/>
                <w:sz w:val="18"/>
                <w:szCs w:val="18"/>
              </w:rPr>
              <w:t>2</w:t>
            </w:r>
          </w:p>
        </w:tc>
        <w:tc>
          <w:tcPr>
            <w:tcW w:w="1117" w:type="dxa"/>
            <w:tcBorders>
              <w:top w:val="nil"/>
              <w:left w:val="nil"/>
              <w:bottom w:val="nil"/>
              <w:right w:val="nil"/>
            </w:tcBorders>
            <w:shd w:val="clear" w:color="auto" w:fill="auto"/>
          </w:tcPr>
          <w:p w14:paraId="3A53E2DB" w14:textId="38AEA524" w:rsidR="00481948" w:rsidRPr="00AB662C" w:rsidRDefault="00481948" w:rsidP="00481948">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auto"/>
          </w:tcPr>
          <w:p w14:paraId="3F32B1EB" w14:textId="00F6349F"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tcPr>
          <w:p w14:paraId="16E04D5B" w14:textId="6DAC7FAE"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Pr="00AB662C">
              <w:rPr>
                <w:rFonts w:ascii="Arial" w:eastAsia="Times New Roman" w:hAnsi="Arial" w:cs="Arial"/>
                <w:b/>
                <w:bCs/>
                <w:color w:val="000000"/>
                <w:sz w:val="18"/>
                <w:szCs w:val="18"/>
              </w:rPr>
              <w:t>.</w:t>
            </w:r>
            <w:r w:rsidR="002F3B14">
              <w:rPr>
                <w:rFonts w:ascii="Arial" w:eastAsia="Times New Roman" w:hAnsi="Arial" w:cs="Arial"/>
                <w:b/>
                <w:bCs/>
                <w:color w:val="000000"/>
                <w:sz w:val="18"/>
                <w:szCs w:val="18"/>
              </w:rPr>
              <w:t>59</w:t>
            </w:r>
          </w:p>
        </w:tc>
        <w:tc>
          <w:tcPr>
            <w:tcW w:w="1016" w:type="dxa"/>
            <w:tcBorders>
              <w:top w:val="nil"/>
              <w:left w:val="nil"/>
              <w:bottom w:val="nil"/>
              <w:right w:val="nil"/>
            </w:tcBorders>
            <w:shd w:val="clear" w:color="auto" w:fill="auto"/>
            <w:noWrap/>
          </w:tcPr>
          <w:p w14:paraId="36044C63" w14:textId="0749D4B6" w:rsidR="00481948" w:rsidRPr="00AB662C" w:rsidRDefault="00481948" w:rsidP="00481948">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555351">
              <w:rPr>
                <w:rFonts w:ascii="Arial" w:eastAsia="Times New Roman" w:hAnsi="Arial" w:cs="Arial"/>
                <w:color w:val="000000"/>
                <w:sz w:val="18"/>
                <w:szCs w:val="18"/>
              </w:rPr>
              <w:t>15</w:t>
            </w:r>
          </w:p>
        </w:tc>
        <w:tc>
          <w:tcPr>
            <w:tcW w:w="812" w:type="dxa"/>
            <w:tcBorders>
              <w:top w:val="nil"/>
              <w:left w:val="nil"/>
              <w:bottom w:val="nil"/>
              <w:right w:val="nil"/>
            </w:tcBorders>
            <w:shd w:val="clear" w:color="auto" w:fill="auto"/>
            <w:noWrap/>
          </w:tcPr>
          <w:p w14:paraId="5DF351DF" w14:textId="3802532D" w:rsidR="00481948" w:rsidRDefault="003B1AC5"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481948">
              <w:rPr>
                <w:rFonts w:ascii="Arial" w:eastAsia="Times New Roman" w:hAnsi="Arial" w:cs="Arial"/>
                <w:color w:val="000000"/>
                <w:sz w:val="18"/>
                <w:szCs w:val="18"/>
              </w:rPr>
              <w:t>.</w:t>
            </w:r>
            <w:r w:rsidR="00555351">
              <w:rPr>
                <w:rFonts w:ascii="Arial" w:eastAsia="Times New Roman" w:hAnsi="Arial" w:cs="Arial"/>
                <w:color w:val="000000"/>
                <w:sz w:val="18"/>
                <w:szCs w:val="18"/>
              </w:rPr>
              <w:t>1</w:t>
            </w:r>
            <w:r w:rsidR="00954A0D">
              <w:rPr>
                <w:rFonts w:ascii="Arial" w:eastAsia="Times New Roman" w:hAnsi="Arial" w:cs="Arial"/>
                <w:color w:val="000000"/>
                <w:sz w:val="18"/>
                <w:szCs w:val="18"/>
              </w:rPr>
              <w:t>2</w:t>
            </w:r>
          </w:p>
        </w:tc>
        <w:tc>
          <w:tcPr>
            <w:tcW w:w="812" w:type="dxa"/>
            <w:tcBorders>
              <w:top w:val="nil"/>
              <w:left w:val="nil"/>
              <w:bottom w:val="nil"/>
              <w:right w:val="nil"/>
            </w:tcBorders>
            <w:shd w:val="clear" w:color="auto" w:fill="auto"/>
            <w:noWrap/>
          </w:tcPr>
          <w:p w14:paraId="5A98C508" w14:textId="77D3C67F" w:rsidR="00481948" w:rsidRPr="00AB662C" w:rsidRDefault="002F3B14"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555351">
              <w:rPr>
                <w:rFonts w:ascii="Arial" w:eastAsia="Times New Roman" w:hAnsi="Arial" w:cs="Arial"/>
                <w:color w:val="000000"/>
                <w:sz w:val="18"/>
                <w:szCs w:val="18"/>
              </w:rPr>
              <w:t>0</w:t>
            </w:r>
            <w:r w:rsidR="00954A0D">
              <w:rPr>
                <w:rFonts w:ascii="Arial" w:eastAsia="Times New Roman" w:hAnsi="Arial" w:cs="Arial"/>
                <w:color w:val="000000"/>
                <w:sz w:val="18"/>
                <w:szCs w:val="18"/>
              </w:rPr>
              <w:t>3</w:t>
            </w:r>
            <w:r>
              <w:rPr>
                <w:rFonts w:ascii="Arial" w:eastAsia="Times New Roman" w:hAnsi="Arial" w:cs="Arial"/>
                <w:color w:val="000000"/>
                <w:sz w:val="18"/>
                <w:szCs w:val="18"/>
              </w:rPr>
              <w:t>)</w:t>
            </w:r>
          </w:p>
        </w:tc>
        <w:tc>
          <w:tcPr>
            <w:tcW w:w="1008" w:type="dxa"/>
            <w:tcBorders>
              <w:top w:val="nil"/>
              <w:left w:val="nil"/>
              <w:bottom w:val="nil"/>
              <w:right w:val="nil"/>
            </w:tcBorders>
            <w:shd w:val="clear" w:color="auto" w:fill="auto"/>
            <w:noWrap/>
          </w:tcPr>
          <w:p w14:paraId="31CBA8C3" w14:textId="488A4F7B"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Pr="00AB662C">
              <w:rPr>
                <w:rFonts w:ascii="Arial" w:eastAsia="Times New Roman" w:hAnsi="Arial" w:cs="Arial"/>
                <w:b/>
                <w:bCs/>
                <w:color w:val="000000"/>
                <w:sz w:val="18"/>
                <w:szCs w:val="18"/>
              </w:rPr>
              <w:t>.00</w:t>
            </w:r>
          </w:p>
        </w:tc>
        <w:tc>
          <w:tcPr>
            <w:tcW w:w="1055" w:type="dxa"/>
            <w:tcBorders>
              <w:top w:val="nil"/>
              <w:left w:val="nil"/>
              <w:bottom w:val="nil"/>
              <w:right w:val="nil"/>
            </w:tcBorders>
            <w:shd w:val="clear" w:color="auto" w:fill="auto"/>
            <w:noWrap/>
          </w:tcPr>
          <w:p w14:paraId="6D16070C" w14:textId="19953253"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Pr="00AB662C">
              <w:rPr>
                <w:rFonts w:ascii="Arial" w:eastAsia="Times New Roman" w:hAnsi="Arial" w:cs="Arial"/>
                <w:b/>
                <w:bCs/>
                <w:color w:val="000000"/>
                <w:sz w:val="18"/>
                <w:szCs w:val="18"/>
              </w:rPr>
              <w:t>.00</w:t>
            </w:r>
          </w:p>
        </w:tc>
        <w:tc>
          <w:tcPr>
            <w:tcW w:w="1337" w:type="dxa"/>
            <w:tcBorders>
              <w:top w:val="nil"/>
              <w:left w:val="nil"/>
              <w:bottom w:val="nil"/>
              <w:right w:val="single" w:sz="8" w:space="0" w:color="auto"/>
            </w:tcBorders>
            <w:shd w:val="clear" w:color="auto" w:fill="auto"/>
          </w:tcPr>
          <w:p w14:paraId="011938C5" w14:textId="359945AF"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Adequate Assurance </w:t>
            </w:r>
          </w:p>
        </w:tc>
      </w:tr>
      <w:tr w:rsidR="00CF54DE" w:rsidRPr="00D97147" w14:paraId="39B81973" w14:textId="77777777" w:rsidTr="002C1A1F">
        <w:trPr>
          <w:trHeight w:val="522"/>
        </w:trPr>
        <w:tc>
          <w:tcPr>
            <w:tcW w:w="1218" w:type="dxa"/>
            <w:tcBorders>
              <w:top w:val="nil"/>
              <w:left w:val="single" w:sz="8" w:space="0" w:color="auto"/>
              <w:bottom w:val="nil"/>
              <w:right w:val="nil"/>
            </w:tcBorders>
            <w:shd w:val="clear" w:color="auto" w:fill="D9E2F3" w:themeFill="accent1" w:themeFillTint="33"/>
          </w:tcPr>
          <w:p w14:paraId="09EE9AAF" w14:textId="19C733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tcPr>
          <w:p w14:paraId="21B0E99E" w14:textId="1DF0CF53"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Interstate Gas Supply, LLC</w:t>
            </w:r>
          </w:p>
        </w:tc>
        <w:tc>
          <w:tcPr>
            <w:tcW w:w="1532" w:type="dxa"/>
            <w:tcBorders>
              <w:top w:val="nil"/>
              <w:left w:val="nil"/>
              <w:bottom w:val="nil"/>
              <w:right w:val="nil"/>
            </w:tcBorders>
            <w:shd w:val="clear" w:color="auto" w:fill="D9E2F3" w:themeFill="accent1" w:themeFillTint="33"/>
          </w:tcPr>
          <w:p w14:paraId="1AFF152A" w14:textId="5A7CAF29"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(7)</w:t>
            </w:r>
          </w:p>
        </w:tc>
        <w:tc>
          <w:tcPr>
            <w:tcW w:w="1192" w:type="dxa"/>
            <w:tcBorders>
              <w:top w:val="nil"/>
              <w:left w:val="nil"/>
              <w:bottom w:val="nil"/>
              <w:right w:val="nil"/>
            </w:tcBorders>
            <w:shd w:val="clear" w:color="auto" w:fill="D9E2F3" w:themeFill="accent1" w:themeFillTint="33"/>
          </w:tcPr>
          <w:p w14:paraId="46DB99AA" w14:textId="2A6DA956"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NR   NR</w:t>
            </w:r>
          </w:p>
        </w:tc>
        <w:tc>
          <w:tcPr>
            <w:tcW w:w="1117" w:type="dxa"/>
            <w:tcBorders>
              <w:top w:val="nil"/>
              <w:left w:val="nil"/>
              <w:bottom w:val="nil"/>
              <w:right w:val="nil"/>
            </w:tcBorders>
            <w:shd w:val="clear" w:color="auto" w:fill="D9E2F3" w:themeFill="accent1" w:themeFillTint="33"/>
          </w:tcPr>
          <w:p w14:paraId="71A2EB71" w14:textId="1E3760C4"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Pr>
                <w:rFonts w:ascii="Arial" w:eastAsia="Times New Roman" w:hAnsi="Arial" w:cs="Arial"/>
                <w:color w:val="000000"/>
                <w:sz w:val="18"/>
                <w:szCs w:val="18"/>
              </w:rPr>
              <w:t>4</w:t>
            </w:r>
            <w:r w:rsidRPr="00AB662C">
              <w:rPr>
                <w:rFonts w:ascii="Arial" w:eastAsia="Times New Roman" w:hAnsi="Arial" w:cs="Arial"/>
                <w:color w:val="000000"/>
                <w:sz w:val="18"/>
                <w:szCs w:val="18"/>
              </w:rPr>
              <w:t>-202</w:t>
            </w:r>
            <w:r>
              <w:rPr>
                <w:rFonts w:ascii="Arial" w:eastAsia="Times New Roman" w:hAnsi="Arial" w:cs="Arial"/>
                <w:color w:val="000000"/>
                <w:sz w:val="18"/>
                <w:szCs w:val="18"/>
              </w:rPr>
              <w:t>5</w:t>
            </w:r>
          </w:p>
        </w:tc>
        <w:tc>
          <w:tcPr>
            <w:tcW w:w="1196" w:type="dxa"/>
            <w:tcBorders>
              <w:top w:val="nil"/>
              <w:left w:val="nil"/>
              <w:bottom w:val="nil"/>
              <w:right w:val="nil"/>
            </w:tcBorders>
            <w:shd w:val="clear" w:color="auto" w:fill="D9E2F3" w:themeFill="accent1" w:themeFillTint="33"/>
          </w:tcPr>
          <w:p w14:paraId="122F4258" w14:textId="49E5B8E1"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tcPr>
          <w:p w14:paraId="3A10D9D9" w14:textId="6F7BF81F" w:rsidR="002C1A1F" w:rsidRPr="00AB662C" w:rsidRDefault="002F3B14"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0.08</w:t>
            </w:r>
          </w:p>
        </w:tc>
        <w:tc>
          <w:tcPr>
            <w:tcW w:w="1016" w:type="dxa"/>
            <w:tcBorders>
              <w:top w:val="nil"/>
              <w:left w:val="nil"/>
              <w:bottom w:val="nil"/>
              <w:right w:val="nil"/>
            </w:tcBorders>
            <w:shd w:val="clear" w:color="auto" w:fill="D9E2F3" w:themeFill="accent1" w:themeFillTint="33"/>
            <w:noWrap/>
          </w:tcPr>
          <w:p w14:paraId="3382364B" w14:textId="5B6A8714"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r w:rsidR="00954A0D">
              <w:rPr>
                <w:rFonts w:ascii="Arial" w:eastAsia="Times New Roman" w:hAnsi="Arial" w:cs="Arial"/>
                <w:color w:val="000000"/>
                <w:sz w:val="18"/>
                <w:szCs w:val="18"/>
              </w:rPr>
              <w:t>1</w:t>
            </w:r>
          </w:p>
        </w:tc>
        <w:tc>
          <w:tcPr>
            <w:tcW w:w="812" w:type="dxa"/>
            <w:tcBorders>
              <w:top w:val="nil"/>
              <w:left w:val="nil"/>
              <w:bottom w:val="nil"/>
              <w:right w:val="nil"/>
            </w:tcBorders>
            <w:shd w:val="clear" w:color="auto" w:fill="D9E2F3" w:themeFill="accent1" w:themeFillTint="33"/>
            <w:noWrap/>
          </w:tcPr>
          <w:p w14:paraId="2569BAA2" w14:textId="182A94A8" w:rsidR="002C1A1F"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r w:rsidR="00DD1F05">
              <w:rPr>
                <w:rFonts w:ascii="Arial" w:eastAsia="Times New Roman" w:hAnsi="Arial" w:cs="Arial"/>
                <w:color w:val="000000"/>
                <w:sz w:val="18"/>
                <w:szCs w:val="18"/>
              </w:rPr>
              <w:t>1</w:t>
            </w:r>
          </w:p>
        </w:tc>
        <w:tc>
          <w:tcPr>
            <w:tcW w:w="812" w:type="dxa"/>
            <w:tcBorders>
              <w:top w:val="nil"/>
              <w:left w:val="nil"/>
              <w:bottom w:val="nil"/>
              <w:right w:val="nil"/>
            </w:tcBorders>
            <w:shd w:val="clear" w:color="auto" w:fill="D9E2F3" w:themeFill="accent1" w:themeFillTint="33"/>
            <w:noWrap/>
          </w:tcPr>
          <w:p w14:paraId="64299518" w14:textId="1D135451" w:rsidR="002C1A1F"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r w:rsidR="00954A0D">
              <w:rPr>
                <w:rFonts w:ascii="Arial" w:eastAsia="Times New Roman" w:hAnsi="Arial" w:cs="Arial"/>
                <w:color w:val="000000"/>
                <w:sz w:val="18"/>
                <w:szCs w:val="18"/>
              </w:rPr>
              <w:t>0</w:t>
            </w:r>
          </w:p>
        </w:tc>
        <w:tc>
          <w:tcPr>
            <w:tcW w:w="1008" w:type="dxa"/>
            <w:tcBorders>
              <w:top w:val="nil"/>
              <w:left w:val="nil"/>
              <w:bottom w:val="nil"/>
              <w:right w:val="nil"/>
            </w:tcBorders>
            <w:shd w:val="clear" w:color="auto" w:fill="D9E2F3" w:themeFill="accent1" w:themeFillTint="33"/>
            <w:noWrap/>
          </w:tcPr>
          <w:p w14:paraId="2A49950F" w14:textId="31BE129C"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nil"/>
              <w:right w:val="nil"/>
            </w:tcBorders>
            <w:shd w:val="clear" w:color="auto" w:fill="D9E2F3" w:themeFill="accent1" w:themeFillTint="33"/>
            <w:noWrap/>
          </w:tcPr>
          <w:p w14:paraId="63E82408" w14:textId="5C047309"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tcPr>
          <w:p w14:paraId="5BBB40F7" w14:textId="437B8AD2" w:rsidR="002C1A1F"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(7)</w:t>
            </w:r>
          </w:p>
        </w:tc>
      </w:tr>
      <w:tr w:rsidR="00F852BC" w:rsidRPr="00D97147" w14:paraId="7D64E5EC" w14:textId="77777777" w:rsidTr="00D447B2">
        <w:trPr>
          <w:trHeight w:val="522"/>
        </w:trPr>
        <w:tc>
          <w:tcPr>
            <w:tcW w:w="1218" w:type="dxa"/>
            <w:tcBorders>
              <w:top w:val="nil"/>
              <w:left w:val="single" w:sz="8" w:space="0" w:color="auto"/>
              <w:bottom w:val="nil"/>
              <w:right w:val="nil"/>
            </w:tcBorders>
            <w:shd w:val="clear" w:color="auto" w:fill="auto"/>
          </w:tcPr>
          <w:p w14:paraId="627205EC" w14:textId="32F0051A"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tcPr>
          <w:p w14:paraId="4B5A1396" w14:textId="616A1B6F"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Mansfield Powers &amp; Gas, LLC</w:t>
            </w:r>
          </w:p>
        </w:tc>
        <w:tc>
          <w:tcPr>
            <w:tcW w:w="1532" w:type="dxa"/>
            <w:tcBorders>
              <w:top w:val="nil"/>
              <w:left w:val="nil"/>
              <w:bottom w:val="nil"/>
              <w:right w:val="nil"/>
            </w:tcBorders>
            <w:shd w:val="clear" w:color="auto" w:fill="auto"/>
          </w:tcPr>
          <w:p w14:paraId="59AE4E10" w14:textId="47BCF19A"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JPMorgan Chase Bank, NA (LOC)</w:t>
            </w:r>
          </w:p>
        </w:tc>
        <w:tc>
          <w:tcPr>
            <w:tcW w:w="1192" w:type="dxa"/>
            <w:tcBorders>
              <w:top w:val="nil"/>
              <w:left w:val="nil"/>
              <w:bottom w:val="nil"/>
              <w:right w:val="nil"/>
            </w:tcBorders>
            <w:shd w:val="clear" w:color="auto" w:fill="auto"/>
          </w:tcPr>
          <w:p w14:paraId="0EF59D39" w14:textId="1C8D80AE"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A+ / A</w:t>
            </w:r>
            <w:r w:rsidR="001D0842">
              <w:rPr>
                <w:rFonts w:ascii="Arial" w:eastAsia="Times New Roman" w:hAnsi="Arial" w:cs="Arial"/>
                <w:color w:val="000000"/>
                <w:sz w:val="18"/>
                <w:szCs w:val="18"/>
              </w:rPr>
              <w:t>a</w:t>
            </w:r>
            <w:r>
              <w:rPr>
                <w:rFonts w:ascii="Arial" w:eastAsia="Times New Roman" w:hAnsi="Arial" w:cs="Arial"/>
                <w:color w:val="000000"/>
                <w:sz w:val="18"/>
                <w:szCs w:val="18"/>
              </w:rPr>
              <w:t>1</w:t>
            </w:r>
          </w:p>
        </w:tc>
        <w:tc>
          <w:tcPr>
            <w:tcW w:w="1117" w:type="dxa"/>
            <w:tcBorders>
              <w:top w:val="nil"/>
              <w:left w:val="nil"/>
              <w:bottom w:val="nil"/>
              <w:right w:val="nil"/>
            </w:tcBorders>
            <w:shd w:val="clear" w:color="auto" w:fill="auto"/>
          </w:tcPr>
          <w:p w14:paraId="7F9D4C46" w14:textId="6EB4DC91" w:rsidR="00555351" w:rsidRPr="00AB662C" w:rsidRDefault="0009417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tcPr>
          <w:p w14:paraId="50841EF4" w14:textId="469BD7E7"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tcPr>
          <w:p w14:paraId="77A4447D" w14:textId="279E178F" w:rsidR="00555351" w:rsidRPr="00AB662C" w:rsidRDefault="00F852BC"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00DD1F05">
              <w:rPr>
                <w:rFonts w:ascii="Arial" w:eastAsia="Times New Roman" w:hAnsi="Arial" w:cs="Arial"/>
                <w:b/>
                <w:bCs/>
                <w:color w:val="000000"/>
                <w:sz w:val="18"/>
                <w:szCs w:val="18"/>
              </w:rPr>
              <w:t>.</w:t>
            </w:r>
            <w:r>
              <w:rPr>
                <w:rFonts w:ascii="Arial" w:eastAsia="Times New Roman" w:hAnsi="Arial" w:cs="Arial"/>
                <w:b/>
                <w:bCs/>
                <w:color w:val="000000"/>
                <w:sz w:val="18"/>
                <w:szCs w:val="18"/>
              </w:rPr>
              <w:t>57</w:t>
            </w:r>
          </w:p>
        </w:tc>
        <w:tc>
          <w:tcPr>
            <w:tcW w:w="1016" w:type="dxa"/>
            <w:tcBorders>
              <w:top w:val="nil"/>
              <w:left w:val="nil"/>
              <w:bottom w:val="nil"/>
              <w:right w:val="nil"/>
            </w:tcBorders>
            <w:shd w:val="clear" w:color="auto" w:fill="auto"/>
            <w:noWrap/>
          </w:tcPr>
          <w:p w14:paraId="73E4650B" w14:textId="075F24BF" w:rsidR="00555351" w:rsidRDefault="00F852BC"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5.57</w:t>
            </w:r>
          </w:p>
        </w:tc>
        <w:tc>
          <w:tcPr>
            <w:tcW w:w="812" w:type="dxa"/>
            <w:tcBorders>
              <w:top w:val="nil"/>
              <w:left w:val="nil"/>
              <w:bottom w:val="nil"/>
              <w:right w:val="nil"/>
            </w:tcBorders>
            <w:shd w:val="clear" w:color="auto" w:fill="auto"/>
            <w:noWrap/>
          </w:tcPr>
          <w:p w14:paraId="1C055E18" w14:textId="37E7B05A" w:rsidR="00555351" w:rsidRDefault="00954A0D"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6.04</w:t>
            </w:r>
          </w:p>
        </w:tc>
        <w:tc>
          <w:tcPr>
            <w:tcW w:w="812" w:type="dxa"/>
            <w:tcBorders>
              <w:top w:val="nil"/>
              <w:left w:val="nil"/>
              <w:bottom w:val="nil"/>
              <w:right w:val="nil"/>
            </w:tcBorders>
            <w:shd w:val="clear" w:color="auto" w:fill="auto"/>
            <w:noWrap/>
          </w:tcPr>
          <w:p w14:paraId="14F78561" w14:textId="33212ECD" w:rsidR="00555351" w:rsidRDefault="00555351"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954A0D">
              <w:rPr>
                <w:rFonts w:ascii="Arial" w:eastAsia="Times New Roman" w:hAnsi="Arial" w:cs="Arial"/>
                <w:color w:val="000000"/>
                <w:sz w:val="18"/>
                <w:szCs w:val="18"/>
              </w:rPr>
              <w:t>47</w:t>
            </w:r>
          </w:p>
        </w:tc>
        <w:tc>
          <w:tcPr>
            <w:tcW w:w="1008" w:type="dxa"/>
            <w:tcBorders>
              <w:top w:val="nil"/>
              <w:left w:val="nil"/>
              <w:bottom w:val="nil"/>
              <w:right w:val="nil"/>
            </w:tcBorders>
            <w:shd w:val="clear" w:color="auto" w:fill="auto"/>
            <w:noWrap/>
          </w:tcPr>
          <w:p w14:paraId="76C498BA" w14:textId="5BE9B246" w:rsidR="00555351" w:rsidRPr="00AB662C" w:rsidRDefault="00555351"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tcPr>
          <w:p w14:paraId="6F240424" w14:textId="482B6366" w:rsidR="00555351" w:rsidRPr="00AB662C" w:rsidRDefault="00555351"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00E005DA">
              <w:rPr>
                <w:rFonts w:ascii="Arial" w:eastAsia="Times New Roman" w:hAnsi="Arial" w:cs="Arial"/>
                <w:b/>
                <w:bCs/>
                <w:color w:val="000000"/>
                <w:sz w:val="18"/>
                <w:szCs w:val="18"/>
              </w:rPr>
              <w:t>5</w:t>
            </w:r>
            <w:r w:rsidR="000B2D9C">
              <w:rPr>
                <w:rFonts w:ascii="Arial" w:eastAsia="Times New Roman" w:hAnsi="Arial" w:cs="Arial"/>
                <w:b/>
                <w:bCs/>
                <w:color w:val="000000"/>
                <w:sz w:val="18"/>
                <w:szCs w:val="18"/>
              </w:rPr>
              <w:t>0</w:t>
            </w:r>
          </w:p>
        </w:tc>
        <w:tc>
          <w:tcPr>
            <w:tcW w:w="1337" w:type="dxa"/>
            <w:tcBorders>
              <w:top w:val="nil"/>
              <w:left w:val="nil"/>
              <w:bottom w:val="nil"/>
              <w:right w:val="single" w:sz="8" w:space="0" w:color="auto"/>
            </w:tcBorders>
            <w:shd w:val="clear" w:color="auto" w:fill="auto"/>
          </w:tcPr>
          <w:p w14:paraId="53BFBA8F" w14:textId="5A41139D" w:rsidR="00555351" w:rsidRPr="00AB662C" w:rsidRDefault="00555351"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LOC</w:t>
            </w:r>
          </w:p>
        </w:tc>
      </w:tr>
      <w:tr w:rsidR="00CF54DE" w:rsidRPr="00D97147" w14:paraId="1B788D10" w14:textId="77777777" w:rsidTr="00DB1096">
        <w:trPr>
          <w:trHeight w:val="522"/>
        </w:trPr>
        <w:tc>
          <w:tcPr>
            <w:tcW w:w="1218" w:type="dxa"/>
            <w:tcBorders>
              <w:top w:val="nil"/>
              <w:left w:val="single" w:sz="8" w:space="0" w:color="auto"/>
              <w:bottom w:val="nil"/>
              <w:right w:val="nil"/>
            </w:tcBorders>
            <w:shd w:val="clear" w:color="auto" w:fill="D9E2F3" w:themeFill="accent1" w:themeFillTint="33"/>
            <w:hideMark/>
          </w:tcPr>
          <w:p w14:paraId="5508CBF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4D863247"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Capital Group, Inc.</w:t>
            </w:r>
          </w:p>
        </w:tc>
        <w:tc>
          <w:tcPr>
            <w:tcW w:w="1532" w:type="dxa"/>
            <w:tcBorders>
              <w:top w:val="nil"/>
              <w:left w:val="nil"/>
              <w:bottom w:val="nil"/>
              <w:right w:val="nil"/>
            </w:tcBorders>
            <w:shd w:val="clear" w:color="auto" w:fill="D9E2F3" w:themeFill="accent1" w:themeFillTint="33"/>
            <w:hideMark/>
          </w:tcPr>
          <w:p w14:paraId="30439C52"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(PCG)</w:t>
            </w:r>
          </w:p>
        </w:tc>
        <w:tc>
          <w:tcPr>
            <w:tcW w:w="1192" w:type="dxa"/>
            <w:tcBorders>
              <w:top w:val="nil"/>
              <w:left w:val="nil"/>
              <w:bottom w:val="nil"/>
              <w:right w:val="nil"/>
            </w:tcBorders>
            <w:shd w:val="clear" w:color="auto" w:fill="D9E2F3" w:themeFill="accent1" w:themeFillTint="33"/>
            <w:hideMark/>
          </w:tcPr>
          <w:p w14:paraId="2CD0B70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A1</w:t>
            </w:r>
          </w:p>
        </w:tc>
        <w:tc>
          <w:tcPr>
            <w:tcW w:w="1117" w:type="dxa"/>
            <w:tcBorders>
              <w:top w:val="nil"/>
              <w:left w:val="nil"/>
              <w:bottom w:val="nil"/>
              <w:right w:val="nil"/>
            </w:tcBorders>
            <w:shd w:val="clear" w:color="auto" w:fill="D9E2F3" w:themeFill="accent1" w:themeFillTint="33"/>
            <w:hideMark/>
          </w:tcPr>
          <w:p w14:paraId="5E0B4F94" w14:textId="33A72884"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Pr>
                <w:rFonts w:ascii="Arial" w:eastAsia="Times New Roman" w:hAnsi="Arial" w:cs="Arial"/>
                <w:color w:val="000000"/>
                <w:sz w:val="18"/>
                <w:szCs w:val="18"/>
              </w:rPr>
              <w:t>4</w:t>
            </w:r>
            <w:r w:rsidRPr="00AB662C">
              <w:rPr>
                <w:rFonts w:ascii="Arial" w:eastAsia="Times New Roman" w:hAnsi="Arial" w:cs="Arial"/>
                <w:color w:val="000000"/>
                <w:sz w:val="18"/>
                <w:szCs w:val="18"/>
              </w:rPr>
              <w:t>-2027</w:t>
            </w:r>
          </w:p>
        </w:tc>
        <w:tc>
          <w:tcPr>
            <w:tcW w:w="1196" w:type="dxa"/>
            <w:tcBorders>
              <w:top w:val="nil"/>
              <w:left w:val="nil"/>
              <w:bottom w:val="nil"/>
              <w:right w:val="nil"/>
            </w:tcBorders>
            <w:shd w:val="clear" w:color="auto" w:fill="D9E2F3" w:themeFill="accent1" w:themeFillTint="33"/>
            <w:hideMark/>
          </w:tcPr>
          <w:p w14:paraId="72F8C325"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hideMark/>
          </w:tcPr>
          <w:p w14:paraId="4C634F3D" w14:textId="79BA378E"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2F3B14">
              <w:rPr>
                <w:rFonts w:ascii="Arial" w:eastAsia="Times New Roman" w:hAnsi="Arial" w:cs="Arial"/>
                <w:b/>
                <w:bCs/>
                <w:color w:val="000000"/>
                <w:sz w:val="18"/>
                <w:szCs w:val="18"/>
              </w:rPr>
              <w:t>8</w:t>
            </w:r>
            <w:r w:rsidRPr="00AB662C">
              <w:rPr>
                <w:rFonts w:ascii="Arial" w:eastAsia="Times New Roman" w:hAnsi="Arial" w:cs="Arial"/>
                <w:b/>
                <w:bCs/>
                <w:color w:val="000000"/>
                <w:sz w:val="18"/>
                <w:szCs w:val="18"/>
              </w:rPr>
              <w:t>.</w:t>
            </w:r>
            <w:r w:rsidR="002F3B14">
              <w:rPr>
                <w:rFonts w:ascii="Arial" w:eastAsia="Times New Roman" w:hAnsi="Arial" w:cs="Arial"/>
                <w:b/>
                <w:bCs/>
                <w:color w:val="000000"/>
                <w:sz w:val="18"/>
                <w:szCs w:val="18"/>
              </w:rPr>
              <w:t>44</w:t>
            </w:r>
          </w:p>
        </w:tc>
        <w:tc>
          <w:tcPr>
            <w:tcW w:w="1016" w:type="dxa"/>
            <w:tcBorders>
              <w:top w:val="nil"/>
              <w:left w:val="nil"/>
              <w:bottom w:val="nil"/>
              <w:right w:val="nil"/>
            </w:tcBorders>
            <w:shd w:val="clear" w:color="auto" w:fill="D9E2F3" w:themeFill="accent1" w:themeFillTint="33"/>
            <w:noWrap/>
            <w:hideMark/>
          </w:tcPr>
          <w:p w14:paraId="18E3A71D" w14:textId="53DC00B8"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DD1F05">
              <w:rPr>
                <w:rFonts w:ascii="Arial" w:eastAsia="Times New Roman" w:hAnsi="Arial" w:cs="Arial"/>
                <w:color w:val="000000"/>
                <w:sz w:val="18"/>
                <w:szCs w:val="18"/>
              </w:rPr>
              <w:t>4</w:t>
            </w:r>
            <w:r>
              <w:rPr>
                <w:rFonts w:ascii="Arial" w:eastAsia="Times New Roman" w:hAnsi="Arial" w:cs="Arial"/>
                <w:color w:val="000000"/>
                <w:sz w:val="18"/>
                <w:szCs w:val="18"/>
              </w:rPr>
              <w:t>.</w:t>
            </w:r>
            <w:r w:rsidR="00954A0D">
              <w:rPr>
                <w:rFonts w:ascii="Arial" w:eastAsia="Times New Roman" w:hAnsi="Arial" w:cs="Arial"/>
                <w:color w:val="000000"/>
                <w:sz w:val="18"/>
                <w:szCs w:val="18"/>
              </w:rPr>
              <w:t>18</w:t>
            </w:r>
          </w:p>
        </w:tc>
        <w:tc>
          <w:tcPr>
            <w:tcW w:w="812" w:type="dxa"/>
            <w:tcBorders>
              <w:top w:val="nil"/>
              <w:left w:val="nil"/>
              <w:bottom w:val="nil"/>
              <w:right w:val="nil"/>
            </w:tcBorders>
            <w:shd w:val="clear" w:color="auto" w:fill="D9E2F3" w:themeFill="accent1" w:themeFillTint="33"/>
            <w:noWrap/>
            <w:hideMark/>
          </w:tcPr>
          <w:p w14:paraId="708EAFBD" w14:textId="3250EDBF" w:rsidR="002C1A1F" w:rsidRPr="00AB662C"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954A0D">
              <w:rPr>
                <w:rFonts w:ascii="Arial" w:eastAsia="Times New Roman" w:hAnsi="Arial" w:cs="Arial"/>
                <w:color w:val="000000"/>
                <w:sz w:val="18"/>
                <w:szCs w:val="18"/>
              </w:rPr>
              <w:t>7</w:t>
            </w:r>
            <w:r w:rsidR="00F852BC">
              <w:rPr>
                <w:rFonts w:ascii="Arial" w:eastAsia="Times New Roman" w:hAnsi="Arial" w:cs="Arial"/>
                <w:color w:val="000000"/>
                <w:sz w:val="18"/>
                <w:szCs w:val="18"/>
              </w:rPr>
              <w:t>.</w:t>
            </w:r>
            <w:r w:rsidR="00954A0D">
              <w:rPr>
                <w:rFonts w:ascii="Arial" w:eastAsia="Times New Roman" w:hAnsi="Arial" w:cs="Arial"/>
                <w:color w:val="000000"/>
                <w:sz w:val="18"/>
                <w:szCs w:val="18"/>
              </w:rPr>
              <w:t>61</w:t>
            </w:r>
          </w:p>
        </w:tc>
        <w:tc>
          <w:tcPr>
            <w:tcW w:w="812" w:type="dxa"/>
            <w:tcBorders>
              <w:top w:val="nil"/>
              <w:left w:val="nil"/>
              <w:bottom w:val="nil"/>
              <w:right w:val="nil"/>
            </w:tcBorders>
            <w:shd w:val="clear" w:color="auto" w:fill="D9E2F3" w:themeFill="accent1" w:themeFillTint="33"/>
            <w:noWrap/>
            <w:hideMark/>
          </w:tcPr>
          <w:p w14:paraId="2CF8EC4F" w14:textId="2B42D810" w:rsidR="002C1A1F" w:rsidRPr="00AB662C" w:rsidRDefault="00F852BC"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r w:rsidR="00954A0D">
              <w:rPr>
                <w:rFonts w:ascii="Arial" w:eastAsia="Times New Roman" w:hAnsi="Arial" w:cs="Arial"/>
                <w:color w:val="000000"/>
                <w:sz w:val="18"/>
                <w:szCs w:val="18"/>
              </w:rPr>
              <w:t>43</w:t>
            </w:r>
          </w:p>
        </w:tc>
        <w:tc>
          <w:tcPr>
            <w:tcW w:w="1008" w:type="dxa"/>
            <w:tcBorders>
              <w:top w:val="nil"/>
              <w:left w:val="nil"/>
              <w:bottom w:val="nil"/>
              <w:right w:val="nil"/>
            </w:tcBorders>
            <w:shd w:val="clear" w:color="auto" w:fill="D9E2F3" w:themeFill="accent1" w:themeFillTint="33"/>
            <w:noWrap/>
            <w:hideMark/>
          </w:tcPr>
          <w:p w14:paraId="648E55E8" w14:textId="2D05CFE6"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D9E2F3" w:themeFill="accent1" w:themeFillTint="33"/>
            <w:noWrap/>
            <w:hideMark/>
          </w:tcPr>
          <w:p w14:paraId="4382A2DC" w14:textId="77777777"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Unlimited</w:t>
            </w:r>
          </w:p>
        </w:tc>
        <w:tc>
          <w:tcPr>
            <w:tcW w:w="1337" w:type="dxa"/>
            <w:tcBorders>
              <w:top w:val="nil"/>
              <w:left w:val="nil"/>
              <w:bottom w:val="nil"/>
              <w:right w:val="single" w:sz="8" w:space="0" w:color="auto"/>
            </w:tcBorders>
            <w:shd w:val="clear" w:color="auto" w:fill="D9E2F3" w:themeFill="accent1" w:themeFillTint="33"/>
            <w:hideMark/>
          </w:tcPr>
          <w:p w14:paraId="05AEBC40" w14:textId="5E1BB073"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w:t>
            </w:r>
            <w:r>
              <w:rPr>
                <w:rFonts w:ascii="Arial" w:eastAsia="Times New Roman" w:hAnsi="Arial" w:cs="Arial"/>
                <w:color w:val="000000"/>
                <w:sz w:val="18"/>
                <w:szCs w:val="18"/>
              </w:rPr>
              <w:t>T</w:t>
            </w:r>
            <w:r w:rsidRPr="00AB662C">
              <w:rPr>
                <w:rFonts w:ascii="Arial" w:eastAsia="Times New Roman" w:hAnsi="Arial" w:cs="Arial"/>
                <w:color w:val="000000"/>
                <w:sz w:val="18"/>
                <w:szCs w:val="18"/>
              </w:rPr>
              <w:t xml:space="preserve">riggers </w:t>
            </w:r>
          </w:p>
        </w:tc>
      </w:tr>
      <w:tr w:rsidR="00CF54DE" w:rsidRPr="00D97147" w14:paraId="0BC98945" w14:textId="77777777" w:rsidTr="00D447B2">
        <w:trPr>
          <w:trHeight w:val="522"/>
        </w:trPr>
        <w:tc>
          <w:tcPr>
            <w:tcW w:w="1218" w:type="dxa"/>
            <w:tcBorders>
              <w:top w:val="nil"/>
              <w:left w:val="single" w:sz="8" w:space="0" w:color="auto"/>
              <w:bottom w:val="nil"/>
              <w:right w:val="nil"/>
            </w:tcBorders>
            <w:shd w:val="clear" w:color="auto" w:fill="D9E2F3" w:themeFill="accent1" w:themeFillTint="33"/>
            <w:hideMark/>
          </w:tcPr>
          <w:p w14:paraId="7AC85FE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lastRenderedPageBreak/>
              <w:t>SO Utilities Admin</w:t>
            </w:r>
          </w:p>
        </w:tc>
        <w:tc>
          <w:tcPr>
            <w:tcW w:w="1448" w:type="dxa"/>
            <w:tcBorders>
              <w:top w:val="nil"/>
              <w:left w:val="nil"/>
              <w:bottom w:val="nil"/>
              <w:right w:val="nil"/>
            </w:tcBorders>
            <w:shd w:val="clear" w:color="auto" w:fill="D9E2F3" w:themeFill="accent1" w:themeFillTint="33"/>
            <w:hideMark/>
          </w:tcPr>
          <w:p w14:paraId="7414DB04"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532" w:type="dxa"/>
            <w:tcBorders>
              <w:top w:val="nil"/>
              <w:left w:val="nil"/>
              <w:bottom w:val="nil"/>
              <w:right w:val="nil"/>
            </w:tcBorders>
            <w:shd w:val="clear" w:color="auto" w:fill="D9E2F3" w:themeFill="accent1" w:themeFillTint="33"/>
            <w:hideMark/>
          </w:tcPr>
          <w:p w14:paraId="5F23131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192" w:type="dxa"/>
            <w:tcBorders>
              <w:top w:val="nil"/>
              <w:left w:val="nil"/>
              <w:bottom w:val="nil"/>
              <w:right w:val="nil"/>
            </w:tcBorders>
            <w:shd w:val="clear" w:color="auto" w:fill="D9E2F3" w:themeFill="accent1" w:themeFillTint="33"/>
            <w:hideMark/>
          </w:tcPr>
          <w:p w14:paraId="5F9FAC06"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A2</w:t>
            </w:r>
          </w:p>
        </w:tc>
        <w:tc>
          <w:tcPr>
            <w:tcW w:w="1117" w:type="dxa"/>
            <w:tcBorders>
              <w:top w:val="nil"/>
              <w:left w:val="nil"/>
              <w:bottom w:val="nil"/>
              <w:right w:val="nil"/>
            </w:tcBorders>
            <w:shd w:val="clear" w:color="auto" w:fill="D9E2F3" w:themeFill="accent1" w:themeFillTint="33"/>
            <w:hideMark/>
          </w:tcPr>
          <w:p w14:paraId="0B974025" w14:textId="2ECA20E1" w:rsidR="002C1A1F" w:rsidRPr="00AB662C" w:rsidRDefault="002C1A1F" w:rsidP="002C1A1F">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D9E2F3" w:themeFill="accent1" w:themeFillTint="33"/>
            <w:hideMark/>
          </w:tcPr>
          <w:p w14:paraId="44847660"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hideMark/>
          </w:tcPr>
          <w:p w14:paraId="28BE1DCA" w14:textId="11C24C73" w:rsidR="002C1A1F" w:rsidRPr="00AB662C" w:rsidRDefault="002C1A1F"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Pr="00AB662C">
              <w:rPr>
                <w:rFonts w:ascii="Arial" w:eastAsia="Times New Roman" w:hAnsi="Arial" w:cs="Arial"/>
                <w:b/>
                <w:bCs/>
                <w:color w:val="000000"/>
                <w:sz w:val="18"/>
                <w:szCs w:val="18"/>
              </w:rPr>
              <w:t>.</w:t>
            </w:r>
            <w:r>
              <w:rPr>
                <w:rFonts w:ascii="Arial" w:eastAsia="Times New Roman" w:hAnsi="Arial" w:cs="Arial"/>
                <w:b/>
                <w:bCs/>
                <w:color w:val="000000"/>
                <w:sz w:val="18"/>
                <w:szCs w:val="18"/>
              </w:rPr>
              <w:t>00</w:t>
            </w:r>
          </w:p>
        </w:tc>
        <w:tc>
          <w:tcPr>
            <w:tcW w:w="1016" w:type="dxa"/>
            <w:tcBorders>
              <w:top w:val="nil"/>
              <w:left w:val="nil"/>
              <w:bottom w:val="nil"/>
              <w:right w:val="nil"/>
            </w:tcBorders>
            <w:shd w:val="clear" w:color="auto" w:fill="D9E2F3" w:themeFill="accent1" w:themeFillTint="33"/>
            <w:noWrap/>
            <w:hideMark/>
          </w:tcPr>
          <w:p w14:paraId="20898ADA" w14:textId="35CEABBA" w:rsidR="002C1A1F" w:rsidRPr="00AB662C"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Pr="00AB662C">
              <w:rPr>
                <w:rFonts w:ascii="Arial" w:eastAsia="Times New Roman" w:hAnsi="Arial" w:cs="Arial"/>
                <w:color w:val="000000"/>
                <w:sz w:val="18"/>
                <w:szCs w:val="18"/>
              </w:rPr>
              <w:t>.</w:t>
            </w:r>
            <w:r>
              <w:rPr>
                <w:rFonts w:ascii="Arial" w:eastAsia="Times New Roman" w:hAnsi="Arial" w:cs="Arial"/>
                <w:color w:val="000000"/>
                <w:sz w:val="18"/>
                <w:szCs w:val="18"/>
              </w:rPr>
              <w:t>00</w:t>
            </w:r>
          </w:p>
        </w:tc>
        <w:tc>
          <w:tcPr>
            <w:tcW w:w="812" w:type="dxa"/>
            <w:tcBorders>
              <w:top w:val="nil"/>
              <w:left w:val="nil"/>
              <w:bottom w:val="nil"/>
              <w:right w:val="nil"/>
            </w:tcBorders>
            <w:shd w:val="clear" w:color="auto" w:fill="D9E2F3" w:themeFill="accent1" w:themeFillTint="33"/>
            <w:noWrap/>
            <w:hideMark/>
          </w:tcPr>
          <w:p w14:paraId="57A09713" w14:textId="0F6751D2" w:rsidR="002C1A1F" w:rsidRPr="00AB662C"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0.00</w:t>
            </w:r>
          </w:p>
        </w:tc>
        <w:tc>
          <w:tcPr>
            <w:tcW w:w="812" w:type="dxa"/>
            <w:tcBorders>
              <w:top w:val="nil"/>
              <w:left w:val="nil"/>
              <w:bottom w:val="nil"/>
              <w:right w:val="nil"/>
            </w:tcBorders>
            <w:shd w:val="clear" w:color="auto" w:fill="D9E2F3" w:themeFill="accent1" w:themeFillTint="33"/>
            <w:noWrap/>
            <w:hideMark/>
          </w:tcPr>
          <w:p w14:paraId="46D0917D" w14:textId="32F2542F" w:rsidR="002C1A1F" w:rsidRPr="00AB662C"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0.00</w:t>
            </w:r>
          </w:p>
        </w:tc>
        <w:tc>
          <w:tcPr>
            <w:tcW w:w="1008" w:type="dxa"/>
            <w:tcBorders>
              <w:top w:val="nil"/>
              <w:left w:val="nil"/>
              <w:bottom w:val="nil"/>
              <w:right w:val="nil"/>
            </w:tcBorders>
            <w:shd w:val="clear" w:color="auto" w:fill="D9E2F3" w:themeFill="accent1" w:themeFillTint="33"/>
            <w:noWrap/>
            <w:hideMark/>
          </w:tcPr>
          <w:p w14:paraId="4A6A3D3B" w14:textId="1167F9E6"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D9E2F3" w:themeFill="accent1" w:themeFillTint="33"/>
            <w:noWrap/>
            <w:hideMark/>
          </w:tcPr>
          <w:p w14:paraId="68BBCB96" w14:textId="5CEAA50D"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hideMark/>
          </w:tcPr>
          <w:p w14:paraId="077E1A74" w14:textId="62589CAF"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F852BC" w:rsidRPr="00D97147" w14:paraId="6A61D987" w14:textId="77777777" w:rsidTr="00D447B2">
        <w:trPr>
          <w:trHeight w:val="522"/>
        </w:trPr>
        <w:tc>
          <w:tcPr>
            <w:tcW w:w="1218" w:type="dxa"/>
            <w:tcBorders>
              <w:top w:val="nil"/>
              <w:left w:val="single" w:sz="8" w:space="0" w:color="auto"/>
              <w:bottom w:val="nil"/>
              <w:right w:val="nil"/>
            </w:tcBorders>
            <w:shd w:val="clear" w:color="auto" w:fill="auto"/>
            <w:hideMark/>
          </w:tcPr>
          <w:p w14:paraId="4DA3C739"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1F1EC787"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AEP Energy Partners Inc.</w:t>
            </w:r>
          </w:p>
        </w:tc>
        <w:tc>
          <w:tcPr>
            <w:tcW w:w="1532" w:type="dxa"/>
            <w:tcBorders>
              <w:top w:val="nil"/>
              <w:left w:val="nil"/>
              <w:bottom w:val="nil"/>
              <w:right w:val="nil"/>
            </w:tcBorders>
            <w:shd w:val="clear" w:color="auto" w:fill="auto"/>
            <w:hideMark/>
          </w:tcPr>
          <w:p w14:paraId="7AD93625"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American Electric Power Co, Inc.</w:t>
            </w:r>
          </w:p>
        </w:tc>
        <w:tc>
          <w:tcPr>
            <w:tcW w:w="1192" w:type="dxa"/>
            <w:tcBorders>
              <w:top w:val="nil"/>
              <w:left w:val="nil"/>
              <w:bottom w:val="nil"/>
              <w:right w:val="nil"/>
            </w:tcBorders>
            <w:shd w:val="clear" w:color="auto" w:fill="auto"/>
            <w:hideMark/>
          </w:tcPr>
          <w:p w14:paraId="79FF1ACE" w14:textId="7F87CF7C" w:rsidR="002C1A1F" w:rsidRPr="00AB662C" w:rsidRDefault="00D65776"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BBB+</w:t>
            </w:r>
            <w:r w:rsidR="002C1A1F" w:rsidRPr="00AB662C">
              <w:rPr>
                <w:rFonts w:ascii="Arial" w:eastAsia="Times New Roman" w:hAnsi="Arial" w:cs="Arial"/>
                <w:color w:val="000000"/>
                <w:sz w:val="18"/>
                <w:szCs w:val="18"/>
              </w:rPr>
              <w:t xml:space="preserve"> / Baa2</w:t>
            </w:r>
          </w:p>
        </w:tc>
        <w:tc>
          <w:tcPr>
            <w:tcW w:w="1117" w:type="dxa"/>
            <w:tcBorders>
              <w:top w:val="nil"/>
              <w:left w:val="nil"/>
              <w:bottom w:val="nil"/>
              <w:right w:val="nil"/>
            </w:tcBorders>
            <w:shd w:val="clear" w:color="auto" w:fill="auto"/>
            <w:hideMark/>
          </w:tcPr>
          <w:p w14:paraId="4AB44A4B" w14:textId="17A1DE5D"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2024</w:t>
            </w:r>
          </w:p>
        </w:tc>
        <w:tc>
          <w:tcPr>
            <w:tcW w:w="1196" w:type="dxa"/>
            <w:tcBorders>
              <w:top w:val="nil"/>
              <w:left w:val="nil"/>
              <w:bottom w:val="nil"/>
              <w:right w:val="nil"/>
            </w:tcBorders>
            <w:shd w:val="clear" w:color="auto" w:fill="auto"/>
            <w:hideMark/>
          </w:tcPr>
          <w:p w14:paraId="01930A06"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auto"/>
            <w:noWrap/>
            <w:hideMark/>
          </w:tcPr>
          <w:p w14:paraId="00F43571" w14:textId="435729FD" w:rsidR="002C1A1F" w:rsidRPr="00C823E2" w:rsidRDefault="002C1A1F" w:rsidP="002C1A1F">
            <w:pPr>
              <w:spacing w:after="0" w:line="240" w:lineRule="auto"/>
              <w:jc w:val="center"/>
              <w:rPr>
                <w:rFonts w:ascii="Arial" w:eastAsia="Times New Roman" w:hAnsi="Arial" w:cs="Arial"/>
                <w:b/>
                <w:bCs/>
                <w:color w:val="000000"/>
                <w:sz w:val="18"/>
                <w:szCs w:val="18"/>
              </w:rPr>
            </w:pPr>
            <w:r w:rsidRPr="00C823E2">
              <w:rPr>
                <w:rFonts w:ascii="Arial" w:eastAsia="Times New Roman" w:hAnsi="Arial" w:cs="Arial"/>
                <w:b/>
                <w:bCs/>
                <w:color w:val="000000"/>
                <w:sz w:val="18"/>
                <w:szCs w:val="18"/>
              </w:rPr>
              <w:t>0.</w:t>
            </w:r>
            <w:r w:rsidR="002F3B14">
              <w:rPr>
                <w:rFonts w:ascii="Arial" w:eastAsia="Times New Roman" w:hAnsi="Arial" w:cs="Arial"/>
                <w:b/>
                <w:bCs/>
                <w:color w:val="000000"/>
                <w:sz w:val="18"/>
                <w:szCs w:val="18"/>
              </w:rPr>
              <w:t>8</w:t>
            </w:r>
            <w:r>
              <w:rPr>
                <w:rFonts w:ascii="Arial" w:eastAsia="Times New Roman" w:hAnsi="Arial" w:cs="Arial"/>
                <w:b/>
                <w:bCs/>
                <w:color w:val="000000"/>
                <w:sz w:val="18"/>
                <w:szCs w:val="18"/>
              </w:rPr>
              <w:t>3</w:t>
            </w:r>
          </w:p>
        </w:tc>
        <w:tc>
          <w:tcPr>
            <w:tcW w:w="1016" w:type="dxa"/>
            <w:tcBorders>
              <w:top w:val="nil"/>
              <w:left w:val="nil"/>
              <w:bottom w:val="nil"/>
              <w:right w:val="nil"/>
            </w:tcBorders>
            <w:shd w:val="clear" w:color="auto" w:fill="auto"/>
            <w:noWrap/>
            <w:hideMark/>
          </w:tcPr>
          <w:p w14:paraId="33B2D870" w14:textId="27AD8501"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2F3B14">
              <w:rPr>
                <w:rFonts w:ascii="Arial" w:eastAsia="Times New Roman" w:hAnsi="Arial" w:cs="Arial"/>
                <w:color w:val="000000"/>
                <w:sz w:val="18"/>
                <w:szCs w:val="18"/>
              </w:rPr>
              <w:t>7</w:t>
            </w:r>
            <w:r w:rsidR="00954A0D">
              <w:rPr>
                <w:rFonts w:ascii="Arial" w:eastAsia="Times New Roman" w:hAnsi="Arial" w:cs="Arial"/>
                <w:color w:val="000000"/>
                <w:sz w:val="18"/>
                <w:szCs w:val="18"/>
              </w:rPr>
              <w:t>2</w:t>
            </w:r>
          </w:p>
        </w:tc>
        <w:tc>
          <w:tcPr>
            <w:tcW w:w="812" w:type="dxa"/>
            <w:tcBorders>
              <w:top w:val="nil"/>
              <w:left w:val="nil"/>
              <w:bottom w:val="nil"/>
              <w:right w:val="nil"/>
            </w:tcBorders>
            <w:shd w:val="clear" w:color="auto" w:fill="auto"/>
            <w:noWrap/>
            <w:hideMark/>
          </w:tcPr>
          <w:p w14:paraId="6F26225A" w14:textId="55DAFC00"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2F3B14">
              <w:rPr>
                <w:rFonts w:ascii="Arial" w:eastAsia="Times New Roman" w:hAnsi="Arial" w:cs="Arial"/>
                <w:color w:val="000000"/>
                <w:sz w:val="18"/>
                <w:szCs w:val="18"/>
              </w:rPr>
              <w:t>7</w:t>
            </w:r>
            <w:r w:rsidR="00954A0D">
              <w:rPr>
                <w:rFonts w:ascii="Arial" w:eastAsia="Times New Roman" w:hAnsi="Arial" w:cs="Arial"/>
                <w:color w:val="000000"/>
                <w:sz w:val="18"/>
                <w:szCs w:val="18"/>
              </w:rPr>
              <w:t>3</w:t>
            </w:r>
          </w:p>
        </w:tc>
        <w:tc>
          <w:tcPr>
            <w:tcW w:w="812" w:type="dxa"/>
            <w:tcBorders>
              <w:top w:val="nil"/>
              <w:left w:val="nil"/>
              <w:bottom w:val="nil"/>
              <w:right w:val="nil"/>
            </w:tcBorders>
            <w:shd w:val="clear" w:color="auto" w:fill="auto"/>
            <w:noWrap/>
            <w:hideMark/>
          </w:tcPr>
          <w:p w14:paraId="2500CA33" w14:textId="6F5D4289" w:rsidR="002C1A1F" w:rsidRPr="00AB662C" w:rsidRDefault="00DD1F05"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r w:rsidR="00F852BC">
              <w:rPr>
                <w:rFonts w:ascii="Arial" w:eastAsia="Times New Roman" w:hAnsi="Arial" w:cs="Arial"/>
                <w:color w:val="000000"/>
                <w:sz w:val="18"/>
                <w:szCs w:val="18"/>
              </w:rPr>
              <w:t>1</w:t>
            </w:r>
          </w:p>
        </w:tc>
        <w:tc>
          <w:tcPr>
            <w:tcW w:w="1008" w:type="dxa"/>
            <w:tcBorders>
              <w:top w:val="nil"/>
              <w:left w:val="nil"/>
              <w:bottom w:val="nil"/>
              <w:right w:val="nil"/>
            </w:tcBorders>
            <w:shd w:val="clear" w:color="auto" w:fill="auto"/>
            <w:noWrap/>
            <w:hideMark/>
          </w:tcPr>
          <w:p w14:paraId="2A59CD30" w14:textId="635C8B06" w:rsidR="002C1A1F" w:rsidRPr="00C823E2" w:rsidRDefault="002C1A1F" w:rsidP="002C1A1F">
            <w:pPr>
              <w:spacing w:after="0" w:line="240" w:lineRule="auto"/>
              <w:jc w:val="center"/>
              <w:rPr>
                <w:rFonts w:ascii="Arial" w:eastAsia="Times New Roman" w:hAnsi="Arial" w:cs="Arial"/>
                <w:b/>
                <w:bCs/>
                <w:color w:val="000000"/>
                <w:sz w:val="18"/>
                <w:szCs w:val="18"/>
              </w:rPr>
            </w:pPr>
            <w:r w:rsidRPr="00C823E2">
              <w:rPr>
                <w:rFonts w:ascii="Arial" w:eastAsia="Times New Roman" w:hAnsi="Arial" w:cs="Arial"/>
                <w:b/>
                <w:bCs/>
                <w:color w:val="000000"/>
                <w:sz w:val="18"/>
                <w:szCs w:val="18"/>
              </w:rPr>
              <w:t>0.50</w:t>
            </w:r>
          </w:p>
        </w:tc>
        <w:tc>
          <w:tcPr>
            <w:tcW w:w="1055" w:type="dxa"/>
            <w:tcBorders>
              <w:top w:val="nil"/>
              <w:left w:val="nil"/>
              <w:bottom w:val="nil"/>
              <w:right w:val="nil"/>
            </w:tcBorders>
            <w:shd w:val="clear" w:color="auto" w:fill="auto"/>
            <w:noWrap/>
            <w:hideMark/>
          </w:tcPr>
          <w:p w14:paraId="522168ED" w14:textId="704E5F03" w:rsidR="002C1A1F" w:rsidRPr="00AF2B81" w:rsidRDefault="002C1A1F" w:rsidP="002C1A1F">
            <w:pPr>
              <w:spacing w:after="0" w:line="240" w:lineRule="auto"/>
              <w:jc w:val="center"/>
              <w:rPr>
                <w:rFonts w:ascii="Arial" w:eastAsia="Times New Roman" w:hAnsi="Arial" w:cs="Arial"/>
                <w:color w:val="000000"/>
                <w:sz w:val="18"/>
                <w:szCs w:val="18"/>
              </w:rPr>
            </w:pPr>
            <w:r w:rsidRPr="00AF2B81">
              <w:rPr>
                <w:rFonts w:ascii="Arial" w:eastAsia="Times New Roman" w:hAnsi="Arial" w:cs="Arial"/>
                <w:color w:val="000000"/>
                <w:sz w:val="18"/>
                <w:szCs w:val="18"/>
              </w:rPr>
              <w:t>0.10</w:t>
            </w:r>
          </w:p>
        </w:tc>
        <w:tc>
          <w:tcPr>
            <w:tcW w:w="1337" w:type="dxa"/>
            <w:tcBorders>
              <w:top w:val="nil"/>
              <w:left w:val="nil"/>
              <w:bottom w:val="nil"/>
              <w:right w:val="single" w:sz="8" w:space="0" w:color="auto"/>
            </w:tcBorders>
            <w:shd w:val="clear" w:color="auto" w:fill="auto"/>
            <w:hideMark/>
          </w:tcPr>
          <w:p w14:paraId="66C338AB" w14:textId="0368B0F0"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Credit Assurance </w:t>
            </w:r>
          </w:p>
        </w:tc>
      </w:tr>
      <w:tr w:rsidR="00CF54DE" w:rsidRPr="00D97147" w14:paraId="4D3A3AA3" w14:textId="77777777" w:rsidTr="002C1A1F">
        <w:trPr>
          <w:trHeight w:val="522"/>
        </w:trPr>
        <w:tc>
          <w:tcPr>
            <w:tcW w:w="1218" w:type="dxa"/>
            <w:tcBorders>
              <w:top w:val="nil"/>
              <w:left w:val="single" w:sz="8" w:space="0" w:color="auto"/>
              <w:bottom w:val="nil"/>
              <w:right w:val="nil"/>
            </w:tcBorders>
            <w:shd w:val="clear" w:color="auto" w:fill="D9E2F3" w:themeFill="accent1" w:themeFillTint="33"/>
          </w:tcPr>
          <w:p w14:paraId="4C849658" w14:textId="06AC669C"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tcPr>
          <w:p w14:paraId="1588899C" w14:textId="2EBD20A6"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Constellation Energy Generation, LLC</w:t>
            </w:r>
          </w:p>
        </w:tc>
        <w:tc>
          <w:tcPr>
            <w:tcW w:w="1532" w:type="dxa"/>
            <w:tcBorders>
              <w:top w:val="nil"/>
              <w:left w:val="nil"/>
              <w:bottom w:val="nil"/>
              <w:right w:val="nil"/>
            </w:tcBorders>
            <w:shd w:val="clear" w:color="auto" w:fill="D9E2F3" w:themeFill="accent1" w:themeFillTint="33"/>
          </w:tcPr>
          <w:p w14:paraId="3213DEC5" w14:textId="27C76657"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Constellation Energy Generation, LLC</w:t>
            </w:r>
          </w:p>
        </w:tc>
        <w:tc>
          <w:tcPr>
            <w:tcW w:w="1192" w:type="dxa"/>
            <w:tcBorders>
              <w:top w:val="nil"/>
              <w:left w:val="nil"/>
              <w:bottom w:val="nil"/>
              <w:right w:val="nil"/>
            </w:tcBorders>
            <w:shd w:val="clear" w:color="auto" w:fill="D9E2F3" w:themeFill="accent1" w:themeFillTint="33"/>
          </w:tcPr>
          <w:p w14:paraId="3F55EEC7" w14:textId="7E191A70"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BBB+ / Baa</w:t>
            </w:r>
            <w:r w:rsidR="00D65776">
              <w:rPr>
                <w:rFonts w:ascii="Arial" w:eastAsia="Times New Roman" w:hAnsi="Arial" w:cs="Arial"/>
                <w:color w:val="000000"/>
                <w:sz w:val="18"/>
                <w:szCs w:val="18"/>
              </w:rPr>
              <w:t>1</w:t>
            </w:r>
          </w:p>
        </w:tc>
        <w:tc>
          <w:tcPr>
            <w:tcW w:w="1117" w:type="dxa"/>
            <w:tcBorders>
              <w:top w:val="nil"/>
              <w:left w:val="nil"/>
              <w:bottom w:val="nil"/>
              <w:right w:val="nil"/>
            </w:tcBorders>
            <w:shd w:val="clear" w:color="auto" w:fill="D9E2F3" w:themeFill="accent1" w:themeFillTint="33"/>
          </w:tcPr>
          <w:p w14:paraId="5EB61F82" w14:textId="3445D7B4"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D9E2F3" w:themeFill="accent1" w:themeFillTint="33"/>
          </w:tcPr>
          <w:p w14:paraId="0BE3A88E" w14:textId="0769A524" w:rsidR="002C1A1F" w:rsidRPr="00AB662C" w:rsidRDefault="002F3B14"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D9E2F3" w:themeFill="accent1" w:themeFillTint="33"/>
            <w:noWrap/>
          </w:tcPr>
          <w:p w14:paraId="37C5F966" w14:textId="435E0EA8" w:rsidR="002C1A1F" w:rsidRPr="00C823E2" w:rsidRDefault="002F3B14"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2.13</w:t>
            </w:r>
          </w:p>
        </w:tc>
        <w:tc>
          <w:tcPr>
            <w:tcW w:w="1016" w:type="dxa"/>
            <w:tcBorders>
              <w:top w:val="nil"/>
              <w:left w:val="nil"/>
              <w:bottom w:val="nil"/>
              <w:right w:val="nil"/>
            </w:tcBorders>
            <w:shd w:val="clear" w:color="auto" w:fill="D9E2F3" w:themeFill="accent1" w:themeFillTint="33"/>
            <w:noWrap/>
          </w:tcPr>
          <w:p w14:paraId="40FD7F2B" w14:textId="476CCCCE"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2.13</w:t>
            </w:r>
          </w:p>
        </w:tc>
        <w:tc>
          <w:tcPr>
            <w:tcW w:w="812" w:type="dxa"/>
            <w:tcBorders>
              <w:top w:val="nil"/>
              <w:left w:val="nil"/>
              <w:bottom w:val="nil"/>
              <w:right w:val="nil"/>
            </w:tcBorders>
            <w:shd w:val="clear" w:color="auto" w:fill="D9E2F3" w:themeFill="accent1" w:themeFillTint="33"/>
            <w:noWrap/>
          </w:tcPr>
          <w:p w14:paraId="5804688A" w14:textId="751B64B5" w:rsidR="002C1A1F" w:rsidRPr="00AB662C" w:rsidRDefault="00DD1F05"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2.0</w:t>
            </w:r>
            <w:r w:rsidR="00954A0D">
              <w:rPr>
                <w:rFonts w:ascii="Arial" w:eastAsia="Times New Roman" w:hAnsi="Arial" w:cs="Arial"/>
                <w:color w:val="000000"/>
                <w:sz w:val="18"/>
                <w:szCs w:val="18"/>
              </w:rPr>
              <w:t>5</w:t>
            </w:r>
          </w:p>
        </w:tc>
        <w:tc>
          <w:tcPr>
            <w:tcW w:w="812" w:type="dxa"/>
            <w:tcBorders>
              <w:top w:val="nil"/>
              <w:left w:val="nil"/>
              <w:bottom w:val="nil"/>
              <w:right w:val="nil"/>
            </w:tcBorders>
            <w:shd w:val="clear" w:color="auto" w:fill="D9E2F3" w:themeFill="accent1" w:themeFillTint="33"/>
            <w:noWrap/>
          </w:tcPr>
          <w:p w14:paraId="3C2B60C2" w14:textId="655DE373"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DD1F05">
              <w:rPr>
                <w:rFonts w:ascii="Arial" w:eastAsia="Times New Roman" w:hAnsi="Arial" w:cs="Arial"/>
                <w:color w:val="000000"/>
                <w:sz w:val="18"/>
                <w:szCs w:val="18"/>
              </w:rPr>
              <w:t>0</w:t>
            </w:r>
            <w:r w:rsidR="00CF54DE">
              <w:rPr>
                <w:rFonts w:ascii="Arial" w:eastAsia="Times New Roman" w:hAnsi="Arial" w:cs="Arial"/>
                <w:color w:val="000000"/>
                <w:sz w:val="18"/>
                <w:szCs w:val="18"/>
              </w:rPr>
              <w:t>8</w:t>
            </w:r>
            <w:r>
              <w:rPr>
                <w:rFonts w:ascii="Arial" w:eastAsia="Times New Roman" w:hAnsi="Arial" w:cs="Arial"/>
                <w:color w:val="000000"/>
                <w:sz w:val="18"/>
                <w:szCs w:val="18"/>
              </w:rPr>
              <w:t>)</w:t>
            </w:r>
          </w:p>
        </w:tc>
        <w:tc>
          <w:tcPr>
            <w:tcW w:w="1008" w:type="dxa"/>
            <w:tcBorders>
              <w:top w:val="nil"/>
              <w:left w:val="nil"/>
              <w:bottom w:val="nil"/>
              <w:right w:val="nil"/>
            </w:tcBorders>
            <w:shd w:val="clear" w:color="auto" w:fill="D9E2F3" w:themeFill="accent1" w:themeFillTint="33"/>
            <w:noWrap/>
          </w:tcPr>
          <w:p w14:paraId="672BB828" w14:textId="7E66DADC" w:rsidR="002C1A1F" w:rsidRPr="00C823E2" w:rsidRDefault="002F3B14"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D9E2F3" w:themeFill="accent1" w:themeFillTint="33"/>
            <w:noWrap/>
          </w:tcPr>
          <w:p w14:paraId="1344D3E4" w14:textId="036CCF9F" w:rsidR="002C1A1F" w:rsidRPr="00AF2B81"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1337" w:type="dxa"/>
            <w:tcBorders>
              <w:top w:val="nil"/>
              <w:left w:val="nil"/>
              <w:bottom w:val="nil"/>
              <w:right w:val="single" w:sz="8" w:space="0" w:color="auto"/>
            </w:tcBorders>
            <w:shd w:val="clear" w:color="auto" w:fill="D9E2F3" w:themeFill="accent1" w:themeFillTint="33"/>
          </w:tcPr>
          <w:p w14:paraId="528180E2" w14:textId="6896A812" w:rsidR="002C1A1F" w:rsidRPr="00AB662C" w:rsidRDefault="002F3B14"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Credit Assurance</w:t>
            </w:r>
          </w:p>
        </w:tc>
      </w:tr>
      <w:tr w:rsidR="00F852BC" w:rsidRPr="00D97147" w14:paraId="76A618AA" w14:textId="77777777" w:rsidTr="00D447B2">
        <w:trPr>
          <w:trHeight w:val="522"/>
        </w:trPr>
        <w:tc>
          <w:tcPr>
            <w:tcW w:w="1218" w:type="dxa"/>
            <w:tcBorders>
              <w:top w:val="nil"/>
              <w:left w:val="single" w:sz="8" w:space="0" w:color="auto"/>
              <w:bottom w:val="nil"/>
              <w:right w:val="nil"/>
            </w:tcBorders>
            <w:shd w:val="clear" w:color="auto" w:fill="auto"/>
            <w:hideMark/>
          </w:tcPr>
          <w:p w14:paraId="46E2EEFA"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0AF6CBF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Capital Group, Inc.</w:t>
            </w:r>
          </w:p>
        </w:tc>
        <w:tc>
          <w:tcPr>
            <w:tcW w:w="1532" w:type="dxa"/>
            <w:tcBorders>
              <w:top w:val="nil"/>
              <w:left w:val="nil"/>
              <w:bottom w:val="nil"/>
              <w:right w:val="nil"/>
            </w:tcBorders>
            <w:shd w:val="clear" w:color="auto" w:fill="auto"/>
            <w:hideMark/>
          </w:tcPr>
          <w:p w14:paraId="38FC29E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(PCG)</w:t>
            </w:r>
          </w:p>
        </w:tc>
        <w:tc>
          <w:tcPr>
            <w:tcW w:w="1192" w:type="dxa"/>
            <w:tcBorders>
              <w:top w:val="nil"/>
              <w:left w:val="nil"/>
              <w:bottom w:val="nil"/>
              <w:right w:val="nil"/>
            </w:tcBorders>
            <w:shd w:val="clear" w:color="auto" w:fill="auto"/>
            <w:hideMark/>
          </w:tcPr>
          <w:p w14:paraId="3CDFAAC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A1</w:t>
            </w:r>
          </w:p>
        </w:tc>
        <w:tc>
          <w:tcPr>
            <w:tcW w:w="1117" w:type="dxa"/>
            <w:tcBorders>
              <w:top w:val="nil"/>
              <w:left w:val="nil"/>
              <w:bottom w:val="nil"/>
              <w:right w:val="nil"/>
            </w:tcBorders>
            <w:shd w:val="clear" w:color="auto" w:fill="auto"/>
          </w:tcPr>
          <w:p w14:paraId="6BA8634C" w14:textId="37DC42E5" w:rsidR="002C1A1F" w:rsidRPr="00AB662C" w:rsidRDefault="002C1A1F" w:rsidP="002C1A1F">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auto"/>
            <w:hideMark/>
          </w:tcPr>
          <w:p w14:paraId="35F638DF"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auto"/>
            <w:noWrap/>
            <w:hideMark/>
          </w:tcPr>
          <w:p w14:paraId="41F089F8" w14:textId="30C7637E"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0.</w:t>
            </w:r>
            <w:r>
              <w:rPr>
                <w:rFonts w:ascii="Arial" w:eastAsia="Times New Roman" w:hAnsi="Arial" w:cs="Arial"/>
                <w:b/>
                <w:bCs/>
                <w:color w:val="000000"/>
                <w:sz w:val="18"/>
                <w:szCs w:val="18"/>
              </w:rPr>
              <w:t>00</w:t>
            </w:r>
          </w:p>
        </w:tc>
        <w:tc>
          <w:tcPr>
            <w:tcW w:w="1016" w:type="dxa"/>
            <w:tcBorders>
              <w:top w:val="nil"/>
              <w:left w:val="nil"/>
              <w:bottom w:val="nil"/>
              <w:right w:val="nil"/>
            </w:tcBorders>
            <w:shd w:val="clear" w:color="auto" w:fill="auto"/>
            <w:noWrap/>
            <w:hideMark/>
          </w:tcPr>
          <w:p w14:paraId="43E9C975" w14:textId="1F611163"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0.0</w:t>
            </w:r>
            <w:r>
              <w:rPr>
                <w:rFonts w:ascii="Arial" w:eastAsia="Times New Roman" w:hAnsi="Arial" w:cs="Arial"/>
                <w:color w:val="000000"/>
                <w:sz w:val="18"/>
                <w:szCs w:val="18"/>
              </w:rPr>
              <w:t>0</w:t>
            </w:r>
          </w:p>
        </w:tc>
        <w:tc>
          <w:tcPr>
            <w:tcW w:w="812" w:type="dxa"/>
            <w:tcBorders>
              <w:top w:val="nil"/>
              <w:left w:val="nil"/>
              <w:bottom w:val="nil"/>
              <w:right w:val="nil"/>
            </w:tcBorders>
            <w:shd w:val="clear" w:color="auto" w:fill="auto"/>
            <w:noWrap/>
            <w:hideMark/>
          </w:tcPr>
          <w:p w14:paraId="7AE26996" w14:textId="0E50CEA4"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Pr>
                <w:rFonts w:ascii="Arial" w:eastAsia="Times New Roman" w:hAnsi="Arial" w:cs="Arial"/>
                <w:color w:val="000000"/>
                <w:sz w:val="18"/>
                <w:szCs w:val="18"/>
              </w:rPr>
              <w:t>00</w:t>
            </w:r>
          </w:p>
        </w:tc>
        <w:tc>
          <w:tcPr>
            <w:tcW w:w="812" w:type="dxa"/>
            <w:tcBorders>
              <w:top w:val="nil"/>
              <w:left w:val="nil"/>
              <w:bottom w:val="nil"/>
              <w:right w:val="nil"/>
            </w:tcBorders>
            <w:shd w:val="clear" w:color="auto" w:fill="auto"/>
            <w:noWrap/>
            <w:hideMark/>
          </w:tcPr>
          <w:p w14:paraId="5AF9A8C2" w14:textId="345D3399"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Pr>
                <w:rFonts w:ascii="Arial" w:eastAsia="Times New Roman" w:hAnsi="Arial" w:cs="Arial"/>
                <w:color w:val="000000"/>
                <w:sz w:val="18"/>
                <w:szCs w:val="18"/>
              </w:rPr>
              <w:t>00</w:t>
            </w:r>
          </w:p>
        </w:tc>
        <w:tc>
          <w:tcPr>
            <w:tcW w:w="1008" w:type="dxa"/>
            <w:tcBorders>
              <w:top w:val="nil"/>
              <w:left w:val="nil"/>
              <w:bottom w:val="nil"/>
              <w:right w:val="nil"/>
            </w:tcBorders>
            <w:shd w:val="clear" w:color="auto" w:fill="auto"/>
            <w:noWrap/>
            <w:hideMark/>
          </w:tcPr>
          <w:p w14:paraId="36CC11B0" w14:textId="233E693C"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hideMark/>
          </w:tcPr>
          <w:p w14:paraId="4DCF6667" w14:textId="77777777"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Unlimited</w:t>
            </w:r>
          </w:p>
        </w:tc>
        <w:tc>
          <w:tcPr>
            <w:tcW w:w="1337" w:type="dxa"/>
            <w:tcBorders>
              <w:top w:val="nil"/>
              <w:left w:val="nil"/>
              <w:bottom w:val="nil"/>
              <w:right w:val="single" w:sz="8" w:space="0" w:color="auto"/>
            </w:tcBorders>
            <w:shd w:val="clear" w:color="auto" w:fill="auto"/>
            <w:hideMark/>
          </w:tcPr>
          <w:p w14:paraId="2898529D" w14:textId="674D0ADC"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CF54DE" w:rsidRPr="00D97147" w14:paraId="210EB0BE" w14:textId="77777777" w:rsidTr="002C1A1F">
        <w:trPr>
          <w:trHeight w:val="522"/>
        </w:trPr>
        <w:tc>
          <w:tcPr>
            <w:tcW w:w="1218" w:type="dxa"/>
            <w:tcBorders>
              <w:top w:val="nil"/>
              <w:left w:val="single" w:sz="8" w:space="0" w:color="auto"/>
              <w:bottom w:val="nil"/>
              <w:right w:val="nil"/>
            </w:tcBorders>
            <w:shd w:val="clear" w:color="auto" w:fill="D9E2F3" w:themeFill="accent1" w:themeFillTint="33"/>
            <w:hideMark/>
          </w:tcPr>
          <w:p w14:paraId="5D0D2479"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5C3D1364" w14:textId="0738580C"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TransAlta Energy Marketing (US) </w:t>
            </w:r>
          </w:p>
        </w:tc>
        <w:tc>
          <w:tcPr>
            <w:tcW w:w="1532" w:type="dxa"/>
            <w:tcBorders>
              <w:top w:val="nil"/>
              <w:left w:val="nil"/>
              <w:bottom w:val="nil"/>
              <w:right w:val="nil"/>
            </w:tcBorders>
            <w:shd w:val="clear" w:color="auto" w:fill="D9E2F3" w:themeFill="accent1" w:themeFillTint="33"/>
            <w:hideMark/>
          </w:tcPr>
          <w:p w14:paraId="2E1DD09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The Bank of Nova Scotia (LOC)</w:t>
            </w:r>
          </w:p>
        </w:tc>
        <w:tc>
          <w:tcPr>
            <w:tcW w:w="1192" w:type="dxa"/>
            <w:tcBorders>
              <w:top w:val="nil"/>
              <w:left w:val="nil"/>
              <w:bottom w:val="nil"/>
              <w:right w:val="nil"/>
            </w:tcBorders>
            <w:shd w:val="clear" w:color="auto" w:fill="D9E2F3" w:themeFill="accent1" w:themeFillTint="33"/>
            <w:hideMark/>
          </w:tcPr>
          <w:p w14:paraId="48D76AC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Aa2</w:t>
            </w:r>
          </w:p>
        </w:tc>
        <w:tc>
          <w:tcPr>
            <w:tcW w:w="1117" w:type="dxa"/>
            <w:tcBorders>
              <w:top w:val="nil"/>
              <w:left w:val="nil"/>
              <w:bottom w:val="nil"/>
              <w:right w:val="nil"/>
            </w:tcBorders>
            <w:shd w:val="clear" w:color="auto" w:fill="D9E2F3" w:themeFill="accent1" w:themeFillTint="33"/>
            <w:hideMark/>
          </w:tcPr>
          <w:p w14:paraId="0B28F452" w14:textId="36764638" w:rsidR="002C1A1F" w:rsidRPr="00AB662C" w:rsidRDefault="002C1A1F" w:rsidP="002C1A1F">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2024</w:t>
            </w:r>
          </w:p>
        </w:tc>
        <w:tc>
          <w:tcPr>
            <w:tcW w:w="1196" w:type="dxa"/>
            <w:tcBorders>
              <w:top w:val="nil"/>
              <w:left w:val="nil"/>
              <w:bottom w:val="nil"/>
              <w:right w:val="nil"/>
            </w:tcBorders>
            <w:shd w:val="clear" w:color="auto" w:fill="D9E2F3" w:themeFill="accent1" w:themeFillTint="33"/>
            <w:hideMark/>
          </w:tcPr>
          <w:p w14:paraId="3D31A9F5"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D9E2F3" w:themeFill="accent1" w:themeFillTint="33"/>
            <w:noWrap/>
            <w:hideMark/>
          </w:tcPr>
          <w:p w14:paraId="3551F060" w14:textId="7D5304B9" w:rsidR="002C1A1F" w:rsidRPr="00AB662C" w:rsidRDefault="002C1A1F"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1.45</w:t>
            </w:r>
          </w:p>
        </w:tc>
        <w:tc>
          <w:tcPr>
            <w:tcW w:w="1016" w:type="dxa"/>
            <w:tcBorders>
              <w:top w:val="nil"/>
              <w:left w:val="nil"/>
              <w:bottom w:val="nil"/>
              <w:right w:val="nil"/>
            </w:tcBorders>
            <w:shd w:val="clear" w:color="auto" w:fill="D9E2F3" w:themeFill="accent1" w:themeFillTint="33"/>
            <w:noWrap/>
            <w:hideMark/>
          </w:tcPr>
          <w:p w14:paraId="237F5A95" w14:textId="318F6EC9"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F852BC">
              <w:rPr>
                <w:rFonts w:ascii="Arial" w:eastAsia="Times New Roman" w:hAnsi="Arial" w:cs="Arial"/>
                <w:color w:val="000000"/>
                <w:sz w:val="18"/>
                <w:szCs w:val="18"/>
              </w:rPr>
              <w:t>1</w:t>
            </w:r>
            <w:r w:rsidR="00CF54DE">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67C2D972" w14:textId="392E2DF3"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F852BC">
              <w:rPr>
                <w:rFonts w:ascii="Arial" w:eastAsia="Times New Roman" w:hAnsi="Arial" w:cs="Arial"/>
                <w:color w:val="000000"/>
                <w:sz w:val="18"/>
                <w:szCs w:val="18"/>
              </w:rPr>
              <w:t>1</w:t>
            </w:r>
            <w:r w:rsidR="00CF54DE">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391CEA05" w14:textId="3678A410"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2F3B14">
              <w:rPr>
                <w:rFonts w:ascii="Arial" w:eastAsia="Times New Roman" w:hAnsi="Arial" w:cs="Arial"/>
                <w:color w:val="000000"/>
                <w:sz w:val="18"/>
                <w:szCs w:val="18"/>
              </w:rPr>
              <w:t>0</w:t>
            </w:r>
            <w:r w:rsidR="00CF54DE">
              <w:rPr>
                <w:rFonts w:ascii="Arial" w:eastAsia="Times New Roman" w:hAnsi="Arial" w:cs="Arial"/>
                <w:color w:val="000000"/>
                <w:sz w:val="18"/>
                <w:szCs w:val="18"/>
              </w:rPr>
              <w:t>0</w:t>
            </w:r>
          </w:p>
        </w:tc>
        <w:tc>
          <w:tcPr>
            <w:tcW w:w="1008" w:type="dxa"/>
            <w:tcBorders>
              <w:top w:val="nil"/>
              <w:left w:val="nil"/>
              <w:bottom w:val="nil"/>
              <w:right w:val="nil"/>
            </w:tcBorders>
            <w:shd w:val="clear" w:color="auto" w:fill="D9E2F3" w:themeFill="accent1" w:themeFillTint="33"/>
            <w:noWrap/>
            <w:hideMark/>
          </w:tcPr>
          <w:p w14:paraId="254A821B" w14:textId="3631AA66"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366E19CE" w14:textId="2A62CE0B"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0.025</w:t>
            </w:r>
          </w:p>
        </w:tc>
        <w:tc>
          <w:tcPr>
            <w:tcW w:w="1337" w:type="dxa"/>
            <w:tcBorders>
              <w:top w:val="nil"/>
              <w:left w:val="nil"/>
              <w:bottom w:val="nil"/>
              <w:right w:val="single" w:sz="8" w:space="0" w:color="auto"/>
            </w:tcBorders>
            <w:shd w:val="clear" w:color="auto" w:fill="D9E2F3" w:themeFill="accent1" w:themeFillTint="33"/>
            <w:hideMark/>
          </w:tcPr>
          <w:p w14:paraId="38E0BF11" w14:textId="11A68705"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w:t>
            </w:r>
          </w:p>
        </w:tc>
      </w:tr>
      <w:tr w:rsidR="00F852BC" w:rsidRPr="00D97147" w14:paraId="465B29E9" w14:textId="77777777" w:rsidTr="00D447B2">
        <w:trPr>
          <w:trHeight w:val="522"/>
        </w:trPr>
        <w:tc>
          <w:tcPr>
            <w:tcW w:w="1218" w:type="dxa"/>
            <w:tcBorders>
              <w:top w:val="nil"/>
              <w:left w:val="single" w:sz="8" w:space="0" w:color="auto"/>
              <w:bottom w:val="nil"/>
              <w:right w:val="nil"/>
            </w:tcBorders>
            <w:shd w:val="clear" w:color="auto" w:fill="auto"/>
            <w:hideMark/>
          </w:tcPr>
          <w:p w14:paraId="4B9F1A07"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auto"/>
            <w:hideMark/>
          </w:tcPr>
          <w:p w14:paraId="31B65071"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532" w:type="dxa"/>
            <w:tcBorders>
              <w:top w:val="nil"/>
              <w:left w:val="nil"/>
              <w:bottom w:val="nil"/>
              <w:right w:val="nil"/>
            </w:tcBorders>
            <w:shd w:val="clear" w:color="auto" w:fill="auto"/>
            <w:hideMark/>
          </w:tcPr>
          <w:p w14:paraId="3A38C6F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192" w:type="dxa"/>
            <w:tcBorders>
              <w:top w:val="nil"/>
              <w:left w:val="nil"/>
              <w:bottom w:val="nil"/>
              <w:right w:val="nil"/>
            </w:tcBorders>
            <w:shd w:val="clear" w:color="auto" w:fill="auto"/>
            <w:hideMark/>
          </w:tcPr>
          <w:p w14:paraId="2F367369"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A2</w:t>
            </w:r>
          </w:p>
        </w:tc>
        <w:tc>
          <w:tcPr>
            <w:tcW w:w="1117" w:type="dxa"/>
            <w:tcBorders>
              <w:top w:val="nil"/>
              <w:left w:val="nil"/>
              <w:bottom w:val="nil"/>
              <w:right w:val="nil"/>
            </w:tcBorders>
            <w:shd w:val="clear" w:color="auto" w:fill="auto"/>
            <w:hideMark/>
          </w:tcPr>
          <w:p w14:paraId="56F65005" w14:textId="6A5E533E"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Pr>
                <w:rFonts w:ascii="Arial" w:eastAsia="Times New Roman" w:hAnsi="Arial" w:cs="Arial"/>
                <w:color w:val="000000"/>
                <w:sz w:val="18"/>
                <w:szCs w:val="18"/>
              </w:rPr>
              <w:t>4-</w:t>
            </w:r>
            <w:r w:rsidRPr="00AB662C">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hideMark/>
          </w:tcPr>
          <w:p w14:paraId="4268B798"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auto"/>
            <w:noWrap/>
            <w:hideMark/>
          </w:tcPr>
          <w:p w14:paraId="46580BA6" w14:textId="636FE98E" w:rsidR="002C1A1F" w:rsidRPr="00AB662C" w:rsidRDefault="002F3B14"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1.62</w:t>
            </w:r>
          </w:p>
        </w:tc>
        <w:tc>
          <w:tcPr>
            <w:tcW w:w="1016" w:type="dxa"/>
            <w:tcBorders>
              <w:top w:val="nil"/>
              <w:left w:val="nil"/>
              <w:bottom w:val="nil"/>
              <w:right w:val="nil"/>
            </w:tcBorders>
            <w:shd w:val="clear" w:color="auto" w:fill="auto"/>
            <w:noWrap/>
            <w:hideMark/>
          </w:tcPr>
          <w:p w14:paraId="3AC3B972" w14:textId="637AAEFD" w:rsidR="002C1A1F" w:rsidRPr="00AB662C"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2F3B14">
              <w:rPr>
                <w:rFonts w:ascii="Arial" w:eastAsia="Times New Roman" w:hAnsi="Arial" w:cs="Arial"/>
                <w:color w:val="000000"/>
                <w:sz w:val="18"/>
                <w:szCs w:val="18"/>
              </w:rPr>
              <w:t>.</w:t>
            </w:r>
            <w:r w:rsidR="00F852BC">
              <w:rPr>
                <w:rFonts w:ascii="Arial" w:eastAsia="Times New Roman" w:hAnsi="Arial" w:cs="Arial"/>
                <w:color w:val="000000"/>
                <w:sz w:val="18"/>
                <w:szCs w:val="18"/>
              </w:rPr>
              <w:t>8</w:t>
            </w:r>
            <w:r w:rsidR="00CF54DE">
              <w:rPr>
                <w:rFonts w:ascii="Arial" w:eastAsia="Times New Roman" w:hAnsi="Arial" w:cs="Arial"/>
                <w:color w:val="000000"/>
                <w:sz w:val="18"/>
                <w:szCs w:val="18"/>
              </w:rPr>
              <w:t>1</w:t>
            </w:r>
          </w:p>
        </w:tc>
        <w:tc>
          <w:tcPr>
            <w:tcW w:w="812" w:type="dxa"/>
            <w:tcBorders>
              <w:top w:val="nil"/>
              <w:left w:val="nil"/>
              <w:bottom w:val="nil"/>
              <w:right w:val="nil"/>
            </w:tcBorders>
            <w:shd w:val="clear" w:color="auto" w:fill="auto"/>
            <w:noWrap/>
            <w:hideMark/>
          </w:tcPr>
          <w:p w14:paraId="01AE119A" w14:textId="0540ED55" w:rsidR="002C1A1F" w:rsidRPr="00AB662C"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2F3B14">
              <w:rPr>
                <w:rFonts w:ascii="Arial" w:eastAsia="Times New Roman" w:hAnsi="Arial" w:cs="Arial"/>
                <w:color w:val="000000"/>
                <w:sz w:val="18"/>
                <w:szCs w:val="18"/>
              </w:rPr>
              <w:t>.</w:t>
            </w:r>
            <w:r w:rsidR="00555351">
              <w:rPr>
                <w:rFonts w:ascii="Arial" w:eastAsia="Times New Roman" w:hAnsi="Arial" w:cs="Arial"/>
                <w:color w:val="000000"/>
                <w:sz w:val="18"/>
                <w:szCs w:val="18"/>
              </w:rPr>
              <w:t>8</w:t>
            </w:r>
            <w:r w:rsidR="00CF54DE">
              <w:rPr>
                <w:rFonts w:ascii="Arial" w:eastAsia="Times New Roman" w:hAnsi="Arial" w:cs="Arial"/>
                <w:color w:val="000000"/>
                <w:sz w:val="18"/>
                <w:szCs w:val="18"/>
              </w:rPr>
              <w:t>1</w:t>
            </w:r>
          </w:p>
        </w:tc>
        <w:tc>
          <w:tcPr>
            <w:tcW w:w="812" w:type="dxa"/>
            <w:tcBorders>
              <w:top w:val="nil"/>
              <w:left w:val="nil"/>
              <w:bottom w:val="nil"/>
              <w:right w:val="nil"/>
            </w:tcBorders>
            <w:shd w:val="clear" w:color="auto" w:fill="auto"/>
            <w:noWrap/>
            <w:hideMark/>
          </w:tcPr>
          <w:p w14:paraId="0DE5E37E" w14:textId="7277A79C" w:rsidR="002C1A1F" w:rsidRPr="00AB662C" w:rsidRDefault="002C1A1F" w:rsidP="002C1A1F">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Pr>
                <w:rFonts w:ascii="Arial" w:eastAsia="Times New Roman" w:hAnsi="Arial" w:cs="Arial"/>
                <w:color w:val="000000"/>
                <w:sz w:val="18"/>
                <w:szCs w:val="18"/>
              </w:rPr>
              <w:t>0</w:t>
            </w:r>
            <w:r w:rsidR="00CF54DE">
              <w:rPr>
                <w:rFonts w:ascii="Arial" w:eastAsia="Times New Roman" w:hAnsi="Arial" w:cs="Arial"/>
                <w:color w:val="000000"/>
                <w:sz w:val="18"/>
                <w:szCs w:val="18"/>
              </w:rPr>
              <w:t>0</w:t>
            </w:r>
          </w:p>
        </w:tc>
        <w:tc>
          <w:tcPr>
            <w:tcW w:w="1008" w:type="dxa"/>
            <w:tcBorders>
              <w:top w:val="nil"/>
              <w:left w:val="nil"/>
              <w:bottom w:val="nil"/>
              <w:right w:val="nil"/>
            </w:tcBorders>
            <w:shd w:val="clear" w:color="auto" w:fill="auto"/>
            <w:noWrap/>
            <w:hideMark/>
          </w:tcPr>
          <w:p w14:paraId="47550223" w14:textId="1F44A823"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hideMark/>
          </w:tcPr>
          <w:p w14:paraId="233FCD63" w14:textId="27F31863"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auto"/>
            <w:hideMark/>
          </w:tcPr>
          <w:p w14:paraId="61B70C2E" w14:textId="3C96904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CF54DE" w:rsidRPr="00D97147" w14:paraId="0EAA5C8D" w14:textId="77777777" w:rsidTr="002C1A1F">
        <w:trPr>
          <w:trHeight w:val="522"/>
        </w:trPr>
        <w:tc>
          <w:tcPr>
            <w:tcW w:w="1218" w:type="dxa"/>
            <w:tcBorders>
              <w:top w:val="nil"/>
              <w:left w:val="single" w:sz="8" w:space="0" w:color="auto"/>
              <w:bottom w:val="nil"/>
              <w:right w:val="nil"/>
            </w:tcBorders>
            <w:shd w:val="clear" w:color="auto" w:fill="D9E2F3" w:themeFill="accent1" w:themeFillTint="33"/>
            <w:hideMark/>
          </w:tcPr>
          <w:p w14:paraId="3263AA62"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w:t>
            </w:r>
          </w:p>
        </w:tc>
        <w:tc>
          <w:tcPr>
            <w:tcW w:w="1448" w:type="dxa"/>
            <w:tcBorders>
              <w:top w:val="nil"/>
              <w:left w:val="nil"/>
              <w:bottom w:val="nil"/>
              <w:right w:val="nil"/>
            </w:tcBorders>
            <w:shd w:val="clear" w:color="auto" w:fill="D9E2F3" w:themeFill="accent1" w:themeFillTint="33"/>
            <w:hideMark/>
          </w:tcPr>
          <w:p w14:paraId="348C4A2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Rail Splitter Wind Farm LLC</w:t>
            </w:r>
          </w:p>
        </w:tc>
        <w:tc>
          <w:tcPr>
            <w:tcW w:w="1532" w:type="dxa"/>
            <w:tcBorders>
              <w:top w:val="nil"/>
              <w:left w:val="nil"/>
              <w:bottom w:val="nil"/>
              <w:right w:val="nil"/>
            </w:tcBorders>
            <w:shd w:val="clear" w:color="auto" w:fill="D9E2F3" w:themeFill="accent1" w:themeFillTint="33"/>
            <w:hideMark/>
          </w:tcPr>
          <w:p w14:paraId="050621ED"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HSBC Bank USA, (LOC)</w:t>
            </w:r>
          </w:p>
        </w:tc>
        <w:tc>
          <w:tcPr>
            <w:tcW w:w="1192" w:type="dxa"/>
            <w:tcBorders>
              <w:top w:val="nil"/>
              <w:left w:val="nil"/>
              <w:bottom w:val="nil"/>
              <w:right w:val="nil"/>
            </w:tcBorders>
            <w:shd w:val="clear" w:color="auto" w:fill="D9E2F3" w:themeFill="accent1" w:themeFillTint="33"/>
            <w:hideMark/>
          </w:tcPr>
          <w:p w14:paraId="57502D74"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Aa3</w:t>
            </w:r>
          </w:p>
        </w:tc>
        <w:tc>
          <w:tcPr>
            <w:tcW w:w="1117" w:type="dxa"/>
            <w:tcBorders>
              <w:top w:val="nil"/>
              <w:left w:val="nil"/>
              <w:bottom w:val="nil"/>
              <w:right w:val="nil"/>
            </w:tcBorders>
            <w:shd w:val="clear" w:color="auto" w:fill="D9E2F3" w:themeFill="accent1" w:themeFillTint="33"/>
            <w:hideMark/>
          </w:tcPr>
          <w:p w14:paraId="39ECA95C" w14:textId="55827F04"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Pr>
                <w:rFonts w:ascii="Arial" w:eastAsia="Times New Roman" w:hAnsi="Arial" w:cs="Arial"/>
                <w:color w:val="000000"/>
                <w:sz w:val="18"/>
                <w:szCs w:val="18"/>
              </w:rPr>
              <w:t>4</w:t>
            </w:r>
            <w:r w:rsidRPr="00AB662C">
              <w:rPr>
                <w:rFonts w:ascii="Arial" w:eastAsia="Times New Roman" w:hAnsi="Arial" w:cs="Arial"/>
                <w:color w:val="000000"/>
                <w:sz w:val="18"/>
                <w:szCs w:val="18"/>
              </w:rPr>
              <w:t>-2027</w:t>
            </w:r>
          </w:p>
        </w:tc>
        <w:tc>
          <w:tcPr>
            <w:tcW w:w="1196" w:type="dxa"/>
            <w:tcBorders>
              <w:top w:val="nil"/>
              <w:left w:val="nil"/>
              <w:bottom w:val="nil"/>
              <w:right w:val="nil"/>
            </w:tcBorders>
            <w:shd w:val="clear" w:color="auto" w:fill="D9E2F3" w:themeFill="accent1" w:themeFillTint="33"/>
            <w:hideMark/>
          </w:tcPr>
          <w:p w14:paraId="472A0FA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nil"/>
              <w:right w:val="nil"/>
            </w:tcBorders>
            <w:shd w:val="clear" w:color="auto" w:fill="D9E2F3" w:themeFill="accent1" w:themeFillTint="33"/>
            <w:noWrap/>
            <w:hideMark/>
          </w:tcPr>
          <w:p w14:paraId="33A85736" w14:textId="43F7954A" w:rsidR="002C1A1F" w:rsidRPr="00AB662C" w:rsidRDefault="002C1A1F"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3.08</w:t>
            </w:r>
          </w:p>
        </w:tc>
        <w:tc>
          <w:tcPr>
            <w:tcW w:w="1016" w:type="dxa"/>
            <w:tcBorders>
              <w:top w:val="nil"/>
              <w:left w:val="nil"/>
              <w:bottom w:val="nil"/>
              <w:right w:val="nil"/>
            </w:tcBorders>
            <w:shd w:val="clear" w:color="auto" w:fill="D9E2F3" w:themeFill="accent1" w:themeFillTint="33"/>
            <w:noWrap/>
            <w:hideMark/>
          </w:tcPr>
          <w:p w14:paraId="5C2673A7" w14:textId="6233A6C8"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CF54DE">
              <w:rPr>
                <w:rFonts w:ascii="Arial" w:eastAsia="Times New Roman" w:hAnsi="Arial" w:cs="Arial"/>
                <w:color w:val="000000"/>
                <w:sz w:val="18"/>
                <w:szCs w:val="18"/>
              </w:rPr>
              <w:t>18</w:t>
            </w:r>
          </w:p>
        </w:tc>
        <w:tc>
          <w:tcPr>
            <w:tcW w:w="812" w:type="dxa"/>
            <w:tcBorders>
              <w:top w:val="nil"/>
              <w:left w:val="nil"/>
              <w:bottom w:val="nil"/>
              <w:right w:val="nil"/>
            </w:tcBorders>
            <w:shd w:val="clear" w:color="auto" w:fill="D9E2F3" w:themeFill="accent1" w:themeFillTint="33"/>
            <w:noWrap/>
            <w:hideMark/>
          </w:tcPr>
          <w:p w14:paraId="4A2FC0FB" w14:textId="5A9DD3C2" w:rsidR="002C1A1F" w:rsidRPr="00AB662C"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2F3B14">
              <w:rPr>
                <w:rFonts w:ascii="Arial" w:eastAsia="Times New Roman" w:hAnsi="Arial" w:cs="Arial"/>
                <w:color w:val="000000"/>
                <w:sz w:val="18"/>
                <w:szCs w:val="18"/>
              </w:rPr>
              <w:t>.</w:t>
            </w:r>
            <w:r w:rsidR="00CF54DE">
              <w:rPr>
                <w:rFonts w:ascii="Arial" w:eastAsia="Times New Roman" w:hAnsi="Arial" w:cs="Arial"/>
                <w:color w:val="000000"/>
                <w:sz w:val="18"/>
                <w:szCs w:val="18"/>
              </w:rPr>
              <w:t>47</w:t>
            </w:r>
          </w:p>
        </w:tc>
        <w:tc>
          <w:tcPr>
            <w:tcW w:w="812" w:type="dxa"/>
            <w:tcBorders>
              <w:top w:val="nil"/>
              <w:left w:val="nil"/>
              <w:bottom w:val="nil"/>
              <w:right w:val="nil"/>
            </w:tcBorders>
            <w:shd w:val="clear" w:color="auto" w:fill="D9E2F3" w:themeFill="accent1" w:themeFillTint="33"/>
            <w:noWrap/>
            <w:hideMark/>
          </w:tcPr>
          <w:p w14:paraId="250B4BEE" w14:textId="44085ED6" w:rsidR="002C1A1F" w:rsidRPr="00AB662C"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CF54DE">
              <w:rPr>
                <w:rFonts w:ascii="Arial" w:eastAsia="Times New Roman" w:hAnsi="Arial" w:cs="Arial"/>
                <w:color w:val="000000"/>
                <w:sz w:val="18"/>
                <w:szCs w:val="18"/>
              </w:rPr>
              <w:t>29</w:t>
            </w:r>
          </w:p>
        </w:tc>
        <w:tc>
          <w:tcPr>
            <w:tcW w:w="1008" w:type="dxa"/>
            <w:tcBorders>
              <w:top w:val="nil"/>
              <w:left w:val="nil"/>
              <w:bottom w:val="nil"/>
              <w:right w:val="nil"/>
            </w:tcBorders>
            <w:shd w:val="clear" w:color="auto" w:fill="D9E2F3" w:themeFill="accent1" w:themeFillTint="33"/>
            <w:noWrap/>
            <w:hideMark/>
          </w:tcPr>
          <w:p w14:paraId="3D6CAEC5" w14:textId="662F5168"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0D799615" w14:textId="4052E3AA"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337" w:type="dxa"/>
            <w:tcBorders>
              <w:top w:val="nil"/>
              <w:left w:val="nil"/>
              <w:bottom w:val="nil"/>
              <w:right w:val="single" w:sz="8" w:space="0" w:color="auto"/>
            </w:tcBorders>
            <w:shd w:val="clear" w:color="auto" w:fill="D9E2F3" w:themeFill="accent1" w:themeFillTint="33"/>
            <w:hideMark/>
          </w:tcPr>
          <w:p w14:paraId="0C7F674B" w14:textId="7729B5E0"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w:t>
            </w:r>
          </w:p>
        </w:tc>
      </w:tr>
      <w:tr w:rsidR="00F852BC" w:rsidRPr="00D97147" w14:paraId="52496F34" w14:textId="77777777" w:rsidTr="00D447B2">
        <w:trPr>
          <w:trHeight w:val="261"/>
        </w:trPr>
        <w:tc>
          <w:tcPr>
            <w:tcW w:w="1218" w:type="dxa"/>
            <w:tcBorders>
              <w:top w:val="nil"/>
              <w:left w:val="single" w:sz="8" w:space="0" w:color="auto"/>
              <w:bottom w:val="single" w:sz="4" w:space="0" w:color="auto"/>
              <w:right w:val="nil"/>
            </w:tcBorders>
            <w:shd w:val="clear" w:color="auto" w:fill="auto"/>
            <w:hideMark/>
          </w:tcPr>
          <w:p w14:paraId="38AD3875"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single" w:sz="4" w:space="0" w:color="auto"/>
              <w:right w:val="nil"/>
            </w:tcBorders>
            <w:shd w:val="clear" w:color="auto" w:fill="auto"/>
            <w:noWrap/>
            <w:hideMark/>
          </w:tcPr>
          <w:p w14:paraId="685BB2EC"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single" w:sz="4" w:space="0" w:color="auto"/>
              <w:right w:val="nil"/>
            </w:tcBorders>
            <w:shd w:val="clear" w:color="auto" w:fill="auto"/>
            <w:hideMark/>
          </w:tcPr>
          <w:p w14:paraId="20EC0072"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2" w:type="dxa"/>
            <w:tcBorders>
              <w:top w:val="nil"/>
              <w:left w:val="nil"/>
              <w:bottom w:val="single" w:sz="4" w:space="0" w:color="auto"/>
              <w:right w:val="nil"/>
            </w:tcBorders>
            <w:shd w:val="clear" w:color="auto" w:fill="auto"/>
            <w:hideMark/>
          </w:tcPr>
          <w:p w14:paraId="18D9E0C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single" w:sz="4" w:space="0" w:color="auto"/>
              <w:right w:val="nil"/>
            </w:tcBorders>
            <w:shd w:val="clear" w:color="auto" w:fill="auto"/>
            <w:hideMark/>
          </w:tcPr>
          <w:p w14:paraId="79919B3E"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single" w:sz="4" w:space="0" w:color="auto"/>
              <w:right w:val="nil"/>
            </w:tcBorders>
            <w:shd w:val="clear" w:color="auto" w:fill="auto"/>
            <w:hideMark/>
          </w:tcPr>
          <w:p w14:paraId="61FD8F02"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single" w:sz="4" w:space="0" w:color="auto"/>
              <w:left w:val="nil"/>
              <w:bottom w:val="single" w:sz="4" w:space="0" w:color="auto"/>
              <w:right w:val="nil"/>
            </w:tcBorders>
            <w:shd w:val="clear" w:color="auto" w:fill="auto"/>
            <w:noWrap/>
            <w:hideMark/>
          </w:tcPr>
          <w:p w14:paraId="576438BC" w14:textId="1D2E26CC" w:rsidR="002C1A1F" w:rsidRPr="00AB662C" w:rsidRDefault="00DD1F05"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4</w:t>
            </w:r>
            <w:r w:rsidR="00F852BC">
              <w:rPr>
                <w:rFonts w:ascii="Arial" w:eastAsia="Times New Roman" w:hAnsi="Arial" w:cs="Arial"/>
                <w:b/>
                <w:bCs/>
                <w:color w:val="000000"/>
                <w:sz w:val="18"/>
                <w:szCs w:val="18"/>
              </w:rPr>
              <w:t>4</w:t>
            </w:r>
            <w:r>
              <w:rPr>
                <w:rFonts w:ascii="Arial" w:eastAsia="Times New Roman" w:hAnsi="Arial" w:cs="Arial"/>
                <w:b/>
                <w:bCs/>
                <w:color w:val="000000"/>
                <w:sz w:val="18"/>
                <w:szCs w:val="18"/>
              </w:rPr>
              <w:t>.</w:t>
            </w:r>
            <w:r w:rsidR="00F852BC">
              <w:rPr>
                <w:rFonts w:ascii="Arial" w:eastAsia="Times New Roman" w:hAnsi="Arial" w:cs="Arial"/>
                <w:b/>
                <w:bCs/>
                <w:color w:val="000000"/>
                <w:sz w:val="18"/>
                <w:szCs w:val="18"/>
              </w:rPr>
              <w:t>70</w:t>
            </w:r>
          </w:p>
        </w:tc>
        <w:tc>
          <w:tcPr>
            <w:tcW w:w="1016" w:type="dxa"/>
            <w:tcBorders>
              <w:top w:val="single" w:sz="4" w:space="0" w:color="auto"/>
              <w:left w:val="nil"/>
              <w:bottom w:val="single" w:sz="4" w:space="0" w:color="auto"/>
              <w:right w:val="nil"/>
            </w:tcBorders>
            <w:shd w:val="clear" w:color="auto" w:fill="auto"/>
            <w:noWrap/>
            <w:hideMark/>
          </w:tcPr>
          <w:p w14:paraId="3AE16B8C" w14:textId="5E5F9076" w:rsidR="002C1A1F" w:rsidRPr="00AB662C" w:rsidRDefault="00B525EB"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w:t>
            </w:r>
            <w:r w:rsidR="00CF54DE">
              <w:rPr>
                <w:rFonts w:ascii="Arial" w:eastAsia="Times New Roman" w:hAnsi="Arial" w:cs="Arial"/>
                <w:b/>
                <w:bCs/>
                <w:color w:val="000000"/>
                <w:sz w:val="18"/>
                <w:szCs w:val="18"/>
              </w:rPr>
              <w:t>7</w:t>
            </w:r>
            <w:r w:rsidR="002C1A1F">
              <w:rPr>
                <w:rFonts w:ascii="Arial" w:eastAsia="Times New Roman" w:hAnsi="Arial" w:cs="Arial"/>
                <w:b/>
                <w:bCs/>
                <w:color w:val="000000"/>
                <w:sz w:val="18"/>
                <w:szCs w:val="18"/>
              </w:rPr>
              <w:t>.</w:t>
            </w:r>
            <w:r w:rsidR="00CF54DE">
              <w:rPr>
                <w:rFonts w:ascii="Arial" w:eastAsia="Times New Roman" w:hAnsi="Arial" w:cs="Arial"/>
                <w:b/>
                <w:bCs/>
                <w:color w:val="000000"/>
                <w:sz w:val="18"/>
                <w:szCs w:val="18"/>
              </w:rPr>
              <w:t>39</w:t>
            </w:r>
          </w:p>
        </w:tc>
        <w:tc>
          <w:tcPr>
            <w:tcW w:w="812" w:type="dxa"/>
            <w:tcBorders>
              <w:top w:val="single" w:sz="4" w:space="0" w:color="auto"/>
              <w:left w:val="nil"/>
              <w:bottom w:val="single" w:sz="4" w:space="0" w:color="auto"/>
              <w:right w:val="nil"/>
            </w:tcBorders>
            <w:shd w:val="clear" w:color="auto" w:fill="auto"/>
            <w:noWrap/>
            <w:hideMark/>
          </w:tcPr>
          <w:p w14:paraId="74E7BF3C" w14:textId="73C08657" w:rsidR="002C1A1F" w:rsidRPr="00AB662C" w:rsidRDefault="00F852BC"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3</w:t>
            </w:r>
            <w:r w:rsidR="00CF54DE">
              <w:rPr>
                <w:rFonts w:ascii="Arial" w:eastAsia="Times New Roman" w:hAnsi="Arial" w:cs="Arial"/>
                <w:b/>
                <w:bCs/>
                <w:color w:val="000000"/>
                <w:sz w:val="18"/>
                <w:szCs w:val="18"/>
              </w:rPr>
              <w:t>1</w:t>
            </w:r>
            <w:r>
              <w:rPr>
                <w:rFonts w:ascii="Arial" w:eastAsia="Times New Roman" w:hAnsi="Arial" w:cs="Arial"/>
                <w:b/>
                <w:bCs/>
                <w:color w:val="000000"/>
                <w:sz w:val="18"/>
                <w:szCs w:val="18"/>
              </w:rPr>
              <w:t>.</w:t>
            </w:r>
            <w:r w:rsidR="00CF54DE">
              <w:rPr>
                <w:rFonts w:ascii="Arial" w:eastAsia="Times New Roman" w:hAnsi="Arial" w:cs="Arial"/>
                <w:b/>
                <w:bCs/>
                <w:color w:val="000000"/>
                <w:sz w:val="18"/>
                <w:szCs w:val="18"/>
              </w:rPr>
              <w:t>50</w:t>
            </w:r>
          </w:p>
        </w:tc>
        <w:tc>
          <w:tcPr>
            <w:tcW w:w="812" w:type="dxa"/>
            <w:tcBorders>
              <w:top w:val="single" w:sz="4" w:space="0" w:color="auto"/>
              <w:left w:val="nil"/>
              <w:bottom w:val="single" w:sz="4" w:space="0" w:color="auto"/>
              <w:right w:val="nil"/>
            </w:tcBorders>
            <w:shd w:val="clear" w:color="auto" w:fill="auto"/>
            <w:noWrap/>
            <w:hideMark/>
          </w:tcPr>
          <w:p w14:paraId="79A057C8" w14:textId="248EB6B1" w:rsidR="002C1A1F" w:rsidRPr="00AB662C" w:rsidRDefault="00CF54DE"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4</w:t>
            </w:r>
            <w:r w:rsidR="00F852BC">
              <w:rPr>
                <w:rFonts w:ascii="Arial" w:eastAsia="Times New Roman" w:hAnsi="Arial" w:cs="Arial"/>
                <w:b/>
                <w:bCs/>
                <w:color w:val="000000"/>
                <w:sz w:val="18"/>
                <w:szCs w:val="18"/>
              </w:rPr>
              <w:t>.</w:t>
            </w:r>
            <w:r>
              <w:rPr>
                <w:rFonts w:ascii="Arial" w:eastAsia="Times New Roman" w:hAnsi="Arial" w:cs="Arial"/>
                <w:b/>
                <w:bCs/>
                <w:color w:val="000000"/>
                <w:sz w:val="18"/>
                <w:szCs w:val="18"/>
              </w:rPr>
              <w:t>11</w:t>
            </w:r>
          </w:p>
        </w:tc>
        <w:tc>
          <w:tcPr>
            <w:tcW w:w="1008" w:type="dxa"/>
            <w:tcBorders>
              <w:top w:val="single" w:sz="4" w:space="0" w:color="auto"/>
              <w:left w:val="nil"/>
              <w:bottom w:val="single" w:sz="4" w:space="0" w:color="auto"/>
              <w:right w:val="nil"/>
            </w:tcBorders>
            <w:shd w:val="clear" w:color="auto" w:fill="auto"/>
            <w:noWrap/>
            <w:hideMark/>
          </w:tcPr>
          <w:p w14:paraId="07A0A771" w14:textId="77777777" w:rsidR="002C1A1F" w:rsidRDefault="002C1A1F" w:rsidP="002C1A1F">
            <w:pPr>
              <w:spacing w:after="0" w:line="240" w:lineRule="auto"/>
              <w:jc w:val="center"/>
              <w:rPr>
                <w:rFonts w:ascii="Arial" w:eastAsia="Times New Roman" w:hAnsi="Arial" w:cs="Arial"/>
                <w:b/>
                <w:bCs/>
                <w:color w:val="000000"/>
                <w:sz w:val="18"/>
                <w:szCs w:val="18"/>
              </w:rPr>
            </w:pPr>
          </w:p>
          <w:p w14:paraId="0BFD4A1E" w14:textId="77777777" w:rsidR="002C1A1F" w:rsidRDefault="002C1A1F" w:rsidP="002C1A1F">
            <w:pPr>
              <w:spacing w:after="0" w:line="240" w:lineRule="auto"/>
              <w:jc w:val="center"/>
              <w:rPr>
                <w:rFonts w:ascii="Arial" w:eastAsia="Times New Roman" w:hAnsi="Arial" w:cs="Arial"/>
                <w:b/>
                <w:bCs/>
                <w:color w:val="000000"/>
                <w:sz w:val="18"/>
                <w:szCs w:val="18"/>
              </w:rPr>
            </w:pPr>
          </w:p>
          <w:p w14:paraId="17547E95" w14:textId="39444AFB"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single" w:sz="4" w:space="0" w:color="auto"/>
              <w:left w:val="nil"/>
              <w:bottom w:val="single" w:sz="4" w:space="0" w:color="auto"/>
              <w:right w:val="nil"/>
            </w:tcBorders>
            <w:shd w:val="clear" w:color="auto" w:fill="auto"/>
            <w:noWrap/>
            <w:hideMark/>
          </w:tcPr>
          <w:p w14:paraId="1F88D566" w14:textId="2CB58969"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single" w:sz="4" w:space="0" w:color="auto"/>
              <w:left w:val="nil"/>
              <w:bottom w:val="single" w:sz="4" w:space="0" w:color="auto"/>
              <w:right w:val="single" w:sz="8" w:space="0" w:color="auto"/>
            </w:tcBorders>
            <w:shd w:val="clear" w:color="auto" w:fill="auto"/>
            <w:noWrap/>
            <w:hideMark/>
          </w:tcPr>
          <w:p w14:paraId="12FFF629" w14:textId="448B2EB9" w:rsidR="002C1A1F" w:rsidRDefault="002C1A1F" w:rsidP="002C1A1F">
            <w:pPr>
              <w:spacing w:after="0" w:line="240" w:lineRule="auto"/>
              <w:rPr>
                <w:rFonts w:ascii="Arial" w:eastAsia="Times New Roman" w:hAnsi="Arial" w:cs="Arial"/>
                <w:b/>
                <w:bCs/>
                <w:color w:val="000000"/>
                <w:sz w:val="18"/>
                <w:szCs w:val="18"/>
              </w:rPr>
            </w:pPr>
          </w:p>
          <w:p w14:paraId="5F6F7787" w14:textId="25BB06C8" w:rsidR="002C1A1F" w:rsidRPr="00AB662C" w:rsidRDefault="002C1A1F" w:rsidP="002C1A1F">
            <w:pPr>
              <w:spacing w:after="0" w:line="240" w:lineRule="auto"/>
              <w:rPr>
                <w:rFonts w:ascii="Arial" w:eastAsia="Times New Roman" w:hAnsi="Arial" w:cs="Arial"/>
                <w:b/>
                <w:bCs/>
                <w:color w:val="000000"/>
                <w:sz w:val="18"/>
                <w:szCs w:val="18"/>
              </w:rPr>
            </w:pPr>
          </w:p>
        </w:tc>
      </w:tr>
      <w:tr w:rsidR="00CF54DE" w:rsidRPr="00D97147" w14:paraId="174D4098" w14:textId="77777777" w:rsidTr="002C1A1F">
        <w:trPr>
          <w:trHeight w:val="289"/>
        </w:trPr>
        <w:tc>
          <w:tcPr>
            <w:tcW w:w="1218" w:type="dxa"/>
            <w:tcBorders>
              <w:top w:val="single" w:sz="4" w:space="0" w:color="auto"/>
              <w:left w:val="single" w:sz="8" w:space="0" w:color="auto"/>
              <w:bottom w:val="nil"/>
              <w:right w:val="nil"/>
            </w:tcBorders>
            <w:shd w:val="clear" w:color="auto" w:fill="D9E2F3" w:themeFill="accent1" w:themeFillTint="33"/>
            <w:hideMark/>
          </w:tcPr>
          <w:p w14:paraId="2A1388C3" w14:textId="77777777" w:rsidR="002C1A1F" w:rsidRDefault="002C1A1F" w:rsidP="002C1A1F">
            <w:pPr>
              <w:spacing w:after="0" w:line="240" w:lineRule="auto"/>
              <w:rPr>
                <w:rFonts w:ascii="Arial" w:eastAsia="Times New Roman" w:hAnsi="Arial" w:cs="Arial"/>
                <w:b/>
                <w:bCs/>
                <w:color w:val="000000"/>
                <w:sz w:val="18"/>
                <w:szCs w:val="18"/>
              </w:rPr>
            </w:pPr>
          </w:p>
          <w:p w14:paraId="663BECB7" w14:textId="39A27FF4"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Solar PPAs</w:t>
            </w:r>
          </w:p>
        </w:tc>
        <w:tc>
          <w:tcPr>
            <w:tcW w:w="1448" w:type="dxa"/>
            <w:tcBorders>
              <w:top w:val="single" w:sz="4" w:space="0" w:color="auto"/>
              <w:left w:val="nil"/>
              <w:bottom w:val="nil"/>
              <w:right w:val="nil"/>
            </w:tcBorders>
            <w:shd w:val="clear" w:color="auto" w:fill="D9E2F3" w:themeFill="accent1" w:themeFillTint="33"/>
            <w:hideMark/>
          </w:tcPr>
          <w:p w14:paraId="23F5059E"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532" w:type="dxa"/>
            <w:tcBorders>
              <w:top w:val="single" w:sz="4" w:space="0" w:color="auto"/>
              <w:left w:val="nil"/>
              <w:bottom w:val="nil"/>
              <w:right w:val="nil"/>
            </w:tcBorders>
            <w:shd w:val="clear" w:color="auto" w:fill="D9E2F3" w:themeFill="accent1" w:themeFillTint="33"/>
            <w:hideMark/>
          </w:tcPr>
          <w:p w14:paraId="09E54FC6"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2" w:type="dxa"/>
            <w:tcBorders>
              <w:top w:val="single" w:sz="4" w:space="0" w:color="auto"/>
              <w:left w:val="nil"/>
              <w:bottom w:val="nil"/>
              <w:right w:val="nil"/>
            </w:tcBorders>
            <w:shd w:val="clear" w:color="auto" w:fill="D9E2F3" w:themeFill="accent1" w:themeFillTint="33"/>
            <w:hideMark/>
          </w:tcPr>
          <w:p w14:paraId="3D321C72"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single" w:sz="4" w:space="0" w:color="auto"/>
              <w:left w:val="nil"/>
              <w:bottom w:val="nil"/>
              <w:right w:val="nil"/>
            </w:tcBorders>
            <w:shd w:val="clear" w:color="auto" w:fill="D9E2F3" w:themeFill="accent1" w:themeFillTint="33"/>
            <w:hideMark/>
          </w:tcPr>
          <w:p w14:paraId="467A2020"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single" w:sz="4" w:space="0" w:color="auto"/>
              <w:left w:val="nil"/>
              <w:bottom w:val="nil"/>
              <w:right w:val="nil"/>
            </w:tcBorders>
            <w:shd w:val="clear" w:color="auto" w:fill="D9E2F3" w:themeFill="accent1" w:themeFillTint="33"/>
            <w:hideMark/>
          </w:tcPr>
          <w:p w14:paraId="562F35E1"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891" w:type="dxa"/>
            <w:tcBorders>
              <w:top w:val="single" w:sz="4" w:space="0" w:color="auto"/>
              <w:left w:val="nil"/>
              <w:bottom w:val="nil"/>
              <w:right w:val="nil"/>
            </w:tcBorders>
            <w:shd w:val="clear" w:color="auto" w:fill="D9E2F3" w:themeFill="accent1" w:themeFillTint="33"/>
            <w:noWrap/>
            <w:hideMark/>
          </w:tcPr>
          <w:p w14:paraId="6C32D2CD" w14:textId="0C30A84C"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16" w:type="dxa"/>
            <w:tcBorders>
              <w:top w:val="single" w:sz="4" w:space="0" w:color="auto"/>
              <w:left w:val="nil"/>
              <w:bottom w:val="nil"/>
              <w:right w:val="nil"/>
            </w:tcBorders>
            <w:shd w:val="clear" w:color="auto" w:fill="D9E2F3" w:themeFill="accent1" w:themeFillTint="33"/>
            <w:noWrap/>
            <w:hideMark/>
          </w:tcPr>
          <w:p w14:paraId="74CDE90C" w14:textId="4B65524B"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nil"/>
              <w:right w:val="nil"/>
            </w:tcBorders>
            <w:shd w:val="clear" w:color="auto" w:fill="D9E2F3" w:themeFill="accent1" w:themeFillTint="33"/>
            <w:noWrap/>
            <w:hideMark/>
          </w:tcPr>
          <w:p w14:paraId="1A7264D4" w14:textId="0912D639"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nil"/>
              <w:right w:val="nil"/>
            </w:tcBorders>
            <w:shd w:val="clear" w:color="auto" w:fill="D9E2F3" w:themeFill="accent1" w:themeFillTint="33"/>
            <w:noWrap/>
            <w:hideMark/>
          </w:tcPr>
          <w:p w14:paraId="3192C90C" w14:textId="32B10D6B"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08" w:type="dxa"/>
            <w:tcBorders>
              <w:top w:val="single" w:sz="4" w:space="0" w:color="auto"/>
              <w:left w:val="nil"/>
              <w:bottom w:val="nil"/>
              <w:right w:val="nil"/>
            </w:tcBorders>
            <w:shd w:val="clear" w:color="auto" w:fill="D9E2F3" w:themeFill="accent1" w:themeFillTint="33"/>
            <w:noWrap/>
            <w:hideMark/>
          </w:tcPr>
          <w:p w14:paraId="67379564" w14:textId="4D5C8B00"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single" w:sz="4" w:space="0" w:color="auto"/>
              <w:left w:val="nil"/>
              <w:bottom w:val="nil"/>
              <w:right w:val="nil"/>
            </w:tcBorders>
            <w:shd w:val="clear" w:color="auto" w:fill="D9E2F3" w:themeFill="accent1" w:themeFillTint="33"/>
            <w:noWrap/>
            <w:hideMark/>
          </w:tcPr>
          <w:p w14:paraId="5A6B1AD5" w14:textId="724D63A0"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59F140BC"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F852BC" w:rsidRPr="00D97147" w14:paraId="2B65CD06" w14:textId="77777777" w:rsidTr="00D447B2">
        <w:trPr>
          <w:trHeight w:val="546"/>
        </w:trPr>
        <w:tc>
          <w:tcPr>
            <w:tcW w:w="1218" w:type="dxa"/>
            <w:tcBorders>
              <w:top w:val="nil"/>
              <w:left w:val="single" w:sz="8" w:space="0" w:color="auto"/>
              <w:bottom w:val="nil"/>
              <w:right w:val="nil"/>
            </w:tcBorders>
            <w:shd w:val="clear" w:color="auto" w:fill="auto"/>
            <w:hideMark/>
          </w:tcPr>
          <w:p w14:paraId="09B3C7F6"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UIUC Energy Services - SF1</w:t>
            </w:r>
          </w:p>
        </w:tc>
        <w:tc>
          <w:tcPr>
            <w:tcW w:w="1448" w:type="dxa"/>
            <w:tcBorders>
              <w:top w:val="nil"/>
              <w:left w:val="nil"/>
              <w:bottom w:val="nil"/>
              <w:right w:val="nil"/>
            </w:tcBorders>
            <w:shd w:val="clear" w:color="auto" w:fill="auto"/>
            <w:hideMark/>
          </w:tcPr>
          <w:p w14:paraId="510AD972" w14:textId="76D76ED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Phoenix Solar South Farms</w:t>
            </w:r>
            <w:r w:rsidRPr="00AB662C">
              <w:rPr>
                <w:rFonts w:ascii="Arial" w:eastAsia="Times New Roman" w:hAnsi="Arial" w:cs="Arial"/>
                <w:color w:val="000000"/>
                <w:sz w:val="18"/>
                <w:szCs w:val="18"/>
                <w:vertAlign w:val="superscript"/>
              </w:rPr>
              <w:t xml:space="preserve"> (2)</w:t>
            </w:r>
          </w:p>
        </w:tc>
        <w:tc>
          <w:tcPr>
            <w:tcW w:w="1532" w:type="dxa"/>
            <w:tcBorders>
              <w:top w:val="nil"/>
              <w:left w:val="nil"/>
              <w:bottom w:val="nil"/>
              <w:right w:val="nil"/>
            </w:tcBorders>
            <w:shd w:val="clear" w:color="auto" w:fill="auto"/>
            <w:hideMark/>
          </w:tcPr>
          <w:p w14:paraId="2844C348" w14:textId="77777777" w:rsidR="002C1A1F" w:rsidRPr="00AB662C" w:rsidRDefault="002C1A1F" w:rsidP="002C1A1F">
            <w:pPr>
              <w:spacing w:after="0" w:line="240" w:lineRule="auto"/>
              <w:rPr>
                <w:rFonts w:ascii="Arial" w:eastAsia="Times New Roman" w:hAnsi="Arial" w:cs="Arial"/>
                <w:color w:val="000000"/>
                <w:sz w:val="18"/>
                <w:szCs w:val="18"/>
              </w:rPr>
            </w:pPr>
          </w:p>
        </w:tc>
        <w:tc>
          <w:tcPr>
            <w:tcW w:w="1192" w:type="dxa"/>
            <w:tcBorders>
              <w:top w:val="nil"/>
              <w:left w:val="nil"/>
              <w:bottom w:val="nil"/>
              <w:right w:val="nil"/>
            </w:tcBorders>
            <w:shd w:val="clear" w:color="auto" w:fill="auto"/>
            <w:hideMark/>
          </w:tcPr>
          <w:p w14:paraId="710464F7" w14:textId="77777777" w:rsidR="002C1A1F" w:rsidRPr="00AB662C" w:rsidRDefault="002C1A1F" w:rsidP="002C1A1F">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auto"/>
            <w:hideMark/>
          </w:tcPr>
          <w:p w14:paraId="50A24054"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12/20/2025</w:t>
            </w:r>
          </w:p>
        </w:tc>
        <w:tc>
          <w:tcPr>
            <w:tcW w:w="1196" w:type="dxa"/>
            <w:tcBorders>
              <w:top w:val="nil"/>
              <w:left w:val="nil"/>
              <w:bottom w:val="nil"/>
              <w:right w:val="nil"/>
            </w:tcBorders>
            <w:shd w:val="clear" w:color="auto" w:fill="auto"/>
            <w:hideMark/>
          </w:tcPr>
          <w:p w14:paraId="7B8AC63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nil"/>
              <w:right w:val="nil"/>
            </w:tcBorders>
            <w:shd w:val="clear" w:color="auto" w:fill="auto"/>
            <w:noWrap/>
            <w:hideMark/>
          </w:tcPr>
          <w:p w14:paraId="15E3BEF8" w14:textId="41B51E30"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13.76</w:t>
            </w:r>
          </w:p>
        </w:tc>
        <w:tc>
          <w:tcPr>
            <w:tcW w:w="1016" w:type="dxa"/>
            <w:tcBorders>
              <w:top w:val="nil"/>
              <w:left w:val="nil"/>
              <w:bottom w:val="nil"/>
              <w:right w:val="nil"/>
            </w:tcBorders>
            <w:shd w:val="clear" w:color="auto" w:fill="auto"/>
            <w:noWrap/>
            <w:hideMark/>
          </w:tcPr>
          <w:p w14:paraId="5D21FB8C" w14:textId="0CD4DB23" w:rsidR="002C1A1F" w:rsidRPr="00AB662C" w:rsidRDefault="002F3B14"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CF54DE">
              <w:rPr>
                <w:rFonts w:ascii="Arial" w:eastAsia="Times New Roman" w:hAnsi="Arial" w:cs="Arial"/>
                <w:color w:val="000000"/>
                <w:sz w:val="18"/>
                <w:szCs w:val="18"/>
              </w:rPr>
              <w:t>30</w:t>
            </w:r>
          </w:p>
        </w:tc>
        <w:tc>
          <w:tcPr>
            <w:tcW w:w="812" w:type="dxa"/>
            <w:tcBorders>
              <w:top w:val="nil"/>
              <w:left w:val="nil"/>
              <w:bottom w:val="nil"/>
              <w:right w:val="nil"/>
            </w:tcBorders>
            <w:shd w:val="clear" w:color="auto" w:fill="auto"/>
            <w:noWrap/>
            <w:hideMark/>
          </w:tcPr>
          <w:p w14:paraId="7BBC0053" w14:textId="77777777" w:rsidR="002C1A1F" w:rsidRPr="00AB662C" w:rsidRDefault="002C1A1F" w:rsidP="002C1A1F">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noWrap/>
            <w:hideMark/>
          </w:tcPr>
          <w:p w14:paraId="76656184" w14:textId="377C702C" w:rsidR="002C1A1F" w:rsidRPr="00A5119B" w:rsidRDefault="002C1A1F" w:rsidP="002C1A1F">
            <w:pPr>
              <w:spacing w:after="0" w:line="240" w:lineRule="auto"/>
              <w:jc w:val="center"/>
              <w:rPr>
                <w:rFonts w:ascii="Arial" w:eastAsia="Times New Roman" w:hAnsi="Arial" w:cs="Arial"/>
                <w:color w:val="000000" w:themeColor="text1"/>
                <w:sz w:val="18"/>
                <w:szCs w:val="18"/>
              </w:rPr>
            </w:pPr>
            <w:r w:rsidRPr="00A5119B">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3</w:t>
            </w:r>
            <w:r w:rsidRPr="00A5119B">
              <w:rPr>
                <w:rFonts w:ascii="Arial" w:eastAsia="Times New Roman" w:hAnsi="Arial" w:cs="Arial"/>
                <w:color w:val="000000" w:themeColor="text1"/>
                <w:sz w:val="18"/>
                <w:szCs w:val="18"/>
              </w:rPr>
              <w:t>.</w:t>
            </w:r>
            <w:r w:rsidR="00DD1F05">
              <w:rPr>
                <w:rFonts w:ascii="Arial" w:eastAsia="Times New Roman" w:hAnsi="Arial" w:cs="Arial"/>
                <w:color w:val="000000" w:themeColor="text1"/>
                <w:sz w:val="18"/>
                <w:szCs w:val="18"/>
              </w:rPr>
              <w:t>5</w:t>
            </w:r>
            <w:r w:rsidR="00CF54DE">
              <w:rPr>
                <w:rFonts w:ascii="Arial" w:eastAsia="Times New Roman" w:hAnsi="Arial" w:cs="Arial"/>
                <w:color w:val="000000" w:themeColor="text1"/>
                <w:sz w:val="18"/>
                <w:szCs w:val="18"/>
              </w:rPr>
              <w:t>3</w:t>
            </w:r>
            <w:r w:rsidRPr="00A5119B">
              <w:rPr>
                <w:rFonts w:ascii="Arial" w:eastAsia="Times New Roman" w:hAnsi="Arial" w:cs="Arial"/>
                <w:color w:val="000000" w:themeColor="text1"/>
                <w:sz w:val="18"/>
                <w:szCs w:val="18"/>
              </w:rPr>
              <w:t>)</w:t>
            </w:r>
          </w:p>
        </w:tc>
        <w:tc>
          <w:tcPr>
            <w:tcW w:w="1008" w:type="dxa"/>
            <w:tcBorders>
              <w:top w:val="nil"/>
              <w:left w:val="nil"/>
              <w:bottom w:val="nil"/>
              <w:right w:val="nil"/>
            </w:tcBorders>
            <w:shd w:val="clear" w:color="auto" w:fill="auto"/>
            <w:noWrap/>
            <w:hideMark/>
          </w:tcPr>
          <w:p w14:paraId="2A5AFE6A" w14:textId="77777777" w:rsidR="002C1A1F" w:rsidRPr="00AB662C" w:rsidRDefault="002C1A1F" w:rsidP="002C1A1F">
            <w:pPr>
              <w:spacing w:after="0" w:line="240" w:lineRule="auto"/>
              <w:jc w:val="center"/>
              <w:rPr>
                <w:rFonts w:ascii="Arial" w:eastAsia="Times New Roman" w:hAnsi="Arial" w:cs="Arial"/>
                <w:color w:val="000000"/>
                <w:sz w:val="18"/>
                <w:szCs w:val="18"/>
              </w:rPr>
            </w:pPr>
          </w:p>
        </w:tc>
        <w:tc>
          <w:tcPr>
            <w:tcW w:w="1055" w:type="dxa"/>
            <w:tcBorders>
              <w:top w:val="nil"/>
              <w:left w:val="nil"/>
              <w:bottom w:val="nil"/>
              <w:right w:val="nil"/>
            </w:tcBorders>
            <w:shd w:val="clear" w:color="auto" w:fill="auto"/>
            <w:noWrap/>
            <w:hideMark/>
          </w:tcPr>
          <w:p w14:paraId="7FDEECEA" w14:textId="77777777" w:rsidR="002C1A1F" w:rsidRPr="00AB662C" w:rsidRDefault="002C1A1F" w:rsidP="002C1A1F">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auto"/>
            <w:noWrap/>
            <w:hideMark/>
          </w:tcPr>
          <w:p w14:paraId="2633C6FE"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F54DE" w:rsidRPr="00D97147" w14:paraId="708E248C" w14:textId="77777777" w:rsidTr="002C1A1F">
        <w:trPr>
          <w:trHeight w:val="1036"/>
        </w:trPr>
        <w:tc>
          <w:tcPr>
            <w:tcW w:w="1218" w:type="dxa"/>
            <w:tcBorders>
              <w:top w:val="nil"/>
              <w:left w:val="single" w:sz="8" w:space="0" w:color="auto"/>
              <w:bottom w:val="nil"/>
              <w:right w:val="nil"/>
            </w:tcBorders>
            <w:shd w:val="clear" w:color="auto" w:fill="D9E2F3" w:themeFill="accent1" w:themeFillTint="33"/>
            <w:hideMark/>
          </w:tcPr>
          <w:p w14:paraId="7B773558"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SO Utilities Admin - SF2</w:t>
            </w:r>
          </w:p>
        </w:tc>
        <w:tc>
          <w:tcPr>
            <w:tcW w:w="1448" w:type="dxa"/>
            <w:tcBorders>
              <w:top w:val="nil"/>
              <w:left w:val="nil"/>
              <w:bottom w:val="nil"/>
              <w:right w:val="nil"/>
            </w:tcBorders>
            <w:shd w:val="clear" w:color="auto" w:fill="D9E2F3" w:themeFill="accent1" w:themeFillTint="33"/>
            <w:hideMark/>
          </w:tcPr>
          <w:p w14:paraId="27466CD4"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Northern Cardinal Solar SCS IL 1, LLC </w:t>
            </w:r>
            <w:r w:rsidRPr="00AB662C">
              <w:rPr>
                <w:rFonts w:ascii="Arial" w:eastAsia="Times New Roman" w:hAnsi="Arial" w:cs="Arial"/>
                <w:color w:val="000000"/>
                <w:sz w:val="18"/>
                <w:szCs w:val="18"/>
                <w:vertAlign w:val="superscript"/>
              </w:rPr>
              <w:t>(4)</w:t>
            </w:r>
          </w:p>
        </w:tc>
        <w:tc>
          <w:tcPr>
            <w:tcW w:w="1532" w:type="dxa"/>
            <w:tcBorders>
              <w:top w:val="nil"/>
              <w:left w:val="nil"/>
              <w:bottom w:val="nil"/>
              <w:right w:val="nil"/>
            </w:tcBorders>
            <w:shd w:val="clear" w:color="auto" w:fill="D9E2F3" w:themeFill="accent1" w:themeFillTint="33"/>
            <w:hideMark/>
          </w:tcPr>
          <w:p w14:paraId="53C9BE3B"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Commonwealth Bank of Australia (LOC)</w:t>
            </w:r>
            <w:r w:rsidRPr="00AB662C">
              <w:rPr>
                <w:rFonts w:ascii="Arial" w:eastAsia="Times New Roman" w:hAnsi="Arial" w:cs="Arial"/>
                <w:color w:val="000000"/>
                <w:sz w:val="18"/>
                <w:szCs w:val="18"/>
              </w:rPr>
              <w:br/>
              <w:t>CD Clean Energy and Infrastructure (PCG)</w:t>
            </w:r>
          </w:p>
        </w:tc>
        <w:tc>
          <w:tcPr>
            <w:tcW w:w="1192" w:type="dxa"/>
            <w:tcBorders>
              <w:top w:val="nil"/>
              <w:left w:val="nil"/>
              <w:bottom w:val="nil"/>
              <w:right w:val="nil"/>
            </w:tcBorders>
            <w:shd w:val="clear" w:color="auto" w:fill="D9E2F3" w:themeFill="accent1" w:themeFillTint="33"/>
            <w:hideMark/>
          </w:tcPr>
          <w:p w14:paraId="7D93C6A1" w14:textId="2340535F"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AA- / Aa</w:t>
            </w:r>
            <w:r w:rsidR="00727267">
              <w:rPr>
                <w:rFonts w:ascii="Arial" w:eastAsia="Times New Roman" w:hAnsi="Arial" w:cs="Arial"/>
                <w:color w:val="000000"/>
                <w:sz w:val="18"/>
                <w:szCs w:val="18"/>
              </w:rPr>
              <w:t>1</w:t>
            </w:r>
            <w:r w:rsidRPr="00AB662C">
              <w:rPr>
                <w:rFonts w:ascii="Arial" w:eastAsia="Times New Roman" w:hAnsi="Arial" w:cs="Arial"/>
                <w:color w:val="000000"/>
                <w:sz w:val="18"/>
                <w:szCs w:val="18"/>
              </w:rPr>
              <w:br/>
            </w:r>
            <w:r w:rsidRPr="00AB662C">
              <w:rPr>
                <w:rFonts w:ascii="Arial" w:eastAsia="Times New Roman" w:hAnsi="Arial" w:cs="Arial"/>
                <w:color w:val="000000"/>
                <w:sz w:val="18"/>
                <w:szCs w:val="18"/>
              </w:rPr>
              <w:br/>
              <w:t>NR   NR</w:t>
            </w:r>
          </w:p>
        </w:tc>
        <w:tc>
          <w:tcPr>
            <w:tcW w:w="1117" w:type="dxa"/>
            <w:tcBorders>
              <w:top w:val="nil"/>
              <w:left w:val="nil"/>
              <w:bottom w:val="nil"/>
              <w:right w:val="nil"/>
            </w:tcBorders>
            <w:shd w:val="clear" w:color="auto" w:fill="D9E2F3" w:themeFill="accent1" w:themeFillTint="33"/>
            <w:hideMark/>
          </w:tcPr>
          <w:p w14:paraId="29380F97"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2/2021 - 2/2041</w:t>
            </w:r>
          </w:p>
        </w:tc>
        <w:tc>
          <w:tcPr>
            <w:tcW w:w="1196" w:type="dxa"/>
            <w:tcBorders>
              <w:top w:val="nil"/>
              <w:left w:val="nil"/>
              <w:bottom w:val="nil"/>
              <w:right w:val="nil"/>
            </w:tcBorders>
            <w:shd w:val="clear" w:color="auto" w:fill="D9E2F3" w:themeFill="accent1" w:themeFillTint="33"/>
            <w:hideMark/>
          </w:tcPr>
          <w:p w14:paraId="66BAEC7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single" w:sz="4" w:space="0" w:color="auto"/>
              <w:right w:val="nil"/>
            </w:tcBorders>
            <w:shd w:val="clear" w:color="auto" w:fill="D9E2F3" w:themeFill="accent1" w:themeFillTint="33"/>
            <w:noWrap/>
            <w:hideMark/>
          </w:tcPr>
          <w:p w14:paraId="2C0F9968" w14:textId="6F1316B9"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555351">
              <w:rPr>
                <w:rFonts w:ascii="Arial" w:eastAsia="Times New Roman" w:hAnsi="Arial" w:cs="Arial"/>
                <w:b/>
                <w:bCs/>
                <w:color w:val="000000"/>
                <w:sz w:val="18"/>
                <w:szCs w:val="18"/>
              </w:rPr>
              <w:t>4</w:t>
            </w:r>
            <w:r w:rsidRPr="00AB662C">
              <w:rPr>
                <w:rFonts w:ascii="Arial" w:eastAsia="Times New Roman" w:hAnsi="Arial" w:cs="Arial"/>
                <w:b/>
                <w:bCs/>
                <w:color w:val="000000"/>
                <w:sz w:val="18"/>
                <w:szCs w:val="18"/>
              </w:rPr>
              <w:t>.</w:t>
            </w:r>
            <w:r w:rsidR="00555351">
              <w:rPr>
                <w:rFonts w:ascii="Arial" w:eastAsia="Times New Roman" w:hAnsi="Arial" w:cs="Arial"/>
                <w:b/>
                <w:bCs/>
                <w:color w:val="000000"/>
                <w:sz w:val="18"/>
                <w:szCs w:val="18"/>
              </w:rPr>
              <w:t>99</w:t>
            </w:r>
          </w:p>
        </w:tc>
        <w:tc>
          <w:tcPr>
            <w:tcW w:w="1016" w:type="dxa"/>
            <w:tcBorders>
              <w:top w:val="nil"/>
              <w:left w:val="nil"/>
              <w:bottom w:val="single" w:sz="4" w:space="0" w:color="auto"/>
              <w:right w:val="nil"/>
            </w:tcBorders>
            <w:shd w:val="clear" w:color="auto" w:fill="D9E2F3" w:themeFill="accent1" w:themeFillTint="33"/>
            <w:noWrap/>
            <w:hideMark/>
          </w:tcPr>
          <w:p w14:paraId="6D7CF961" w14:textId="53A88A59" w:rsidR="002C1A1F" w:rsidRPr="00885F36" w:rsidRDefault="00B525EB"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14</w:t>
            </w:r>
            <w:r w:rsidR="002C1A1F">
              <w:rPr>
                <w:rFonts w:ascii="Arial" w:eastAsia="Times New Roman" w:hAnsi="Arial" w:cs="Arial"/>
                <w:color w:val="000000"/>
                <w:sz w:val="18"/>
                <w:szCs w:val="18"/>
              </w:rPr>
              <w:t>.</w:t>
            </w:r>
            <w:r w:rsidR="00CF54DE">
              <w:rPr>
                <w:rFonts w:ascii="Arial" w:eastAsia="Times New Roman" w:hAnsi="Arial" w:cs="Arial"/>
                <w:color w:val="000000"/>
                <w:sz w:val="18"/>
                <w:szCs w:val="18"/>
              </w:rPr>
              <w:t>6</w:t>
            </w:r>
            <w:r w:rsidR="00F852BC">
              <w:rPr>
                <w:rFonts w:ascii="Arial" w:eastAsia="Times New Roman" w:hAnsi="Arial" w:cs="Arial"/>
                <w:color w:val="000000"/>
                <w:sz w:val="18"/>
                <w:szCs w:val="18"/>
              </w:rPr>
              <w:t>7</w:t>
            </w:r>
          </w:p>
        </w:tc>
        <w:tc>
          <w:tcPr>
            <w:tcW w:w="812" w:type="dxa"/>
            <w:tcBorders>
              <w:top w:val="nil"/>
              <w:left w:val="nil"/>
              <w:bottom w:val="single" w:sz="4" w:space="0" w:color="auto"/>
              <w:right w:val="nil"/>
            </w:tcBorders>
            <w:shd w:val="clear" w:color="auto" w:fill="D9E2F3" w:themeFill="accent1" w:themeFillTint="33"/>
            <w:noWrap/>
            <w:hideMark/>
          </w:tcPr>
          <w:p w14:paraId="6E77ECD4" w14:textId="322A9917"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hideMark/>
          </w:tcPr>
          <w:p w14:paraId="09C5851E" w14:textId="05F89324" w:rsidR="002C1A1F" w:rsidRPr="00A5119B" w:rsidRDefault="002C1A1F" w:rsidP="002C1A1F">
            <w:pPr>
              <w:spacing w:after="0" w:line="240" w:lineRule="auto"/>
              <w:jc w:val="center"/>
              <w:rPr>
                <w:rFonts w:ascii="Arial" w:eastAsia="Times New Roman" w:hAnsi="Arial" w:cs="Arial"/>
                <w:color w:val="000000" w:themeColor="text1"/>
                <w:sz w:val="18"/>
                <w:szCs w:val="18"/>
              </w:rPr>
            </w:pPr>
            <w:r w:rsidRPr="00A5119B">
              <w:rPr>
                <w:rFonts w:ascii="Arial" w:eastAsia="Times New Roman" w:hAnsi="Arial" w:cs="Arial"/>
                <w:color w:val="000000" w:themeColor="text1"/>
                <w:sz w:val="18"/>
                <w:szCs w:val="18"/>
              </w:rPr>
              <w:t>(1</w:t>
            </w:r>
            <w:r w:rsidR="00555351">
              <w:rPr>
                <w:rFonts w:ascii="Arial" w:eastAsia="Times New Roman" w:hAnsi="Arial" w:cs="Arial"/>
                <w:color w:val="000000" w:themeColor="text1"/>
                <w:sz w:val="18"/>
                <w:szCs w:val="18"/>
              </w:rPr>
              <w:t>3</w:t>
            </w:r>
            <w:r w:rsidRPr="00A5119B">
              <w:rPr>
                <w:rFonts w:ascii="Arial" w:eastAsia="Times New Roman" w:hAnsi="Arial" w:cs="Arial"/>
                <w:color w:val="000000" w:themeColor="text1"/>
                <w:sz w:val="18"/>
                <w:szCs w:val="18"/>
              </w:rPr>
              <w:t>.</w:t>
            </w:r>
            <w:r w:rsidR="00555351">
              <w:rPr>
                <w:rFonts w:ascii="Arial" w:eastAsia="Times New Roman" w:hAnsi="Arial" w:cs="Arial"/>
                <w:color w:val="000000" w:themeColor="text1"/>
                <w:sz w:val="18"/>
                <w:szCs w:val="18"/>
              </w:rPr>
              <w:t>72</w:t>
            </w:r>
            <w:r w:rsidRPr="00A5119B">
              <w:rPr>
                <w:rFonts w:ascii="Arial" w:eastAsia="Times New Roman" w:hAnsi="Arial" w:cs="Arial"/>
                <w:color w:val="000000" w:themeColor="text1"/>
                <w:sz w:val="18"/>
                <w:szCs w:val="18"/>
              </w:rPr>
              <w:t>)</w:t>
            </w:r>
          </w:p>
        </w:tc>
        <w:tc>
          <w:tcPr>
            <w:tcW w:w="1008" w:type="dxa"/>
            <w:tcBorders>
              <w:top w:val="nil"/>
              <w:left w:val="nil"/>
              <w:bottom w:val="single" w:sz="4" w:space="0" w:color="auto"/>
              <w:right w:val="nil"/>
            </w:tcBorders>
            <w:shd w:val="clear" w:color="auto" w:fill="D9E2F3" w:themeFill="accent1" w:themeFillTint="33"/>
            <w:noWrap/>
            <w:hideMark/>
          </w:tcPr>
          <w:p w14:paraId="79908C5D" w14:textId="572D44F3" w:rsidR="002C1A1F" w:rsidRPr="00885F36" w:rsidRDefault="002C1A1F" w:rsidP="002C1A1F">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555351">
              <w:rPr>
                <w:rFonts w:ascii="Arial" w:eastAsia="Times New Roman" w:hAnsi="Arial" w:cs="Arial"/>
                <w:color w:val="000000"/>
                <w:sz w:val="18"/>
                <w:szCs w:val="18"/>
              </w:rPr>
              <w:t>3</w:t>
            </w:r>
            <w:r w:rsidRPr="00885F36">
              <w:rPr>
                <w:rFonts w:ascii="Arial" w:eastAsia="Times New Roman" w:hAnsi="Arial" w:cs="Arial"/>
                <w:color w:val="000000"/>
                <w:sz w:val="18"/>
                <w:szCs w:val="18"/>
              </w:rPr>
              <w:t>.</w:t>
            </w:r>
            <w:r w:rsidR="00555351">
              <w:rPr>
                <w:rFonts w:ascii="Arial" w:eastAsia="Times New Roman" w:hAnsi="Arial" w:cs="Arial"/>
                <w:color w:val="000000"/>
                <w:sz w:val="18"/>
                <w:szCs w:val="18"/>
              </w:rPr>
              <w:t>8</w:t>
            </w:r>
            <w:r w:rsidRPr="00885F36">
              <w:rPr>
                <w:rFonts w:ascii="Arial" w:eastAsia="Times New Roman" w:hAnsi="Arial" w:cs="Arial"/>
                <w:color w:val="000000"/>
                <w:sz w:val="18"/>
                <w:szCs w:val="18"/>
              </w:rPr>
              <w:t>0</w:t>
            </w:r>
          </w:p>
        </w:tc>
        <w:tc>
          <w:tcPr>
            <w:tcW w:w="1055" w:type="dxa"/>
            <w:tcBorders>
              <w:top w:val="nil"/>
              <w:left w:val="nil"/>
              <w:bottom w:val="single" w:sz="4" w:space="0" w:color="auto"/>
              <w:right w:val="nil"/>
            </w:tcBorders>
            <w:shd w:val="clear" w:color="auto" w:fill="D9E2F3" w:themeFill="accent1" w:themeFillTint="33"/>
            <w:noWrap/>
            <w:hideMark/>
          </w:tcPr>
          <w:p w14:paraId="3965BC07" w14:textId="559E5024"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4.00</w:t>
            </w:r>
          </w:p>
        </w:tc>
        <w:tc>
          <w:tcPr>
            <w:tcW w:w="1337" w:type="dxa"/>
            <w:tcBorders>
              <w:top w:val="nil"/>
              <w:left w:val="nil"/>
              <w:bottom w:val="single" w:sz="4" w:space="0" w:color="auto"/>
              <w:right w:val="single" w:sz="8" w:space="0" w:color="auto"/>
            </w:tcBorders>
            <w:shd w:val="clear" w:color="auto" w:fill="D9E2F3" w:themeFill="accent1" w:themeFillTint="33"/>
            <w:noWrap/>
            <w:hideMark/>
          </w:tcPr>
          <w:p w14:paraId="0EEB3648" w14:textId="16335A86"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$1M </w:t>
            </w:r>
          </w:p>
        </w:tc>
      </w:tr>
      <w:tr w:rsidR="00F852BC" w:rsidRPr="00D97147" w14:paraId="4FD01AF4" w14:textId="77777777" w:rsidTr="00D447B2">
        <w:trPr>
          <w:trHeight w:val="261"/>
        </w:trPr>
        <w:tc>
          <w:tcPr>
            <w:tcW w:w="1218" w:type="dxa"/>
            <w:tcBorders>
              <w:top w:val="nil"/>
              <w:left w:val="single" w:sz="8" w:space="0" w:color="auto"/>
              <w:bottom w:val="nil"/>
              <w:right w:val="nil"/>
            </w:tcBorders>
            <w:shd w:val="clear" w:color="auto" w:fill="auto"/>
            <w:hideMark/>
          </w:tcPr>
          <w:p w14:paraId="181CF82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nil"/>
              <w:right w:val="nil"/>
            </w:tcBorders>
            <w:shd w:val="clear" w:color="auto" w:fill="auto"/>
            <w:hideMark/>
          </w:tcPr>
          <w:p w14:paraId="2A681222" w14:textId="77777777" w:rsidR="002C1A1F" w:rsidRPr="00AB662C" w:rsidRDefault="002C1A1F" w:rsidP="002C1A1F">
            <w:pPr>
              <w:spacing w:after="0" w:line="240" w:lineRule="auto"/>
              <w:rPr>
                <w:rFonts w:ascii="Arial" w:eastAsia="Times New Roman" w:hAnsi="Arial" w:cs="Arial"/>
                <w:color w:val="000000"/>
                <w:sz w:val="18"/>
                <w:szCs w:val="18"/>
              </w:rPr>
            </w:pPr>
          </w:p>
        </w:tc>
        <w:tc>
          <w:tcPr>
            <w:tcW w:w="1532" w:type="dxa"/>
            <w:tcBorders>
              <w:top w:val="nil"/>
              <w:left w:val="nil"/>
              <w:bottom w:val="nil"/>
              <w:right w:val="nil"/>
            </w:tcBorders>
            <w:shd w:val="clear" w:color="auto" w:fill="auto"/>
            <w:hideMark/>
          </w:tcPr>
          <w:p w14:paraId="758C7DC3" w14:textId="77777777" w:rsidR="002C1A1F" w:rsidRPr="00AB662C" w:rsidRDefault="002C1A1F" w:rsidP="002C1A1F">
            <w:pPr>
              <w:spacing w:after="0" w:line="240" w:lineRule="auto"/>
              <w:rPr>
                <w:rFonts w:ascii="Times New Roman" w:eastAsia="Times New Roman" w:hAnsi="Times New Roman" w:cs="Times New Roman"/>
                <w:sz w:val="18"/>
                <w:szCs w:val="18"/>
              </w:rPr>
            </w:pPr>
          </w:p>
        </w:tc>
        <w:tc>
          <w:tcPr>
            <w:tcW w:w="1192" w:type="dxa"/>
            <w:tcBorders>
              <w:top w:val="nil"/>
              <w:left w:val="nil"/>
              <w:bottom w:val="nil"/>
              <w:right w:val="nil"/>
            </w:tcBorders>
            <w:shd w:val="clear" w:color="auto" w:fill="auto"/>
            <w:hideMark/>
          </w:tcPr>
          <w:p w14:paraId="29C192C2" w14:textId="77777777" w:rsidR="002C1A1F" w:rsidRPr="00AB662C" w:rsidRDefault="002C1A1F" w:rsidP="002C1A1F">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auto"/>
            <w:hideMark/>
          </w:tcPr>
          <w:p w14:paraId="0227EC21" w14:textId="77777777" w:rsidR="002C1A1F" w:rsidRPr="00AB662C" w:rsidRDefault="002C1A1F" w:rsidP="002C1A1F">
            <w:pPr>
              <w:spacing w:after="0" w:line="240" w:lineRule="auto"/>
              <w:rPr>
                <w:rFonts w:ascii="Times New Roman" w:eastAsia="Times New Roman" w:hAnsi="Times New Roman" w:cs="Times New Roman"/>
                <w:sz w:val="18"/>
                <w:szCs w:val="18"/>
              </w:rPr>
            </w:pPr>
          </w:p>
        </w:tc>
        <w:tc>
          <w:tcPr>
            <w:tcW w:w="1196" w:type="dxa"/>
            <w:tcBorders>
              <w:top w:val="nil"/>
              <w:left w:val="nil"/>
              <w:bottom w:val="nil"/>
              <w:right w:val="nil"/>
            </w:tcBorders>
            <w:shd w:val="clear" w:color="auto" w:fill="auto"/>
            <w:hideMark/>
          </w:tcPr>
          <w:p w14:paraId="509A64AF"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nil"/>
              <w:left w:val="nil"/>
              <w:bottom w:val="single" w:sz="4" w:space="0" w:color="auto"/>
              <w:right w:val="nil"/>
            </w:tcBorders>
            <w:shd w:val="clear" w:color="auto" w:fill="auto"/>
            <w:noWrap/>
            <w:hideMark/>
          </w:tcPr>
          <w:p w14:paraId="4E157E58" w14:textId="199349FB"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w:t>
            </w:r>
            <w:r>
              <w:rPr>
                <w:rFonts w:ascii="Arial" w:eastAsia="Times New Roman" w:hAnsi="Arial" w:cs="Arial"/>
                <w:b/>
                <w:bCs/>
                <w:color w:val="000000"/>
                <w:sz w:val="18"/>
                <w:szCs w:val="18"/>
              </w:rPr>
              <w:t>2</w:t>
            </w:r>
            <w:r w:rsidR="00555351">
              <w:rPr>
                <w:rFonts w:ascii="Arial" w:eastAsia="Times New Roman" w:hAnsi="Arial" w:cs="Arial"/>
                <w:b/>
                <w:bCs/>
                <w:color w:val="000000"/>
                <w:sz w:val="18"/>
                <w:szCs w:val="18"/>
              </w:rPr>
              <w:t>8</w:t>
            </w:r>
            <w:r w:rsidRPr="00AB662C">
              <w:rPr>
                <w:rFonts w:ascii="Arial" w:eastAsia="Times New Roman" w:hAnsi="Arial" w:cs="Arial"/>
                <w:b/>
                <w:bCs/>
                <w:color w:val="000000"/>
                <w:sz w:val="18"/>
                <w:szCs w:val="18"/>
              </w:rPr>
              <w:t>.</w:t>
            </w:r>
            <w:r w:rsidR="00555351">
              <w:rPr>
                <w:rFonts w:ascii="Arial" w:eastAsia="Times New Roman" w:hAnsi="Arial" w:cs="Arial"/>
                <w:b/>
                <w:bCs/>
                <w:color w:val="000000"/>
                <w:sz w:val="18"/>
                <w:szCs w:val="18"/>
              </w:rPr>
              <w:t>75</w:t>
            </w:r>
          </w:p>
        </w:tc>
        <w:tc>
          <w:tcPr>
            <w:tcW w:w="1016" w:type="dxa"/>
            <w:tcBorders>
              <w:top w:val="nil"/>
              <w:left w:val="nil"/>
              <w:bottom w:val="single" w:sz="4" w:space="0" w:color="auto"/>
              <w:right w:val="nil"/>
            </w:tcBorders>
            <w:shd w:val="clear" w:color="auto" w:fill="auto"/>
            <w:noWrap/>
            <w:hideMark/>
          </w:tcPr>
          <w:p w14:paraId="299CCE9C" w14:textId="592A7E94" w:rsidR="002C1A1F" w:rsidRPr="00AB662C" w:rsidRDefault="002C1A1F"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CF54DE">
              <w:rPr>
                <w:rFonts w:ascii="Arial" w:eastAsia="Times New Roman" w:hAnsi="Arial" w:cs="Arial"/>
                <w:b/>
                <w:bCs/>
                <w:color w:val="000000"/>
                <w:sz w:val="18"/>
                <w:szCs w:val="18"/>
              </w:rPr>
              <w:t>6.97</w:t>
            </w:r>
          </w:p>
        </w:tc>
        <w:tc>
          <w:tcPr>
            <w:tcW w:w="812" w:type="dxa"/>
            <w:tcBorders>
              <w:top w:val="nil"/>
              <w:left w:val="nil"/>
              <w:bottom w:val="single" w:sz="4" w:space="0" w:color="auto"/>
              <w:right w:val="nil"/>
            </w:tcBorders>
            <w:shd w:val="clear" w:color="auto" w:fill="auto"/>
            <w:noWrap/>
            <w:hideMark/>
          </w:tcPr>
          <w:p w14:paraId="7FAF0BF0" w14:textId="72302A38"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single" w:sz="4" w:space="0" w:color="auto"/>
              <w:right w:val="nil"/>
            </w:tcBorders>
            <w:shd w:val="clear" w:color="auto" w:fill="auto"/>
            <w:noWrap/>
            <w:hideMark/>
          </w:tcPr>
          <w:p w14:paraId="7969EB26" w14:textId="0D9B015D" w:rsidR="002C1A1F" w:rsidRPr="00A5119B" w:rsidRDefault="002C1A1F" w:rsidP="002C1A1F">
            <w:pPr>
              <w:spacing w:after="0" w:line="240" w:lineRule="auto"/>
              <w:jc w:val="center"/>
              <w:rPr>
                <w:rFonts w:ascii="Arial" w:eastAsia="Times New Roman" w:hAnsi="Arial" w:cs="Arial"/>
                <w:b/>
                <w:bCs/>
                <w:color w:val="000000" w:themeColor="text1"/>
                <w:sz w:val="18"/>
                <w:szCs w:val="18"/>
              </w:rPr>
            </w:pPr>
            <w:r w:rsidRPr="00A5119B">
              <w:rPr>
                <w:rFonts w:ascii="Arial" w:eastAsia="Times New Roman" w:hAnsi="Arial" w:cs="Arial"/>
                <w:b/>
                <w:bCs/>
                <w:color w:val="000000" w:themeColor="text1"/>
                <w:sz w:val="18"/>
                <w:szCs w:val="18"/>
              </w:rPr>
              <w:t>(</w:t>
            </w:r>
            <w:r>
              <w:rPr>
                <w:rFonts w:ascii="Arial" w:eastAsia="Times New Roman" w:hAnsi="Arial" w:cs="Arial"/>
                <w:b/>
                <w:bCs/>
                <w:color w:val="000000" w:themeColor="text1"/>
                <w:sz w:val="18"/>
                <w:szCs w:val="18"/>
              </w:rPr>
              <w:t>1</w:t>
            </w:r>
            <w:r w:rsidR="00DB1096">
              <w:rPr>
                <w:rFonts w:ascii="Arial" w:eastAsia="Times New Roman" w:hAnsi="Arial" w:cs="Arial"/>
                <w:b/>
                <w:bCs/>
                <w:color w:val="000000" w:themeColor="text1"/>
                <w:sz w:val="18"/>
                <w:szCs w:val="18"/>
              </w:rPr>
              <w:t>7</w:t>
            </w:r>
            <w:r w:rsidRPr="00A5119B">
              <w:rPr>
                <w:rFonts w:ascii="Arial" w:eastAsia="Times New Roman" w:hAnsi="Arial" w:cs="Arial"/>
                <w:b/>
                <w:bCs/>
                <w:color w:val="000000" w:themeColor="text1"/>
                <w:sz w:val="18"/>
                <w:szCs w:val="18"/>
              </w:rPr>
              <w:t>.</w:t>
            </w:r>
            <w:r w:rsidR="00F852BC">
              <w:rPr>
                <w:rFonts w:ascii="Arial" w:eastAsia="Times New Roman" w:hAnsi="Arial" w:cs="Arial"/>
                <w:b/>
                <w:bCs/>
                <w:color w:val="000000" w:themeColor="text1"/>
                <w:sz w:val="18"/>
                <w:szCs w:val="18"/>
              </w:rPr>
              <w:t>2</w:t>
            </w:r>
            <w:r w:rsidR="00CF54DE">
              <w:rPr>
                <w:rFonts w:ascii="Arial" w:eastAsia="Times New Roman" w:hAnsi="Arial" w:cs="Arial"/>
                <w:b/>
                <w:bCs/>
                <w:color w:val="000000" w:themeColor="text1"/>
                <w:sz w:val="18"/>
                <w:szCs w:val="18"/>
              </w:rPr>
              <w:t>5</w:t>
            </w:r>
            <w:r w:rsidRPr="00A5119B">
              <w:rPr>
                <w:rFonts w:ascii="Arial" w:eastAsia="Times New Roman" w:hAnsi="Arial" w:cs="Arial"/>
                <w:b/>
                <w:bCs/>
                <w:color w:val="000000" w:themeColor="text1"/>
                <w:sz w:val="18"/>
                <w:szCs w:val="18"/>
              </w:rPr>
              <w:t>)</w:t>
            </w:r>
          </w:p>
        </w:tc>
        <w:tc>
          <w:tcPr>
            <w:tcW w:w="1008" w:type="dxa"/>
            <w:tcBorders>
              <w:top w:val="nil"/>
              <w:left w:val="nil"/>
              <w:bottom w:val="single" w:sz="4" w:space="0" w:color="auto"/>
              <w:right w:val="nil"/>
            </w:tcBorders>
            <w:shd w:val="clear" w:color="auto" w:fill="auto"/>
            <w:noWrap/>
            <w:hideMark/>
          </w:tcPr>
          <w:p w14:paraId="6F6EFF79" w14:textId="3CD09AC8"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auto"/>
            <w:noWrap/>
            <w:hideMark/>
          </w:tcPr>
          <w:p w14:paraId="104BA9BD" w14:textId="29CECEFD"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noWrap/>
            <w:hideMark/>
          </w:tcPr>
          <w:p w14:paraId="41BB76FA"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F54DE" w:rsidRPr="00D97147" w14:paraId="1BBF82F4" w14:textId="77777777" w:rsidTr="002C1A1F">
        <w:trPr>
          <w:trHeight w:val="392"/>
        </w:trPr>
        <w:tc>
          <w:tcPr>
            <w:tcW w:w="1218" w:type="dxa"/>
            <w:tcBorders>
              <w:top w:val="nil"/>
              <w:left w:val="single" w:sz="8" w:space="0" w:color="auto"/>
              <w:bottom w:val="single" w:sz="4" w:space="0" w:color="auto"/>
              <w:right w:val="nil"/>
            </w:tcBorders>
            <w:shd w:val="clear" w:color="auto" w:fill="D9E2F3" w:themeFill="accent1" w:themeFillTint="33"/>
            <w:noWrap/>
            <w:hideMark/>
          </w:tcPr>
          <w:p w14:paraId="7DA6DD13"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Grand Total</w:t>
            </w:r>
          </w:p>
        </w:tc>
        <w:tc>
          <w:tcPr>
            <w:tcW w:w="1448" w:type="dxa"/>
            <w:tcBorders>
              <w:top w:val="nil"/>
              <w:left w:val="nil"/>
              <w:bottom w:val="single" w:sz="4" w:space="0" w:color="auto"/>
              <w:right w:val="nil"/>
            </w:tcBorders>
            <w:shd w:val="clear" w:color="auto" w:fill="D9E2F3" w:themeFill="accent1" w:themeFillTint="33"/>
            <w:hideMark/>
          </w:tcPr>
          <w:p w14:paraId="057C2B53"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single" w:sz="4" w:space="0" w:color="auto"/>
              <w:right w:val="nil"/>
            </w:tcBorders>
            <w:shd w:val="clear" w:color="auto" w:fill="D9E2F3" w:themeFill="accent1" w:themeFillTint="33"/>
            <w:hideMark/>
          </w:tcPr>
          <w:p w14:paraId="0796C7BA"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2" w:type="dxa"/>
            <w:tcBorders>
              <w:top w:val="nil"/>
              <w:left w:val="nil"/>
              <w:bottom w:val="single" w:sz="4" w:space="0" w:color="auto"/>
              <w:right w:val="nil"/>
            </w:tcBorders>
            <w:shd w:val="clear" w:color="auto" w:fill="D9E2F3" w:themeFill="accent1" w:themeFillTint="33"/>
            <w:hideMark/>
          </w:tcPr>
          <w:p w14:paraId="3E78E35E"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single" w:sz="4" w:space="0" w:color="auto"/>
              <w:right w:val="nil"/>
            </w:tcBorders>
            <w:shd w:val="clear" w:color="auto" w:fill="D9E2F3" w:themeFill="accent1" w:themeFillTint="33"/>
            <w:hideMark/>
          </w:tcPr>
          <w:p w14:paraId="3EB75AD9" w14:textId="77777777" w:rsidR="002C1A1F" w:rsidRPr="00AB662C" w:rsidRDefault="002C1A1F" w:rsidP="002C1A1F">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6" w:type="dxa"/>
            <w:tcBorders>
              <w:top w:val="nil"/>
              <w:left w:val="nil"/>
              <w:bottom w:val="single" w:sz="4" w:space="0" w:color="auto"/>
              <w:right w:val="nil"/>
            </w:tcBorders>
            <w:shd w:val="clear" w:color="auto" w:fill="D9E2F3" w:themeFill="accent1" w:themeFillTint="33"/>
            <w:noWrap/>
            <w:hideMark/>
          </w:tcPr>
          <w:p w14:paraId="1B251E89"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GRAND TOTAL</w:t>
            </w:r>
          </w:p>
        </w:tc>
        <w:tc>
          <w:tcPr>
            <w:tcW w:w="891" w:type="dxa"/>
            <w:tcBorders>
              <w:top w:val="nil"/>
              <w:left w:val="nil"/>
              <w:bottom w:val="single" w:sz="4" w:space="0" w:color="auto"/>
              <w:right w:val="nil"/>
            </w:tcBorders>
            <w:shd w:val="clear" w:color="auto" w:fill="D9E2F3" w:themeFill="accent1" w:themeFillTint="33"/>
            <w:noWrap/>
            <w:hideMark/>
          </w:tcPr>
          <w:p w14:paraId="7A11303A" w14:textId="7B94D377" w:rsidR="002C1A1F" w:rsidRPr="00AB662C" w:rsidRDefault="002C1A1F" w:rsidP="002C1A1F">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2F3B14">
              <w:rPr>
                <w:rFonts w:ascii="Arial" w:eastAsia="Times New Roman" w:hAnsi="Arial" w:cs="Arial"/>
                <w:b/>
                <w:bCs/>
                <w:color w:val="000000"/>
                <w:sz w:val="18"/>
                <w:szCs w:val="18"/>
              </w:rPr>
              <w:t>2</w:t>
            </w:r>
            <w:r w:rsidR="00F852BC">
              <w:rPr>
                <w:rFonts w:ascii="Arial" w:eastAsia="Times New Roman" w:hAnsi="Arial" w:cs="Arial"/>
                <w:b/>
                <w:bCs/>
                <w:color w:val="000000"/>
                <w:sz w:val="18"/>
                <w:szCs w:val="18"/>
              </w:rPr>
              <w:t>9</w:t>
            </w:r>
            <w:r w:rsidRPr="00AB662C">
              <w:rPr>
                <w:rFonts w:ascii="Arial" w:eastAsia="Times New Roman" w:hAnsi="Arial" w:cs="Arial"/>
                <w:b/>
                <w:bCs/>
                <w:color w:val="000000"/>
                <w:sz w:val="18"/>
                <w:szCs w:val="18"/>
              </w:rPr>
              <w:t>.</w:t>
            </w:r>
            <w:r w:rsidR="00F852BC">
              <w:rPr>
                <w:rFonts w:ascii="Arial" w:eastAsia="Times New Roman" w:hAnsi="Arial" w:cs="Arial"/>
                <w:b/>
                <w:bCs/>
                <w:color w:val="000000"/>
                <w:sz w:val="18"/>
                <w:szCs w:val="18"/>
              </w:rPr>
              <w:t>99</w:t>
            </w:r>
          </w:p>
        </w:tc>
        <w:tc>
          <w:tcPr>
            <w:tcW w:w="1016" w:type="dxa"/>
            <w:tcBorders>
              <w:top w:val="nil"/>
              <w:left w:val="nil"/>
              <w:bottom w:val="single" w:sz="4" w:space="0" w:color="auto"/>
              <w:right w:val="nil"/>
            </w:tcBorders>
            <w:shd w:val="clear" w:color="auto" w:fill="D9E2F3" w:themeFill="accent1" w:themeFillTint="33"/>
            <w:noWrap/>
            <w:hideMark/>
          </w:tcPr>
          <w:p w14:paraId="007425B3" w14:textId="69B81EBE" w:rsidR="002C1A1F" w:rsidRPr="00AB662C" w:rsidRDefault="00CF54DE"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58</w:t>
            </w:r>
            <w:r w:rsidR="00F852BC">
              <w:rPr>
                <w:rFonts w:ascii="Arial" w:eastAsia="Times New Roman" w:hAnsi="Arial" w:cs="Arial"/>
                <w:b/>
                <w:bCs/>
                <w:color w:val="000000"/>
                <w:sz w:val="18"/>
                <w:szCs w:val="18"/>
              </w:rPr>
              <w:t>.</w:t>
            </w:r>
            <w:r>
              <w:rPr>
                <w:rFonts w:ascii="Arial" w:eastAsia="Times New Roman" w:hAnsi="Arial" w:cs="Arial"/>
                <w:b/>
                <w:bCs/>
                <w:color w:val="000000"/>
                <w:sz w:val="18"/>
                <w:szCs w:val="18"/>
              </w:rPr>
              <w:t>89</w:t>
            </w:r>
          </w:p>
        </w:tc>
        <w:tc>
          <w:tcPr>
            <w:tcW w:w="812" w:type="dxa"/>
            <w:tcBorders>
              <w:top w:val="nil"/>
              <w:left w:val="nil"/>
              <w:bottom w:val="single" w:sz="4" w:space="0" w:color="auto"/>
              <w:right w:val="nil"/>
            </w:tcBorders>
            <w:shd w:val="clear" w:color="auto" w:fill="D9E2F3" w:themeFill="accent1" w:themeFillTint="33"/>
            <w:noWrap/>
            <w:hideMark/>
          </w:tcPr>
          <w:p w14:paraId="02D6E4A0" w14:textId="34818048"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812" w:type="dxa"/>
            <w:tcBorders>
              <w:top w:val="nil"/>
              <w:left w:val="nil"/>
              <w:bottom w:val="single" w:sz="4" w:space="0" w:color="auto"/>
              <w:right w:val="nil"/>
            </w:tcBorders>
            <w:shd w:val="clear" w:color="auto" w:fill="D9E2F3" w:themeFill="accent1" w:themeFillTint="33"/>
            <w:noWrap/>
            <w:hideMark/>
          </w:tcPr>
          <w:p w14:paraId="090D8221" w14:textId="10DAD03C" w:rsidR="002C1A1F" w:rsidRPr="00AB662C" w:rsidRDefault="002C1A1F" w:rsidP="002C1A1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w:t>
            </w:r>
            <w:r w:rsidR="00F852BC">
              <w:rPr>
                <w:rFonts w:ascii="Arial" w:eastAsia="Times New Roman" w:hAnsi="Arial" w:cs="Arial"/>
                <w:b/>
                <w:bCs/>
                <w:color w:val="000000"/>
                <w:sz w:val="18"/>
                <w:szCs w:val="18"/>
              </w:rPr>
              <w:t>9</w:t>
            </w:r>
            <w:r>
              <w:rPr>
                <w:rFonts w:ascii="Arial" w:eastAsia="Times New Roman" w:hAnsi="Arial" w:cs="Arial"/>
                <w:b/>
                <w:bCs/>
                <w:color w:val="000000"/>
                <w:sz w:val="18"/>
                <w:szCs w:val="18"/>
              </w:rPr>
              <w:t>.</w:t>
            </w:r>
            <w:r w:rsidR="00CF54DE">
              <w:rPr>
                <w:rFonts w:ascii="Arial" w:eastAsia="Times New Roman" w:hAnsi="Arial" w:cs="Arial"/>
                <w:b/>
                <w:bCs/>
                <w:color w:val="000000"/>
                <w:sz w:val="18"/>
                <w:szCs w:val="18"/>
              </w:rPr>
              <w:t>42</w:t>
            </w:r>
            <w:r>
              <w:rPr>
                <w:rFonts w:ascii="Arial" w:eastAsia="Times New Roman" w:hAnsi="Arial" w:cs="Arial"/>
                <w:b/>
                <w:bCs/>
                <w:color w:val="000000"/>
                <w:sz w:val="18"/>
                <w:szCs w:val="18"/>
              </w:rPr>
              <w:t>)</w:t>
            </w:r>
          </w:p>
        </w:tc>
        <w:tc>
          <w:tcPr>
            <w:tcW w:w="1008" w:type="dxa"/>
            <w:tcBorders>
              <w:top w:val="nil"/>
              <w:left w:val="nil"/>
              <w:bottom w:val="single" w:sz="4" w:space="0" w:color="auto"/>
              <w:right w:val="nil"/>
            </w:tcBorders>
            <w:shd w:val="clear" w:color="auto" w:fill="D9E2F3" w:themeFill="accent1" w:themeFillTint="33"/>
            <w:noWrap/>
            <w:hideMark/>
          </w:tcPr>
          <w:p w14:paraId="6645ED36" w14:textId="4A8A7AE9"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D9E2F3" w:themeFill="accent1" w:themeFillTint="33"/>
            <w:noWrap/>
            <w:hideMark/>
          </w:tcPr>
          <w:p w14:paraId="23AA0B2E" w14:textId="3D9A235F" w:rsidR="002C1A1F" w:rsidRPr="00AB662C" w:rsidRDefault="002C1A1F" w:rsidP="002C1A1F">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D9E2F3" w:themeFill="accent1" w:themeFillTint="33"/>
            <w:noWrap/>
            <w:hideMark/>
          </w:tcPr>
          <w:p w14:paraId="4D7BA6EC" w14:textId="77777777" w:rsidR="002C1A1F" w:rsidRPr="00AB662C" w:rsidRDefault="002C1A1F" w:rsidP="002C1A1F">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bl>
    <w:p w14:paraId="47813077" w14:textId="36094DFE" w:rsidR="0026621D" w:rsidRPr="000D333A" w:rsidRDefault="0026621D" w:rsidP="00AF2B81">
      <w:pPr>
        <w:rPr>
          <w:sz w:val="2"/>
          <w:szCs w:val="2"/>
        </w:rPr>
      </w:pPr>
    </w:p>
    <w:tbl>
      <w:tblPr>
        <w:tblStyle w:val="TableGrid"/>
        <w:tblW w:w="0" w:type="auto"/>
        <w:tblLook w:val="04A0" w:firstRow="1" w:lastRow="0" w:firstColumn="1" w:lastColumn="0" w:noHBand="0" w:noVBand="1"/>
      </w:tblPr>
      <w:tblGrid>
        <w:gridCol w:w="3669"/>
        <w:gridCol w:w="3669"/>
        <w:gridCol w:w="3670"/>
        <w:gridCol w:w="3567"/>
      </w:tblGrid>
      <w:tr w:rsidR="00EA0664" w14:paraId="15CC7E45" w14:textId="77777777" w:rsidTr="0038504C">
        <w:tc>
          <w:tcPr>
            <w:tcW w:w="3669" w:type="dxa"/>
          </w:tcPr>
          <w:p w14:paraId="79633CE1" w14:textId="5B2895C0" w:rsidR="00EA0664" w:rsidRPr="00D65D8C" w:rsidRDefault="00825412">
            <w:pPr>
              <w:rPr>
                <w:sz w:val="20"/>
                <w:szCs w:val="20"/>
              </w:rPr>
            </w:pPr>
            <w:r w:rsidRPr="00D65D8C">
              <w:rPr>
                <w:sz w:val="20"/>
                <w:szCs w:val="20"/>
              </w:rPr>
              <w:t>If n</w:t>
            </w:r>
            <w:r w:rsidR="00EA0664" w:rsidRPr="00D65D8C">
              <w:rPr>
                <w:sz w:val="20"/>
                <w:szCs w:val="20"/>
              </w:rPr>
              <w:t xml:space="preserve">egative termination value, the System </w:t>
            </w:r>
          </w:p>
        </w:tc>
        <w:tc>
          <w:tcPr>
            <w:tcW w:w="3669" w:type="dxa"/>
            <w:vAlign w:val="bottom"/>
          </w:tcPr>
          <w:p w14:paraId="6F238EBA" w14:textId="4133DEDB" w:rsidR="00EA0664" w:rsidRPr="00D65D8C" w:rsidRDefault="00EA0664" w:rsidP="00EA0664">
            <w:pPr>
              <w:rPr>
                <w:sz w:val="20"/>
                <w:szCs w:val="20"/>
              </w:rPr>
            </w:pPr>
            <w:r w:rsidRPr="00D65D8C">
              <w:rPr>
                <w:sz w:val="20"/>
                <w:szCs w:val="20"/>
              </w:rPr>
              <w:t>CP - Counterparty</w:t>
            </w:r>
          </w:p>
        </w:tc>
        <w:tc>
          <w:tcPr>
            <w:tcW w:w="3670" w:type="dxa"/>
          </w:tcPr>
          <w:p w14:paraId="422773AD" w14:textId="015F0913" w:rsidR="00EA0664" w:rsidRPr="00D65D8C" w:rsidRDefault="00825412">
            <w:pPr>
              <w:rPr>
                <w:sz w:val="20"/>
                <w:szCs w:val="20"/>
              </w:rPr>
            </w:pPr>
            <w:r w:rsidRPr="00D65D8C">
              <w:rPr>
                <w:sz w:val="20"/>
                <w:szCs w:val="20"/>
              </w:rPr>
              <w:t>NTE - Net Termination Exposure</w:t>
            </w:r>
          </w:p>
        </w:tc>
        <w:tc>
          <w:tcPr>
            <w:tcW w:w="3567" w:type="dxa"/>
          </w:tcPr>
          <w:p w14:paraId="7E8D824B" w14:textId="1289F7E9" w:rsidR="00EA0664" w:rsidRPr="00D65D8C" w:rsidRDefault="00825412">
            <w:pPr>
              <w:rPr>
                <w:sz w:val="20"/>
                <w:szCs w:val="20"/>
              </w:rPr>
            </w:pPr>
            <w:r w:rsidRPr="00D65D8C">
              <w:rPr>
                <w:sz w:val="20"/>
                <w:szCs w:val="20"/>
              </w:rPr>
              <w:t>PPA - Power Purchase Agreement</w:t>
            </w:r>
          </w:p>
        </w:tc>
      </w:tr>
      <w:tr w:rsidR="00EA0664" w14:paraId="60275590" w14:textId="77777777" w:rsidTr="0038504C">
        <w:tc>
          <w:tcPr>
            <w:tcW w:w="3669" w:type="dxa"/>
          </w:tcPr>
          <w:p w14:paraId="6114DCD4" w14:textId="6DA68D42" w:rsidR="00EA0664" w:rsidRPr="00D65D8C" w:rsidRDefault="00825412">
            <w:pPr>
              <w:rPr>
                <w:sz w:val="20"/>
                <w:szCs w:val="20"/>
              </w:rPr>
            </w:pPr>
            <w:r w:rsidRPr="00D65D8C">
              <w:rPr>
                <w:sz w:val="20"/>
                <w:szCs w:val="20"/>
              </w:rPr>
              <w:t>or PEI is obligated to the CP.</w:t>
            </w:r>
          </w:p>
        </w:tc>
        <w:tc>
          <w:tcPr>
            <w:tcW w:w="3669" w:type="dxa"/>
          </w:tcPr>
          <w:p w14:paraId="7868A0F5" w14:textId="0BFD61B6" w:rsidR="00EA0664" w:rsidRPr="00D65D8C" w:rsidRDefault="00EA0664">
            <w:pPr>
              <w:rPr>
                <w:sz w:val="20"/>
                <w:szCs w:val="20"/>
              </w:rPr>
            </w:pPr>
            <w:r w:rsidRPr="00D65D8C">
              <w:rPr>
                <w:sz w:val="20"/>
                <w:szCs w:val="20"/>
              </w:rPr>
              <w:t>CSP - Credit Support Provider</w:t>
            </w:r>
          </w:p>
        </w:tc>
        <w:tc>
          <w:tcPr>
            <w:tcW w:w="3670" w:type="dxa"/>
          </w:tcPr>
          <w:p w14:paraId="60F3BF14" w14:textId="09308ED9" w:rsidR="00EA0664" w:rsidRPr="00D65D8C" w:rsidRDefault="00825412">
            <w:pPr>
              <w:rPr>
                <w:sz w:val="20"/>
                <w:szCs w:val="20"/>
              </w:rPr>
            </w:pPr>
            <w:r w:rsidRPr="00D65D8C">
              <w:rPr>
                <w:sz w:val="20"/>
                <w:szCs w:val="20"/>
              </w:rPr>
              <w:t>PCG - Parental Company Guarantee</w:t>
            </w:r>
          </w:p>
        </w:tc>
        <w:tc>
          <w:tcPr>
            <w:tcW w:w="3567" w:type="dxa"/>
          </w:tcPr>
          <w:p w14:paraId="01F647A6" w14:textId="1C692A52" w:rsidR="00EA0664" w:rsidRPr="00D65D8C" w:rsidRDefault="00825412">
            <w:pPr>
              <w:rPr>
                <w:sz w:val="20"/>
                <w:szCs w:val="20"/>
              </w:rPr>
            </w:pPr>
            <w:r w:rsidRPr="00D65D8C">
              <w:rPr>
                <w:sz w:val="20"/>
                <w:szCs w:val="20"/>
              </w:rPr>
              <w:t>SO - System Offices</w:t>
            </w:r>
          </w:p>
        </w:tc>
      </w:tr>
      <w:tr w:rsidR="00EA0664" w14:paraId="2ABB9CEB" w14:textId="77777777" w:rsidTr="0038504C">
        <w:tc>
          <w:tcPr>
            <w:tcW w:w="3669" w:type="dxa"/>
          </w:tcPr>
          <w:p w14:paraId="600A603C" w14:textId="093870CA" w:rsidR="00EA0664" w:rsidRPr="00D65D8C" w:rsidRDefault="00825412">
            <w:pPr>
              <w:rPr>
                <w:sz w:val="20"/>
                <w:szCs w:val="20"/>
              </w:rPr>
            </w:pPr>
            <w:r w:rsidRPr="00D65D8C">
              <w:rPr>
                <w:sz w:val="20"/>
                <w:szCs w:val="20"/>
              </w:rPr>
              <w:t>(transaction is "underwater").</w:t>
            </w:r>
          </w:p>
        </w:tc>
        <w:tc>
          <w:tcPr>
            <w:tcW w:w="3669" w:type="dxa"/>
          </w:tcPr>
          <w:p w14:paraId="091AD65C" w14:textId="02CC41B3" w:rsidR="00EA0664" w:rsidRPr="00D65D8C" w:rsidRDefault="00EA0664">
            <w:pPr>
              <w:rPr>
                <w:sz w:val="20"/>
                <w:szCs w:val="20"/>
              </w:rPr>
            </w:pPr>
            <w:r w:rsidRPr="00D65D8C">
              <w:rPr>
                <w:sz w:val="20"/>
                <w:szCs w:val="20"/>
              </w:rPr>
              <w:t>DUP - Derivatives Use Policy</w:t>
            </w:r>
          </w:p>
        </w:tc>
        <w:tc>
          <w:tcPr>
            <w:tcW w:w="3670" w:type="dxa"/>
          </w:tcPr>
          <w:p w14:paraId="659E44DC" w14:textId="2BF04248" w:rsidR="00EA0664" w:rsidRPr="00D65D8C" w:rsidRDefault="00825412">
            <w:pPr>
              <w:rPr>
                <w:sz w:val="20"/>
                <w:szCs w:val="20"/>
              </w:rPr>
            </w:pPr>
            <w:r w:rsidRPr="00D65D8C">
              <w:rPr>
                <w:sz w:val="20"/>
                <w:szCs w:val="20"/>
              </w:rPr>
              <w:t>PEI - Prairieland Energy Inc.</w:t>
            </w:r>
          </w:p>
        </w:tc>
        <w:tc>
          <w:tcPr>
            <w:tcW w:w="3567" w:type="dxa"/>
          </w:tcPr>
          <w:p w14:paraId="03C4AA08" w14:textId="260F85B1" w:rsidR="00EA0664" w:rsidRPr="00D65D8C" w:rsidRDefault="00825412">
            <w:pPr>
              <w:rPr>
                <w:sz w:val="20"/>
                <w:szCs w:val="20"/>
              </w:rPr>
            </w:pPr>
            <w:r w:rsidRPr="00D65D8C">
              <w:rPr>
                <w:sz w:val="20"/>
                <w:szCs w:val="20"/>
              </w:rPr>
              <w:t>WR - Withdrawn Rating</w:t>
            </w:r>
          </w:p>
        </w:tc>
      </w:tr>
      <w:tr w:rsidR="00EA0664" w14:paraId="4C3CD30C" w14:textId="77777777" w:rsidTr="0038504C">
        <w:tc>
          <w:tcPr>
            <w:tcW w:w="3669" w:type="dxa"/>
          </w:tcPr>
          <w:p w14:paraId="7A7FBD0F" w14:textId="77777777" w:rsidR="00EA0664" w:rsidRPr="00D65D8C" w:rsidRDefault="00EA0664">
            <w:pPr>
              <w:rPr>
                <w:sz w:val="20"/>
                <w:szCs w:val="20"/>
              </w:rPr>
            </w:pPr>
          </w:p>
        </w:tc>
        <w:tc>
          <w:tcPr>
            <w:tcW w:w="3669" w:type="dxa"/>
          </w:tcPr>
          <w:p w14:paraId="1184D28D" w14:textId="72EF6FC4" w:rsidR="00EA0664" w:rsidRPr="00D65D8C" w:rsidRDefault="00EA0664">
            <w:pPr>
              <w:rPr>
                <w:sz w:val="20"/>
                <w:szCs w:val="20"/>
              </w:rPr>
            </w:pPr>
            <w:r w:rsidRPr="00D65D8C">
              <w:rPr>
                <w:sz w:val="20"/>
                <w:szCs w:val="20"/>
              </w:rPr>
              <w:t>LOC - Letter of Credit</w:t>
            </w:r>
          </w:p>
        </w:tc>
        <w:tc>
          <w:tcPr>
            <w:tcW w:w="3670" w:type="dxa"/>
          </w:tcPr>
          <w:p w14:paraId="2F8E267E" w14:textId="77777777" w:rsidR="00EA0664" w:rsidRPr="00D65D8C" w:rsidRDefault="00EA0664">
            <w:pPr>
              <w:rPr>
                <w:sz w:val="20"/>
                <w:szCs w:val="20"/>
              </w:rPr>
            </w:pPr>
          </w:p>
        </w:tc>
        <w:tc>
          <w:tcPr>
            <w:tcW w:w="3567" w:type="dxa"/>
          </w:tcPr>
          <w:p w14:paraId="7B677D3F" w14:textId="77777777" w:rsidR="00EA0664" w:rsidRPr="00D65D8C" w:rsidRDefault="00EA0664">
            <w:pPr>
              <w:rPr>
                <w:sz w:val="20"/>
                <w:szCs w:val="20"/>
              </w:rPr>
            </w:pPr>
          </w:p>
        </w:tc>
      </w:tr>
    </w:tbl>
    <w:p w14:paraId="058763A3" w14:textId="36061FEF" w:rsidR="0026621D" w:rsidRDefault="0026621D">
      <w:pPr>
        <w:rPr>
          <w:sz w:val="18"/>
          <w:szCs w:val="18"/>
        </w:rPr>
      </w:pPr>
    </w:p>
    <w:p w14:paraId="131F4D61" w14:textId="77777777" w:rsidR="005071FF" w:rsidRDefault="005071FF">
      <w:pPr>
        <w:rPr>
          <w:sz w:val="18"/>
          <w:szCs w:val="18"/>
        </w:rPr>
      </w:pPr>
    </w:p>
    <w:p w14:paraId="69E5448A" w14:textId="77777777" w:rsidR="005071FF" w:rsidRPr="00D65D8C" w:rsidRDefault="005071FF">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8"/>
      </w:tblGrid>
      <w:tr w:rsidR="00EA0664" w14:paraId="6A3FFAB3" w14:textId="77777777" w:rsidTr="0074072F">
        <w:tc>
          <w:tcPr>
            <w:tcW w:w="14678" w:type="dxa"/>
          </w:tcPr>
          <w:p w14:paraId="16D6D7A8" w14:textId="77777777" w:rsidR="00D65D8C" w:rsidRDefault="00EA0664" w:rsidP="00D65D8C">
            <w:pPr>
              <w:rPr>
                <w:b/>
                <w:bCs/>
              </w:rPr>
            </w:pPr>
            <w:r w:rsidRPr="00D37153">
              <w:rPr>
                <w:b/>
                <w:bCs/>
              </w:rPr>
              <w:t>Footnotes:</w:t>
            </w:r>
          </w:p>
          <w:p w14:paraId="607E5998" w14:textId="7A3A23BD" w:rsidR="005071FF" w:rsidRPr="00EA0664" w:rsidRDefault="005071FF" w:rsidP="00D65D8C">
            <w:pPr>
              <w:rPr>
                <w:b/>
                <w:bCs/>
                <w:sz w:val="20"/>
                <w:szCs w:val="20"/>
              </w:rPr>
            </w:pPr>
          </w:p>
        </w:tc>
      </w:tr>
      <w:tr w:rsidR="00EA0664" w14:paraId="0FF476E0" w14:textId="77777777" w:rsidTr="0074072F">
        <w:tc>
          <w:tcPr>
            <w:tcW w:w="14678" w:type="dxa"/>
          </w:tcPr>
          <w:p w14:paraId="597736B9" w14:textId="35D89F80" w:rsidR="00EA0664" w:rsidRPr="00D65D8C" w:rsidRDefault="0071084D" w:rsidP="00D65D8C">
            <w:pPr>
              <w:jc w:val="both"/>
            </w:pPr>
            <w:r>
              <w:t>(</w:t>
            </w:r>
            <w:r w:rsidR="00D65D8C" w:rsidRPr="00D65D8C">
              <w:t xml:space="preserve">1) </w:t>
            </w:r>
            <w:r>
              <w:t xml:space="preserve"> </w:t>
            </w:r>
            <w:r w:rsidR="00EA0664" w:rsidRPr="00D65D8C">
              <w:t>Policy exceptions approved by the CFO for Agriculture Property Services (APS) forward grain sales include release from counterparty credit rating, contract form, and monthly reporting requirements. APS reported $</w:t>
            </w:r>
            <w:r w:rsidR="005564A6">
              <w:t>0.00</w:t>
            </w:r>
            <w:r w:rsidR="00EA0664" w:rsidRPr="00D65D8C">
              <w:t xml:space="preserve"> in outstanding forward sales contracts as of </w:t>
            </w:r>
            <w:r w:rsidR="00DB1096">
              <w:t>0</w:t>
            </w:r>
            <w:r w:rsidR="00727267">
              <w:t>5</w:t>
            </w:r>
            <w:r w:rsidR="00EA0664" w:rsidRPr="00D65D8C">
              <w:t>/</w:t>
            </w:r>
            <w:r w:rsidR="00C05E07">
              <w:t>3</w:t>
            </w:r>
            <w:r w:rsidR="00727267">
              <w:t>1</w:t>
            </w:r>
            <w:r w:rsidR="00EA0664" w:rsidRPr="00D65D8C">
              <w:t>/202</w:t>
            </w:r>
            <w:r w:rsidR="00DB1096">
              <w:t>4</w:t>
            </w:r>
            <w:r w:rsidR="00EA0664" w:rsidRPr="00D65D8C">
              <w:t>.</w:t>
            </w:r>
          </w:p>
          <w:p w14:paraId="3381A71B" w14:textId="35252ED4" w:rsidR="00D65D8C" w:rsidRPr="00D65D8C" w:rsidRDefault="00D65D8C" w:rsidP="00D65D8C">
            <w:pPr>
              <w:jc w:val="both"/>
            </w:pPr>
          </w:p>
        </w:tc>
      </w:tr>
      <w:tr w:rsidR="00EA0664" w14:paraId="66E062D2" w14:textId="77777777" w:rsidTr="0074072F">
        <w:tc>
          <w:tcPr>
            <w:tcW w:w="14678" w:type="dxa"/>
          </w:tcPr>
          <w:p w14:paraId="5BD7D4DA" w14:textId="267197F4" w:rsidR="00EA0664" w:rsidRPr="00D65D8C" w:rsidRDefault="0071084D" w:rsidP="00D37153">
            <w:pPr>
              <w:jc w:val="both"/>
            </w:pPr>
            <w:r>
              <w:t>(</w:t>
            </w:r>
            <w:r w:rsidR="00EA0664" w:rsidRPr="00D65D8C">
              <w:t xml:space="preserve">2)  In Dec 2015, UIUC issued a Power Purchase Agreement (PPA) in conjunction with their Solar Farm I. ERM learned of the PPA in July 2019 and began reporting the derivative Oct 2019.  Since there is no CP risk, a policy exception was approved by the CFO for (a) minimum </w:t>
            </w:r>
            <w:r w:rsidR="000D333A" w:rsidRPr="00D65D8C">
              <w:t>CP</w:t>
            </w:r>
            <w:r w:rsidR="00EA0664" w:rsidRPr="00D65D8C">
              <w:t xml:space="preserve"> credit rating requirement, (b) required parental guarantee or LOC, and (c) minimum market capitalization requirement.</w:t>
            </w:r>
          </w:p>
          <w:p w14:paraId="30812E77" w14:textId="115D26A4" w:rsidR="00D65D8C" w:rsidRPr="00D65D8C" w:rsidRDefault="00D65D8C" w:rsidP="00D37153">
            <w:pPr>
              <w:jc w:val="both"/>
            </w:pPr>
          </w:p>
        </w:tc>
      </w:tr>
      <w:tr w:rsidR="00EA0664" w14:paraId="1CCFC94A" w14:textId="77777777" w:rsidTr="0074072F">
        <w:tc>
          <w:tcPr>
            <w:tcW w:w="14678" w:type="dxa"/>
          </w:tcPr>
          <w:p w14:paraId="74FE85A5" w14:textId="77777777" w:rsidR="00EA0664" w:rsidRPr="00D65D8C" w:rsidRDefault="00EA0664" w:rsidP="00D37153">
            <w:pPr>
              <w:jc w:val="both"/>
            </w:pPr>
            <w:r w:rsidRPr="00D65D8C">
              <w:t>(3)  Policy exceptions approved by the CFO for PEI include less restrictive CP credit rating for forward purchases and corresponding collateral requirements. For physical transactions, allows for unrated CP to qualify with LOC.</w:t>
            </w:r>
          </w:p>
          <w:p w14:paraId="493BF917" w14:textId="435434BD" w:rsidR="00D65D8C" w:rsidRPr="00D65D8C" w:rsidRDefault="00D65D8C" w:rsidP="00D37153">
            <w:pPr>
              <w:jc w:val="both"/>
            </w:pPr>
          </w:p>
        </w:tc>
      </w:tr>
      <w:tr w:rsidR="00EA0664" w14:paraId="7A97D352" w14:textId="77777777" w:rsidTr="0074072F">
        <w:tc>
          <w:tcPr>
            <w:tcW w:w="14678" w:type="dxa"/>
          </w:tcPr>
          <w:p w14:paraId="0C59CB02" w14:textId="77777777" w:rsidR="00EA0664" w:rsidRPr="00D65D8C" w:rsidRDefault="00EA0664" w:rsidP="00D37153">
            <w:pPr>
              <w:jc w:val="both"/>
            </w:pPr>
            <w:r w:rsidRPr="00D65D8C">
              <w:t>(4)  On 10/3/19, a CP Exception for Urbana Solar Farm 2.0 was approved by the PEI Treasurer qualifying Northern Cardinal Solar SCSI IL 1, LLC (NCS) as a counterparty to be assigned the Power Purchase Agreement (PPA) for Solar Farm 2.0 from Sol Systems, LLC. This exception also qualified Capital Dynamics Clean Energy and Infrastructure VII JV, LLC as the guarantor for NCS. This exception also approved the PPA requirement for any unrated successor guarantor to qualify with $100 million in tangible net worth. Contract term to 2/2/2041. CD Clean Energy and Infrastructure VII JV (InvestCo), LLC changed their name to “Arevon Energy InvestCo VII, LLC” and, notwithstanding such name change, all obligations of Guarantor under the Guaranty remain unchanged and in full force and effect.</w:t>
            </w:r>
          </w:p>
          <w:p w14:paraId="6A69DEDE" w14:textId="685A58F7" w:rsidR="00D65D8C" w:rsidRPr="00D65D8C" w:rsidRDefault="00D65D8C" w:rsidP="00D37153">
            <w:pPr>
              <w:jc w:val="both"/>
            </w:pPr>
          </w:p>
        </w:tc>
      </w:tr>
      <w:tr w:rsidR="00EA0664" w14:paraId="77C7025E" w14:textId="77777777" w:rsidTr="0074072F">
        <w:tc>
          <w:tcPr>
            <w:tcW w:w="14678" w:type="dxa"/>
          </w:tcPr>
          <w:p w14:paraId="4F805BD0" w14:textId="15E6F5D7" w:rsidR="00EA0664" w:rsidRPr="00D65D8C" w:rsidRDefault="00EA0664" w:rsidP="00D37153">
            <w:pPr>
              <w:jc w:val="both"/>
            </w:pPr>
            <w:r w:rsidRPr="00D65D8C">
              <w:t xml:space="preserve">(5)  </w:t>
            </w:r>
            <w:r w:rsidR="00DB1096" w:rsidRPr="00DB1096">
              <w:t>Contracted hedge prices on gas and electricity remain favorable to market prices overall.  The natural gas storage balances were 110 Bcf higher than last year at this time and 142 Bcf above the 5-year average, combined with a milder 2023-2024 winter, resulting in lower near-term natural gas prices. Natural Gas prices remain elevated in outer years due to global impacts and forecasted demand. Due to the correlation of electricity prices to natural gas prices, electricity prices have also decreased in the near term, but remain higher in the outer years due to the expected cost of electric generation from natural gas and the forecasted increase in demand.</w:t>
            </w:r>
          </w:p>
          <w:p w14:paraId="2D92E77A" w14:textId="2A893ACA" w:rsidR="00D65D8C" w:rsidRPr="00D65D8C" w:rsidRDefault="00D65D8C" w:rsidP="00D37153">
            <w:pPr>
              <w:jc w:val="both"/>
            </w:pPr>
          </w:p>
        </w:tc>
      </w:tr>
      <w:tr w:rsidR="00EA0664" w14:paraId="2075A69A" w14:textId="77777777" w:rsidTr="0074072F">
        <w:tc>
          <w:tcPr>
            <w:tcW w:w="14678" w:type="dxa"/>
          </w:tcPr>
          <w:p w14:paraId="39A4E903" w14:textId="1941B337" w:rsidR="0071084D" w:rsidRDefault="00EA0664" w:rsidP="00D37153">
            <w:pPr>
              <w:jc w:val="both"/>
            </w:pPr>
            <w:r w:rsidRPr="00D65D8C">
              <w:t xml:space="preserve">(6) </w:t>
            </w:r>
            <w:r w:rsidR="00DA215B" w:rsidRPr="00DA215B">
              <w:t>Exposure to a CP is determined by the NTE value net of collateral and limited based on CP credit rating. The PEI policy accepts $10M exposure on BBB/Baa category versus the University policy limit of $0 on the same rating category. The PEI exposure limit difference to the university policy is an approved policy exception. DTE</w:t>
            </w:r>
            <w:r w:rsidR="005564A6">
              <w:t xml:space="preserve"> </w:t>
            </w:r>
            <w:r w:rsidR="00DA215B" w:rsidRPr="00DA215B">
              <w:t>and Constellation, in the BBB/Baa category, currently have negative NTE, meaning the University would pay the NTE to the CP if the contract ended.</w:t>
            </w:r>
            <w:r w:rsidR="00727267">
              <w:t xml:space="preserve"> </w:t>
            </w:r>
            <w:r w:rsidR="00727267" w:rsidRPr="00727267">
              <w:t>Those CPs in the BBB/Baa category that exceed the University policy exposure limit but are still within the PEI limit include AEP $0.01.</w:t>
            </w:r>
            <w:r w:rsidR="00DA215B" w:rsidRPr="00DA215B">
              <w:t xml:space="preserve"> </w:t>
            </w:r>
          </w:p>
          <w:p w14:paraId="05015DBC" w14:textId="1D4EB3D3" w:rsidR="00DA215B" w:rsidRPr="00D65D8C" w:rsidRDefault="00DA215B" w:rsidP="00D37153">
            <w:pPr>
              <w:jc w:val="both"/>
            </w:pPr>
          </w:p>
        </w:tc>
      </w:tr>
      <w:tr w:rsidR="0071084D" w14:paraId="42A39945" w14:textId="77777777" w:rsidTr="0074072F">
        <w:tc>
          <w:tcPr>
            <w:tcW w:w="14678" w:type="dxa"/>
          </w:tcPr>
          <w:p w14:paraId="521C30AF" w14:textId="77777777" w:rsidR="0071084D" w:rsidRDefault="0071084D" w:rsidP="00D37153">
            <w:pPr>
              <w:jc w:val="both"/>
            </w:pPr>
            <w:r>
              <w:t xml:space="preserve">(7) </w:t>
            </w:r>
            <w:r w:rsidRPr="0071084D">
              <w:t>Since counterparty risk es expected to be low, a Counterparty Exception was approved by the PEI Treasurer on 11/2/23 to qualify Interstate Gas Supply, LLC (IGS) as a supply counterparty for natural gas to thirty-six (36) Peoples gas accounts at UIC. Also approved a "no collateral requirement" to offset the University's NTE.</w:t>
            </w:r>
          </w:p>
          <w:p w14:paraId="5F614C45" w14:textId="77777777" w:rsidR="00AC2089" w:rsidRDefault="00AC2089" w:rsidP="00D37153">
            <w:pPr>
              <w:jc w:val="both"/>
            </w:pPr>
          </w:p>
          <w:p w14:paraId="5811EC50" w14:textId="1009E394" w:rsidR="00AC2089" w:rsidRPr="00D65D8C" w:rsidRDefault="00AC2089" w:rsidP="00D37153">
            <w:pPr>
              <w:jc w:val="both"/>
            </w:pPr>
          </w:p>
        </w:tc>
      </w:tr>
    </w:tbl>
    <w:p w14:paraId="065E937E" w14:textId="77777777" w:rsidR="00AC2089" w:rsidRPr="00AC2089" w:rsidRDefault="00AC2089" w:rsidP="00AC2089">
      <w:pPr>
        <w:pBdr>
          <w:top w:val="single" w:sz="4" w:space="1" w:color="auto"/>
          <w:left w:val="single" w:sz="4" w:space="4" w:color="auto"/>
          <w:bottom w:val="single" w:sz="4" w:space="1" w:color="auto"/>
          <w:right w:val="single" w:sz="4" w:space="0" w:color="auto"/>
        </w:pBdr>
        <w:spacing w:after="0" w:line="276" w:lineRule="auto"/>
        <w:ind w:right="10368"/>
        <w:jc w:val="both"/>
        <w:rPr>
          <w:rFonts w:ascii="Times New Roman" w:eastAsia="Times New Roman" w:hAnsi="Times New Roman" w:cs="Times New Roman"/>
          <w:color w:val="2F5597"/>
          <w:sz w:val="26"/>
          <w:szCs w:val="20"/>
        </w:rPr>
      </w:pPr>
      <w:bookmarkStart w:id="0" w:name="_Hlk77839959"/>
      <w:bookmarkStart w:id="1" w:name="_Hlk93577479"/>
      <w:r w:rsidRPr="00AC2089">
        <w:rPr>
          <w:rFonts w:ascii="Times New Roman" w:eastAsia="Times New Roman" w:hAnsi="Times New Roman" w:cs="Times New Roman"/>
          <w:color w:val="2F5597"/>
          <w:sz w:val="26"/>
          <w:szCs w:val="20"/>
        </w:rPr>
        <w:t>Reported to the Board of Trustees</w:t>
      </w:r>
    </w:p>
    <w:bookmarkEnd w:id="0"/>
    <w:bookmarkEnd w:id="1"/>
    <w:p w14:paraId="754CF940" w14:textId="746D19DD" w:rsidR="00AC2089" w:rsidRPr="00AC2089" w:rsidRDefault="00425FF3" w:rsidP="00AC2089">
      <w:pPr>
        <w:pBdr>
          <w:top w:val="single" w:sz="4" w:space="1" w:color="auto"/>
          <w:left w:val="single" w:sz="4" w:space="4" w:color="auto"/>
          <w:bottom w:val="single" w:sz="4" w:space="1" w:color="auto"/>
          <w:right w:val="single" w:sz="4" w:space="0" w:color="auto"/>
        </w:pBdr>
        <w:overflowPunct w:val="0"/>
        <w:spacing w:after="0" w:line="240" w:lineRule="auto"/>
        <w:ind w:right="10368"/>
        <w:rPr>
          <w:rFonts w:ascii="Times New Roman" w:eastAsia="Times New Roman" w:hAnsi="Times New Roman" w:cs="Times New Roman"/>
          <w:color w:val="2F5597"/>
          <w:sz w:val="26"/>
          <w:szCs w:val="20"/>
        </w:rPr>
      </w:pPr>
      <w:r>
        <w:rPr>
          <w:rFonts w:ascii="Times New Roman" w:eastAsia="Times New Roman" w:hAnsi="Times New Roman" w:cs="Times New Roman"/>
          <w:color w:val="2F5597"/>
          <w:sz w:val="26"/>
          <w:szCs w:val="20"/>
        </w:rPr>
        <w:t>July 11</w:t>
      </w:r>
      <w:r w:rsidR="00AC2089" w:rsidRPr="00AC2089">
        <w:rPr>
          <w:rFonts w:ascii="Times New Roman" w:eastAsia="Times New Roman" w:hAnsi="Times New Roman" w:cs="Times New Roman"/>
          <w:color w:val="2F5597"/>
          <w:sz w:val="26"/>
          <w:szCs w:val="20"/>
        </w:rPr>
        <w:t>, 2024</w:t>
      </w:r>
    </w:p>
    <w:p w14:paraId="1DB407A0" w14:textId="77777777" w:rsidR="00EA0664" w:rsidRPr="00AB662C" w:rsidRDefault="00EA0664" w:rsidP="00832FEE">
      <w:pPr>
        <w:rPr>
          <w:sz w:val="20"/>
          <w:szCs w:val="20"/>
        </w:rPr>
      </w:pPr>
    </w:p>
    <w:sectPr w:rsidR="00EA0664" w:rsidRPr="00AB662C" w:rsidSect="004E771B">
      <w:headerReference w:type="default" r:id="rId10"/>
      <w:footerReference w:type="default" r:id="rId11"/>
      <w:headerReference w:type="first" r:id="rId12"/>
      <w:pgSz w:w="15840" w:h="12240" w:orient="landscape" w:code="1"/>
      <w:pgMar w:top="504" w:right="576" w:bottom="396" w:left="576"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DAE10" w14:textId="77777777" w:rsidR="00D363D5" w:rsidRDefault="00D363D5" w:rsidP="004E399D">
      <w:pPr>
        <w:spacing w:after="0" w:line="240" w:lineRule="auto"/>
      </w:pPr>
      <w:r>
        <w:separator/>
      </w:r>
    </w:p>
  </w:endnote>
  <w:endnote w:type="continuationSeparator" w:id="0">
    <w:p w14:paraId="02894F34" w14:textId="77777777" w:rsidR="00D363D5" w:rsidRDefault="00D363D5" w:rsidP="004E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946533809"/>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595FEF93" w14:textId="77070802" w:rsidR="00383E1E" w:rsidRPr="00383E1E" w:rsidRDefault="00383E1E">
            <w:pPr>
              <w:pStyle w:val="Footer"/>
              <w:jc w:val="center"/>
              <w:rPr>
                <w:sz w:val="16"/>
                <w:szCs w:val="16"/>
              </w:rPr>
            </w:pPr>
            <w:r w:rsidRPr="00383E1E">
              <w:rPr>
                <w:sz w:val="16"/>
                <w:szCs w:val="16"/>
              </w:rPr>
              <w:t xml:space="preserve">Page </w:t>
            </w:r>
            <w:r w:rsidRPr="00383E1E">
              <w:rPr>
                <w:b/>
                <w:bCs/>
                <w:sz w:val="16"/>
                <w:szCs w:val="16"/>
              </w:rPr>
              <w:fldChar w:fldCharType="begin"/>
            </w:r>
            <w:r w:rsidRPr="00383E1E">
              <w:rPr>
                <w:b/>
                <w:bCs/>
                <w:sz w:val="16"/>
                <w:szCs w:val="16"/>
              </w:rPr>
              <w:instrText xml:space="preserve"> PAGE </w:instrText>
            </w:r>
            <w:r w:rsidRPr="00383E1E">
              <w:rPr>
                <w:b/>
                <w:bCs/>
                <w:sz w:val="16"/>
                <w:szCs w:val="16"/>
              </w:rPr>
              <w:fldChar w:fldCharType="separate"/>
            </w:r>
            <w:r w:rsidRPr="00383E1E">
              <w:rPr>
                <w:b/>
                <w:bCs/>
                <w:noProof/>
                <w:sz w:val="16"/>
                <w:szCs w:val="16"/>
              </w:rPr>
              <w:t>2</w:t>
            </w:r>
            <w:r w:rsidRPr="00383E1E">
              <w:rPr>
                <w:b/>
                <w:bCs/>
                <w:sz w:val="16"/>
                <w:szCs w:val="16"/>
              </w:rPr>
              <w:fldChar w:fldCharType="end"/>
            </w:r>
            <w:r w:rsidRPr="00383E1E">
              <w:rPr>
                <w:sz w:val="16"/>
                <w:szCs w:val="16"/>
              </w:rPr>
              <w:t xml:space="preserve"> of </w:t>
            </w:r>
            <w:r w:rsidRPr="00383E1E">
              <w:rPr>
                <w:b/>
                <w:bCs/>
                <w:sz w:val="16"/>
                <w:szCs w:val="16"/>
              </w:rPr>
              <w:fldChar w:fldCharType="begin"/>
            </w:r>
            <w:r w:rsidRPr="00383E1E">
              <w:rPr>
                <w:b/>
                <w:bCs/>
                <w:sz w:val="16"/>
                <w:szCs w:val="16"/>
              </w:rPr>
              <w:instrText xml:space="preserve"> NUMPAGES  </w:instrText>
            </w:r>
            <w:r w:rsidRPr="00383E1E">
              <w:rPr>
                <w:b/>
                <w:bCs/>
                <w:sz w:val="16"/>
                <w:szCs w:val="16"/>
              </w:rPr>
              <w:fldChar w:fldCharType="separate"/>
            </w:r>
            <w:r w:rsidRPr="00383E1E">
              <w:rPr>
                <w:b/>
                <w:bCs/>
                <w:noProof/>
                <w:sz w:val="16"/>
                <w:szCs w:val="16"/>
              </w:rPr>
              <w:t>2</w:t>
            </w:r>
            <w:r w:rsidRPr="00383E1E">
              <w:rPr>
                <w:b/>
                <w:bCs/>
                <w:sz w:val="16"/>
                <w:szCs w:val="16"/>
              </w:rPr>
              <w:fldChar w:fldCharType="end"/>
            </w:r>
          </w:p>
        </w:sdtContent>
      </w:sdt>
    </w:sdtContent>
  </w:sdt>
  <w:p w14:paraId="72DD82BA" w14:textId="77777777" w:rsidR="00C50B04" w:rsidRPr="00832FEE" w:rsidRDefault="00C50B04">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61FEFE" w14:textId="77777777" w:rsidR="00D363D5" w:rsidRDefault="00D363D5" w:rsidP="004E399D">
      <w:pPr>
        <w:spacing w:after="0" w:line="240" w:lineRule="auto"/>
      </w:pPr>
      <w:r>
        <w:separator/>
      </w:r>
    </w:p>
  </w:footnote>
  <w:footnote w:type="continuationSeparator" w:id="0">
    <w:p w14:paraId="3D89484E" w14:textId="77777777" w:rsidR="00D363D5" w:rsidRDefault="00D363D5" w:rsidP="004E3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311B9" w14:textId="69646342" w:rsidR="004E399D" w:rsidRDefault="004E399D">
    <w:pPr>
      <w:pStyle w:val="Header"/>
    </w:pPr>
    <w:r>
      <w:t>University Of Illinois System</w:t>
    </w:r>
    <w:r>
      <w:tab/>
      <w:t xml:space="preserve">                                                                       </w:t>
    </w:r>
    <w:r w:rsidRPr="004E399D">
      <w:rPr>
        <w:b/>
        <w:bCs/>
        <w:sz w:val="24"/>
        <w:szCs w:val="24"/>
      </w:rPr>
      <w:t>Derivatives Dashboard</w:t>
    </w:r>
    <w:r>
      <w:tab/>
    </w:r>
    <w:r>
      <w:tab/>
    </w:r>
    <w:r>
      <w:tab/>
    </w:r>
    <w:r>
      <w:tab/>
    </w:r>
    <w:r>
      <w:tab/>
    </w:r>
    <w:r>
      <w:tab/>
      <w:t xml:space="preserve">           </w:t>
    </w:r>
    <w:r w:rsidR="004F4F2F">
      <w:t>0</w:t>
    </w:r>
    <w:r w:rsidR="00727267">
      <w:t>5</w:t>
    </w:r>
    <w:r>
      <w:t>/</w:t>
    </w:r>
    <w:r w:rsidR="004549A6">
      <w:t>3</w:t>
    </w:r>
    <w:r w:rsidR="00727267">
      <w:t>1</w:t>
    </w:r>
    <w:r>
      <w:t>/202</w:t>
    </w:r>
    <w:r w:rsidR="004F4F2F">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4E655" w14:textId="2C721185" w:rsidR="006443FF" w:rsidRDefault="006443FF" w:rsidP="006443FF">
    <w:pPr>
      <w:pStyle w:val="Header"/>
    </w:pPr>
    <w:r>
      <w:t>University Of Illinois System</w:t>
    </w:r>
    <w:r>
      <w:tab/>
      <w:t xml:space="preserve">                                                                       </w:t>
    </w:r>
    <w:r w:rsidRPr="004E399D">
      <w:rPr>
        <w:b/>
        <w:bCs/>
        <w:sz w:val="24"/>
        <w:szCs w:val="24"/>
      </w:rPr>
      <w:t>Derivatives Dashboard</w:t>
    </w:r>
    <w:r>
      <w:tab/>
    </w:r>
    <w:r>
      <w:tab/>
    </w:r>
    <w:r>
      <w:tab/>
    </w:r>
    <w:r>
      <w:tab/>
    </w:r>
    <w:r>
      <w:tab/>
    </w:r>
    <w:r>
      <w:tab/>
      <w:t xml:space="preserve">          </w:t>
    </w:r>
    <w:r w:rsidR="004F4F2F">
      <w:t>0</w:t>
    </w:r>
    <w:r w:rsidR="00727267">
      <w:t>5</w:t>
    </w:r>
    <w:r>
      <w:t>/</w:t>
    </w:r>
    <w:r w:rsidR="004549A6">
      <w:t>3</w:t>
    </w:r>
    <w:r w:rsidR="00727267">
      <w:t>1</w:t>
    </w:r>
    <w:r>
      <w:t>/202</w:t>
    </w:r>
    <w:r w:rsidR="004F4F2F">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4F0834"/>
    <w:multiLevelType w:val="hybridMultilevel"/>
    <w:tmpl w:val="0BA40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5960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598"/>
    <w:rsid w:val="000056F7"/>
    <w:rsid w:val="000145E8"/>
    <w:rsid w:val="00022F32"/>
    <w:rsid w:val="00025EE1"/>
    <w:rsid w:val="00033263"/>
    <w:rsid w:val="00035C4F"/>
    <w:rsid w:val="00072CAF"/>
    <w:rsid w:val="00080D36"/>
    <w:rsid w:val="000823CE"/>
    <w:rsid w:val="000911E0"/>
    <w:rsid w:val="0009417F"/>
    <w:rsid w:val="00095020"/>
    <w:rsid w:val="000A3E52"/>
    <w:rsid w:val="000A4326"/>
    <w:rsid w:val="000B2AB7"/>
    <w:rsid w:val="000B2D9C"/>
    <w:rsid w:val="000B3427"/>
    <w:rsid w:val="000B5667"/>
    <w:rsid w:val="000D333A"/>
    <w:rsid w:val="000E2E02"/>
    <w:rsid w:val="000E4C4A"/>
    <w:rsid w:val="000F01E6"/>
    <w:rsid w:val="00106A32"/>
    <w:rsid w:val="00110461"/>
    <w:rsid w:val="001309D4"/>
    <w:rsid w:val="00131D36"/>
    <w:rsid w:val="00136B67"/>
    <w:rsid w:val="001A6401"/>
    <w:rsid w:val="001D0842"/>
    <w:rsid w:val="001E0660"/>
    <w:rsid w:val="001E1AE6"/>
    <w:rsid w:val="001E527B"/>
    <w:rsid w:val="001F756A"/>
    <w:rsid w:val="00202062"/>
    <w:rsid w:val="002103F3"/>
    <w:rsid w:val="00227E7C"/>
    <w:rsid w:val="00233AAE"/>
    <w:rsid w:val="00241C05"/>
    <w:rsid w:val="00243F95"/>
    <w:rsid w:val="002553FD"/>
    <w:rsid w:val="0026621D"/>
    <w:rsid w:val="0026671E"/>
    <w:rsid w:val="00285A0F"/>
    <w:rsid w:val="002A01C2"/>
    <w:rsid w:val="002A31EC"/>
    <w:rsid w:val="002A7041"/>
    <w:rsid w:val="002C1A1F"/>
    <w:rsid w:val="002E6CBA"/>
    <w:rsid w:val="002F3B14"/>
    <w:rsid w:val="00302D2A"/>
    <w:rsid w:val="003223CB"/>
    <w:rsid w:val="00350DDF"/>
    <w:rsid w:val="00353E9C"/>
    <w:rsid w:val="00354CBC"/>
    <w:rsid w:val="0035687B"/>
    <w:rsid w:val="00383E1E"/>
    <w:rsid w:val="0038504C"/>
    <w:rsid w:val="003941B2"/>
    <w:rsid w:val="0039794B"/>
    <w:rsid w:val="003A110C"/>
    <w:rsid w:val="003B1275"/>
    <w:rsid w:val="003B12DB"/>
    <w:rsid w:val="003B18F2"/>
    <w:rsid w:val="003B1AC5"/>
    <w:rsid w:val="003B5F3A"/>
    <w:rsid w:val="003D2DA4"/>
    <w:rsid w:val="003D3CF0"/>
    <w:rsid w:val="003E1050"/>
    <w:rsid w:val="00407BDD"/>
    <w:rsid w:val="004174AA"/>
    <w:rsid w:val="004237DA"/>
    <w:rsid w:val="00425FF3"/>
    <w:rsid w:val="00432D49"/>
    <w:rsid w:val="00433B02"/>
    <w:rsid w:val="004547BB"/>
    <w:rsid w:val="004549A6"/>
    <w:rsid w:val="0048042E"/>
    <w:rsid w:val="00481948"/>
    <w:rsid w:val="00484EA3"/>
    <w:rsid w:val="0049098B"/>
    <w:rsid w:val="00495307"/>
    <w:rsid w:val="004B1C9A"/>
    <w:rsid w:val="004C1633"/>
    <w:rsid w:val="004D331C"/>
    <w:rsid w:val="004D3A32"/>
    <w:rsid w:val="004D5A36"/>
    <w:rsid w:val="004E399D"/>
    <w:rsid w:val="004E771B"/>
    <w:rsid w:val="004F4F2F"/>
    <w:rsid w:val="00500E88"/>
    <w:rsid w:val="005071FF"/>
    <w:rsid w:val="005138F4"/>
    <w:rsid w:val="00514670"/>
    <w:rsid w:val="00516DA2"/>
    <w:rsid w:val="00527465"/>
    <w:rsid w:val="00536AB7"/>
    <w:rsid w:val="00537B83"/>
    <w:rsid w:val="00540860"/>
    <w:rsid w:val="00541C00"/>
    <w:rsid w:val="00555351"/>
    <w:rsid w:val="005564A6"/>
    <w:rsid w:val="00565F7B"/>
    <w:rsid w:val="00566753"/>
    <w:rsid w:val="00576A56"/>
    <w:rsid w:val="005833DF"/>
    <w:rsid w:val="00587EA0"/>
    <w:rsid w:val="00590186"/>
    <w:rsid w:val="00590FBE"/>
    <w:rsid w:val="005A11BE"/>
    <w:rsid w:val="005C236A"/>
    <w:rsid w:val="005D0816"/>
    <w:rsid w:val="005D2C54"/>
    <w:rsid w:val="005E5748"/>
    <w:rsid w:val="00613049"/>
    <w:rsid w:val="006262F2"/>
    <w:rsid w:val="0063277C"/>
    <w:rsid w:val="0064024B"/>
    <w:rsid w:val="006439F6"/>
    <w:rsid w:val="006443FF"/>
    <w:rsid w:val="0065182B"/>
    <w:rsid w:val="00652C9F"/>
    <w:rsid w:val="006553CA"/>
    <w:rsid w:val="00673605"/>
    <w:rsid w:val="006B15CA"/>
    <w:rsid w:val="006C6E68"/>
    <w:rsid w:val="006D7B1E"/>
    <w:rsid w:val="006F166C"/>
    <w:rsid w:val="006F418B"/>
    <w:rsid w:val="007021C6"/>
    <w:rsid w:val="0071084D"/>
    <w:rsid w:val="007130CC"/>
    <w:rsid w:val="0071650E"/>
    <w:rsid w:val="00727267"/>
    <w:rsid w:val="00732338"/>
    <w:rsid w:val="0074072F"/>
    <w:rsid w:val="00757A46"/>
    <w:rsid w:val="00770487"/>
    <w:rsid w:val="00780017"/>
    <w:rsid w:val="0079569F"/>
    <w:rsid w:val="007A0CE4"/>
    <w:rsid w:val="007A39F4"/>
    <w:rsid w:val="007B2CAC"/>
    <w:rsid w:val="007B78A1"/>
    <w:rsid w:val="007D1E04"/>
    <w:rsid w:val="007D4242"/>
    <w:rsid w:val="007F3E05"/>
    <w:rsid w:val="007F4468"/>
    <w:rsid w:val="007F791C"/>
    <w:rsid w:val="00811026"/>
    <w:rsid w:val="00823953"/>
    <w:rsid w:val="00825412"/>
    <w:rsid w:val="00826EAA"/>
    <w:rsid w:val="00832FEE"/>
    <w:rsid w:val="008374F9"/>
    <w:rsid w:val="008400DA"/>
    <w:rsid w:val="00871528"/>
    <w:rsid w:val="00876DC0"/>
    <w:rsid w:val="008837BD"/>
    <w:rsid w:val="00885F36"/>
    <w:rsid w:val="00891238"/>
    <w:rsid w:val="008A2898"/>
    <w:rsid w:val="008B604D"/>
    <w:rsid w:val="008B6AD6"/>
    <w:rsid w:val="008C5740"/>
    <w:rsid w:val="008C5798"/>
    <w:rsid w:val="008D1740"/>
    <w:rsid w:val="008D45E0"/>
    <w:rsid w:val="008D70FB"/>
    <w:rsid w:val="008F0C86"/>
    <w:rsid w:val="008F1C4A"/>
    <w:rsid w:val="00922C99"/>
    <w:rsid w:val="009274E6"/>
    <w:rsid w:val="009326BD"/>
    <w:rsid w:val="00935C28"/>
    <w:rsid w:val="00954A0D"/>
    <w:rsid w:val="00955C6A"/>
    <w:rsid w:val="009661DB"/>
    <w:rsid w:val="009700B3"/>
    <w:rsid w:val="00974C6E"/>
    <w:rsid w:val="00980593"/>
    <w:rsid w:val="00982EA9"/>
    <w:rsid w:val="0098515E"/>
    <w:rsid w:val="009858B9"/>
    <w:rsid w:val="00986560"/>
    <w:rsid w:val="00996B6D"/>
    <w:rsid w:val="009A183F"/>
    <w:rsid w:val="009A27DF"/>
    <w:rsid w:val="009A6C94"/>
    <w:rsid w:val="009B4CB7"/>
    <w:rsid w:val="009D5545"/>
    <w:rsid w:val="009D78BD"/>
    <w:rsid w:val="00A07F94"/>
    <w:rsid w:val="00A16E00"/>
    <w:rsid w:val="00A21CFA"/>
    <w:rsid w:val="00A41C39"/>
    <w:rsid w:val="00A4238A"/>
    <w:rsid w:val="00A5119B"/>
    <w:rsid w:val="00A529AD"/>
    <w:rsid w:val="00A623C1"/>
    <w:rsid w:val="00A67E9F"/>
    <w:rsid w:val="00A76778"/>
    <w:rsid w:val="00A7781B"/>
    <w:rsid w:val="00AA72D0"/>
    <w:rsid w:val="00AB06D4"/>
    <w:rsid w:val="00AB662C"/>
    <w:rsid w:val="00AB733A"/>
    <w:rsid w:val="00AC2089"/>
    <w:rsid w:val="00AD0B56"/>
    <w:rsid w:val="00AF27E1"/>
    <w:rsid w:val="00AF2B81"/>
    <w:rsid w:val="00B16022"/>
    <w:rsid w:val="00B16B37"/>
    <w:rsid w:val="00B173F5"/>
    <w:rsid w:val="00B22BF3"/>
    <w:rsid w:val="00B525EB"/>
    <w:rsid w:val="00B60021"/>
    <w:rsid w:val="00B65FDD"/>
    <w:rsid w:val="00B736BA"/>
    <w:rsid w:val="00B80FA7"/>
    <w:rsid w:val="00B82299"/>
    <w:rsid w:val="00BA6607"/>
    <w:rsid w:val="00BB50CD"/>
    <w:rsid w:val="00BD0F98"/>
    <w:rsid w:val="00BD2FDF"/>
    <w:rsid w:val="00BF2287"/>
    <w:rsid w:val="00BF48FF"/>
    <w:rsid w:val="00C04EA5"/>
    <w:rsid w:val="00C05E07"/>
    <w:rsid w:val="00C149B7"/>
    <w:rsid w:val="00C20F73"/>
    <w:rsid w:val="00C36EAA"/>
    <w:rsid w:val="00C44D07"/>
    <w:rsid w:val="00C50B04"/>
    <w:rsid w:val="00C50F5B"/>
    <w:rsid w:val="00C5118B"/>
    <w:rsid w:val="00C52AAE"/>
    <w:rsid w:val="00C53508"/>
    <w:rsid w:val="00C6314F"/>
    <w:rsid w:val="00C823E2"/>
    <w:rsid w:val="00CA1867"/>
    <w:rsid w:val="00CB7FD4"/>
    <w:rsid w:val="00CC21E7"/>
    <w:rsid w:val="00CD7BC1"/>
    <w:rsid w:val="00CF54DE"/>
    <w:rsid w:val="00CF69F0"/>
    <w:rsid w:val="00D061EF"/>
    <w:rsid w:val="00D06510"/>
    <w:rsid w:val="00D363D5"/>
    <w:rsid w:val="00D37153"/>
    <w:rsid w:val="00D447B2"/>
    <w:rsid w:val="00D60C1E"/>
    <w:rsid w:val="00D65776"/>
    <w:rsid w:val="00D65D8C"/>
    <w:rsid w:val="00D761A0"/>
    <w:rsid w:val="00D77029"/>
    <w:rsid w:val="00D941FB"/>
    <w:rsid w:val="00D9538F"/>
    <w:rsid w:val="00D97147"/>
    <w:rsid w:val="00DA215B"/>
    <w:rsid w:val="00DB1096"/>
    <w:rsid w:val="00DC048B"/>
    <w:rsid w:val="00DC5B3D"/>
    <w:rsid w:val="00DC6064"/>
    <w:rsid w:val="00DD1F05"/>
    <w:rsid w:val="00DF45FF"/>
    <w:rsid w:val="00E005DA"/>
    <w:rsid w:val="00E2249C"/>
    <w:rsid w:val="00E23682"/>
    <w:rsid w:val="00E24767"/>
    <w:rsid w:val="00E25FB3"/>
    <w:rsid w:val="00E2759F"/>
    <w:rsid w:val="00E33127"/>
    <w:rsid w:val="00E40237"/>
    <w:rsid w:val="00E42598"/>
    <w:rsid w:val="00E46C5C"/>
    <w:rsid w:val="00E47F90"/>
    <w:rsid w:val="00E53B1D"/>
    <w:rsid w:val="00E614A2"/>
    <w:rsid w:val="00E82687"/>
    <w:rsid w:val="00E90ED5"/>
    <w:rsid w:val="00EA0664"/>
    <w:rsid w:val="00EA0C5D"/>
    <w:rsid w:val="00EA71A0"/>
    <w:rsid w:val="00EB1C64"/>
    <w:rsid w:val="00ED320F"/>
    <w:rsid w:val="00ED3FBA"/>
    <w:rsid w:val="00F07734"/>
    <w:rsid w:val="00F11946"/>
    <w:rsid w:val="00F21311"/>
    <w:rsid w:val="00F362CE"/>
    <w:rsid w:val="00F36B07"/>
    <w:rsid w:val="00F403D9"/>
    <w:rsid w:val="00F42DF1"/>
    <w:rsid w:val="00F4580E"/>
    <w:rsid w:val="00F53619"/>
    <w:rsid w:val="00F6003B"/>
    <w:rsid w:val="00F852BC"/>
    <w:rsid w:val="00F86DC3"/>
    <w:rsid w:val="00FB5832"/>
    <w:rsid w:val="00FB7482"/>
    <w:rsid w:val="00FF2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3976C"/>
  <w15:chartTrackingRefBased/>
  <w15:docId w15:val="{31277358-6658-4651-BA3B-CA701259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2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99D"/>
  </w:style>
  <w:style w:type="paragraph" w:styleId="Footer">
    <w:name w:val="footer"/>
    <w:basedOn w:val="Normal"/>
    <w:link w:val="FooterChar"/>
    <w:uiPriority w:val="99"/>
    <w:unhideWhenUsed/>
    <w:rsid w:val="004E3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99D"/>
  </w:style>
  <w:style w:type="table" w:styleId="GridTable1Light-Accent2">
    <w:name w:val="Grid Table 1 Light Accent 2"/>
    <w:basedOn w:val="TableNormal"/>
    <w:uiPriority w:val="46"/>
    <w:rsid w:val="005A11B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A11B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136B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65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9651">
      <w:bodyDiv w:val="1"/>
      <w:marLeft w:val="0"/>
      <w:marRight w:val="0"/>
      <w:marTop w:val="0"/>
      <w:marBottom w:val="0"/>
      <w:divBdr>
        <w:top w:val="none" w:sz="0" w:space="0" w:color="auto"/>
        <w:left w:val="none" w:sz="0" w:space="0" w:color="auto"/>
        <w:bottom w:val="none" w:sz="0" w:space="0" w:color="auto"/>
        <w:right w:val="none" w:sz="0" w:space="0" w:color="auto"/>
      </w:divBdr>
    </w:div>
    <w:div w:id="693310973">
      <w:bodyDiv w:val="1"/>
      <w:marLeft w:val="0"/>
      <w:marRight w:val="0"/>
      <w:marTop w:val="0"/>
      <w:marBottom w:val="0"/>
      <w:divBdr>
        <w:top w:val="none" w:sz="0" w:space="0" w:color="auto"/>
        <w:left w:val="none" w:sz="0" w:space="0" w:color="auto"/>
        <w:bottom w:val="none" w:sz="0" w:space="0" w:color="auto"/>
        <w:right w:val="none" w:sz="0" w:space="0" w:color="auto"/>
      </w:divBdr>
    </w:div>
    <w:div w:id="964459025">
      <w:bodyDiv w:val="1"/>
      <w:marLeft w:val="0"/>
      <w:marRight w:val="0"/>
      <w:marTop w:val="0"/>
      <w:marBottom w:val="0"/>
      <w:divBdr>
        <w:top w:val="none" w:sz="0" w:space="0" w:color="auto"/>
        <w:left w:val="none" w:sz="0" w:space="0" w:color="auto"/>
        <w:bottom w:val="none" w:sz="0" w:space="0" w:color="auto"/>
        <w:right w:val="none" w:sz="0" w:space="0" w:color="auto"/>
      </w:divBdr>
    </w:div>
    <w:div w:id="966617440">
      <w:bodyDiv w:val="1"/>
      <w:marLeft w:val="0"/>
      <w:marRight w:val="0"/>
      <w:marTop w:val="0"/>
      <w:marBottom w:val="0"/>
      <w:divBdr>
        <w:top w:val="none" w:sz="0" w:space="0" w:color="auto"/>
        <w:left w:val="none" w:sz="0" w:space="0" w:color="auto"/>
        <w:bottom w:val="none" w:sz="0" w:space="0" w:color="auto"/>
        <w:right w:val="none" w:sz="0" w:space="0" w:color="auto"/>
      </w:divBdr>
    </w:div>
    <w:div w:id="1324817966">
      <w:bodyDiv w:val="1"/>
      <w:marLeft w:val="0"/>
      <w:marRight w:val="0"/>
      <w:marTop w:val="0"/>
      <w:marBottom w:val="0"/>
      <w:divBdr>
        <w:top w:val="none" w:sz="0" w:space="0" w:color="auto"/>
        <w:left w:val="none" w:sz="0" w:space="0" w:color="auto"/>
        <w:bottom w:val="none" w:sz="0" w:space="0" w:color="auto"/>
        <w:right w:val="none" w:sz="0" w:space="0" w:color="auto"/>
      </w:divBdr>
    </w:div>
    <w:div w:id="147575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chemeClr val="accent1">
                    <a:lumMod val="50000"/>
                  </a:schemeClr>
                </a:solidFill>
              </a:rPr>
              <a:t>Total NTE Derivative Agreements</a:t>
            </a:r>
          </a:p>
        </c:rich>
      </c:tx>
      <c:layout>
        <c:manualLayout>
          <c:xMode val="edge"/>
          <c:yMode val="edge"/>
          <c:x val="0.3362634094369169"/>
          <c:y val="7.39421443287330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842931119363738E-2"/>
          <c:y val="8.2724213101250554E-2"/>
          <c:w val="0.89379590209187509"/>
          <c:h val="0.68695527594498573"/>
        </c:manualLayout>
      </c:layout>
      <c:barChart>
        <c:barDir val="col"/>
        <c:grouping val="stacked"/>
        <c:varyColors val="0"/>
        <c:ser>
          <c:idx val="1"/>
          <c:order val="0"/>
          <c:tx>
            <c:strRef>
              <c:f>'Dashboard Condensed'!$A$165</c:f>
              <c:strCache>
                <c:ptCount val="1"/>
                <c:pt idx="0">
                  <c:v>LOOP</c:v>
                </c:pt>
              </c:strCache>
            </c:strRef>
          </c:tx>
          <c:spPr>
            <a:solidFill>
              <a:schemeClr val="accent2"/>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Condensed'!$B$165:$K$165</c:f>
              <c:numCache>
                <c:formatCode>#,##0.00_);[Red]\(#,##0.00\)</c:formatCode>
                <c:ptCount val="10"/>
                <c:pt idx="0">
                  <c:v>-7.0874000000000006E-2</c:v>
                </c:pt>
                <c:pt idx="1">
                  <c:v>-3.7703E-2</c:v>
                </c:pt>
                <c:pt idx="2">
                  <c:v>-3.2207E-2</c:v>
                </c:pt>
                <c:pt idx="3">
                  <c:v>-7.5948000000000002E-2</c:v>
                </c:pt>
                <c:pt idx="4">
                  <c:v>-0.116841</c:v>
                </c:pt>
                <c:pt idx="5">
                  <c:v>-0.107502</c:v>
                </c:pt>
                <c:pt idx="6">
                  <c:v>-6.0707999999999998E-2</c:v>
                </c:pt>
                <c:pt idx="7">
                  <c:v>-5.3329000000000001E-2</c:v>
                </c:pt>
                <c:pt idx="8">
                  <c:v>-1.6208E-2</c:v>
                </c:pt>
                <c:pt idx="9">
                  <c:v>0</c:v>
                </c:pt>
              </c:numCache>
            </c:numRef>
          </c:val>
          <c:extLst>
            <c:ext xmlns:c16="http://schemas.microsoft.com/office/drawing/2014/chart" uri="{C3380CC4-5D6E-409C-BE32-E72D297353CC}">
              <c16:uniqueId val="{00000000-3679-4F0C-A3FA-50E3912EC856}"/>
            </c:ext>
          </c:extLst>
        </c:ser>
        <c:ser>
          <c:idx val="2"/>
          <c:order val="1"/>
          <c:tx>
            <c:strRef>
              <c:f>'Dashboard Condensed'!$A$166</c:f>
              <c:strCache>
                <c:ptCount val="1"/>
                <c:pt idx="0">
                  <c:v>Morgan Stanley</c:v>
                </c:pt>
              </c:strCache>
            </c:strRef>
          </c:tx>
          <c:spPr>
            <a:solidFill>
              <a:schemeClr val="accent3"/>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Condensed'!$B$166:$K$166</c:f>
              <c:numCache>
                <c:formatCode>#,##0.00_);[Red]\(#,##0.00\)</c:formatCode>
                <c:ptCount val="10"/>
                <c:pt idx="0">
                  <c:v>6.4100000000000019</c:v>
                </c:pt>
                <c:pt idx="1">
                  <c:v>5.9400000000000013</c:v>
                </c:pt>
                <c:pt idx="2">
                  <c:v>6.7199999999999989</c:v>
                </c:pt>
                <c:pt idx="3">
                  <c:v>4.7200000000000024</c:v>
                </c:pt>
                <c:pt idx="4">
                  <c:v>3.2600000000000016</c:v>
                </c:pt>
                <c:pt idx="5">
                  <c:v>2.8499999999999996</c:v>
                </c:pt>
                <c:pt idx="6">
                  <c:v>2.7700000000000014</c:v>
                </c:pt>
                <c:pt idx="7">
                  <c:v>2.7900000000000009</c:v>
                </c:pt>
                <c:pt idx="8">
                  <c:v>3.6199999999999974</c:v>
                </c:pt>
                <c:pt idx="9">
                  <c:v>3.4299999999999997</c:v>
                </c:pt>
              </c:numCache>
            </c:numRef>
          </c:val>
          <c:extLst>
            <c:ext xmlns:c16="http://schemas.microsoft.com/office/drawing/2014/chart" uri="{C3380CC4-5D6E-409C-BE32-E72D297353CC}">
              <c16:uniqueId val="{00000001-3679-4F0C-A3FA-50E3912EC856}"/>
            </c:ext>
          </c:extLst>
        </c:ser>
        <c:ser>
          <c:idx val="3"/>
          <c:order val="2"/>
          <c:tx>
            <c:strRef>
              <c:f>'Dashboard Condensed'!$A$167</c:f>
              <c:strCache>
                <c:ptCount val="1"/>
                <c:pt idx="0">
                  <c:v>StoneX</c:v>
                </c:pt>
              </c:strCache>
            </c:strRef>
          </c:tx>
          <c:spPr>
            <a:solidFill>
              <a:schemeClr val="accent4"/>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Condensed'!$B$167:$K$167</c:f>
              <c:numCache>
                <c:formatCode>#,##0.00_);[Red]\(#,##0.00\)</c:formatCode>
                <c:ptCount val="10"/>
                <c:pt idx="0">
                  <c:v>5.5600000000000005</c:v>
                </c:pt>
                <c:pt idx="1">
                  <c:v>5.4099999999999984</c:v>
                </c:pt>
                <c:pt idx="2">
                  <c:v>5.9400000000000013</c:v>
                </c:pt>
                <c:pt idx="3">
                  <c:v>4.84</c:v>
                </c:pt>
                <c:pt idx="4">
                  <c:v>3.6199999999999992</c:v>
                </c:pt>
                <c:pt idx="5">
                  <c:v>3.2800000000000011</c:v>
                </c:pt>
                <c:pt idx="6">
                  <c:v>3.3300000000000018</c:v>
                </c:pt>
                <c:pt idx="7">
                  <c:v>3.3299999999999983</c:v>
                </c:pt>
                <c:pt idx="8">
                  <c:v>4.0800000000000018</c:v>
                </c:pt>
                <c:pt idx="9">
                  <c:v>3.7200000000000006</c:v>
                </c:pt>
              </c:numCache>
            </c:numRef>
          </c:val>
          <c:extLst>
            <c:ext xmlns:c16="http://schemas.microsoft.com/office/drawing/2014/chart" uri="{C3380CC4-5D6E-409C-BE32-E72D297353CC}">
              <c16:uniqueId val="{00000002-3679-4F0C-A3FA-50E3912EC856}"/>
            </c:ext>
          </c:extLst>
        </c:ser>
        <c:ser>
          <c:idx val="7"/>
          <c:order val="3"/>
          <c:tx>
            <c:strRef>
              <c:f>'Dashboard Condensed'!$A$173</c:f>
              <c:strCache>
                <c:ptCount val="1"/>
                <c:pt idx="0">
                  <c:v>AEP</c:v>
                </c:pt>
              </c:strCache>
            </c:strRef>
          </c:tx>
          <c:spPr>
            <a:solidFill>
              <a:schemeClr val="accent2">
                <a:lumMod val="60000"/>
              </a:schemeClr>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Condensed'!$B$173:$K$173</c:f>
              <c:numCache>
                <c:formatCode>#,##0.00_);[Red]\(#,##0.00\)</c:formatCode>
                <c:ptCount val="10"/>
                <c:pt idx="0">
                  <c:v>3.9999999999999925E-2</c:v>
                </c:pt>
                <c:pt idx="1">
                  <c:v>2.0000000000000018E-2</c:v>
                </c:pt>
                <c:pt idx="2">
                  <c:v>5.0000000000000044E-2</c:v>
                </c:pt>
                <c:pt idx="3">
                  <c:v>-1.0000000000000009E-2</c:v>
                </c:pt>
                <c:pt idx="4">
                  <c:v>-3.0000000000000027E-2</c:v>
                </c:pt>
                <c:pt idx="5">
                  <c:v>-2.0000000000000018E-2</c:v>
                </c:pt>
                <c:pt idx="6">
                  <c:v>-3.0000000000000027E-2</c:v>
                </c:pt>
                <c:pt idx="7">
                  <c:v>2.0000000000000018E-2</c:v>
                </c:pt>
                <c:pt idx="8">
                  <c:v>-1.0000000000000009E-2</c:v>
                </c:pt>
                <c:pt idx="9">
                  <c:v>1.0000000000000009E-2</c:v>
                </c:pt>
              </c:numCache>
            </c:numRef>
          </c:val>
          <c:extLst>
            <c:ext xmlns:c16="http://schemas.microsoft.com/office/drawing/2014/chart" uri="{C3380CC4-5D6E-409C-BE32-E72D297353CC}">
              <c16:uniqueId val="{00000003-3679-4F0C-A3FA-50E3912EC856}"/>
            </c:ext>
          </c:extLst>
        </c:ser>
        <c:ser>
          <c:idx val="9"/>
          <c:order val="4"/>
          <c:tx>
            <c:strRef>
              <c:f>'Dashboard Condensed'!$A$175</c:f>
              <c:strCache>
                <c:ptCount val="1"/>
                <c:pt idx="0">
                  <c:v>TransAlta</c:v>
                </c:pt>
              </c:strCache>
            </c:strRef>
          </c:tx>
          <c:spPr>
            <a:solidFill>
              <a:schemeClr val="accent4">
                <a:lumMod val="60000"/>
              </a:schemeClr>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Condensed'!$B$175:$K$175</c:f>
              <c:numCache>
                <c:formatCode>#,##0.00_);[Red]\(#,##0.00\)</c:formatCode>
                <c:ptCount val="10"/>
                <c:pt idx="0">
                  <c:v>4.9999999999999933E-2</c:v>
                </c:pt>
                <c:pt idx="1">
                  <c:v>4.0000000000000036E-2</c:v>
                </c:pt>
                <c:pt idx="2">
                  <c:v>3.0000000000000027E-2</c:v>
                </c:pt>
                <c:pt idx="3">
                  <c:v>-6.0000000000000053E-2</c:v>
                </c:pt>
                <c:pt idx="4">
                  <c:v>-7.0000000000000062E-2</c:v>
                </c:pt>
                <c:pt idx="5">
                  <c:v>-0.06</c:v>
                </c:pt>
                <c:pt idx="6">
                  <c:v>-4.9999999999999989E-2</c:v>
                </c:pt>
                <c:pt idx="7">
                  <c:v>-3.999999999999998E-2</c:v>
                </c:pt>
                <c:pt idx="8">
                  <c:v>-2.0000000000000018E-2</c:v>
                </c:pt>
                <c:pt idx="9">
                  <c:v>0</c:v>
                </c:pt>
              </c:numCache>
            </c:numRef>
          </c:val>
          <c:extLst>
            <c:ext xmlns:c16="http://schemas.microsoft.com/office/drawing/2014/chart" uri="{C3380CC4-5D6E-409C-BE32-E72D297353CC}">
              <c16:uniqueId val="{00000004-3679-4F0C-A3FA-50E3912EC856}"/>
            </c:ext>
          </c:extLst>
        </c:ser>
        <c:ser>
          <c:idx val="10"/>
          <c:order val="5"/>
          <c:tx>
            <c:strRef>
              <c:f>'Dashboard Condensed'!$A$176</c:f>
              <c:strCache>
                <c:ptCount val="1"/>
                <c:pt idx="0">
                  <c:v>Shell</c:v>
                </c:pt>
              </c:strCache>
            </c:strRef>
          </c:tx>
          <c:spPr>
            <a:solidFill>
              <a:schemeClr val="accent5">
                <a:lumMod val="60000"/>
              </a:schemeClr>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Condensed'!$B$176:$K$176</c:f>
              <c:numCache>
                <c:formatCode>#,##0.00_);[Red]\(#,##0.00\)</c:formatCode>
                <c:ptCount val="10"/>
                <c:pt idx="0">
                  <c:v>9.000000000000008E-2</c:v>
                </c:pt>
                <c:pt idx="1">
                  <c:v>9.9999999999999867E-2</c:v>
                </c:pt>
                <c:pt idx="2">
                  <c:v>0.10999999999999988</c:v>
                </c:pt>
                <c:pt idx="3">
                  <c:v>-1.0000000000000009E-2</c:v>
                </c:pt>
                <c:pt idx="4">
                  <c:v>-5.0000000000000044E-2</c:v>
                </c:pt>
                <c:pt idx="5">
                  <c:v>-2.9999999999999916E-2</c:v>
                </c:pt>
                <c:pt idx="6">
                  <c:v>-3.0000000000000027E-2</c:v>
                </c:pt>
                <c:pt idx="7">
                  <c:v>-2.0000000000000018E-2</c:v>
                </c:pt>
                <c:pt idx="8">
                  <c:v>-3.0000000000000027E-2</c:v>
                </c:pt>
                <c:pt idx="9">
                  <c:v>0</c:v>
                </c:pt>
              </c:numCache>
            </c:numRef>
          </c:val>
          <c:extLst>
            <c:ext xmlns:c16="http://schemas.microsoft.com/office/drawing/2014/chart" uri="{C3380CC4-5D6E-409C-BE32-E72D297353CC}">
              <c16:uniqueId val="{00000005-3679-4F0C-A3FA-50E3912EC856}"/>
            </c:ext>
          </c:extLst>
        </c:ser>
        <c:ser>
          <c:idx val="11"/>
          <c:order val="6"/>
          <c:tx>
            <c:strRef>
              <c:f>'Dashboard Condensed'!$A$177</c:f>
              <c:strCache>
                <c:ptCount val="1"/>
                <c:pt idx="0">
                  <c:v>Rail Splitter</c:v>
                </c:pt>
              </c:strCache>
            </c:strRef>
          </c:tx>
          <c:spPr>
            <a:solidFill>
              <a:schemeClr val="accent4">
                <a:lumMod val="40000"/>
                <a:lumOff val="60000"/>
              </a:schemeClr>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Condensed'!$B$177:$K$177</c:f>
              <c:numCache>
                <c:formatCode>#,##0.00_);[Red]\(#,##0.00\)</c:formatCode>
                <c:ptCount val="10"/>
                <c:pt idx="0">
                  <c:v>0.66000000000000014</c:v>
                </c:pt>
                <c:pt idx="1">
                  <c:v>0.66999999999999993</c:v>
                </c:pt>
                <c:pt idx="2">
                  <c:v>0.7200000000000002</c:v>
                </c:pt>
                <c:pt idx="3">
                  <c:v>0.4700000000000002</c:v>
                </c:pt>
                <c:pt idx="4">
                  <c:v>0.32000000000000028</c:v>
                </c:pt>
                <c:pt idx="5">
                  <c:v>0.33000000000000007</c:v>
                </c:pt>
                <c:pt idx="6">
                  <c:v>0.29999999999999982</c:v>
                </c:pt>
                <c:pt idx="7">
                  <c:v>0.39999999999999991</c:v>
                </c:pt>
                <c:pt idx="8">
                  <c:v>0.35000000000000009</c:v>
                </c:pt>
                <c:pt idx="9">
                  <c:v>0.29000000000000004</c:v>
                </c:pt>
              </c:numCache>
            </c:numRef>
          </c:val>
          <c:extLst>
            <c:ext xmlns:c16="http://schemas.microsoft.com/office/drawing/2014/chart" uri="{C3380CC4-5D6E-409C-BE32-E72D297353CC}">
              <c16:uniqueId val="{00000006-3679-4F0C-A3FA-50E3912EC856}"/>
            </c:ext>
          </c:extLst>
        </c:ser>
        <c:ser>
          <c:idx val="12"/>
          <c:order val="7"/>
          <c:tx>
            <c:strRef>
              <c:f>'Dashboard Condensed'!$A$178</c:f>
              <c:strCache>
                <c:ptCount val="1"/>
                <c:pt idx="0">
                  <c:v>Phoenix Solar</c:v>
                </c:pt>
              </c:strCache>
            </c:strRef>
          </c:tx>
          <c:spPr>
            <a:solidFill>
              <a:schemeClr val="tx2">
                <a:lumMod val="20000"/>
                <a:lumOff val="80000"/>
              </a:schemeClr>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Condensed'!$B$178:$K$178</c:f>
              <c:numCache>
                <c:formatCode>#,##0.00_);[Red]\(#,##0.00\)</c:formatCode>
                <c:ptCount val="10"/>
                <c:pt idx="0">
                  <c:v>-3.7777780000000001</c:v>
                </c:pt>
                <c:pt idx="1">
                  <c:v>-3.75</c:v>
                </c:pt>
                <c:pt idx="2">
                  <c:v>-3.7222219999999999</c:v>
                </c:pt>
                <c:pt idx="3">
                  <c:v>-3.6844440000000001</c:v>
                </c:pt>
                <c:pt idx="4">
                  <c:v>-3.6666669999999999</c:v>
                </c:pt>
                <c:pt idx="5">
                  <c:v>-3.6388889999999998</c:v>
                </c:pt>
                <c:pt idx="6">
                  <c:v>-3.6111110000000002</c:v>
                </c:pt>
                <c:pt idx="7">
                  <c:v>-3.5833330000000001</c:v>
                </c:pt>
                <c:pt idx="8">
                  <c:v>-3.5555560000000002</c:v>
                </c:pt>
                <c:pt idx="9">
                  <c:v>-3.5277780000000001</c:v>
                </c:pt>
              </c:numCache>
            </c:numRef>
          </c:val>
          <c:extLst>
            <c:ext xmlns:c16="http://schemas.microsoft.com/office/drawing/2014/chart" uri="{C3380CC4-5D6E-409C-BE32-E72D297353CC}">
              <c16:uniqueId val="{00000007-3679-4F0C-A3FA-50E3912EC856}"/>
            </c:ext>
          </c:extLst>
        </c:ser>
        <c:ser>
          <c:idx val="13"/>
          <c:order val="8"/>
          <c:tx>
            <c:strRef>
              <c:f>'Dashboard Condensed'!$A$179</c:f>
              <c:strCache>
                <c:ptCount val="1"/>
                <c:pt idx="0">
                  <c:v>Northern Cardinal</c:v>
                </c:pt>
              </c:strCache>
            </c:strRef>
          </c:tx>
          <c:spPr>
            <a:solidFill>
              <a:schemeClr val="accent2">
                <a:lumMod val="40000"/>
                <a:lumOff val="60000"/>
              </a:schemeClr>
            </a:solidFill>
            <a:ln>
              <a:noFill/>
            </a:ln>
            <a:effectLst/>
          </c:spPr>
          <c:invertIfNegative val="0"/>
          <c:cat>
            <c:strRef>
              <c:f>'Dashboard Condensed'!$B$163:$K$163</c:f>
              <c:strCache>
                <c:ptCount val="10"/>
                <c:pt idx="0">
                  <c:v>Aug-23</c:v>
                </c:pt>
                <c:pt idx="1">
                  <c:v>Sep-23</c:v>
                </c:pt>
                <c:pt idx="2">
                  <c:v>Oct-23</c:v>
                </c:pt>
                <c:pt idx="3">
                  <c:v>Nov-23</c:v>
                </c:pt>
                <c:pt idx="4">
                  <c:v>Dec-23</c:v>
                </c:pt>
                <c:pt idx="5">
                  <c:v>Jan-24</c:v>
                </c:pt>
                <c:pt idx="6">
                  <c:v>Feb 24</c:v>
                </c:pt>
                <c:pt idx="7">
                  <c:v>Mar-24</c:v>
                </c:pt>
                <c:pt idx="8">
                  <c:v>Apr-24</c:v>
                </c:pt>
                <c:pt idx="9">
                  <c:v>May-24</c:v>
                </c:pt>
              </c:strCache>
            </c:strRef>
          </c:cat>
          <c:val>
            <c:numRef>
              <c:f>'Dashboard Condensed'!$B$179:$K$179</c:f>
              <c:numCache>
                <c:formatCode>#,##0.00_);[Red]\(#,##0.00\)</c:formatCode>
                <c:ptCount val="10"/>
                <c:pt idx="0">
                  <c:v>-15.99</c:v>
                </c:pt>
                <c:pt idx="1">
                  <c:v>-15.99</c:v>
                </c:pt>
                <c:pt idx="2">
                  <c:v>-15.99</c:v>
                </c:pt>
                <c:pt idx="3">
                  <c:v>-15.99</c:v>
                </c:pt>
                <c:pt idx="4">
                  <c:v>-15.99</c:v>
                </c:pt>
                <c:pt idx="5">
                  <c:v>-15.99</c:v>
                </c:pt>
                <c:pt idx="6">
                  <c:v>-13.72</c:v>
                </c:pt>
                <c:pt idx="7">
                  <c:v>-13.72</c:v>
                </c:pt>
                <c:pt idx="8">
                  <c:v>-13.72</c:v>
                </c:pt>
                <c:pt idx="9">
                  <c:v>-13.72</c:v>
                </c:pt>
              </c:numCache>
            </c:numRef>
          </c:val>
          <c:extLst>
            <c:ext xmlns:c16="http://schemas.microsoft.com/office/drawing/2014/chart" uri="{C3380CC4-5D6E-409C-BE32-E72D297353CC}">
              <c16:uniqueId val="{00000008-3679-4F0C-A3FA-50E3912EC856}"/>
            </c:ext>
          </c:extLst>
        </c:ser>
        <c:ser>
          <c:idx val="8"/>
          <c:order val="9"/>
          <c:tx>
            <c:strRef>
              <c:f>'Dashboard Condensed'!$A$168</c:f>
              <c:strCache>
                <c:ptCount val="1"/>
                <c:pt idx="0">
                  <c:v>BP</c:v>
                </c:pt>
              </c:strCache>
            </c:strRef>
          </c:tx>
          <c:spPr>
            <a:solidFill>
              <a:schemeClr val="accent3">
                <a:lumMod val="60000"/>
              </a:schemeClr>
            </a:solidFill>
            <a:ln>
              <a:noFill/>
            </a:ln>
            <a:effectLst/>
          </c:spPr>
          <c:invertIfNegative val="0"/>
          <c:val>
            <c:numRef>
              <c:f>'Dashboard Condensed'!$B$168:$K$168</c:f>
              <c:numCache>
                <c:formatCode>#,##0.00_);[Red]\(#,##0.00\)</c:formatCode>
                <c:ptCount val="10"/>
                <c:pt idx="0">
                  <c:v>1.3000000000000007</c:v>
                </c:pt>
                <c:pt idx="1">
                  <c:v>0.77999999999999936</c:v>
                </c:pt>
                <c:pt idx="2">
                  <c:v>1.4499999999999993</c:v>
                </c:pt>
                <c:pt idx="3">
                  <c:v>-0.27999999999999936</c:v>
                </c:pt>
                <c:pt idx="4">
                  <c:v>-0.61999999999999922</c:v>
                </c:pt>
                <c:pt idx="5">
                  <c:v>-0.62000000000000011</c:v>
                </c:pt>
                <c:pt idx="6">
                  <c:v>-0.82000000000000028</c:v>
                </c:pt>
                <c:pt idx="7">
                  <c:v>-0.62999999999999989</c:v>
                </c:pt>
                <c:pt idx="8">
                  <c:v>-0.39000000000000012</c:v>
                </c:pt>
                <c:pt idx="9">
                  <c:v>2.0000000000000018E-2</c:v>
                </c:pt>
              </c:numCache>
            </c:numRef>
          </c:val>
          <c:extLst>
            <c:ext xmlns:c16="http://schemas.microsoft.com/office/drawing/2014/chart" uri="{C3380CC4-5D6E-409C-BE32-E72D297353CC}">
              <c16:uniqueId val="{00000009-3679-4F0C-A3FA-50E3912EC856}"/>
            </c:ext>
          </c:extLst>
        </c:ser>
        <c:ser>
          <c:idx val="14"/>
          <c:order val="10"/>
          <c:tx>
            <c:strRef>
              <c:f>'Dashboard Condensed'!$A$169</c:f>
              <c:strCache>
                <c:ptCount val="1"/>
                <c:pt idx="0">
                  <c:v>Direct Energy</c:v>
                </c:pt>
              </c:strCache>
            </c:strRef>
          </c:tx>
          <c:spPr>
            <a:solidFill>
              <a:schemeClr val="accent3">
                <a:lumMod val="80000"/>
                <a:lumOff val="20000"/>
              </a:schemeClr>
            </a:solidFill>
            <a:ln>
              <a:noFill/>
            </a:ln>
            <a:effectLst/>
          </c:spPr>
          <c:invertIfNegative val="0"/>
          <c:val>
            <c:numRef>
              <c:f>'Dashboard Condensed'!$B$169:$K$169</c:f>
              <c:numCache>
                <c:formatCode>#,##0.00_);[Red]\(#,##0.00\)</c:formatCode>
                <c:ptCount val="10"/>
                <c:pt idx="0">
                  <c:v>4.9999999999999989E-2</c:v>
                </c:pt>
                <c:pt idx="1">
                  <c:v>0.03</c:v>
                </c:pt>
                <c:pt idx="2">
                  <c:v>4.9999999999999989E-2</c:v>
                </c:pt>
                <c:pt idx="3">
                  <c:v>0</c:v>
                </c:pt>
                <c:pt idx="4">
                  <c:v>-9.999999999999995E-3</c:v>
                </c:pt>
                <c:pt idx="5">
                  <c:v>-1.999999999999999E-2</c:v>
                </c:pt>
                <c:pt idx="6">
                  <c:v>-1.9999999999999997E-2</c:v>
                </c:pt>
                <c:pt idx="7">
                  <c:v>-0.02</c:v>
                </c:pt>
                <c:pt idx="8">
                  <c:v>-0.01</c:v>
                </c:pt>
                <c:pt idx="9">
                  <c:v>0</c:v>
                </c:pt>
              </c:numCache>
            </c:numRef>
          </c:val>
          <c:extLst>
            <c:ext xmlns:c16="http://schemas.microsoft.com/office/drawing/2014/chart" uri="{C3380CC4-5D6E-409C-BE32-E72D297353CC}">
              <c16:uniqueId val="{0000000A-3679-4F0C-A3FA-50E3912EC856}"/>
            </c:ext>
          </c:extLst>
        </c:ser>
        <c:ser>
          <c:idx val="15"/>
          <c:order val="11"/>
          <c:tx>
            <c:strRef>
              <c:f>'Dashboard Condensed'!$A$170</c:f>
              <c:strCache>
                <c:ptCount val="1"/>
                <c:pt idx="0">
                  <c:v>DTE</c:v>
                </c:pt>
              </c:strCache>
            </c:strRef>
          </c:tx>
          <c:spPr>
            <a:solidFill>
              <a:schemeClr val="accent4">
                <a:lumMod val="80000"/>
                <a:lumOff val="20000"/>
              </a:schemeClr>
            </a:solidFill>
            <a:ln>
              <a:noFill/>
            </a:ln>
            <a:effectLst/>
          </c:spPr>
          <c:invertIfNegative val="0"/>
          <c:val>
            <c:numRef>
              <c:f>'Dashboard Condensed'!$B$170:$K$170</c:f>
              <c:numCache>
                <c:formatCode>#,##0.00_);[Red]\(#,##0.00\)</c:formatCode>
                <c:ptCount val="10"/>
                <c:pt idx="0">
                  <c:v>0</c:v>
                </c:pt>
                <c:pt idx="1">
                  <c:v>-3.0000000000000027E-2</c:v>
                </c:pt>
                <c:pt idx="2">
                  <c:v>-6.9999999999999951E-2</c:v>
                </c:pt>
                <c:pt idx="3">
                  <c:v>-0.19999999999999996</c:v>
                </c:pt>
                <c:pt idx="4">
                  <c:v>-0.21000000000000002</c:v>
                </c:pt>
                <c:pt idx="5">
                  <c:v>-0.14000000000000001</c:v>
                </c:pt>
                <c:pt idx="6">
                  <c:v>-3.9999999999999994E-2</c:v>
                </c:pt>
                <c:pt idx="7">
                  <c:v>-4.9999999999999989E-2</c:v>
                </c:pt>
                <c:pt idx="8">
                  <c:v>-4.9999999999999989E-2</c:v>
                </c:pt>
                <c:pt idx="9">
                  <c:v>-0.03</c:v>
                </c:pt>
              </c:numCache>
            </c:numRef>
          </c:val>
          <c:extLst>
            <c:ext xmlns:c16="http://schemas.microsoft.com/office/drawing/2014/chart" uri="{C3380CC4-5D6E-409C-BE32-E72D297353CC}">
              <c16:uniqueId val="{0000000B-3679-4F0C-A3FA-50E3912EC856}"/>
            </c:ext>
          </c:extLst>
        </c:ser>
        <c:ser>
          <c:idx val="0"/>
          <c:order val="12"/>
          <c:tx>
            <c:strRef>
              <c:f>'Dashboard Condensed'!$A$171</c:f>
              <c:strCache>
                <c:ptCount val="1"/>
                <c:pt idx="0">
                  <c:v>Interstate Gas Supply</c:v>
                </c:pt>
              </c:strCache>
            </c:strRef>
          </c:tx>
          <c:spPr>
            <a:solidFill>
              <a:schemeClr val="accent1"/>
            </a:solidFill>
            <a:ln>
              <a:noFill/>
            </a:ln>
            <a:effectLst/>
          </c:spPr>
          <c:invertIfNegative val="0"/>
          <c:val>
            <c:numRef>
              <c:f>'Dashboard Condensed'!$B$171:$K$171</c:f>
              <c:numCache>
                <c:formatCode>#,##0.00_);[Red]\(#,##0.00\)</c:formatCode>
                <c:ptCount val="10"/>
                <c:pt idx="0">
                  <c:v>0</c:v>
                </c:pt>
                <c:pt idx="1">
                  <c:v>0</c:v>
                </c:pt>
                <c:pt idx="2">
                  <c:v>0</c:v>
                </c:pt>
                <c:pt idx="3">
                  <c:v>-2.0000000000000004E-2</c:v>
                </c:pt>
                <c:pt idx="4">
                  <c:v>-1.9999999999999997E-2</c:v>
                </c:pt>
                <c:pt idx="5">
                  <c:v>-2.0000000000000004E-2</c:v>
                </c:pt>
                <c:pt idx="6">
                  <c:v>-9.9999999999999985E-3</c:v>
                </c:pt>
                <c:pt idx="7">
                  <c:v>-0.01</c:v>
                </c:pt>
                <c:pt idx="8">
                  <c:v>-0.01</c:v>
                </c:pt>
                <c:pt idx="9">
                  <c:v>0</c:v>
                </c:pt>
              </c:numCache>
            </c:numRef>
          </c:val>
          <c:extLst>
            <c:ext xmlns:c16="http://schemas.microsoft.com/office/drawing/2014/chart" uri="{C3380CC4-5D6E-409C-BE32-E72D297353CC}">
              <c16:uniqueId val="{0000000C-3679-4F0C-A3FA-50E3912EC856}"/>
            </c:ext>
          </c:extLst>
        </c:ser>
        <c:ser>
          <c:idx val="4"/>
          <c:order val="13"/>
          <c:tx>
            <c:strRef>
              <c:f>'Dashboard Condensed'!$A$172</c:f>
              <c:strCache>
                <c:ptCount val="1"/>
                <c:pt idx="0">
                  <c:v>Mansfield</c:v>
                </c:pt>
              </c:strCache>
            </c:strRef>
          </c:tx>
          <c:spPr>
            <a:solidFill>
              <a:schemeClr val="accent5"/>
            </a:solidFill>
            <a:ln>
              <a:noFill/>
            </a:ln>
            <a:effectLst/>
          </c:spPr>
          <c:invertIfNegative val="0"/>
          <c:val>
            <c:numRef>
              <c:f>'Dashboard Condensed'!$B$172:$K$172</c:f>
              <c:numCache>
                <c:formatCode>#,##0.00_);[Red]\(#,##0.00\)</c:formatCode>
                <c:ptCount val="10"/>
                <c:pt idx="0">
                  <c:v>0</c:v>
                </c:pt>
                <c:pt idx="1">
                  <c:v>0</c:v>
                </c:pt>
                <c:pt idx="2">
                  <c:v>0</c:v>
                </c:pt>
                <c:pt idx="3">
                  <c:v>0</c:v>
                </c:pt>
                <c:pt idx="4">
                  <c:v>0</c:v>
                </c:pt>
                <c:pt idx="5">
                  <c:v>0</c:v>
                </c:pt>
                <c:pt idx="6">
                  <c:v>0</c:v>
                </c:pt>
                <c:pt idx="7">
                  <c:v>0.15000000000000036</c:v>
                </c:pt>
                <c:pt idx="8">
                  <c:v>0.3199999999999994</c:v>
                </c:pt>
                <c:pt idx="9">
                  <c:v>0.46999999999999975</c:v>
                </c:pt>
              </c:numCache>
            </c:numRef>
          </c:val>
          <c:extLst>
            <c:ext xmlns:c16="http://schemas.microsoft.com/office/drawing/2014/chart" uri="{C3380CC4-5D6E-409C-BE32-E72D297353CC}">
              <c16:uniqueId val="{0000000D-3679-4F0C-A3FA-50E3912EC856}"/>
            </c:ext>
          </c:extLst>
        </c:ser>
        <c:ser>
          <c:idx val="5"/>
          <c:order val="14"/>
          <c:tx>
            <c:strRef>
              <c:f>'Dashboard Condensed'!$A$174</c:f>
              <c:strCache>
                <c:ptCount val="1"/>
                <c:pt idx="0">
                  <c:v>Constellation</c:v>
                </c:pt>
              </c:strCache>
            </c:strRef>
          </c:tx>
          <c:spPr>
            <a:solidFill>
              <a:schemeClr val="accent6"/>
            </a:solidFill>
            <a:ln>
              <a:noFill/>
            </a:ln>
            <a:effectLst/>
          </c:spPr>
          <c:invertIfNegative val="0"/>
          <c:val>
            <c:numRef>
              <c:f>'Dashboard Condensed'!$B$174:$K$174</c:f>
              <c:numCache>
                <c:formatCode>#,##0.00_);[Red]\(#,##0.00\)</c:formatCode>
                <c:ptCount val="10"/>
                <c:pt idx="0">
                  <c:v>0</c:v>
                </c:pt>
                <c:pt idx="1">
                  <c:v>0</c:v>
                </c:pt>
                <c:pt idx="2">
                  <c:v>0</c:v>
                </c:pt>
                <c:pt idx="3">
                  <c:v>-0.12000000000000011</c:v>
                </c:pt>
                <c:pt idx="4">
                  <c:v>-0.17999999999999994</c:v>
                </c:pt>
                <c:pt idx="5">
                  <c:v>-0.14999999999999991</c:v>
                </c:pt>
                <c:pt idx="6">
                  <c:v>-0.15999999999999992</c:v>
                </c:pt>
                <c:pt idx="7">
                  <c:v>-4.9999999999999822E-2</c:v>
                </c:pt>
                <c:pt idx="8">
                  <c:v>-8.9999999999999858E-2</c:v>
                </c:pt>
                <c:pt idx="9">
                  <c:v>-8.0000000000000071E-2</c:v>
                </c:pt>
              </c:numCache>
            </c:numRef>
          </c:val>
          <c:extLst>
            <c:ext xmlns:c16="http://schemas.microsoft.com/office/drawing/2014/chart" uri="{C3380CC4-5D6E-409C-BE32-E72D297353CC}">
              <c16:uniqueId val="{0000000E-3679-4F0C-A3FA-50E3912EC856}"/>
            </c:ext>
          </c:extLst>
        </c:ser>
        <c:dLbls>
          <c:showLegendKey val="0"/>
          <c:showVal val="0"/>
          <c:showCatName val="0"/>
          <c:showSerName val="0"/>
          <c:showPercent val="0"/>
          <c:showBubbleSize val="0"/>
        </c:dLbls>
        <c:gapWidth val="150"/>
        <c:overlap val="100"/>
        <c:axId val="596894248"/>
        <c:axId val="596897528"/>
        <c:extLst/>
      </c:barChart>
      <c:catAx>
        <c:axId val="596894248"/>
        <c:scaling>
          <c:orientation val="minMax"/>
        </c:scaling>
        <c:delete val="0"/>
        <c:axPos val="b"/>
        <c:numFmt formatCode="General" sourceLinked="1"/>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96897528"/>
        <c:crosses val="autoZero"/>
        <c:auto val="1"/>
        <c:lblAlgn val="ctr"/>
        <c:lblOffset val="100"/>
        <c:noMultiLvlLbl val="1"/>
      </c:catAx>
      <c:valAx>
        <c:axId val="596897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Dollars in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894248"/>
        <c:crosses val="autoZero"/>
        <c:crossBetween val="between"/>
      </c:valAx>
      <c:spPr>
        <a:noFill/>
        <a:ln>
          <a:noFill/>
        </a:ln>
        <a:effectLst/>
      </c:spPr>
    </c:plotArea>
    <c:legend>
      <c:legendPos val="b"/>
      <c:layout>
        <c:manualLayout>
          <c:xMode val="edge"/>
          <c:yMode val="edge"/>
          <c:x val="1.7816074964169568E-2"/>
          <c:y val="0.83154483108966215"/>
          <c:w val="0.7759437704369101"/>
          <c:h val="0.152945269890323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CP Concentration May 2024</a:t>
            </a:r>
          </a:p>
        </c:rich>
      </c:tx>
      <c:layout>
        <c:manualLayout>
          <c:xMode val="edge"/>
          <c:yMode val="edge"/>
          <c:x val="0.37194872167692372"/>
          <c:y val="3.165467625899280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512843272723945"/>
          <c:y val="0.22015158896504844"/>
          <c:w val="0.61898592401740204"/>
          <c:h val="0.65906372854472328"/>
        </c:manualLayout>
      </c:layout>
      <c:pieChart>
        <c:varyColors val="1"/>
        <c:ser>
          <c:idx val="0"/>
          <c:order val="0"/>
          <c:tx>
            <c:strRef>
              <c:f>'Dashboard Condensed'!$B$184</c:f>
              <c:strCache>
                <c:ptCount val="1"/>
                <c:pt idx="0">
                  <c:v>May-24</c:v>
                </c:pt>
              </c:strCache>
            </c:strRef>
          </c:tx>
          <c:dPt>
            <c:idx val="0"/>
            <c:bubble3D val="0"/>
            <c:spPr>
              <a:solidFill>
                <a:schemeClr val="accent5">
                  <a:lumMod val="20000"/>
                  <a:lumOff val="8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9580-429E-A3D3-30C7C1AD539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9580-429E-A3D3-30C7C1AD539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9580-429E-A3D3-30C7C1AD539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9580-429E-A3D3-30C7C1AD539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9580-429E-A3D3-30C7C1AD5397}"/>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9580-429E-A3D3-30C7C1AD5397}"/>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9580-429E-A3D3-30C7C1AD5397}"/>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9580-429E-A3D3-30C7C1AD5397}"/>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1-9580-429E-A3D3-30C7C1AD5397}"/>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3-9580-429E-A3D3-30C7C1AD5397}"/>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5-9580-429E-A3D3-30C7C1AD5397}"/>
              </c:ext>
            </c:extLst>
          </c:dPt>
          <c:dPt>
            <c:idx val="11"/>
            <c:bubble3D val="0"/>
            <c:spPr>
              <a:solidFill>
                <a:schemeClr val="accent4">
                  <a:lumMod val="40000"/>
                  <a:lumOff val="6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7-9580-429E-A3D3-30C7C1AD5397}"/>
              </c:ext>
            </c:extLst>
          </c:dPt>
          <c:dPt>
            <c:idx val="12"/>
            <c:bubble3D val="0"/>
            <c:spPr>
              <a:solidFill>
                <a:schemeClr val="tx2">
                  <a:lumMod val="20000"/>
                  <a:lumOff val="8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9-9580-429E-A3D3-30C7C1AD5397}"/>
              </c:ext>
            </c:extLst>
          </c:dPt>
          <c:dPt>
            <c:idx val="13"/>
            <c:bubble3D val="0"/>
            <c:explosion val="2"/>
            <c:spPr>
              <a:solidFill>
                <a:schemeClr val="accent2">
                  <a:lumMod val="40000"/>
                  <a:lumOff val="6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B-9580-429E-A3D3-30C7C1AD5397}"/>
              </c:ext>
            </c:extLst>
          </c:dPt>
          <c:dPt>
            <c:idx val="14"/>
            <c:bubble3D val="0"/>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D-9580-429E-A3D3-30C7C1AD5397}"/>
              </c:ext>
            </c:extLst>
          </c:dPt>
          <c:dLbls>
            <c:dLbl>
              <c:idx val="0"/>
              <c:layout>
                <c:manualLayout>
                  <c:x val="3.500589009289716E-2"/>
                  <c:y val="1.05951290972349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80-429E-A3D3-30C7C1AD5397}"/>
                </c:ext>
              </c:extLst>
            </c:dLbl>
            <c:dLbl>
              <c:idx val="1"/>
              <c:layout>
                <c:manualLayout>
                  <c:x val="-5.8367775080513844E-3"/>
                  <c:y val="0.1851615022942276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80-429E-A3D3-30C7C1AD5397}"/>
                </c:ext>
              </c:extLst>
            </c:dLbl>
            <c:dLbl>
              <c:idx val="2"/>
              <c:layout>
                <c:manualLayout>
                  <c:x val="2.0351215585111264E-2"/>
                  <c:y val="2.739425013733634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80-429E-A3D3-30C7C1AD5397}"/>
                </c:ext>
              </c:extLst>
            </c:dLbl>
            <c:dLbl>
              <c:idx val="3"/>
              <c:layout>
                <c:manualLayout>
                  <c:x val="-3.603766665395189E-3"/>
                  <c:y val="-1.07691887901723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80-429E-A3D3-30C7C1AD5397}"/>
                </c:ext>
              </c:extLst>
            </c:dLbl>
            <c:dLbl>
              <c:idx val="4"/>
              <c:layout>
                <c:manualLayout>
                  <c:x val="-9.7608722529714566E-3"/>
                  <c:y val="1.76973692241957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80-429E-A3D3-30C7C1AD5397}"/>
                </c:ext>
              </c:extLst>
            </c:dLbl>
            <c:dLbl>
              <c:idx val="5"/>
              <c:layout>
                <c:manualLayout>
                  <c:x val="-6.1560091604744927E-3"/>
                  <c:y val="7.61536199249748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80-429E-A3D3-30C7C1AD5397}"/>
                </c:ext>
              </c:extLst>
            </c:dLbl>
            <c:dLbl>
              <c:idx val="6"/>
              <c:layout>
                <c:manualLayout>
                  <c:x val="-6.4507709162917731E-2"/>
                  <c:y val="6.3850338429654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80-429E-A3D3-30C7C1AD5397}"/>
                </c:ext>
              </c:extLst>
            </c:dLbl>
            <c:dLbl>
              <c:idx val="7"/>
              <c:layout>
                <c:manualLayout>
                  <c:x val="-8.2652551001524743E-2"/>
                  <c:y val="1.61166414496760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580-429E-A3D3-30C7C1AD5397}"/>
                </c:ext>
              </c:extLst>
            </c:dLbl>
            <c:dLbl>
              <c:idx val="8"/>
              <c:layout>
                <c:manualLayout>
                  <c:x val="-3.5776889073045423E-2"/>
                  <c:y val="-6.715590596965801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580-429E-A3D3-30C7C1AD5397}"/>
                </c:ext>
              </c:extLst>
            </c:dLbl>
            <c:dLbl>
              <c:idx val="9"/>
              <c:layout>
                <c:manualLayout>
                  <c:x val="-1.3291180108304969E-2"/>
                  <c:y val="-3.06360939994335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580-429E-A3D3-30C7C1AD5397}"/>
                </c:ext>
              </c:extLst>
            </c:dLbl>
            <c:dLbl>
              <c:idx val="10"/>
              <c:layout>
                <c:manualLayout>
                  <c:x val="-3.6320134148375462E-2"/>
                  <c:y val="-4.02650498314643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580-429E-A3D3-30C7C1AD5397}"/>
                </c:ext>
              </c:extLst>
            </c:dLbl>
            <c:dLbl>
              <c:idx val="11"/>
              <c:layout>
                <c:manualLayout>
                  <c:x val="-4.5917796225007669E-2"/>
                  <c:y val="-3.68501462960902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9580-429E-A3D3-30C7C1AD5397}"/>
                </c:ext>
              </c:extLst>
            </c:dLbl>
            <c:dLbl>
              <c:idx val="12"/>
              <c:layout>
                <c:manualLayout>
                  <c:x val="-2.8440403712422544E-2"/>
                  <c:y val="-6.26968787174984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9580-429E-A3D3-30C7C1AD5397}"/>
                </c:ext>
              </c:extLst>
            </c:dLbl>
            <c:dLbl>
              <c:idx val="13"/>
              <c:layout>
                <c:manualLayout>
                  <c:x val="-1.2468708560111352E-2"/>
                  <c:y val="-5.020453924760561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9580-429E-A3D3-30C7C1AD5397}"/>
                </c:ext>
              </c:extLst>
            </c:dLbl>
            <c:dLbl>
              <c:idx val="14"/>
              <c:layout>
                <c:manualLayout>
                  <c:x val="2.3890605175283332E-2"/>
                  <c:y val="-1.69447987366255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9580-429E-A3D3-30C7C1AD539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'Dashboard Condensed'!$A$185:$A$199</c:f>
              <c:strCache>
                <c:ptCount val="15"/>
                <c:pt idx="0">
                  <c:v>LOOP</c:v>
                </c:pt>
                <c:pt idx="1">
                  <c:v>Morgan Stanley</c:v>
                </c:pt>
                <c:pt idx="2">
                  <c:v>StoneX</c:v>
                </c:pt>
                <c:pt idx="3">
                  <c:v>BP</c:v>
                </c:pt>
                <c:pt idx="4">
                  <c:v>Direct Energy</c:v>
                </c:pt>
                <c:pt idx="5">
                  <c:v>DTE</c:v>
                </c:pt>
                <c:pt idx="6">
                  <c:v>Interstate Gass</c:v>
                </c:pt>
                <c:pt idx="7">
                  <c:v>Mansfield</c:v>
                </c:pt>
                <c:pt idx="8">
                  <c:v>AEP</c:v>
                </c:pt>
                <c:pt idx="9">
                  <c:v>Constellation</c:v>
                </c:pt>
                <c:pt idx="10">
                  <c:v>TransAlta</c:v>
                </c:pt>
                <c:pt idx="11">
                  <c:v>Shell</c:v>
                </c:pt>
                <c:pt idx="12">
                  <c:v>Rail Splitter</c:v>
                </c:pt>
                <c:pt idx="13">
                  <c:v>Phoenix Solar SF</c:v>
                </c:pt>
                <c:pt idx="14">
                  <c:v>Northern Cardinal Solar</c:v>
                </c:pt>
              </c:strCache>
            </c:strRef>
          </c:cat>
          <c:val>
            <c:numRef>
              <c:f>'Dashboard Condensed'!$B$185:$B$199</c:f>
              <c:numCache>
                <c:formatCode>#,##0.00_);[Red]\(#,##0.00\)</c:formatCode>
                <c:ptCount val="15"/>
                <c:pt idx="0">
                  <c:v>0</c:v>
                </c:pt>
                <c:pt idx="1">
                  <c:v>14.18</c:v>
                </c:pt>
                <c:pt idx="2">
                  <c:v>14.53</c:v>
                </c:pt>
                <c:pt idx="3">
                  <c:v>1.53</c:v>
                </c:pt>
                <c:pt idx="4">
                  <c:v>0.01</c:v>
                </c:pt>
                <c:pt idx="5">
                  <c:v>0.15</c:v>
                </c:pt>
                <c:pt idx="6">
                  <c:v>0.01</c:v>
                </c:pt>
                <c:pt idx="7">
                  <c:v>5.57</c:v>
                </c:pt>
                <c:pt idx="8">
                  <c:v>0.72</c:v>
                </c:pt>
                <c:pt idx="9">
                  <c:v>2.13</c:v>
                </c:pt>
                <c:pt idx="10">
                  <c:v>0.1</c:v>
                </c:pt>
                <c:pt idx="11">
                  <c:v>0.81</c:v>
                </c:pt>
                <c:pt idx="12">
                  <c:v>2.1800000000000002</c:v>
                </c:pt>
                <c:pt idx="13">
                  <c:v>2.29677</c:v>
                </c:pt>
                <c:pt idx="14">
                  <c:v>14.67</c:v>
                </c:pt>
              </c:numCache>
            </c:numRef>
          </c:val>
          <c:extLst>
            <c:ext xmlns:c16="http://schemas.microsoft.com/office/drawing/2014/chart" uri="{C3380CC4-5D6E-409C-BE32-E72D297353CC}">
              <c16:uniqueId val="{0000001E-9580-429E-A3D3-30C7C1AD539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1.658605091351702E-2"/>
          <c:y val="3.6021526086217642E-2"/>
          <c:w val="0.27912974166246213"/>
          <c:h val="0.938114994618478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BE47F-4F99-4435-AFE7-7A9F9F63E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1599</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Joda</dc:creator>
  <cp:keywords/>
  <dc:description/>
  <cp:lastModifiedBy>Williams, Aubrie</cp:lastModifiedBy>
  <cp:revision>5</cp:revision>
  <cp:lastPrinted>2022-12-08T21:14:00Z</cp:lastPrinted>
  <dcterms:created xsi:type="dcterms:W3CDTF">2024-06-18T19:45:00Z</dcterms:created>
  <dcterms:modified xsi:type="dcterms:W3CDTF">2024-07-11T17:39:00Z</dcterms:modified>
</cp:coreProperties>
</file>