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DDA8" w14:textId="2FBEDD25" w:rsidR="002F2D48" w:rsidRPr="006F284F" w:rsidRDefault="001707DC"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13</w:t>
      </w:r>
      <w:r w:rsidR="00D743A9">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07FC1E91" w:rsidR="002F2D48" w:rsidRPr="006F284F" w:rsidRDefault="00923CDB"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July 17</w:t>
      </w:r>
      <w:r w:rsidR="002F2D48" w:rsidRPr="006F284F">
        <w:rPr>
          <w:rFonts w:eastAsia="Times New Roman"/>
          <w:szCs w:val="26"/>
        </w:rPr>
        <w:t>, 202</w:t>
      </w:r>
      <w:r w:rsidR="00814D1D">
        <w:rPr>
          <w:rFonts w:eastAsia="Times New Roman"/>
          <w:szCs w:val="26"/>
        </w:rPr>
        <w:t>5</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D7330E"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D7330E">
        <w:rPr>
          <w:rFonts w:eastAsia="Times New Roman"/>
          <w:color w:val="000000"/>
          <w:szCs w:val="26"/>
        </w:rPr>
        <w:t>PURCHASE RECOMMENDATIONS</w:t>
      </w:r>
    </w:p>
    <w:p w14:paraId="5B7E567D"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2901CC5A"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D7330E">
        <w:rPr>
          <w:rFonts w:eastAsia="Times New Roman"/>
          <w:color w:val="000000"/>
          <w:szCs w:val="26"/>
        </w:rPr>
        <w:t xml:space="preserve">Following </w:t>
      </w:r>
      <w:proofErr w:type="gramStart"/>
      <w:r w:rsidRPr="00D7330E">
        <w:rPr>
          <w:rFonts w:eastAsia="Times New Roman"/>
          <w:color w:val="000000"/>
          <w:szCs w:val="26"/>
        </w:rPr>
        <w:t>are</w:t>
      </w:r>
      <w:proofErr w:type="gramEnd"/>
      <w:r w:rsidRPr="00D7330E">
        <w:rPr>
          <w:rFonts w:eastAsia="Times New Roman"/>
          <w:color w:val="000000"/>
          <w:szCs w:val="26"/>
        </w:rPr>
        <w:t xml:space="preserve"> purchase recommendations proposed by each </w:t>
      </w:r>
      <w:r w:rsidR="00814D1D" w:rsidRPr="00D7330E">
        <w:rPr>
          <w:rFonts w:eastAsia="Times New Roman"/>
          <w:color w:val="000000"/>
          <w:szCs w:val="26"/>
        </w:rPr>
        <w:t>u</w:t>
      </w:r>
      <w:r w:rsidRPr="00D7330E">
        <w:rPr>
          <w:rFonts w:eastAsia="Times New Roman"/>
          <w:color w:val="000000"/>
          <w:szCs w:val="26"/>
        </w:rPr>
        <w:t>niversity and the System Office.</w:t>
      </w:r>
      <w:r w:rsidR="00D743A9" w:rsidRPr="00D7330E">
        <w:rPr>
          <w:rFonts w:eastAsia="Times New Roman"/>
          <w:color w:val="000000"/>
          <w:szCs w:val="26"/>
        </w:rPr>
        <w:t xml:space="preserve"> </w:t>
      </w:r>
      <w:r w:rsidRPr="00D7330E">
        <w:rPr>
          <w:rFonts w:eastAsia="Times New Roman"/>
          <w:color w:val="000000"/>
          <w:szCs w:val="26"/>
        </w:rPr>
        <w:t>The purchases are to be funded from State appropriations or institutional funds as appropriate.</w:t>
      </w:r>
      <w:r w:rsidR="00D743A9" w:rsidRPr="00D7330E">
        <w:rPr>
          <w:rFonts w:eastAsia="Times New Roman"/>
          <w:color w:val="000000"/>
          <w:szCs w:val="26"/>
        </w:rPr>
        <w:t xml:space="preserve"> </w:t>
      </w:r>
      <w:r w:rsidRPr="00D7330E">
        <w:rPr>
          <w:rFonts w:eastAsia="Times New Roman"/>
          <w:color w:val="000000"/>
          <w:szCs w:val="26"/>
        </w:rPr>
        <w:t>Unless otherwise specified or indicated, purchases are based on the lowest acceptable bid.</w:t>
      </w:r>
      <w:r w:rsidR="00D743A9" w:rsidRPr="00D7330E">
        <w:rPr>
          <w:rFonts w:eastAsia="Times New Roman"/>
          <w:color w:val="000000"/>
          <w:szCs w:val="26"/>
        </w:rPr>
        <w:t xml:space="preserve"> </w:t>
      </w:r>
      <w:r w:rsidRPr="00D7330E">
        <w:rPr>
          <w:rFonts w:eastAsia="Times New Roman"/>
          <w:color w:val="000000"/>
          <w:szCs w:val="26"/>
        </w:rPr>
        <w:t xml:space="preserve">The </w:t>
      </w:r>
      <w:r w:rsidR="00814D1D" w:rsidRPr="00D7330E">
        <w:rPr>
          <w:rFonts w:eastAsia="Times New Roman"/>
          <w:color w:val="000000"/>
          <w:szCs w:val="26"/>
        </w:rPr>
        <w:t>v</w:t>
      </w:r>
      <w:r w:rsidRPr="00D7330E">
        <w:rPr>
          <w:rFonts w:eastAsia="Times New Roman"/>
          <w:color w:val="000000"/>
          <w:szCs w:val="26"/>
        </w:rPr>
        <w:t xml:space="preserve">ice </w:t>
      </w:r>
      <w:r w:rsidR="00814D1D" w:rsidRPr="00D7330E">
        <w:rPr>
          <w:rFonts w:eastAsia="Times New Roman"/>
          <w:color w:val="000000"/>
          <w:szCs w:val="26"/>
        </w:rPr>
        <w:t>p</w:t>
      </w:r>
      <w:r w:rsidRPr="00D7330E">
        <w:rPr>
          <w:rFonts w:eastAsia="Times New Roman"/>
          <w:color w:val="000000"/>
          <w:szCs w:val="26"/>
        </w:rPr>
        <w:t>resident</w:t>
      </w:r>
      <w:r w:rsidR="00814D1D" w:rsidRPr="00D7330E">
        <w:rPr>
          <w:rFonts w:eastAsia="Times New Roman"/>
          <w:color w:val="000000"/>
          <w:szCs w:val="26"/>
        </w:rPr>
        <w:t>/c</w:t>
      </w:r>
      <w:r w:rsidRPr="00D7330E">
        <w:rPr>
          <w:rFonts w:eastAsia="Times New Roman"/>
          <w:color w:val="000000"/>
          <w:szCs w:val="26"/>
        </w:rPr>
        <w:t xml:space="preserve">hief </w:t>
      </w:r>
      <w:r w:rsidR="00814D1D" w:rsidRPr="00D7330E">
        <w:rPr>
          <w:rFonts w:eastAsia="Times New Roman"/>
          <w:color w:val="000000"/>
          <w:szCs w:val="26"/>
        </w:rPr>
        <w:t>f</w:t>
      </w:r>
      <w:r w:rsidRPr="00D7330E">
        <w:rPr>
          <w:rFonts w:eastAsia="Times New Roman"/>
          <w:color w:val="000000"/>
          <w:szCs w:val="26"/>
        </w:rPr>
        <w:t xml:space="preserve">inancial </w:t>
      </w:r>
      <w:r w:rsidR="00814D1D" w:rsidRPr="00D7330E">
        <w:rPr>
          <w:rFonts w:eastAsia="Times New Roman"/>
          <w:color w:val="000000"/>
          <w:szCs w:val="26"/>
        </w:rPr>
        <w:t>o</w:t>
      </w:r>
      <w:r w:rsidRPr="00D7330E">
        <w:rPr>
          <w:rFonts w:eastAsia="Times New Roman"/>
          <w:color w:val="000000"/>
          <w:szCs w:val="26"/>
        </w:rPr>
        <w:t xml:space="preserve">fficer and </w:t>
      </w:r>
      <w:r w:rsidR="00814D1D" w:rsidRPr="00D7330E">
        <w:rPr>
          <w:rFonts w:eastAsia="Times New Roman"/>
          <w:color w:val="000000"/>
          <w:szCs w:val="26"/>
        </w:rPr>
        <w:t>c</w:t>
      </w:r>
      <w:r w:rsidRPr="00D7330E">
        <w:rPr>
          <w:rFonts w:eastAsia="Times New Roman"/>
          <w:color w:val="000000"/>
          <w:szCs w:val="26"/>
        </w:rPr>
        <w:t xml:space="preserve">omptroller has approved all purchases to be funded from State appropriations in accordance with the </w:t>
      </w:r>
      <w:r w:rsidRPr="00D7330E">
        <w:rPr>
          <w:rFonts w:eastAsia="Times New Roman"/>
          <w:i/>
          <w:color w:val="000000"/>
          <w:szCs w:val="26"/>
        </w:rPr>
        <w:t xml:space="preserve">Bylaws of the Board of Trustees </w:t>
      </w:r>
      <w:r w:rsidRPr="00D7330E">
        <w:rPr>
          <w:rFonts w:eastAsia="Times New Roman"/>
          <w:color w:val="000000"/>
          <w:szCs w:val="26"/>
        </w:rPr>
        <w:t xml:space="preserve">and </w:t>
      </w:r>
      <w:r w:rsidR="0065149B" w:rsidRPr="0065149B">
        <w:rPr>
          <w:rFonts w:eastAsia="Times New Roman"/>
          <w:i/>
          <w:iCs/>
          <w:color w:val="000000"/>
          <w:szCs w:val="26"/>
        </w:rPr>
        <w:t>The</w:t>
      </w:r>
      <w:r w:rsidRPr="0065149B">
        <w:rPr>
          <w:rFonts w:eastAsia="Times New Roman"/>
          <w:i/>
          <w:iCs/>
          <w:color w:val="000000"/>
          <w:szCs w:val="26"/>
        </w:rPr>
        <w:t xml:space="preserve"> </w:t>
      </w:r>
      <w:r w:rsidRPr="00D7330E">
        <w:rPr>
          <w:rFonts w:eastAsia="Times New Roman"/>
          <w:i/>
          <w:color w:val="000000"/>
          <w:szCs w:val="26"/>
        </w:rPr>
        <w:t>General Rules Concerning University Organization and Procedure.</w:t>
      </w:r>
    </w:p>
    <w:p w14:paraId="702878B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43D7B87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 xml:space="preserve">The Board action recommended in this item complies in all material respects with applicable State and </w:t>
      </w:r>
      <w:r w:rsidR="00814D1D" w:rsidRPr="00D7330E">
        <w:rPr>
          <w:rFonts w:eastAsia="Times New Roman"/>
          <w:color w:val="000000"/>
          <w:szCs w:val="26"/>
        </w:rPr>
        <w:t>f</w:t>
      </w:r>
      <w:r w:rsidRPr="00D7330E">
        <w:rPr>
          <w:rFonts w:eastAsia="Times New Roman"/>
          <w:color w:val="000000"/>
          <w:szCs w:val="26"/>
        </w:rPr>
        <w:t xml:space="preserve">ederal laws, University of Illinois </w:t>
      </w:r>
      <w:r w:rsidRPr="00D7330E">
        <w:rPr>
          <w:rFonts w:eastAsia="Times New Roman"/>
          <w:i/>
          <w:color w:val="000000"/>
          <w:szCs w:val="26"/>
        </w:rPr>
        <w:t>Statutes</w:t>
      </w:r>
      <w:r w:rsidRPr="00D7330E">
        <w:rPr>
          <w:rFonts w:eastAsia="Times New Roman"/>
          <w:iCs/>
          <w:color w:val="000000"/>
          <w:szCs w:val="26"/>
        </w:rPr>
        <w:t xml:space="preserve">, </w:t>
      </w:r>
      <w:r w:rsidRPr="00D7330E">
        <w:rPr>
          <w:rFonts w:eastAsia="Times New Roman"/>
          <w:i/>
          <w:color w:val="000000"/>
          <w:szCs w:val="26"/>
        </w:rPr>
        <w:t>The General Rules Concerning University Organization and Procedure</w:t>
      </w:r>
      <w:r w:rsidRPr="00D7330E">
        <w:rPr>
          <w:rFonts w:eastAsia="Times New Roman"/>
          <w:color w:val="000000"/>
          <w:szCs w:val="26"/>
        </w:rPr>
        <w:t>, and Board of Trustees policies and directives.</w:t>
      </w:r>
    </w:p>
    <w:p w14:paraId="552D226E"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D7330E">
        <w:rPr>
          <w:rFonts w:eastAsia="Times New Roman"/>
          <w:color w:val="000000"/>
          <w:szCs w:val="26"/>
        </w:rPr>
        <w:t>The president of the University of Illinois System concurs.</w:t>
      </w:r>
    </w:p>
    <w:p w14:paraId="19EA8323" w14:textId="54B584C5" w:rsidR="00252F86" w:rsidRPr="00D7330E"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Pr="00D7330E" w:rsidRDefault="00252F86" w:rsidP="00252F86">
      <w:pPr>
        <w:spacing w:after="0" w:line="240" w:lineRule="auto"/>
        <w:jc w:val="center"/>
        <w:rPr>
          <w:b/>
          <w:szCs w:val="26"/>
        </w:rPr>
      </w:pPr>
      <w:r w:rsidRPr="00D7330E">
        <w:rPr>
          <w:b/>
          <w:szCs w:val="26"/>
        </w:rPr>
        <w:t>PURCHASES RECOMMENDED</w:t>
      </w:r>
    </w:p>
    <w:p w14:paraId="5FEB6345" w14:textId="77777777" w:rsidR="006722F9" w:rsidRDefault="006722F9" w:rsidP="00252F86">
      <w:pPr>
        <w:spacing w:after="0" w:line="240" w:lineRule="auto"/>
        <w:jc w:val="center"/>
        <w:rPr>
          <w:b/>
          <w:szCs w:val="26"/>
        </w:rPr>
      </w:pPr>
    </w:p>
    <w:p w14:paraId="430FE2E2" w14:textId="77777777" w:rsidR="00C91677" w:rsidRPr="00D7330E" w:rsidRDefault="00C91677" w:rsidP="00C91677">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C91677" w:rsidRPr="00D7330E" w14:paraId="29F3D537" w14:textId="77777777" w:rsidTr="00C32F03">
        <w:trPr>
          <w:trHeight w:val="120"/>
        </w:trPr>
        <w:tc>
          <w:tcPr>
            <w:tcW w:w="342" w:type="dxa"/>
          </w:tcPr>
          <w:p w14:paraId="537FD4DD" w14:textId="77777777" w:rsidR="00C91677" w:rsidRPr="00D7330E" w:rsidRDefault="00C91677" w:rsidP="00C32F03">
            <w:pPr>
              <w:pStyle w:val="NoSpacing"/>
              <w:rPr>
                <w:sz w:val="26"/>
                <w:szCs w:val="26"/>
              </w:rPr>
            </w:pPr>
          </w:p>
        </w:tc>
        <w:tc>
          <w:tcPr>
            <w:tcW w:w="990" w:type="dxa"/>
          </w:tcPr>
          <w:p w14:paraId="6A15F72D" w14:textId="77777777" w:rsidR="00C91677" w:rsidRPr="00D7330E" w:rsidRDefault="00C91677" w:rsidP="00C32F03">
            <w:pPr>
              <w:pStyle w:val="NoSpacing"/>
              <w:rPr>
                <w:sz w:val="26"/>
                <w:szCs w:val="26"/>
              </w:rPr>
            </w:pPr>
          </w:p>
        </w:tc>
        <w:tc>
          <w:tcPr>
            <w:tcW w:w="8118" w:type="dxa"/>
          </w:tcPr>
          <w:p w14:paraId="67B871D5" w14:textId="77777777" w:rsidR="00C91677" w:rsidRPr="00D7330E" w:rsidRDefault="00C91677" w:rsidP="00C32F03">
            <w:pPr>
              <w:pStyle w:val="NoSpacing"/>
              <w:rPr>
                <w:spacing w:val="-3"/>
                <w:sz w:val="26"/>
                <w:szCs w:val="26"/>
              </w:rPr>
            </w:pPr>
          </w:p>
        </w:tc>
      </w:tr>
      <w:tr w:rsidR="00C91677" w:rsidRPr="00D7330E" w14:paraId="26191D2E" w14:textId="77777777" w:rsidTr="00C32F03">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C91677" w:rsidRPr="00D7330E" w14:paraId="73407E77" w14:textId="77777777" w:rsidTr="00C32F03">
              <w:trPr>
                <w:trHeight w:val="114"/>
              </w:trPr>
              <w:tc>
                <w:tcPr>
                  <w:tcW w:w="9454" w:type="dxa"/>
                  <w:tcBorders>
                    <w:top w:val="single" w:sz="18" w:space="0" w:color="auto"/>
                    <w:bottom w:val="single" w:sz="18" w:space="0" w:color="auto"/>
                  </w:tcBorders>
                </w:tcPr>
                <w:p w14:paraId="0A477AD9" w14:textId="77777777" w:rsidR="00C91677" w:rsidRPr="00D7330E" w:rsidRDefault="00C91677" w:rsidP="00C32F03">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University of Illinois Urbana-Champaign</w:t>
                  </w:r>
                </w:p>
              </w:tc>
            </w:tr>
          </w:tbl>
          <w:p w14:paraId="0C409ECF" w14:textId="77777777" w:rsidR="00C91677" w:rsidRPr="00D7330E" w:rsidRDefault="00C91677" w:rsidP="00C32F03">
            <w:pPr>
              <w:pStyle w:val="NoSpacing"/>
              <w:rPr>
                <w:spacing w:val="-3"/>
                <w:sz w:val="26"/>
                <w:szCs w:val="26"/>
              </w:rPr>
            </w:pPr>
          </w:p>
        </w:tc>
      </w:tr>
      <w:tr w:rsidR="00C91677" w:rsidRPr="00D7330E" w14:paraId="35BD218F" w14:textId="77777777" w:rsidTr="00C32F03">
        <w:trPr>
          <w:trHeight w:val="120"/>
        </w:trPr>
        <w:tc>
          <w:tcPr>
            <w:tcW w:w="342" w:type="dxa"/>
            <w:tcBorders>
              <w:bottom w:val="double" w:sz="6" w:space="0" w:color="auto"/>
            </w:tcBorders>
          </w:tcPr>
          <w:p w14:paraId="2C81271C" w14:textId="586C0F99" w:rsidR="00C91677" w:rsidRPr="00D7330E" w:rsidRDefault="00C91677" w:rsidP="00C32F03">
            <w:pPr>
              <w:pStyle w:val="NoSpacing"/>
              <w:rPr>
                <w:sz w:val="26"/>
                <w:szCs w:val="26"/>
              </w:rPr>
            </w:pPr>
            <w:r>
              <w:rPr>
                <w:sz w:val="26"/>
                <w:szCs w:val="26"/>
              </w:rPr>
              <w:t>1</w:t>
            </w:r>
          </w:p>
        </w:tc>
        <w:tc>
          <w:tcPr>
            <w:tcW w:w="990" w:type="dxa"/>
            <w:tcBorders>
              <w:bottom w:val="double" w:sz="6" w:space="0" w:color="auto"/>
            </w:tcBorders>
          </w:tcPr>
          <w:p w14:paraId="71C615E4" w14:textId="77777777" w:rsidR="00C91677" w:rsidRPr="00D7330E" w:rsidRDefault="00C91677" w:rsidP="00C32F03">
            <w:pPr>
              <w:pStyle w:val="NoSpacing"/>
              <w:rPr>
                <w:sz w:val="26"/>
                <w:szCs w:val="26"/>
              </w:rPr>
            </w:pPr>
            <w:r w:rsidRPr="00D7330E">
              <w:rPr>
                <w:sz w:val="26"/>
                <w:szCs w:val="26"/>
              </w:rPr>
              <w:t>Unit</w:t>
            </w:r>
          </w:p>
        </w:tc>
        <w:tc>
          <w:tcPr>
            <w:tcW w:w="8118" w:type="dxa"/>
            <w:tcBorders>
              <w:bottom w:val="double" w:sz="6" w:space="0" w:color="auto"/>
            </w:tcBorders>
          </w:tcPr>
          <w:p w14:paraId="5742B8EC" w14:textId="77777777" w:rsidR="00C91677" w:rsidRPr="00D7330E" w:rsidRDefault="00C91677" w:rsidP="00C32F03">
            <w:pPr>
              <w:pStyle w:val="NoSpacing"/>
              <w:rPr>
                <w:sz w:val="26"/>
                <w:szCs w:val="26"/>
              </w:rPr>
            </w:pPr>
            <w:r>
              <w:rPr>
                <w:spacing w:val="-3"/>
                <w:sz w:val="26"/>
                <w:szCs w:val="26"/>
              </w:rPr>
              <w:t>Illinois Quantum Microelectronics Park (IQMP)</w:t>
            </w:r>
          </w:p>
        </w:tc>
      </w:tr>
      <w:tr w:rsidR="00C91677" w:rsidRPr="00D7330E" w14:paraId="26C422AC" w14:textId="77777777" w:rsidTr="00C32F03">
        <w:trPr>
          <w:trHeight w:val="648"/>
        </w:trPr>
        <w:tc>
          <w:tcPr>
            <w:tcW w:w="342" w:type="dxa"/>
          </w:tcPr>
          <w:p w14:paraId="33BD2D09" w14:textId="77777777" w:rsidR="00C91677" w:rsidRPr="00D7330E" w:rsidRDefault="00C91677" w:rsidP="00C32F03">
            <w:pPr>
              <w:pStyle w:val="NoSpacing"/>
              <w:rPr>
                <w:sz w:val="26"/>
                <w:szCs w:val="26"/>
              </w:rPr>
            </w:pPr>
          </w:p>
        </w:tc>
        <w:tc>
          <w:tcPr>
            <w:tcW w:w="990" w:type="dxa"/>
          </w:tcPr>
          <w:p w14:paraId="7B75940C" w14:textId="77777777" w:rsidR="00C91677" w:rsidRPr="00D7330E" w:rsidRDefault="00C91677" w:rsidP="00C32F03">
            <w:pPr>
              <w:pStyle w:val="NoSpacing"/>
              <w:rPr>
                <w:sz w:val="26"/>
                <w:szCs w:val="26"/>
              </w:rPr>
            </w:pPr>
          </w:p>
          <w:p w14:paraId="68BD9222" w14:textId="77777777" w:rsidR="00C91677" w:rsidRPr="00D7330E" w:rsidRDefault="00C91677" w:rsidP="00C32F03">
            <w:pPr>
              <w:pStyle w:val="NoSpacing"/>
              <w:rPr>
                <w:sz w:val="26"/>
                <w:szCs w:val="26"/>
              </w:rPr>
            </w:pPr>
            <w:r w:rsidRPr="00D7330E">
              <w:rPr>
                <w:sz w:val="26"/>
                <w:szCs w:val="26"/>
              </w:rPr>
              <w:t xml:space="preserve">Item   </w:t>
            </w:r>
          </w:p>
        </w:tc>
        <w:tc>
          <w:tcPr>
            <w:tcW w:w="8118" w:type="dxa"/>
          </w:tcPr>
          <w:p w14:paraId="4B9C1345" w14:textId="77777777" w:rsidR="00C91677" w:rsidRPr="00D7330E" w:rsidRDefault="00C91677" w:rsidP="00C32F03">
            <w:pPr>
              <w:pStyle w:val="NoSpacing"/>
              <w:rPr>
                <w:sz w:val="26"/>
                <w:szCs w:val="26"/>
              </w:rPr>
            </w:pPr>
          </w:p>
          <w:p w14:paraId="3D9C0DA4" w14:textId="77777777" w:rsidR="00C91677" w:rsidRPr="00D7330E" w:rsidRDefault="00C91677" w:rsidP="00C32F03">
            <w:pPr>
              <w:pStyle w:val="NoSpacing"/>
              <w:rPr>
                <w:sz w:val="26"/>
                <w:szCs w:val="26"/>
              </w:rPr>
            </w:pPr>
            <w:r w:rsidRPr="00810366">
              <w:rPr>
                <w:sz w:val="26"/>
                <w:szCs w:val="26"/>
              </w:rPr>
              <w:t>Quantum computing specialized hardware and equipment for</w:t>
            </w:r>
            <w:r>
              <w:rPr>
                <w:sz w:val="26"/>
                <w:szCs w:val="26"/>
              </w:rPr>
              <w:t xml:space="preserve"> University of Illinois owned</w:t>
            </w:r>
            <w:r w:rsidRPr="00810366">
              <w:rPr>
                <w:sz w:val="26"/>
                <w:szCs w:val="26"/>
              </w:rPr>
              <w:t xml:space="preserve"> Illinois Quantum and Microelectronics Park (IQMP) facilities</w:t>
            </w:r>
          </w:p>
        </w:tc>
      </w:tr>
      <w:tr w:rsidR="00C91677" w:rsidRPr="00D7330E" w14:paraId="03BB30FA" w14:textId="77777777" w:rsidTr="00C32F03">
        <w:trPr>
          <w:trHeight w:val="315"/>
        </w:trPr>
        <w:tc>
          <w:tcPr>
            <w:tcW w:w="342" w:type="dxa"/>
          </w:tcPr>
          <w:p w14:paraId="4D72EF02" w14:textId="77777777" w:rsidR="00C91677" w:rsidRPr="00D7330E" w:rsidRDefault="00C91677" w:rsidP="00C32F03">
            <w:pPr>
              <w:pStyle w:val="NoSpacing"/>
              <w:rPr>
                <w:sz w:val="26"/>
                <w:szCs w:val="26"/>
              </w:rPr>
            </w:pPr>
            <w:r w:rsidRPr="00D7330E">
              <w:rPr>
                <w:sz w:val="26"/>
                <w:szCs w:val="26"/>
              </w:rPr>
              <w:t xml:space="preserve"> </w:t>
            </w:r>
          </w:p>
        </w:tc>
        <w:tc>
          <w:tcPr>
            <w:tcW w:w="990" w:type="dxa"/>
          </w:tcPr>
          <w:p w14:paraId="4D48075A" w14:textId="77777777" w:rsidR="00C91677" w:rsidRPr="00D7330E" w:rsidRDefault="00C91677" w:rsidP="00C32F03">
            <w:pPr>
              <w:pStyle w:val="NoSpacing"/>
              <w:rPr>
                <w:sz w:val="26"/>
                <w:szCs w:val="26"/>
              </w:rPr>
            </w:pPr>
          </w:p>
          <w:p w14:paraId="5F4EE98D" w14:textId="77777777" w:rsidR="00C91677" w:rsidRPr="00D7330E" w:rsidRDefault="00C91677" w:rsidP="00C32F03">
            <w:pPr>
              <w:pStyle w:val="NoSpacing"/>
              <w:rPr>
                <w:sz w:val="26"/>
                <w:szCs w:val="26"/>
              </w:rPr>
            </w:pPr>
            <w:r w:rsidRPr="00D7330E">
              <w:rPr>
                <w:sz w:val="26"/>
                <w:szCs w:val="26"/>
              </w:rPr>
              <w:t>Cost</w:t>
            </w:r>
          </w:p>
        </w:tc>
        <w:tc>
          <w:tcPr>
            <w:tcW w:w="8118" w:type="dxa"/>
          </w:tcPr>
          <w:p w14:paraId="7162A89A" w14:textId="77777777" w:rsidR="00C91677" w:rsidRPr="00D7330E" w:rsidRDefault="00C91677" w:rsidP="00C32F03">
            <w:pPr>
              <w:pStyle w:val="NoSpacing"/>
              <w:rPr>
                <w:spacing w:val="-3"/>
                <w:sz w:val="26"/>
                <w:szCs w:val="26"/>
              </w:rPr>
            </w:pPr>
          </w:p>
          <w:p w14:paraId="70EB08BD" w14:textId="77777777" w:rsidR="00C91677" w:rsidRPr="00D7330E" w:rsidRDefault="00C91677" w:rsidP="00C32F03">
            <w:pPr>
              <w:rPr>
                <w:spacing w:val="-3"/>
                <w:szCs w:val="26"/>
              </w:rPr>
            </w:pPr>
            <w:r w:rsidRPr="00D7330E">
              <w:rPr>
                <w:spacing w:val="-3"/>
                <w:szCs w:val="26"/>
              </w:rPr>
              <w:t>$</w:t>
            </w:r>
            <w:r>
              <w:rPr>
                <w:spacing w:val="-3"/>
                <w:szCs w:val="26"/>
              </w:rPr>
              <w:t>20,000</w:t>
            </w:r>
            <w:r w:rsidRPr="00D7330E">
              <w:rPr>
                <w:spacing w:val="-3"/>
                <w:szCs w:val="26"/>
              </w:rPr>
              <w:t>,000</w:t>
            </w:r>
            <w:r>
              <w:rPr>
                <w:spacing w:val="-3"/>
                <w:szCs w:val="26"/>
              </w:rPr>
              <w:t xml:space="preserve"> (Grant-tied estimate)</w:t>
            </w:r>
          </w:p>
        </w:tc>
      </w:tr>
      <w:tr w:rsidR="00C91677" w:rsidRPr="00D7330E" w14:paraId="22081753" w14:textId="77777777" w:rsidTr="00C32F03">
        <w:trPr>
          <w:trHeight w:val="657"/>
        </w:trPr>
        <w:tc>
          <w:tcPr>
            <w:tcW w:w="342" w:type="dxa"/>
          </w:tcPr>
          <w:p w14:paraId="3F52931A" w14:textId="77777777" w:rsidR="00C91677" w:rsidRPr="00D7330E" w:rsidRDefault="00C91677" w:rsidP="00C32F03">
            <w:pPr>
              <w:pStyle w:val="NoSpacing"/>
              <w:rPr>
                <w:sz w:val="26"/>
                <w:szCs w:val="26"/>
              </w:rPr>
            </w:pPr>
          </w:p>
        </w:tc>
        <w:tc>
          <w:tcPr>
            <w:tcW w:w="990" w:type="dxa"/>
            <w:shd w:val="clear" w:color="auto" w:fill="auto"/>
          </w:tcPr>
          <w:p w14:paraId="5DE233B2" w14:textId="77777777" w:rsidR="00C91677" w:rsidRPr="00D7330E" w:rsidRDefault="00C91677" w:rsidP="00C32F03">
            <w:pPr>
              <w:pStyle w:val="NoSpacing"/>
              <w:rPr>
                <w:sz w:val="26"/>
                <w:szCs w:val="26"/>
              </w:rPr>
            </w:pPr>
            <w:r w:rsidRPr="00D7330E">
              <w:rPr>
                <w:sz w:val="26"/>
                <w:szCs w:val="26"/>
              </w:rPr>
              <w:t>Vendor</w:t>
            </w:r>
          </w:p>
        </w:tc>
        <w:tc>
          <w:tcPr>
            <w:tcW w:w="8118" w:type="dxa"/>
            <w:shd w:val="clear" w:color="auto" w:fill="auto"/>
          </w:tcPr>
          <w:p w14:paraId="49E6190B" w14:textId="77777777" w:rsidR="00C91677" w:rsidRPr="00D7330E" w:rsidRDefault="00C91677" w:rsidP="00C32F03">
            <w:pPr>
              <w:spacing w:after="0" w:line="240" w:lineRule="auto"/>
              <w:jc w:val="both"/>
              <w:rPr>
                <w:szCs w:val="26"/>
              </w:rPr>
            </w:pPr>
            <w:r>
              <w:rPr>
                <w:bCs/>
                <w:szCs w:val="26"/>
              </w:rPr>
              <w:t>Multiple Vendors (</w:t>
            </w:r>
            <w:proofErr w:type="gramStart"/>
            <w:r>
              <w:rPr>
                <w:bCs/>
                <w:szCs w:val="26"/>
              </w:rPr>
              <w:t>TBD)</w:t>
            </w:r>
            <w:r w:rsidRPr="00FE0685">
              <w:rPr>
                <w:bCs/>
                <w:szCs w:val="26"/>
              </w:rPr>
              <w:t xml:space="preserve"> </w:t>
            </w:r>
            <w:r>
              <w:rPr>
                <w:bCs/>
                <w:szCs w:val="26"/>
              </w:rPr>
              <w:t xml:space="preserve">  </w:t>
            </w:r>
            <w:proofErr w:type="gramEnd"/>
            <w:r>
              <w:rPr>
                <w:bCs/>
                <w:szCs w:val="26"/>
              </w:rPr>
              <w:t xml:space="preserve">                                                                          TBD</w:t>
            </w:r>
            <w:r w:rsidRPr="00D7330E">
              <w:rPr>
                <w:bCs/>
                <w:szCs w:val="26"/>
              </w:rPr>
              <w:t xml:space="preserve">         </w:t>
            </w:r>
          </w:p>
          <w:p w14:paraId="1B5B8B9F" w14:textId="77777777" w:rsidR="00C91677" w:rsidRPr="00D7330E" w:rsidRDefault="00C91677" w:rsidP="00C32F03">
            <w:pPr>
              <w:rPr>
                <w:szCs w:val="26"/>
              </w:rPr>
            </w:pPr>
          </w:p>
        </w:tc>
      </w:tr>
      <w:tr w:rsidR="00C91677" w:rsidRPr="00D7330E" w14:paraId="1A5FC05A" w14:textId="77777777" w:rsidTr="00C32F03">
        <w:trPr>
          <w:trHeight w:val="990"/>
        </w:trPr>
        <w:tc>
          <w:tcPr>
            <w:tcW w:w="342" w:type="dxa"/>
          </w:tcPr>
          <w:p w14:paraId="2B738659" w14:textId="77777777" w:rsidR="00C91677" w:rsidRPr="00D7330E" w:rsidRDefault="00C91677" w:rsidP="00C32F03">
            <w:pPr>
              <w:pStyle w:val="NoSpacing"/>
              <w:rPr>
                <w:sz w:val="26"/>
                <w:szCs w:val="26"/>
              </w:rPr>
            </w:pPr>
            <w:bookmarkStart w:id="0" w:name="_Hlk201216988"/>
          </w:p>
        </w:tc>
        <w:tc>
          <w:tcPr>
            <w:tcW w:w="990" w:type="dxa"/>
            <w:shd w:val="clear" w:color="auto" w:fill="auto"/>
          </w:tcPr>
          <w:p w14:paraId="09F5CAD8" w14:textId="77777777" w:rsidR="00C91677" w:rsidRPr="00496CFF" w:rsidRDefault="00C91677" w:rsidP="00C32F03">
            <w:pPr>
              <w:pStyle w:val="NoSpacing"/>
              <w:rPr>
                <w:rFonts w:ascii="Aptos" w:hAnsi="Aptos"/>
                <w:sz w:val="26"/>
                <w:szCs w:val="26"/>
              </w:rPr>
            </w:pPr>
          </w:p>
        </w:tc>
        <w:tc>
          <w:tcPr>
            <w:tcW w:w="8118" w:type="dxa"/>
            <w:shd w:val="clear" w:color="auto" w:fill="auto"/>
          </w:tcPr>
          <w:p w14:paraId="35737106" w14:textId="77777777" w:rsidR="00C91677" w:rsidRDefault="00C91677" w:rsidP="00C32F03">
            <w:r>
              <w:t xml:space="preserve">The National Quantum Facility (NQF) at the IQMP will be a center for supporting private sector companies developing quantum computing, sensing, and networking technology and quantum researchers from academia and national laboratories by providing access to significant specialized equipment, an industrial scale </w:t>
            </w:r>
            <w:proofErr w:type="spellStart"/>
            <w:r>
              <w:t>cryoplant</w:t>
            </w:r>
            <w:proofErr w:type="spellEnd"/>
            <w:r>
              <w:t>, and access to quantum experts from IQMP. The NQF will be owned by the Board of Trustees of the University of Illinois and is planned to be delivered in 2027</w:t>
            </w:r>
          </w:p>
          <w:p w14:paraId="28C3C1A2" w14:textId="77777777" w:rsidR="00C91677" w:rsidRDefault="00C91677" w:rsidP="00C32F03">
            <w:r>
              <w:t>While the NQF is under development, the IQMP will provide an on-ramp program for companies and researchers to enter and leverage the Chicago and Illinois ecosystem by sitting at an existing local innovation facility (“On-Ramp Facility”). The On-Ramp Facility is a Chicago location within the existing quantum ecosystem that has available shared-use space and the ability to serve small business needs.</w:t>
            </w:r>
          </w:p>
          <w:p w14:paraId="78E81E25" w14:textId="77777777" w:rsidR="00C91677" w:rsidRDefault="00C91677" w:rsidP="00C32F03">
            <w:r>
              <w:t>The Board of Trustees of the University of Illinois was recently awarded a grant by the State of Illinois for the hardware equipment costs for equipment to be placed at the On-Ramp Facility in the short-term, with transferability to the future NQF. This equipment will support growth stage quantum companies in a shared location with entrepreneurial and technical support. The Board will own the equipment purchased using these grant funds.</w:t>
            </w:r>
          </w:p>
          <w:p w14:paraId="7BD9576A" w14:textId="77777777" w:rsidR="00C91677" w:rsidRDefault="00C91677" w:rsidP="00C32F03">
            <w:r>
              <w:t>Purchases will include, but are not limited to, the following hardware and equipment necessary for the On-Ramp Facility to support quantum and microelectronic businesses in Illinois: c</w:t>
            </w:r>
            <w:r w:rsidRPr="00CC78C7">
              <w:t xml:space="preserve">ryostats </w:t>
            </w:r>
            <w:r>
              <w:t>(</w:t>
            </w:r>
            <w:r w:rsidRPr="00CC78C7">
              <w:t>including dilution refrigerators</w:t>
            </w:r>
            <w:r>
              <w:t>), control electronics, test and measurement instruments, and qubit devices.</w:t>
            </w:r>
          </w:p>
          <w:p w14:paraId="5BFB85F3" w14:textId="77777777" w:rsidR="00C91677" w:rsidRDefault="00C91677" w:rsidP="00C32F03">
            <w:r w:rsidRPr="00CC78C7">
              <w:t>This equipment is essential for IQMP’s ability to attract and retain businesses prior to the opening of the NQF.</w:t>
            </w:r>
            <w:r>
              <w:t xml:space="preserve"> Multiple vendors will be needed to source a range of specialized quantum technology equipment and </w:t>
            </w:r>
            <w:proofErr w:type="gramStart"/>
            <w:r>
              <w:t>cryostats</w:t>
            </w:r>
            <w:proofErr w:type="gramEnd"/>
            <w:r>
              <w:t xml:space="preserve"> and we anticipate there to be long lead times for several of these purchases.  As a result, the IQMP seeks the Board’s approval and purchase authority delegation so that IQMP may begin communications with several potential vendors. The IQMP will provide a report back to the Board of purchases that exceeded the $1,000,000 purchase threshold under this grant agreement.</w:t>
            </w:r>
          </w:p>
          <w:p w14:paraId="5B4EB2A3" w14:textId="77777777" w:rsidR="00C91677" w:rsidRDefault="00C91677" w:rsidP="00C32F03"/>
          <w:p w14:paraId="7527FE9D" w14:textId="77777777" w:rsidR="00C91677" w:rsidRPr="00496CFF" w:rsidRDefault="00C91677" w:rsidP="00C32F03">
            <w:pPr>
              <w:rPr>
                <w:rFonts w:ascii="Aptos" w:hAnsi="Aptos"/>
                <w:szCs w:val="26"/>
              </w:rPr>
            </w:pPr>
            <w:r w:rsidRPr="00496CFF">
              <w:rPr>
                <w:b/>
                <w:bCs/>
                <w:szCs w:val="26"/>
              </w:rPr>
              <w:t>Business Enterprise Program (BEP)</w:t>
            </w:r>
            <w:r w:rsidRPr="00496CFF">
              <w:rPr>
                <w:szCs w:val="26"/>
              </w:rPr>
              <w:t xml:space="preserve"> goals are not established as there are no other sources able to meet the need.</w:t>
            </w:r>
          </w:p>
        </w:tc>
      </w:tr>
      <w:tr w:rsidR="00C91677" w:rsidRPr="00D7330E" w14:paraId="417A054F" w14:textId="77777777" w:rsidTr="00C32F03">
        <w:trPr>
          <w:trHeight w:val="150"/>
        </w:trPr>
        <w:tc>
          <w:tcPr>
            <w:tcW w:w="342" w:type="dxa"/>
          </w:tcPr>
          <w:p w14:paraId="66630526" w14:textId="77777777" w:rsidR="00C91677" w:rsidRPr="00D7330E" w:rsidRDefault="00C91677" w:rsidP="00C32F03">
            <w:pPr>
              <w:pStyle w:val="NoSpacing"/>
              <w:rPr>
                <w:sz w:val="26"/>
                <w:szCs w:val="26"/>
              </w:rPr>
            </w:pPr>
          </w:p>
        </w:tc>
        <w:tc>
          <w:tcPr>
            <w:tcW w:w="990" w:type="dxa"/>
            <w:shd w:val="clear" w:color="auto" w:fill="auto"/>
          </w:tcPr>
          <w:p w14:paraId="7FC97571" w14:textId="77777777" w:rsidR="00C91677" w:rsidRPr="00D7330E" w:rsidRDefault="00C91677" w:rsidP="00C32F03">
            <w:pPr>
              <w:pStyle w:val="NoSpacing"/>
              <w:rPr>
                <w:sz w:val="26"/>
                <w:szCs w:val="26"/>
              </w:rPr>
            </w:pPr>
          </w:p>
        </w:tc>
        <w:tc>
          <w:tcPr>
            <w:tcW w:w="8118" w:type="dxa"/>
            <w:shd w:val="clear" w:color="auto" w:fill="auto"/>
          </w:tcPr>
          <w:p w14:paraId="6EAB6CCE" w14:textId="77777777" w:rsidR="00C91677" w:rsidRPr="00D7330E" w:rsidRDefault="00C91677" w:rsidP="00C32F03">
            <w:pPr>
              <w:spacing w:after="0" w:line="240" w:lineRule="auto"/>
              <w:ind w:left="1478"/>
              <w:rPr>
                <w:szCs w:val="26"/>
              </w:rPr>
            </w:pPr>
          </w:p>
        </w:tc>
      </w:tr>
      <w:tr w:rsidR="00C91677" w:rsidRPr="00D7330E" w14:paraId="0D3DCA86" w14:textId="77777777" w:rsidTr="00C32F03">
        <w:trPr>
          <w:trHeight w:val="150"/>
        </w:trPr>
        <w:tc>
          <w:tcPr>
            <w:tcW w:w="342" w:type="dxa"/>
          </w:tcPr>
          <w:p w14:paraId="012A85E3" w14:textId="77777777" w:rsidR="00C91677" w:rsidRPr="00D7330E" w:rsidRDefault="00C91677" w:rsidP="00C32F03">
            <w:pPr>
              <w:pStyle w:val="NoSpacing"/>
              <w:rPr>
                <w:sz w:val="26"/>
                <w:szCs w:val="26"/>
              </w:rPr>
            </w:pPr>
          </w:p>
        </w:tc>
        <w:tc>
          <w:tcPr>
            <w:tcW w:w="990" w:type="dxa"/>
            <w:shd w:val="clear" w:color="auto" w:fill="auto"/>
          </w:tcPr>
          <w:p w14:paraId="575F154D" w14:textId="77777777" w:rsidR="00C91677" w:rsidRPr="00D7330E" w:rsidRDefault="00C91677" w:rsidP="00C32F03">
            <w:pPr>
              <w:pStyle w:val="NoSpacing"/>
              <w:rPr>
                <w:sz w:val="26"/>
                <w:szCs w:val="26"/>
              </w:rPr>
            </w:pPr>
          </w:p>
        </w:tc>
        <w:tc>
          <w:tcPr>
            <w:tcW w:w="8118" w:type="dxa"/>
            <w:shd w:val="clear" w:color="auto" w:fill="auto"/>
          </w:tcPr>
          <w:p w14:paraId="75C121E2" w14:textId="77777777" w:rsidR="00C91677" w:rsidRPr="00D7330E" w:rsidRDefault="00C91677" w:rsidP="00C32F03">
            <w:pPr>
              <w:spacing w:after="0" w:line="240" w:lineRule="auto"/>
              <w:ind w:left="1478"/>
              <w:rPr>
                <w:szCs w:val="26"/>
              </w:rPr>
            </w:pPr>
          </w:p>
        </w:tc>
      </w:tr>
      <w:tr w:rsidR="00091CFA" w:rsidRPr="00D7330E" w14:paraId="3E8AF208" w14:textId="77777777" w:rsidTr="0028738A">
        <w:trPr>
          <w:trHeight w:val="387"/>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D7330E" w14:paraId="209C5A9A" w14:textId="77777777" w:rsidTr="002D50D5">
              <w:trPr>
                <w:trHeight w:val="405"/>
              </w:trPr>
              <w:tc>
                <w:tcPr>
                  <w:tcW w:w="9454" w:type="dxa"/>
                  <w:tcBorders>
                    <w:top w:val="single" w:sz="18" w:space="0" w:color="auto"/>
                    <w:bottom w:val="single" w:sz="18" w:space="0" w:color="auto"/>
                  </w:tcBorders>
                </w:tcPr>
                <w:bookmarkEnd w:id="0"/>
                <w:p w14:paraId="55B87639" w14:textId="76600D44" w:rsidR="00091CFA" w:rsidRPr="00D7330E"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University of Illinois</w:t>
                  </w:r>
                  <w:r w:rsidR="00130E3F" w:rsidRPr="00D7330E">
                    <w:rPr>
                      <w:rFonts w:eastAsia="Times New Roman"/>
                      <w:b/>
                      <w:szCs w:val="26"/>
                    </w:rPr>
                    <w:t xml:space="preserve"> </w:t>
                  </w:r>
                  <w:r w:rsidR="00923CDB">
                    <w:rPr>
                      <w:rFonts w:eastAsia="Times New Roman"/>
                      <w:b/>
                      <w:szCs w:val="26"/>
                    </w:rPr>
                    <w:t>Chicago</w:t>
                  </w:r>
                </w:p>
              </w:tc>
            </w:tr>
          </w:tbl>
          <w:p w14:paraId="107DA0B5" w14:textId="77777777" w:rsidR="00091CFA" w:rsidRPr="00D7330E" w:rsidRDefault="00091CFA" w:rsidP="00091CFA">
            <w:pPr>
              <w:pStyle w:val="NoSpacing"/>
              <w:rPr>
                <w:spacing w:val="-3"/>
                <w:sz w:val="26"/>
                <w:szCs w:val="26"/>
              </w:rPr>
            </w:pPr>
          </w:p>
        </w:tc>
      </w:tr>
      <w:tr w:rsidR="00B775E6" w:rsidRPr="00D7330E" w14:paraId="0E86D7C9" w14:textId="77777777" w:rsidTr="00361DE1">
        <w:trPr>
          <w:trHeight w:val="120"/>
        </w:trPr>
        <w:tc>
          <w:tcPr>
            <w:tcW w:w="342" w:type="dxa"/>
            <w:tcBorders>
              <w:bottom w:val="double" w:sz="6" w:space="0" w:color="auto"/>
            </w:tcBorders>
          </w:tcPr>
          <w:p w14:paraId="2A853B15" w14:textId="24B3A555" w:rsidR="00B775E6" w:rsidRPr="00D7330E" w:rsidRDefault="00C91677" w:rsidP="00B775E6">
            <w:pPr>
              <w:pStyle w:val="NoSpacing"/>
              <w:rPr>
                <w:sz w:val="26"/>
                <w:szCs w:val="26"/>
              </w:rPr>
            </w:pPr>
            <w:r>
              <w:rPr>
                <w:sz w:val="26"/>
                <w:szCs w:val="26"/>
              </w:rPr>
              <w:t>2</w:t>
            </w:r>
          </w:p>
        </w:tc>
        <w:tc>
          <w:tcPr>
            <w:tcW w:w="990" w:type="dxa"/>
            <w:tcBorders>
              <w:bottom w:val="double" w:sz="6" w:space="0" w:color="auto"/>
            </w:tcBorders>
          </w:tcPr>
          <w:p w14:paraId="54386F5E" w14:textId="77777777" w:rsidR="00B775E6" w:rsidRPr="00D7330E" w:rsidRDefault="00B775E6" w:rsidP="00B775E6">
            <w:pPr>
              <w:pStyle w:val="NoSpacing"/>
              <w:rPr>
                <w:sz w:val="26"/>
                <w:szCs w:val="26"/>
              </w:rPr>
            </w:pPr>
            <w:r w:rsidRPr="00D7330E">
              <w:rPr>
                <w:sz w:val="26"/>
                <w:szCs w:val="26"/>
              </w:rPr>
              <w:t>Unit</w:t>
            </w:r>
          </w:p>
        </w:tc>
        <w:tc>
          <w:tcPr>
            <w:tcW w:w="8118" w:type="dxa"/>
            <w:tcBorders>
              <w:bottom w:val="double" w:sz="6" w:space="0" w:color="auto"/>
            </w:tcBorders>
          </w:tcPr>
          <w:p w14:paraId="141541B7" w14:textId="1F1C7F94" w:rsidR="00A44D7C" w:rsidRPr="00D7330E" w:rsidRDefault="002D50D5" w:rsidP="002F2D48">
            <w:pPr>
              <w:pStyle w:val="NoSpacing"/>
              <w:rPr>
                <w:sz w:val="26"/>
                <w:szCs w:val="26"/>
              </w:rPr>
            </w:pPr>
            <w:r>
              <w:rPr>
                <w:spacing w:val="-3"/>
                <w:sz w:val="26"/>
                <w:szCs w:val="26"/>
              </w:rPr>
              <w:t>Office of the Vice Chancellor for Administrative Services (OVCAS) and University of Illinois Chicago Police Department (UICPD)</w:t>
            </w:r>
          </w:p>
        </w:tc>
      </w:tr>
      <w:tr w:rsidR="00B775E6" w:rsidRPr="00D7330E" w14:paraId="16D04378" w14:textId="77777777" w:rsidTr="00BC0630">
        <w:trPr>
          <w:trHeight w:val="648"/>
        </w:trPr>
        <w:tc>
          <w:tcPr>
            <w:tcW w:w="342" w:type="dxa"/>
          </w:tcPr>
          <w:p w14:paraId="6610E660" w14:textId="77777777" w:rsidR="00B775E6" w:rsidRPr="00D7330E" w:rsidRDefault="00B775E6" w:rsidP="00B775E6">
            <w:pPr>
              <w:pStyle w:val="NoSpacing"/>
              <w:rPr>
                <w:sz w:val="26"/>
                <w:szCs w:val="26"/>
              </w:rPr>
            </w:pPr>
          </w:p>
        </w:tc>
        <w:tc>
          <w:tcPr>
            <w:tcW w:w="990" w:type="dxa"/>
          </w:tcPr>
          <w:p w14:paraId="21F9BBE9" w14:textId="77777777" w:rsidR="002F2D48" w:rsidRPr="00D7330E" w:rsidRDefault="002F2D48" w:rsidP="00B775E6">
            <w:pPr>
              <w:pStyle w:val="NoSpacing"/>
              <w:rPr>
                <w:sz w:val="26"/>
                <w:szCs w:val="26"/>
              </w:rPr>
            </w:pPr>
          </w:p>
          <w:p w14:paraId="39157CFA" w14:textId="468DA79B" w:rsidR="00B775E6" w:rsidRPr="00D7330E" w:rsidRDefault="00B775E6" w:rsidP="00B775E6">
            <w:pPr>
              <w:pStyle w:val="NoSpacing"/>
              <w:rPr>
                <w:sz w:val="26"/>
                <w:szCs w:val="26"/>
              </w:rPr>
            </w:pPr>
            <w:r w:rsidRPr="00D7330E">
              <w:rPr>
                <w:sz w:val="26"/>
                <w:szCs w:val="26"/>
              </w:rPr>
              <w:t>Item</w:t>
            </w:r>
            <w:r w:rsidR="00D743A9" w:rsidRPr="00D7330E">
              <w:rPr>
                <w:sz w:val="26"/>
                <w:szCs w:val="26"/>
              </w:rPr>
              <w:t xml:space="preserve">   </w:t>
            </w:r>
          </w:p>
        </w:tc>
        <w:tc>
          <w:tcPr>
            <w:tcW w:w="8118" w:type="dxa"/>
          </w:tcPr>
          <w:p w14:paraId="1F61BF83" w14:textId="77777777" w:rsidR="002F2D48" w:rsidRPr="00D7330E" w:rsidRDefault="002F2D48" w:rsidP="002F2D48">
            <w:pPr>
              <w:pStyle w:val="NoSpacing"/>
              <w:rPr>
                <w:sz w:val="26"/>
                <w:szCs w:val="26"/>
              </w:rPr>
            </w:pPr>
          </w:p>
          <w:p w14:paraId="25646054" w14:textId="713B8028" w:rsidR="00B775E6" w:rsidRPr="00D7330E" w:rsidRDefault="002D50D5" w:rsidP="002F2D48">
            <w:pPr>
              <w:pStyle w:val="NoSpacing"/>
              <w:rPr>
                <w:sz w:val="26"/>
                <w:szCs w:val="26"/>
              </w:rPr>
            </w:pPr>
            <w:r>
              <w:rPr>
                <w:sz w:val="26"/>
                <w:szCs w:val="26"/>
              </w:rPr>
              <w:t>Video analytics of security camera feeds to identify and respond to security incidents in a timely fashion.</w:t>
            </w:r>
          </w:p>
        </w:tc>
      </w:tr>
      <w:tr w:rsidR="00B775E6" w:rsidRPr="00D7330E" w14:paraId="65073756" w14:textId="77777777" w:rsidTr="00BC0630">
        <w:trPr>
          <w:trHeight w:val="315"/>
        </w:trPr>
        <w:tc>
          <w:tcPr>
            <w:tcW w:w="342" w:type="dxa"/>
          </w:tcPr>
          <w:p w14:paraId="4EB91AF9" w14:textId="77777777" w:rsidR="00B775E6" w:rsidRPr="00D7330E" w:rsidRDefault="00B775E6" w:rsidP="00B775E6">
            <w:pPr>
              <w:pStyle w:val="NoSpacing"/>
              <w:rPr>
                <w:sz w:val="26"/>
                <w:szCs w:val="26"/>
              </w:rPr>
            </w:pPr>
            <w:r w:rsidRPr="00D7330E">
              <w:rPr>
                <w:sz w:val="26"/>
                <w:szCs w:val="26"/>
              </w:rPr>
              <w:t xml:space="preserve"> </w:t>
            </w:r>
          </w:p>
        </w:tc>
        <w:tc>
          <w:tcPr>
            <w:tcW w:w="990" w:type="dxa"/>
          </w:tcPr>
          <w:p w14:paraId="2E4CAE21" w14:textId="77777777" w:rsidR="00B775E6" w:rsidRPr="00D7330E" w:rsidRDefault="00B775E6" w:rsidP="00B775E6">
            <w:pPr>
              <w:pStyle w:val="NoSpacing"/>
              <w:rPr>
                <w:sz w:val="26"/>
                <w:szCs w:val="26"/>
              </w:rPr>
            </w:pPr>
          </w:p>
          <w:p w14:paraId="4EC10280" w14:textId="77777777" w:rsidR="00B775E6" w:rsidRPr="00D7330E" w:rsidRDefault="00B775E6" w:rsidP="00B775E6">
            <w:pPr>
              <w:pStyle w:val="NoSpacing"/>
              <w:rPr>
                <w:sz w:val="26"/>
                <w:szCs w:val="26"/>
              </w:rPr>
            </w:pPr>
            <w:r w:rsidRPr="00D7330E">
              <w:rPr>
                <w:sz w:val="26"/>
                <w:szCs w:val="26"/>
              </w:rPr>
              <w:t>Cost</w:t>
            </w:r>
          </w:p>
        </w:tc>
        <w:tc>
          <w:tcPr>
            <w:tcW w:w="8118" w:type="dxa"/>
          </w:tcPr>
          <w:p w14:paraId="16BB3D59" w14:textId="77777777" w:rsidR="00B775E6" w:rsidRPr="00D7330E" w:rsidRDefault="00B775E6" w:rsidP="00B775E6">
            <w:pPr>
              <w:pStyle w:val="NoSpacing"/>
              <w:rPr>
                <w:spacing w:val="-3"/>
                <w:sz w:val="26"/>
                <w:szCs w:val="26"/>
              </w:rPr>
            </w:pPr>
          </w:p>
          <w:p w14:paraId="7BF116A7" w14:textId="20E963AF" w:rsidR="002D50D5" w:rsidRPr="002D50D5" w:rsidRDefault="002D50D5" w:rsidP="002D50D5">
            <w:pPr>
              <w:spacing w:after="0" w:line="240" w:lineRule="auto"/>
              <w:rPr>
                <w:szCs w:val="26"/>
              </w:rPr>
            </w:pPr>
            <w:r w:rsidRPr="002D50D5">
              <w:rPr>
                <w:szCs w:val="26"/>
              </w:rPr>
              <w:t>Initial Term: $3,720,936 (estimated) for a 3-year period September 1, 2025</w:t>
            </w:r>
            <w:r>
              <w:rPr>
                <w:szCs w:val="26"/>
              </w:rPr>
              <w:t>,</w:t>
            </w:r>
            <w:r w:rsidRPr="002D50D5">
              <w:rPr>
                <w:szCs w:val="26"/>
              </w:rPr>
              <w:t xml:space="preserve"> through August 31, 2028.</w:t>
            </w:r>
          </w:p>
          <w:p w14:paraId="6AFEF5F5" w14:textId="77777777" w:rsidR="002D50D5" w:rsidRPr="002D50D5" w:rsidRDefault="002D50D5" w:rsidP="002D50D5">
            <w:pPr>
              <w:spacing w:after="0" w:line="240" w:lineRule="auto"/>
              <w:rPr>
                <w:szCs w:val="26"/>
              </w:rPr>
            </w:pPr>
          </w:p>
          <w:p w14:paraId="522EAA6B" w14:textId="391D3C8B" w:rsidR="002D50D5" w:rsidRPr="002D50D5" w:rsidRDefault="002D50D5" w:rsidP="002D50D5">
            <w:pPr>
              <w:spacing w:after="0" w:line="240" w:lineRule="auto"/>
              <w:rPr>
                <w:szCs w:val="26"/>
              </w:rPr>
            </w:pPr>
            <w:r w:rsidRPr="002D50D5">
              <w:rPr>
                <w:szCs w:val="26"/>
              </w:rPr>
              <w:t xml:space="preserve">Renewal Term One: $2,554,812 (estimated) for a 2-year period September 1, </w:t>
            </w:r>
            <w:proofErr w:type="gramStart"/>
            <w:r w:rsidRPr="002D50D5">
              <w:rPr>
                <w:szCs w:val="26"/>
              </w:rPr>
              <w:t>2028</w:t>
            </w:r>
            <w:proofErr w:type="gramEnd"/>
            <w:r w:rsidRPr="002D50D5">
              <w:rPr>
                <w:szCs w:val="26"/>
              </w:rPr>
              <w:t xml:space="preserve"> through August 31, 2030.</w:t>
            </w:r>
          </w:p>
          <w:p w14:paraId="634CB2CB" w14:textId="77777777" w:rsidR="002D50D5" w:rsidRPr="002D50D5" w:rsidRDefault="002D50D5" w:rsidP="002D50D5">
            <w:pPr>
              <w:spacing w:after="0" w:line="240" w:lineRule="auto"/>
              <w:rPr>
                <w:szCs w:val="26"/>
              </w:rPr>
            </w:pPr>
          </w:p>
          <w:p w14:paraId="78951B4C" w14:textId="77777777" w:rsidR="005E7874" w:rsidRDefault="002D50D5" w:rsidP="002D50D5">
            <w:pPr>
              <w:spacing w:after="0" w:line="240" w:lineRule="auto"/>
              <w:rPr>
                <w:szCs w:val="26"/>
              </w:rPr>
            </w:pPr>
            <w:r w:rsidRPr="002D50D5">
              <w:rPr>
                <w:szCs w:val="26"/>
              </w:rPr>
              <w:t xml:space="preserve">Renewal Term Two: $2,631,456 (estimated) for a 2-year period September 1, </w:t>
            </w:r>
            <w:proofErr w:type="gramStart"/>
            <w:r w:rsidRPr="002D50D5">
              <w:rPr>
                <w:szCs w:val="26"/>
              </w:rPr>
              <w:t>2030</w:t>
            </w:r>
            <w:proofErr w:type="gramEnd"/>
            <w:r w:rsidRPr="002D50D5">
              <w:rPr>
                <w:szCs w:val="26"/>
              </w:rPr>
              <w:t xml:space="preserve"> through August 31, 2032</w:t>
            </w:r>
          </w:p>
          <w:p w14:paraId="68547836" w14:textId="77777777" w:rsidR="005E7874" w:rsidRDefault="005E7874" w:rsidP="002D50D5">
            <w:pPr>
              <w:spacing w:after="0" w:line="240" w:lineRule="auto"/>
              <w:rPr>
                <w:szCs w:val="26"/>
              </w:rPr>
            </w:pPr>
          </w:p>
          <w:p w14:paraId="48D6BF26" w14:textId="338BE35C" w:rsidR="005E7874" w:rsidRPr="005E7874" w:rsidRDefault="005E7874" w:rsidP="005E7874">
            <w:pPr>
              <w:pStyle w:val="NoSpacing"/>
              <w:rPr>
                <w:sz w:val="26"/>
                <w:szCs w:val="26"/>
              </w:rPr>
            </w:pPr>
            <w:r w:rsidRPr="005E7874">
              <w:rPr>
                <w:sz w:val="26"/>
                <w:szCs w:val="26"/>
              </w:rPr>
              <w:t xml:space="preserve">Renewal Term Three: $2,710,398 (estimated) for a 2-year period September 1, </w:t>
            </w:r>
            <w:proofErr w:type="gramStart"/>
            <w:r w:rsidRPr="005E7874">
              <w:rPr>
                <w:sz w:val="26"/>
                <w:szCs w:val="26"/>
              </w:rPr>
              <w:t>2032</w:t>
            </w:r>
            <w:proofErr w:type="gramEnd"/>
            <w:r w:rsidRPr="005E7874">
              <w:rPr>
                <w:sz w:val="26"/>
                <w:szCs w:val="26"/>
              </w:rPr>
              <w:t xml:space="preserve"> through August 31, 2034 </w:t>
            </w:r>
          </w:p>
          <w:p w14:paraId="2112B06E" w14:textId="481F9341" w:rsidR="002D50D5" w:rsidRPr="002D50D5" w:rsidRDefault="002D50D5" w:rsidP="002D50D5">
            <w:pPr>
              <w:spacing w:after="0" w:line="240" w:lineRule="auto"/>
              <w:rPr>
                <w:szCs w:val="26"/>
              </w:rPr>
            </w:pPr>
          </w:p>
        </w:tc>
      </w:tr>
      <w:tr w:rsidR="00B775E6" w:rsidRPr="00D7330E" w14:paraId="2DD649F2" w14:textId="77777777" w:rsidTr="00934FC6">
        <w:trPr>
          <w:trHeight w:val="657"/>
        </w:trPr>
        <w:tc>
          <w:tcPr>
            <w:tcW w:w="342" w:type="dxa"/>
          </w:tcPr>
          <w:p w14:paraId="6B4C7E29" w14:textId="77777777" w:rsidR="00B775E6" w:rsidRPr="00D7330E" w:rsidRDefault="00B775E6" w:rsidP="00B775E6">
            <w:pPr>
              <w:pStyle w:val="NoSpacing"/>
              <w:rPr>
                <w:sz w:val="26"/>
                <w:szCs w:val="26"/>
              </w:rPr>
            </w:pPr>
          </w:p>
        </w:tc>
        <w:tc>
          <w:tcPr>
            <w:tcW w:w="990" w:type="dxa"/>
            <w:shd w:val="clear" w:color="auto" w:fill="auto"/>
          </w:tcPr>
          <w:p w14:paraId="7090DF1B" w14:textId="30741569" w:rsidR="00B775E6" w:rsidRPr="00D7330E" w:rsidRDefault="00B775E6" w:rsidP="00B775E6">
            <w:pPr>
              <w:pStyle w:val="NoSpacing"/>
              <w:rPr>
                <w:sz w:val="26"/>
                <w:szCs w:val="26"/>
              </w:rPr>
            </w:pPr>
            <w:r w:rsidRPr="00D7330E">
              <w:rPr>
                <w:sz w:val="26"/>
                <w:szCs w:val="26"/>
              </w:rPr>
              <w:t>Vendor</w:t>
            </w:r>
          </w:p>
        </w:tc>
        <w:tc>
          <w:tcPr>
            <w:tcW w:w="8118" w:type="dxa"/>
            <w:shd w:val="clear" w:color="auto" w:fill="auto"/>
          </w:tcPr>
          <w:p w14:paraId="00CC0486" w14:textId="6BA23030" w:rsidR="00B775E6" w:rsidRPr="00D7330E" w:rsidRDefault="002D50D5" w:rsidP="002D50D5">
            <w:pPr>
              <w:tabs>
                <w:tab w:val="left" w:pos="4459"/>
                <w:tab w:val="left" w:pos="4760"/>
              </w:tabs>
              <w:spacing w:after="0" w:line="240" w:lineRule="auto"/>
              <w:rPr>
                <w:szCs w:val="26"/>
              </w:rPr>
            </w:pPr>
            <w:r w:rsidRPr="002D50D5">
              <w:rPr>
                <w:szCs w:val="26"/>
              </w:rPr>
              <w:t xml:space="preserve">VOLT AI                                                           Bethesda, MD                   </w:t>
            </w:r>
          </w:p>
        </w:tc>
      </w:tr>
      <w:tr w:rsidR="002D50D5" w:rsidRPr="00D7330E" w14:paraId="2DE86FAC" w14:textId="77777777" w:rsidTr="0009228A">
        <w:trPr>
          <w:trHeight w:val="990"/>
        </w:trPr>
        <w:tc>
          <w:tcPr>
            <w:tcW w:w="342" w:type="dxa"/>
          </w:tcPr>
          <w:p w14:paraId="259A8EB8" w14:textId="77777777" w:rsidR="002D50D5" w:rsidRPr="00D7330E" w:rsidRDefault="002D50D5" w:rsidP="002D50D5">
            <w:pPr>
              <w:pStyle w:val="NoSpacing"/>
              <w:rPr>
                <w:sz w:val="26"/>
                <w:szCs w:val="26"/>
              </w:rPr>
            </w:pPr>
          </w:p>
        </w:tc>
        <w:tc>
          <w:tcPr>
            <w:tcW w:w="990" w:type="dxa"/>
            <w:shd w:val="clear" w:color="auto" w:fill="auto"/>
          </w:tcPr>
          <w:p w14:paraId="3561F559" w14:textId="77777777" w:rsidR="002D50D5" w:rsidRPr="00496CFF" w:rsidRDefault="002D50D5" w:rsidP="002D50D5">
            <w:pPr>
              <w:pStyle w:val="NoSpacing"/>
              <w:rPr>
                <w:rFonts w:ascii="Aptos" w:hAnsi="Aptos"/>
                <w:sz w:val="26"/>
                <w:szCs w:val="26"/>
              </w:rPr>
            </w:pPr>
          </w:p>
        </w:tc>
        <w:tc>
          <w:tcPr>
            <w:tcW w:w="8118" w:type="dxa"/>
            <w:shd w:val="clear" w:color="auto" w:fill="auto"/>
          </w:tcPr>
          <w:p w14:paraId="5DF59D44" w14:textId="77777777" w:rsidR="002D50D5" w:rsidRPr="00421D02" w:rsidRDefault="002D50D5" w:rsidP="002D50D5">
            <w:pPr>
              <w:pStyle w:val="Default"/>
              <w:jc w:val="both"/>
              <w:rPr>
                <w:sz w:val="26"/>
                <w:szCs w:val="26"/>
              </w:rPr>
            </w:pPr>
            <w:r w:rsidRPr="00421D02">
              <w:rPr>
                <w:sz w:val="26"/>
                <w:szCs w:val="26"/>
              </w:rPr>
              <w:t>Purchase of video analytics of security camera feeds to identify and respond to security incidents in a timely fashion. The system will be an Artificial Intelligence (AI) based analysis of video surveillance camera feeds to detect incidents in real-time and report them to UICPD. The desired system will enhance security by immediately identifying potential threats and providing real-time situational awareness.</w:t>
            </w:r>
          </w:p>
          <w:p w14:paraId="1F8EE133" w14:textId="77777777" w:rsidR="002D50D5" w:rsidRPr="00D64B2B" w:rsidRDefault="002D50D5" w:rsidP="002D50D5">
            <w:pPr>
              <w:pStyle w:val="Default"/>
              <w:rPr>
                <w:sz w:val="26"/>
                <w:szCs w:val="26"/>
              </w:rPr>
            </w:pPr>
          </w:p>
          <w:p w14:paraId="476226D6" w14:textId="77777777" w:rsidR="002D50D5" w:rsidRPr="00D64B2B" w:rsidRDefault="002D50D5" w:rsidP="002D50D5">
            <w:pPr>
              <w:pStyle w:val="Default"/>
              <w:rPr>
                <w:sz w:val="26"/>
                <w:szCs w:val="26"/>
              </w:rPr>
            </w:pPr>
            <w:r w:rsidRPr="00D64B2B">
              <w:rPr>
                <w:sz w:val="26"/>
                <w:szCs w:val="26"/>
              </w:rPr>
              <w:t>Competitive solicitation procedures were followed in accordance with the Illinois Procurement Code (30 ILCS 500/20-15)</w:t>
            </w:r>
          </w:p>
          <w:p w14:paraId="1B78BA42" w14:textId="77777777" w:rsidR="002D50D5" w:rsidRPr="00D64B2B" w:rsidRDefault="002D50D5" w:rsidP="002D50D5">
            <w:pPr>
              <w:pStyle w:val="Default"/>
              <w:rPr>
                <w:sz w:val="26"/>
                <w:szCs w:val="26"/>
              </w:rPr>
            </w:pPr>
          </w:p>
          <w:p w14:paraId="1DF728E4" w14:textId="018E39A4" w:rsidR="002D50D5" w:rsidRPr="00496CFF" w:rsidRDefault="002D50D5" w:rsidP="002D50D5">
            <w:pPr>
              <w:rPr>
                <w:rFonts w:ascii="Aptos" w:hAnsi="Aptos"/>
                <w:szCs w:val="26"/>
              </w:rPr>
            </w:pPr>
            <w:r w:rsidRPr="002D50D5">
              <w:rPr>
                <w:b/>
                <w:bCs/>
                <w:szCs w:val="26"/>
              </w:rPr>
              <w:t>A 3% BEP participation goal and a 3% VBP participation goal was established</w:t>
            </w:r>
            <w:r w:rsidRPr="00DC1057">
              <w:rPr>
                <w:szCs w:val="26"/>
              </w:rPr>
              <w:t xml:space="preserve"> for this solicitation for </w:t>
            </w:r>
            <w:r>
              <w:rPr>
                <w:szCs w:val="26"/>
              </w:rPr>
              <w:t xml:space="preserve">AI Camera Integration. VOLT AI </w:t>
            </w:r>
            <w:r w:rsidRPr="00DC1057">
              <w:rPr>
                <w:szCs w:val="26"/>
              </w:rPr>
              <w:t xml:space="preserve">provided a letter of intent of </w:t>
            </w:r>
            <w:r>
              <w:rPr>
                <w:szCs w:val="26"/>
              </w:rPr>
              <w:t>3</w:t>
            </w:r>
            <w:r w:rsidRPr="00DC1057">
              <w:rPr>
                <w:szCs w:val="26"/>
              </w:rPr>
              <w:t xml:space="preserve">% BEP participation to utilize the </w:t>
            </w:r>
            <w:r>
              <w:rPr>
                <w:szCs w:val="26"/>
              </w:rPr>
              <w:t xml:space="preserve">woman-owned </w:t>
            </w:r>
            <w:r w:rsidRPr="00DC1057">
              <w:rPr>
                <w:szCs w:val="26"/>
              </w:rPr>
              <w:t xml:space="preserve">BEP vendor </w:t>
            </w:r>
            <w:proofErr w:type="spellStart"/>
            <w:r>
              <w:rPr>
                <w:szCs w:val="26"/>
              </w:rPr>
              <w:t>Iyka</w:t>
            </w:r>
            <w:proofErr w:type="spellEnd"/>
            <w:r>
              <w:rPr>
                <w:szCs w:val="26"/>
              </w:rPr>
              <w:t xml:space="preserve"> Enterprises, Inc. and a letter of intent of 3% VBP participation to utilize VBP vendor </w:t>
            </w:r>
            <w:r w:rsidRPr="00DC1057">
              <w:rPr>
                <w:szCs w:val="26"/>
              </w:rPr>
              <w:t>S</w:t>
            </w:r>
            <w:r>
              <w:rPr>
                <w:szCs w:val="26"/>
              </w:rPr>
              <w:t xml:space="preserve">tampley Technology &amp; Management LLC. </w:t>
            </w:r>
          </w:p>
        </w:tc>
      </w:tr>
    </w:tbl>
    <w:p w14:paraId="4B959C32" w14:textId="77777777" w:rsidR="00F7240A" w:rsidRDefault="00F7240A">
      <w:r>
        <w:br w:type="page"/>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50D5" w:rsidRPr="00D7330E" w14:paraId="0B25B887" w14:textId="77777777" w:rsidTr="0009228A">
        <w:trPr>
          <w:trHeight w:val="150"/>
        </w:trPr>
        <w:tc>
          <w:tcPr>
            <w:tcW w:w="342" w:type="dxa"/>
          </w:tcPr>
          <w:p w14:paraId="66652AFA" w14:textId="775D265C" w:rsidR="002D50D5" w:rsidRPr="00D7330E" w:rsidRDefault="002D50D5" w:rsidP="002D50D5">
            <w:pPr>
              <w:pStyle w:val="NoSpacing"/>
              <w:rPr>
                <w:sz w:val="26"/>
                <w:szCs w:val="26"/>
              </w:rPr>
            </w:pPr>
          </w:p>
        </w:tc>
        <w:tc>
          <w:tcPr>
            <w:tcW w:w="990" w:type="dxa"/>
            <w:shd w:val="clear" w:color="auto" w:fill="auto"/>
          </w:tcPr>
          <w:p w14:paraId="522E9F06" w14:textId="77777777" w:rsidR="002D50D5" w:rsidRPr="00D7330E" w:rsidRDefault="002D50D5" w:rsidP="002D50D5">
            <w:pPr>
              <w:pStyle w:val="NoSpacing"/>
              <w:rPr>
                <w:sz w:val="26"/>
                <w:szCs w:val="26"/>
              </w:rPr>
            </w:pPr>
          </w:p>
        </w:tc>
        <w:tc>
          <w:tcPr>
            <w:tcW w:w="8118" w:type="dxa"/>
            <w:shd w:val="clear" w:color="auto" w:fill="auto"/>
          </w:tcPr>
          <w:p w14:paraId="619779BA" w14:textId="77777777" w:rsidR="002D50D5" w:rsidRPr="00D7330E" w:rsidRDefault="002D50D5" w:rsidP="002D50D5">
            <w:pPr>
              <w:spacing w:after="0" w:line="240" w:lineRule="auto"/>
              <w:ind w:left="1478"/>
              <w:rPr>
                <w:szCs w:val="26"/>
              </w:rPr>
            </w:pPr>
          </w:p>
        </w:tc>
      </w:tr>
      <w:tr w:rsidR="002D50D5" w:rsidRPr="00D7330E" w14:paraId="6FAD3153" w14:textId="77777777" w:rsidTr="0009228A">
        <w:trPr>
          <w:trHeight w:val="150"/>
        </w:trPr>
        <w:tc>
          <w:tcPr>
            <w:tcW w:w="342" w:type="dxa"/>
            <w:tcBorders>
              <w:bottom w:val="double" w:sz="4" w:space="0" w:color="auto"/>
            </w:tcBorders>
          </w:tcPr>
          <w:p w14:paraId="414628F7" w14:textId="4748AC8F" w:rsidR="002D50D5" w:rsidRPr="00D7330E" w:rsidRDefault="00C91677" w:rsidP="002D50D5">
            <w:pPr>
              <w:pStyle w:val="NoSpacing"/>
              <w:rPr>
                <w:sz w:val="26"/>
                <w:szCs w:val="26"/>
              </w:rPr>
            </w:pPr>
            <w:r>
              <w:rPr>
                <w:sz w:val="26"/>
                <w:szCs w:val="26"/>
              </w:rPr>
              <w:t>3</w:t>
            </w:r>
          </w:p>
        </w:tc>
        <w:tc>
          <w:tcPr>
            <w:tcW w:w="990" w:type="dxa"/>
            <w:tcBorders>
              <w:bottom w:val="double" w:sz="4" w:space="0" w:color="auto"/>
            </w:tcBorders>
            <w:shd w:val="clear" w:color="auto" w:fill="auto"/>
          </w:tcPr>
          <w:p w14:paraId="3B9E5490" w14:textId="4969B5B4" w:rsidR="002D50D5" w:rsidRPr="00D7330E" w:rsidRDefault="002D50D5" w:rsidP="002D50D5">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441EE111" w14:textId="5D514E62" w:rsidR="002D50D5" w:rsidRPr="00D7330E" w:rsidRDefault="002D50D5" w:rsidP="002D50D5">
            <w:pPr>
              <w:spacing w:after="0" w:line="240" w:lineRule="auto"/>
              <w:jc w:val="both"/>
              <w:rPr>
                <w:szCs w:val="26"/>
              </w:rPr>
            </w:pPr>
            <w:r w:rsidRPr="00B54C69">
              <w:rPr>
                <w:spacing w:val="-3"/>
                <w:szCs w:val="26"/>
              </w:rPr>
              <w:t>University of Illinois College of Medicine, Department of Radiology, Chicago</w:t>
            </w:r>
          </w:p>
        </w:tc>
      </w:tr>
      <w:tr w:rsidR="002D50D5" w:rsidRPr="00D7330E" w14:paraId="56000687" w14:textId="77777777" w:rsidTr="0009228A">
        <w:trPr>
          <w:trHeight w:val="150"/>
        </w:trPr>
        <w:tc>
          <w:tcPr>
            <w:tcW w:w="342" w:type="dxa"/>
            <w:tcBorders>
              <w:top w:val="double" w:sz="4" w:space="0" w:color="auto"/>
            </w:tcBorders>
          </w:tcPr>
          <w:p w14:paraId="3242B2D0" w14:textId="77777777" w:rsidR="002D50D5" w:rsidRPr="00D7330E" w:rsidRDefault="002D50D5" w:rsidP="002D50D5">
            <w:pPr>
              <w:pStyle w:val="NoSpacing"/>
              <w:rPr>
                <w:sz w:val="26"/>
                <w:szCs w:val="26"/>
              </w:rPr>
            </w:pPr>
          </w:p>
        </w:tc>
        <w:tc>
          <w:tcPr>
            <w:tcW w:w="990" w:type="dxa"/>
            <w:tcBorders>
              <w:top w:val="double" w:sz="4" w:space="0" w:color="auto"/>
            </w:tcBorders>
            <w:shd w:val="clear" w:color="auto" w:fill="auto"/>
          </w:tcPr>
          <w:p w14:paraId="426D2FF5" w14:textId="77777777" w:rsidR="002D50D5" w:rsidRPr="00D7330E" w:rsidRDefault="002D50D5" w:rsidP="002D50D5">
            <w:pPr>
              <w:pStyle w:val="NoSpacing"/>
              <w:rPr>
                <w:sz w:val="26"/>
                <w:szCs w:val="26"/>
              </w:rPr>
            </w:pPr>
          </w:p>
          <w:p w14:paraId="43D29374" w14:textId="2AED385E" w:rsidR="002D50D5" w:rsidRPr="00D7330E" w:rsidRDefault="002D50D5" w:rsidP="002D50D5">
            <w:pPr>
              <w:pStyle w:val="NoSpacing"/>
              <w:rPr>
                <w:sz w:val="26"/>
                <w:szCs w:val="26"/>
              </w:rPr>
            </w:pPr>
            <w:r w:rsidRPr="00D7330E">
              <w:rPr>
                <w:sz w:val="26"/>
                <w:szCs w:val="26"/>
              </w:rPr>
              <w:t xml:space="preserve">Item   </w:t>
            </w:r>
          </w:p>
        </w:tc>
        <w:tc>
          <w:tcPr>
            <w:tcW w:w="8118" w:type="dxa"/>
            <w:tcBorders>
              <w:top w:val="double" w:sz="4" w:space="0" w:color="auto"/>
            </w:tcBorders>
            <w:shd w:val="clear" w:color="auto" w:fill="auto"/>
          </w:tcPr>
          <w:p w14:paraId="2B0CD1E0" w14:textId="77777777" w:rsidR="002D50D5" w:rsidRPr="00B54C69" w:rsidRDefault="002D50D5" w:rsidP="002D50D5">
            <w:pPr>
              <w:pStyle w:val="NoSpacing"/>
              <w:rPr>
                <w:spacing w:val="-3"/>
                <w:sz w:val="26"/>
                <w:szCs w:val="26"/>
              </w:rPr>
            </w:pPr>
          </w:p>
          <w:p w14:paraId="342E3003" w14:textId="77777777" w:rsidR="002D50D5" w:rsidRDefault="002D50D5" w:rsidP="002D50D5">
            <w:pPr>
              <w:spacing w:after="0" w:line="240" w:lineRule="auto"/>
              <w:rPr>
                <w:spacing w:val="-3"/>
                <w:szCs w:val="26"/>
              </w:rPr>
            </w:pPr>
            <w:r w:rsidRPr="00B54C69">
              <w:rPr>
                <w:spacing w:val="-3"/>
                <w:szCs w:val="26"/>
              </w:rPr>
              <w:t>Teleradiology Services for University of Illinois College of Medicine, Department of Radiology, Chicago</w:t>
            </w:r>
          </w:p>
          <w:p w14:paraId="006FA455" w14:textId="770BEE43" w:rsidR="002D50D5" w:rsidRPr="00D7330E" w:rsidRDefault="002D50D5" w:rsidP="002D50D5">
            <w:pPr>
              <w:spacing w:after="0" w:line="240" w:lineRule="auto"/>
              <w:rPr>
                <w:rFonts w:eastAsia="Times New Roman"/>
                <w:b/>
                <w:color w:val="000000"/>
                <w:szCs w:val="26"/>
              </w:rPr>
            </w:pPr>
          </w:p>
        </w:tc>
      </w:tr>
      <w:tr w:rsidR="002D50D5" w:rsidRPr="00D7330E" w14:paraId="156E60B7" w14:textId="77777777" w:rsidTr="005274CF">
        <w:trPr>
          <w:trHeight w:val="150"/>
        </w:trPr>
        <w:tc>
          <w:tcPr>
            <w:tcW w:w="342" w:type="dxa"/>
          </w:tcPr>
          <w:p w14:paraId="07998497" w14:textId="59FE1609" w:rsidR="002D50D5" w:rsidRPr="00D7330E" w:rsidRDefault="002D50D5" w:rsidP="002D50D5">
            <w:pPr>
              <w:pStyle w:val="NoSpacing"/>
              <w:rPr>
                <w:sz w:val="26"/>
                <w:szCs w:val="26"/>
              </w:rPr>
            </w:pPr>
            <w:r w:rsidRPr="00D7330E">
              <w:rPr>
                <w:sz w:val="26"/>
                <w:szCs w:val="26"/>
              </w:rPr>
              <w:t xml:space="preserve"> </w:t>
            </w:r>
          </w:p>
        </w:tc>
        <w:tc>
          <w:tcPr>
            <w:tcW w:w="990" w:type="dxa"/>
            <w:shd w:val="clear" w:color="auto" w:fill="auto"/>
          </w:tcPr>
          <w:p w14:paraId="278055F8" w14:textId="33B6CEC7" w:rsidR="002D50D5" w:rsidRPr="00D7330E" w:rsidRDefault="002D50D5" w:rsidP="002D50D5">
            <w:pPr>
              <w:pStyle w:val="NoSpacing"/>
              <w:rPr>
                <w:sz w:val="26"/>
                <w:szCs w:val="26"/>
              </w:rPr>
            </w:pPr>
            <w:r w:rsidRPr="00D7330E">
              <w:rPr>
                <w:sz w:val="26"/>
                <w:szCs w:val="26"/>
              </w:rPr>
              <w:t>Cost</w:t>
            </w:r>
          </w:p>
        </w:tc>
        <w:tc>
          <w:tcPr>
            <w:tcW w:w="8118" w:type="dxa"/>
            <w:shd w:val="clear" w:color="auto" w:fill="auto"/>
          </w:tcPr>
          <w:p w14:paraId="075F4FFC" w14:textId="496C2A4D" w:rsidR="002D50D5" w:rsidRPr="00B54C69" w:rsidRDefault="002D50D5" w:rsidP="002D50D5">
            <w:pPr>
              <w:spacing w:after="0" w:line="240" w:lineRule="auto"/>
              <w:rPr>
                <w:spacing w:val="-3"/>
                <w:szCs w:val="26"/>
              </w:rPr>
            </w:pPr>
            <w:r w:rsidRPr="00B54C69">
              <w:rPr>
                <w:spacing w:val="-3"/>
                <w:szCs w:val="26"/>
              </w:rPr>
              <w:t>$6,000,000 (estimated) for a five-year period beginning August 1, 2025</w:t>
            </w:r>
            <w:r>
              <w:rPr>
                <w:spacing w:val="-3"/>
                <w:szCs w:val="26"/>
              </w:rPr>
              <w:t>,</w:t>
            </w:r>
            <w:r w:rsidRPr="00B54C69">
              <w:rPr>
                <w:spacing w:val="-3"/>
                <w:szCs w:val="26"/>
              </w:rPr>
              <w:t xml:space="preserve"> with </w:t>
            </w:r>
            <w:r w:rsidR="00C12896">
              <w:rPr>
                <w:spacing w:val="-3"/>
                <w:szCs w:val="26"/>
              </w:rPr>
              <w:t>one</w:t>
            </w:r>
            <w:r w:rsidRPr="00B54C69">
              <w:rPr>
                <w:spacing w:val="-3"/>
                <w:szCs w:val="26"/>
              </w:rPr>
              <w:t xml:space="preserve"> optional five-year renewal period (total 10 years)</w:t>
            </w:r>
          </w:p>
          <w:p w14:paraId="6E8C33B0" w14:textId="77777777" w:rsidR="002D50D5" w:rsidRPr="00B54C69" w:rsidRDefault="002D50D5" w:rsidP="002D50D5">
            <w:pPr>
              <w:spacing w:after="0" w:line="240" w:lineRule="auto"/>
              <w:rPr>
                <w:spacing w:val="-3"/>
                <w:szCs w:val="26"/>
              </w:rPr>
            </w:pPr>
            <w:r w:rsidRPr="00B54C69">
              <w:rPr>
                <w:spacing w:val="-3"/>
                <w:szCs w:val="26"/>
              </w:rPr>
              <w:t>Total cost (estimated) including renewal period is $12,000,000</w:t>
            </w:r>
          </w:p>
          <w:p w14:paraId="016EDF05" w14:textId="4C38C190" w:rsidR="002D50D5" w:rsidRPr="00D7330E" w:rsidRDefault="002D50D5" w:rsidP="002D50D5">
            <w:pPr>
              <w:spacing w:after="0" w:line="240" w:lineRule="auto"/>
              <w:rPr>
                <w:rFonts w:eastAsia="Times New Roman"/>
                <w:b/>
                <w:color w:val="000000"/>
                <w:szCs w:val="26"/>
              </w:rPr>
            </w:pPr>
          </w:p>
        </w:tc>
      </w:tr>
      <w:tr w:rsidR="002D50D5" w:rsidRPr="00D7330E" w14:paraId="305870E5" w14:textId="77777777" w:rsidTr="005274CF">
        <w:trPr>
          <w:trHeight w:val="150"/>
        </w:trPr>
        <w:tc>
          <w:tcPr>
            <w:tcW w:w="342" w:type="dxa"/>
          </w:tcPr>
          <w:p w14:paraId="6DAC217B" w14:textId="77777777" w:rsidR="002D50D5" w:rsidRPr="00D7330E" w:rsidRDefault="002D50D5" w:rsidP="002D50D5">
            <w:pPr>
              <w:pStyle w:val="NoSpacing"/>
              <w:rPr>
                <w:sz w:val="26"/>
                <w:szCs w:val="26"/>
              </w:rPr>
            </w:pPr>
          </w:p>
        </w:tc>
        <w:tc>
          <w:tcPr>
            <w:tcW w:w="990" w:type="dxa"/>
            <w:shd w:val="clear" w:color="auto" w:fill="auto"/>
          </w:tcPr>
          <w:p w14:paraId="7F8D6EBB" w14:textId="58E05C92" w:rsidR="002D50D5" w:rsidRPr="00D7330E" w:rsidRDefault="002D50D5" w:rsidP="002D50D5">
            <w:pPr>
              <w:pStyle w:val="NoSpacing"/>
              <w:rPr>
                <w:sz w:val="26"/>
                <w:szCs w:val="26"/>
              </w:rPr>
            </w:pPr>
            <w:r w:rsidRPr="00D7330E">
              <w:rPr>
                <w:sz w:val="26"/>
                <w:szCs w:val="26"/>
              </w:rPr>
              <w:t>Vendor</w:t>
            </w:r>
          </w:p>
        </w:tc>
        <w:tc>
          <w:tcPr>
            <w:tcW w:w="8118" w:type="dxa"/>
            <w:shd w:val="clear" w:color="auto" w:fill="auto"/>
          </w:tcPr>
          <w:p w14:paraId="6FDDF04B" w14:textId="47DFC1A9" w:rsidR="002D50D5" w:rsidRPr="00D7330E" w:rsidRDefault="002D50D5" w:rsidP="002D50D5">
            <w:pPr>
              <w:rPr>
                <w:rFonts w:eastAsia="Times New Roman"/>
                <w:bCs/>
                <w:iCs/>
                <w:szCs w:val="26"/>
              </w:rPr>
            </w:pPr>
            <w:r w:rsidRPr="00B54C69">
              <w:rPr>
                <w:bCs/>
                <w:szCs w:val="26"/>
              </w:rPr>
              <w:t xml:space="preserve">Global Imaging Specialists              </w:t>
            </w:r>
            <w:r w:rsidR="005E7874">
              <w:rPr>
                <w:bCs/>
                <w:szCs w:val="26"/>
              </w:rPr>
              <w:t xml:space="preserve">             </w:t>
            </w:r>
            <w:r w:rsidRPr="00B54C69">
              <w:rPr>
                <w:bCs/>
                <w:szCs w:val="26"/>
              </w:rPr>
              <w:t>Tarpon Springs, FL</w:t>
            </w:r>
          </w:p>
        </w:tc>
      </w:tr>
      <w:tr w:rsidR="002D50D5" w:rsidRPr="00D7330E" w14:paraId="76979B6C" w14:textId="77777777" w:rsidTr="00F4062E">
        <w:trPr>
          <w:trHeight w:val="150"/>
        </w:trPr>
        <w:tc>
          <w:tcPr>
            <w:tcW w:w="342" w:type="dxa"/>
          </w:tcPr>
          <w:p w14:paraId="10350B94" w14:textId="77777777" w:rsidR="002D50D5" w:rsidRPr="00D7330E" w:rsidRDefault="002D50D5" w:rsidP="002D50D5">
            <w:pPr>
              <w:pStyle w:val="NoSpacing"/>
              <w:rPr>
                <w:sz w:val="26"/>
                <w:szCs w:val="26"/>
              </w:rPr>
            </w:pPr>
          </w:p>
        </w:tc>
        <w:tc>
          <w:tcPr>
            <w:tcW w:w="990" w:type="dxa"/>
            <w:shd w:val="clear" w:color="auto" w:fill="auto"/>
          </w:tcPr>
          <w:p w14:paraId="5E09DAD8" w14:textId="77777777" w:rsidR="002D50D5" w:rsidRPr="00D7330E" w:rsidRDefault="002D50D5" w:rsidP="002D50D5">
            <w:pPr>
              <w:pStyle w:val="NoSpacing"/>
              <w:rPr>
                <w:sz w:val="26"/>
                <w:szCs w:val="26"/>
              </w:rPr>
            </w:pPr>
          </w:p>
        </w:tc>
        <w:tc>
          <w:tcPr>
            <w:tcW w:w="8118" w:type="dxa"/>
            <w:shd w:val="clear" w:color="auto" w:fill="auto"/>
          </w:tcPr>
          <w:p w14:paraId="67B68958" w14:textId="6B1E15E6" w:rsidR="002D50D5" w:rsidRPr="00B54C69" w:rsidRDefault="002D50D5" w:rsidP="002D50D5">
            <w:pPr>
              <w:rPr>
                <w:szCs w:val="26"/>
              </w:rPr>
            </w:pPr>
            <w:r w:rsidRPr="00B54C69">
              <w:rPr>
                <w:szCs w:val="26"/>
              </w:rPr>
              <w:t xml:space="preserve">Global Imaging Specialists will provide remote radiology interpretation services, on an as needed basis to support UI Health’s teleradiology needs to keep up with growing demand for radiology services with insufficient existing staffing. The vendor will provide support when in-house radiologists are unavailable, including after-hours and holiday shifts. The teleradiology services will </w:t>
            </w:r>
            <w:r w:rsidR="00C12896">
              <w:rPr>
                <w:szCs w:val="26"/>
              </w:rPr>
              <w:t>provide schedule flexibility, covering</w:t>
            </w:r>
            <w:r w:rsidRPr="00B54C69">
              <w:rPr>
                <w:szCs w:val="26"/>
              </w:rPr>
              <w:t xml:space="preserve"> vacations, vacancies, paid time off, and nights and weekends.  </w:t>
            </w:r>
          </w:p>
          <w:p w14:paraId="3C590B3F" w14:textId="3EE8E266" w:rsidR="002D50D5" w:rsidRPr="00B54C69" w:rsidRDefault="002D50D5" w:rsidP="002D50D5">
            <w:pPr>
              <w:rPr>
                <w:szCs w:val="26"/>
              </w:rPr>
            </w:pPr>
            <w:r w:rsidRPr="00B54C69">
              <w:rPr>
                <w:szCs w:val="26"/>
              </w:rPr>
              <w:t xml:space="preserve">The vendor will be responsible for </w:t>
            </w:r>
            <w:r w:rsidR="00C12896">
              <w:rPr>
                <w:szCs w:val="26"/>
              </w:rPr>
              <w:t xml:space="preserve">the </w:t>
            </w:r>
            <w:r w:rsidRPr="00B54C69">
              <w:rPr>
                <w:szCs w:val="26"/>
              </w:rPr>
              <w:t xml:space="preserve">remote interpretation of various diagnostic imaging studies, ensuring timely and accurate interpretation. The imaging studies will include, but are not limited to, x-rays, CT, MRI, ultrasound, mammograms, and PET. The vendor will ensure </w:t>
            </w:r>
            <w:r w:rsidR="00C12896">
              <w:rPr>
                <w:szCs w:val="26"/>
              </w:rPr>
              <w:t>the timely generation and submission of reports</w:t>
            </w:r>
            <w:r w:rsidRPr="00B54C69">
              <w:rPr>
                <w:szCs w:val="26"/>
              </w:rPr>
              <w:t xml:space="preserve">, adhering to agreed-upon turnaround times (e.g., routine reports within 24 hours, STAT reports within 1-2 hours). </w:t>
            </w:r>
          </w:p>
          <w:p w14:paraId="159C725E" w14:textId="074239E6" w:rsidR="002D50D5" w:rsidRPr="00B54C69" w:rsidRDefault="002D50D5" w:rsidP="002D50D5">
            <w:pPr>
              <w:rPr>
                <w:szCs w:val="26"/>
              </w:rPr>
            </w:pPr>
            <w:r w:rsidRPr="00B54C69">
              <w:rPr>
                <w:szCs w:val="26"/>
              </w:rPr>
              <w:t>The vendor will provide differential diagnoses, identify abnormal findings</w:t>
            </w:r>
            <w:r w:rsidR="00C12896">
              <w:rPr>
                <w:szCs w:val="26"/>
              </w:rPr>
              <w:t>,</w:t>
            </w:r>
            <w:r w:rsidRPr="00B54C69">
              <w:rPr>
                <w:szCs w:val="26"/>
              </w:rPr>
              <w:t xml:space="preserve"> and offer recommendations for follow-up. The vendor is responsible for providing continuous, uninterrupted radiology coverage, including nights, weekends, and holidays, ensuring availability for emergency or STAT cases. </w:t>
            </w:r>
          </w:p>
          <w:p w14:paraId="725C6250" w14:textId="12B1789B" w:rsidR="002D50D5" w:rsidRPr="00B54C69" w:rsidRDefault="002D50D5" w:rsidP="002D50D5">
            <w:pPr>
              <w:rPr>
                <w:szCs w:val="26"/>
              </w:rPr>
            </w:pPr>
            <w:r w:rsidRPr="00B54C69">
              <w:rPr>
                <w:szCs w:val="26"/>
              </w:rPr>
              <w:t xml:space="preserve">Competitive solicitation procedures were followed in accordance with the Illinois Procurement Code (30 ILCS 500/20-15). </w:t>
            </w:r>
          </w:p>
          <w:p w14:paraId="3B1D8582" w14:textId="74BC83DA" w:rsidR="002D50D5" w:rsidRPr="00E96F38" w:rsidRDefault="002D50D5" w:rsidP="00E96F38">
            <w:pPr>
              <w:rPr>
                <w:szCs w:val="26"/>
              </w:rPr>
            </w:pPr>
            <w:r w:rsidRPr="00B54C69">
              <w:rPr>
                <w:b/>
                <w:bCs/>
                <w:szCs w:val="26"/>
              </w:rPr>
              <w:t>A 0% BEP goal and a 0% VBP goal</w:t>
            </w:r>
            <w:r w:rsidRPr="00B54C69">
              <w:rPr>
                <w:szCs w:val="26"/>
              </w:rPr>
              <w:t xml:space="preserve"> </w:t>
            </w:r>
            <w:r w:rsidRPr="00B54C69">
              <w:rPr>
                <w:b/>
                <w:bCs/>
                <w:szCs w:val="26"/>
              </w:rPr>
              <w:t>were established</w:t>
            </w:r>
            <w:r w:rsidRPr="00B54C69">
              <w:rPr>
                <w:szCs w:val="26"/>
              </w:rPr>
              <w:t xml:space="preserve"> for this RFP based on the goal-setting formula and the highly specialized nature of this service.</w:t>
            </w:r>
          </w:p>
        </w:tc>
      </w:tr>
      <w:tr w:rsidR="002D50D5" w:rsidRPr="00D7330E" w14:paraId="3B87A92D" w14:textId="77777777" w:rsidTr="003E1FA3">
        <w:trPr>
          <w:trHeight w:val="333"/>
        </w:trPr>
        <w:tc>
          <w:tcPr>
            <w:tcW w:w="9450" w:type="dxa"/>
            <w:gridSpan w:val="3"/>
          </w:tcPr>
          <w:p w14:paraId="385F4FDD" w14:textId="77777777" w:rsidR="002D50D5" w:rsidRPr="00D7330E" w:rsidRDefault="002D50D5" w:rsidP="002D50D5">
            <w:pPr>
              <w:spacing w:after="0"/>
              <w:jc w:val="both"/>
              <w:rPr>
                <w:szCs w:val="26"/>
              </w:rPr>
            </w:pPr>
          </w:p>
        </w:tc>
      </w:tr>
    </w:tbl>
    <w:p w14:paraId="2660F4D5" w14:textId="77777777" w:rsidR="00F7240A" w:rsidRDefault="00F7240A">
      <w:r>
        <w:br w:type="page"/>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50D5" w:rsidRPr="00D7330E" w14:paraId="7A096C94" w14:textId="77777777" w:rsidTr="003E1FA3">
        <w:trPr>
          <w:trHeight w:val="333"/>
        </w:trPr>
        <w:tc>
          <w:tcPr>
            <w:tcW w:w="342" w:type="dxa"/>
            <w:tcBorders>
              <w:bottom w:val="double" w:sz="4" w:space="0" w:color="auto"/>
            </w:tcBorders>
          </w:tcPr>
          <w:p w14:paraId="7CCA554E" w14:textId="4595FEE8" w:rsidR="002D50D5" w:rsidRPr="00D7330E" w:rsidRDefault="00C91677" w:rsidP="002D50D5">
            <w:pPr>
              <w:pStyle w:val="NoSpacing"/>
              <w:jc w:val="both"/>
              <w:rPr>
                <w:sz w:val="26"/>
                <w:szCs w:val="26"/>
              </w:rPr>
            </w:pPr>
            <w:r>
              <w:rPr>
                <w:sz w:val="26"/>
                <w:szCs w:val="26"/>
              </w:rPr>
              <w:lastRenderedPageBreak/>
              <w:t>4</w:t>
            </w:r>
          </w:p>
        </w:tc>
        <w:tc>
          <w:tcPr>
            <w:tcW w:w="990" w:type="dxa"/>
            <w:tcBorders>
              <w:bottom w:val="double" w:sz="4" w:space="0" w:color="auto"/>
            </w:tcBorders>
            <w:shd w:val="clear" w:color="auto" w:fill="auto"/>
          </w:tcPr>
          <w:p w14:paraId="7937997A" w14:textId="74F70072" w:rsidR="002D50D5" w:rsidRPr="00D7330E" w:rsidRDefault="002D50D5" w:rsidP="002D50D5">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6507DF2B" w14:textId="767B2DCB" w:rsidR="002D50D5" w:rsidRPr="00D7330E" w:rsidRDefault="002D50D5" w:rsidP="002D50D5">
            <w:pPr>
              <w:spacing w:after="0"/>
              <w:jc w:val="both"/>
              <w:rPr>
                <w:szCs w:val="26"/>
              </w:rPr>
            </w:pPr>
            <w:r>
              <w:rPr>
                <w:spacing w:val="-3"/>
                <w:szCs w:val="26"/>
              </w:rPr>
              <w:t>UI Hospital and Clinics</w:t>
            </w:r>
          </w:p>
        </w:tc>
      </w:tr>
      <w:tr w:rsidR="002D50D5" w:rsidRPr="00D7330E" w14:paraId="0BBEAEF1" w14:textId="77777777" w:rsidTr="003E1FA3">
        <w:trPr>
          <w:trHeight w:val="333"/>
        </w:trPr>
        <w:tc>
          <w:tcPr>
            <w:tcW w:w="342" w:type="dxa"/>
            <w:tcBorders>
              <w:top w:val="double" w:sz="4" w:space="0" w:color="auto"/>
            </w:tcBorders>
          </w:tcPr>
          <w:p w14:paraId="37049EC9" w14:textId="77777777" w:rsidR="002D50D5" w:rsidRPr="00D7330E" w:rsidRDefault="002D50D5" w:rsidP="002D50D5">
            <w:pPr>
              <w:pStyle w:val="NoSpacing"/>
              <w:jc w:val="both"/>
              <w:rPr>
                <w:sz w:val="26"/>
                <w:szCs w:val="26"/>
              </w:rPr>
            </w:pPr>
          </w:p>
        </w:tc>
        <w:tc>
          <w:tcPr>
            <w:tcW w:w="990" w:type="dxa"/>
            <w:tcBorders>
              <w:top w:val="double" w:sz="4" w:space="0" w:color="auto"/>
            </w:tcBorders>
            <w:shd w:val="clear" w:color="auto" w:fill="auto"/>
          </w:tcPr>
          <w:p w14:paraId="42D904FC" w14:textId="77777777" w:rsidR="002D50D5" w:rsidRPr="00D7330E" w:rsidRDefault="002D50D5" w:rsidP="002D50D5">
            <w:pPr>
              <w:pStyle w:val="NoSpacing"/>
              <w:rPr>
                <w:sz w:val="26"/>
                <w:szCs w:val="26"/>
              </w:rPr>
            </w:pPr>
          </w:p>
          <w:p w14:paraId="474C636E" w14:textId="1AA0FCDC" w:rsidR="002D50D5" w:rsidRPr="00D7330E" w:rsidRDefault="002D50D5" w:rsidP="002D50D5">
            <w:pPr>
              <w:pStyle w:val="NoSpacing"/>
              <w:jc w:val="both"/>
              <w:rPr>
                <w:sz w:val="26"/>
                <w:szCs w:val="26"/>
              </w:rPr>
            </w:pPr>
            <w:r w:rsidRPr="00D7330E">
              <w:rPr>
                <w:sz w:val="26"/>
                <w:szCs w:val="26"/>
              </w:rPr>
              <w:t>Item</w:t>
            </w:r>
          </w:p>
        </w:tc>
        <w:tc>
          <w:tcPr>
            <w:tcW w:w="8118" w:type="dxa"/>
            <w:tcBorders>
              <w:top w:val="double" w:sz="4" w:space="0" w:color="auto"/>
            </w:tcBorders>
            <w:shd w:val="clear" w:color="auto" w:fill="auto"/>
          </w:tcPr>
          <w:p w14:paraId="3F2F7796" w14:textId="77777777" w:rsidR="002D50D5" w:rsidRPr="00D7330E" w:rsidRDefault="002D50D5" w:rsidP="002D50D5">
            <w:pPr>
              <w:pStyle w:val="NoSpacing"/>
              <w:rPr>
                <w:sz w:val="26"/>
                <w:szCs w:val="26"/>
              </w:rPr>
            </w:pPr>
          </w:p>
          <w:p w14:paraId="588F47B4" w14:textId="507C1F2A" w:rsidR="002D50D5" w:rsidRPr="00D7330E" w:rsidRDefault="00E96F38" w:rsidP="002D50D5">
            <w:pPr>
              <w:spacing w:after="0"/>
              <w:jc w:val="both"/>
              <w:rPr>
                <w:szCs w:val="26"/>
              </w:rPr>
            </w:pPr>
            <w:r>
              <w:rPr>
                <w:bCs/>
                <w:szCs w:val="26"/>
              </w:rPr>
              <w:t>Long-term Skilled Nursing Care for Sub-acute Patients of UI Hospital</w:t>
            </w:r>
          </w:p>
        </w:tc>
      </w:tr>
      <w:tr w:rsidR="002D50D5" w:rsidRPr="00D7330E" w14:paraId="6AD4E238" w14:textId="77777777" w:rsidTr="003E1FA3">
        <w:trPr>
          <w:trHeight w:val="333"/>
        </w:trPr>
        <w:tc>
          <w:tcPr>
            <w:tcW w:w="342" w:type="dxa"/>
          </w:tcPr>
          <w:p w14:paraId="1903403F" w14:textId="77777777" w:rsidR="002D50D5" w:rsidRPr="00D7330E" w:rsidRDefault="002D50D5" w:rsidP="002D50D5">
            <w:pPr>
              <w:pStyle w:val="NoSpacing"/>
              <w:jc w:val="both"/>
              <w:rPr>
                <w:sz w:val="26"/>
                <w:szCs w:val="26"/>
              </w:rPr>
            </w:pPr>
          </w:p>
        </w:tc>
        <w:tc>
          <w:tcPr>
            <w:tcW w:w="990" w:type="dxa"/>
            <w:shd w:val="clear" w:color="auto" w:fill="auto"/>
          </w:tcPr>
          <w:p w14:paraId="2D113813" w14:textId="77777777" w:rsidR="002D50D5" w:rsidRPr="00D7330E" w:rsidRDefault="002D50D5" w:rsidP="002D50D5">
            <w:pPr>
              <w:pStyle w:val="NoSpacing"/>
              <w:rPr>
                <w:sz w:val="26"/>
                <w:szCs w:val="26"/>
              </w:rPr>
            </w:pPr>
          </w:p>
          <w:p w14:paraId="2CC4803D" w14:textId="08A0F491" w:rsidR="002D50D5" w:rsidRPr="00D7330E" w:rsidRDefault="002D50D5" w:rsidP="002D50D5">
            <w:pPr>
              <w:pStyle w:val="NoSpacing"/>
              <w:jc w:val="both"/>
              <w:rPr>
                <w:sz w:val="26"/>
                <w:szCs w:val="26"/>
              </w:rPr>
            </w:pPr>
            <w:r w:rsidRPr="00D7330E">
              <w:rPr>
                <w:sz w:val="26"/>
                <w:szCs w:val="26"/>
              </w:rPr>
              <w:t>Cost</w:t>
            </w:r>
          </w:p>
        </w:tc>
        <w:tc>
          <w:tcPr>
            <w:tcW w:w="8118" w:type="dxa"/>
            <w:shd w:val="clear" w:color="auto" w:fill="auto"/>
          </w:tcPr>
          <w:p w14:paraId="27B14898" w14:textId="77777777" w:rsidR="002D50D5" w:rsidRPr="00D7330E" w:rsidRDefault="002D50D5" w:rsidP="002D50D5">
            <w:pPr>
              <w:pStyle w:val="NoSpacing"/>
              <w:rPr>
                <w:sz w:val="26"/>
                <w:szCs w:val="26"/>
              </w:rPr>
            </w:pPr>
          </w:p>
          <w:p w14:paraId="35332987" w14:textId="77777777" w:rsidR="002D50D5" w:rsidRDefault="00E96F38" w:rsidP="00F7240A">
            <w:pPr>
              <w:spacing w:after="0" w:line="240" w:lineRule="auto"/>
              <w:rPr>
                <w:spacing w:val="-3"/>
                <w:szCs w:val="26"/>
              </w:rPr>
            </w:pPr>
            <w:r w:rsidRPr="00E96F38">
              <w:rPr>
                <w:spacing w:val="-3"/>
                <w:szCs w:val="26"/>
              </w:rPr>
              <w:t xml:space="preserve">$6,000,000 (estimated) for three years from August 1, </w:t>
            </w:r>
            <w:proofErr w:type="gramStart"/>
            <w:r w:rsidRPr="00E96F38">
              <w:rPr>
                <w:spacing w:val="-3"/>
                <w:szCs w:val="26"/>
              </w:rPr>
              <w:t>2025</w:t>
            </w:r>
            <w:proofErr w:type="gramEnd"/>
            <w:r w:rsidRPr="00E96F38">
              <w:rPr>
                <w:spacing w:val="-3"/>
                <w:szCs w:val="26"/>
              </w:rPr>
              <w:t xml:space="preserve"> </w:t>
            </w:r>
            <w:r w:rsidR="00C74629">
              <w:rPr>
                <w:spacing w:val="-3"/>
                <w:szCs w:val="26"/>
              </w:rPr>
              <w:t>through</w:t>
            </w:r>
            <w:r w:rsidRPr="00E96F38">
              <w:rPr>
                <w:spacing w:val="-3"/>
                <w:szCs w:val="26"/>
              </w:rPr>
              <w:t xml:space="preserve"> July 31, 2028 </w:t>
            </w:r>
          </w:p>
          <w:p w14:paraId="0978655A" w14:textId="2B6D0B46" w:rsidR="00F7240A" w:rsidRPr="00D7330E" w:rsidRDefault="00F7240A" w:rsidP="00F7240A">
            <w:pPr>
              <w:spacing w:after="0" w:line="240" w:lineRule="auto"/>
              <w:rPr>
                <w:szCs w:val="26"/>
              </w:rPr>
            </w:pPr>
          </w:p>
        </w:tc>
      </w:tr>
      <w:tr w:rsidR="002D50D5" w:rsidRPr="00D7330E" w14:paraId="0E234F1E" w14:textId="77777777" w:rsidTr="003E1FA3">
        <w:trPr>
          <w:trHeight w:val="333"/>
        </w:trPr>
        <w:tc>
          <w:tcPr>
            <w:tcW w:w="342" w:type="dxa"/>
          </w:tcPr>
          <w:p w14:paraId="0B2E18D9" w14:textId="77777777" w:rsidR="002D50D5" w:rsidRPr="00D7330E" w:rsidRDefault="002D50D5" w:rsidP="002D50D5">
            <w:pPr>
              <w:pStyle w:val="NoSpacing"/>
              <w:jc w:val="both"/>
              <w:rPr>
                <w:sz w:val="26"/>
                <w:szCs w:val="26"/>
              </w:rPr>
            </w:pPr>
          </w:p>
        </w:tc>
        <w:tc>
          <w:tcPr>
            <w:tcW w:w="990" w:type="dxa"/>
            <w:shd w:val="clear" w:color="auto" w:fill="auto"/>
          </w:tcPr>
          <w:p w14:paraId="027BE1C7" w14:textId="21D312FA" w:rsidR="002D50D5" w:rsidRPr="00D7330E" w:rsidRDefault="002D50D5" w:rsidP="002D50D5">
            <w:pPr>
              <w:pStyle w:val="NoSpacing"/>
              <w:jc w:val="both"/>
              <w:rPr>
                <w:sz w:val="26"/>
                <w:szCs w:val="26"/>
              </w:rPr>
            </w:pPr>
            <w:r w:rsidRPr="00D7330E">
              <w:rPr>
                <w:sz w:val="26"/>
                <w:szCs w:val="26"/>
              </w:rPr>
              <w:t>Vendor</w:t>
            </w:r>
          </w:p>
        </w:tc>
        <w:tc>
          <w:tcPr>
            <w:tcW w:w="8118" w:type="dxa"/>
            <w:shd w:val="clear" w:color="auto" w:fill="auto"/>
          </w:tcPr>
          <w:p w14:paraId="5015A058" w14:textId="148B3C58" w:rsidR="002D50D5" w:rsidRDefault="00E96F38" w:rsidP="002D50D5">
            <w:pPr>
              <w:spacing w:after="0"/>
              <w:jc w:val="both"/>
              <w:rPr>
                <w:szCs w:val="26"/>
              </w:rPr>
            </w:pPr>
            <w:r>
              <w:rPr>
                <w:bCs/>
                <w:szCs w:val="26"/>
              </w:rPr>
              <w:t xml:space="preserve">The Pearl of Hillside                     </w:t>
            </w:r>
            <w:r w:rsidR="005E7874">
              <w:rPr>
                <w:bCs/>
                <w:szCs w:val="26"/>
              </w:rPr>
              <w:t xml:space="preserve">            </w:t>
            </w:r>
            <w:r>
              <w:rPr>
                <w:bCs/>
                <w:szCs w:val="26"/>
              </w:rPr>
              <w:t xml:space="preserve"> </w:t>
            </w:r>
            <w:proofErr w:type="spellStart"/>
            <w:r>
              <w:rPr>
                <w:bCs/>
                <w:szCs w:val="26"/>
              </w:rPr>
              <w:t>Hillside</w:t>
            </w:r>
            <w:proofErr w:type="spellEnd"/>
            <w:r>
              <w:rPr>
                <w:bCs/>
                <w:szCs w:val="26"/>
              </w:rPr>
              <w:t>, Illinois</w:t>
            </w:r>
            <w:r w:rsidRPr="00D7330E">
              <w:rPr>
                <w:szCs w:val="26"/>
              </w:rPr>
              <w:t xml:space="preserve"> </w:t>
            </w:r>
          </w:p>
          <w:p w14:paraId="65913175" w14:textId="5C79282C" w:rsidR="00E96F38" w:rsidRPr="00D7330E" w:rsidRDefault="00E96F38" w:rsidP="002D50D5">
            <w:pPr>
              <w:spacing w:after="0"/>
              <w:jc w:val="both"/>
              <w:rPr>
                <w:szCs w:val="26"/>
              </w:rPr>
            </w:pPr>
          </w:p>
        </w:tc>
      </w:tr>
      <w:tr w:rsidR="002D50D5" w:rsidRPr="00D7330E" w14:paraId="0F8FD728" w14:textId="77777777" w:rsidTr="003E1FA3">
        <w:trPr>
          <w:trHeight w:val="333"/>
        </w:trPr>
        <w:tc>
          <w:tcPr>
            <w:tcW w:w="342" w:type="dxa"/>
          </w:tcPr>
          <w:p w14:paraId="57958A15" w14:textId="77777777" w:rsidR="002D50D5" w:rsidRPr="00D7330E" w:rsidRDefault="002D50D5" w:rsidP="002D50D5">
            <w:pPr>
              <w:pStyle w:val="NoSpacing"/>
              <w:jc w:val="both"/>
              <w:rPr>
                <w:sz w:val="26"/>
                <w:szCs w:val="26"/>
              </w:rPr>
            </w:pPr>
          </w:p>
        </w:tc>
        <w:tc>
          <w:tcPr>
            <w:tcW w:w="990" w:type="dxa"/>
            <w:shd w:val="clear" w:color="auto" w:fill="auto"/>
          </w:tcPr>
          <w:p w14:paraId="1EDF1F5F" w14:textId="77777777" w:rsidR="002D50D5" w:rsidRPr="00D7330E" w:rsidRDefault="002D50D5" w:rsidP="002D50D5">
            <w:pPr>
              <w:pStyle w:val="NoSpacing"/>
              <w:jc w:val="both"/>
              <w:rPr>
                <w:sz w:val="26"/>
                <w:szCs w:val="26"/>
              </w:rPr>
            </w:pPr>
          </w:p>
        </w:tc>
        <w:tc>
          <w:tcPr>
            <w:tcW w:w="8118" w:type="dxa"/>
            <w:shd w:val="clear" w:color="auto" w:fill="auto"/>
          </w:tcPr>
          <w:p w14:paraId="23E8B0D9" w14:textId="12B3F40A" w:rsidR="00B96387" w:rsidRPr="00B96387" w:rsidRDefault="00B96387" w:rsidP="00B96387">
            <w:pPr>
              <w:spacing w:after="0" w:line="240" w:lineRule="auto"/>
              <w:rPr>
                <w:szCs w:val="26"/>
              </w:rPr>
            </w:pPr>
            <w:r w:rsidRPr="00B96387">
              <w:rPr>
                <w:szCs w:val="26"/>
              </w:rPr>
              <w:t>Long-term occupancy of acute Hospital beds by patients awaiting custodial disposition severely limits Hospital throughput.  The University of Illinois Hospital utilizes The Pearl of Hillside to provide sub-acute inpatient care to patients whose hospital stay is no longer medically necessary.  These patients continue to require skilled nursing care and are not stable enough to return home or to be cared for by family members.  This allows UI Health to optimize patient flow, maintain inpatient capacity for emergent and elective admissions, and support efficient</w:t>
            </w:r>
            <w:r w:rsidR="00C12896">
              <w:rPr>
                <w:szCs w:val="26"/>
              </w:rPr>
              <w:t>,</w:t>
            </w:r>
            <w:r w:rsidRPr="00B96387">
              <w:rPr>
                <w:szCs w:val="26"/>
              </w:rPr>
              <w:t xml:space="preserve"> high-quality operations across the healthcare delivery enterprise.</w:t>
            </w:r>
          </w:p>
          <w:p w14:paraId="07BCAC37" w14:textId="77777777" w:rsidR="00B96387" w:rsidRPr="00B96387" w:rsidRDefault="00B96387" w:rsidP="00B96387">
            <w:pPr>
              <w:spacing w:after="0" w:line="240" w:lineRule="auto"/>
              <w:jc w:val="both"/>
              <w:rPr>
                <w:szCs w:val="26"/>
                <w:lang w:bidi="en-US"/>
              </w:rPr>
            </w:pPr>
          </w:p>
          <w:p w14:paraId="6C2776BF" w14:textId="77777777" w:rsidR="00B96387" w:rsidRPr="00B96387" w:rsidRDefault="00B96387" w:rsidP="00B96387">
            <w:pPr>
              <w:jc w:val="both"/>
              <w:rPr>
                <w:szCs w:val="26"/>
              </w:rPr>
            </w:pPr>
            <w:r w:rsidRPr="00B96387">
              <w:rPr>
                <w:szCs w:val="26"/>
              </w:rPr>
              <w:t>This purchase is exempt from competitive selection procedures in accordance with the Illinois Procurement Code (30ILCS 500/1-13(b-5)).</w:t>
            </w:r>
          </w:p>
          <w:p w14:paraId="70C34DE2" w14:textId="41036EA4" w:rsidR="002D50D5" w:rsidRPr="00D7330E" w:rsidRDefault="00B96387" w:rsidP="00B96387">
            <w:pPr>
              <w:spacing w:after="0"/>
              <w:jc w:val="both"/>
              <w:rPr>
                <w:szCs w:val="26"/>
              </w:rPr>
            </w:pPr>
            <w:r w:rsidRPr="00B96387">
              <w:rPr>
                <w:rFonts w:eastAsia="Times New Roman"/>
                <w:b/>
                <w:color w:val="000000"/>
                <w:szCs w:val="26"/>
              </w:rPr>
              <w:t xml:space="preserve">Business Enterprise Program (BEP) </w:t>
            </w:r>
            <w:r w:rsidRPr="00B96387">
              <w:rPr>
                <w:rFonts w:eastAsia="Times New Roman"/>
                <w:bCs/>
                <w:color w:val="000000"/>
                <w:szCs w:val="26"/>
              </w:rPr>
              <w:t>goals are not established for purchases which are exempt from the requirements of the Illinois Procurement Code.</w:t>
            </w:r>
          </w:p>
        </w:tc>
      </w:tr>
      <w:tr w:rsidR="002D50D5" w:rsidRPr="00D7330E" w14:paraId="241580D9" w14:textId="77777777" w:rsidTr="003E1FA3">
        <w:trPr>
          <w:trHeight w:val="333"/>
        </w:trPr>
        <w:tc>
          <w:tcPr>
            <w:tcW w:w="342" w:type="dxa"/>
          </w:tcPr>
          <w:p w14:paraId="39E7186C" w14:textId="77777777" w:rsidR="002D50D5" w:rsidRPr="00D7330E" w:rsidRDefault="002D50D5" w:rsidP="002D50D5">
            <w:pPr>
              <w:pStyle w:val="NoSpacing"/>
              <w:jc w:val="both"/>
              <w:rPr>
                <w:sz w:val="26"/>
                <w:szCs w:val="26"/>
              </w:rPr>
            </w:pPr>
          </w:p>
        </w:tc>
        <w:tc>
          <w:tcPr>
            <w:tcW w:w="990" w:type="dxa"/>
            <w:shd w:val="clear" w:color="auto" w:fill="auto"/>
          </w:tcPr>
          <w:p w14:paraId="71A0B6CE" w14:textId="77777777" w:rsidR="002D50D5" w:rsidRPr="00D7330E" w:rsidRDefault="002D50D5" w:rsidP="002D50D5">
            <w:pPr>
              <w:pStyle w:val="NoSpacing"/>
              <w:jc w:val="both"/>
              <w:rPr>
                <w:sz w:val="26"/>
                <w:szCs w:val="26"/>
              </w:rPr>
            </w:pPr>
          </w:p>
        </w:tc>
        <w:tc>
          <w:tcPr>
            <w:tcW w:w="8118" w:type="dxa"/>
            <w:shd w:val="clear" w:color="auto" w:fill="auto"/>
          </w:tcPr>
          <w:p w14:paraId="3D91F94B" w14:textId="77777777" w:rsidR="002D50D5" w:rsidRPr="00D7330E" w:rsidRDefault="002D50D5" w:rsidP="002D50D5">
            <w:pPr>
              <w:spacing w:after="0"/>
              <w:jc w:val="both"/>
              <w:rPr>
                <w:szCs w:val="26"/>
              </w:rPr>
            </w:pPr>
          </w:p>
        </w:tc>
      </w:tr>
      <w:tr w:rsidR="002D50D5" w:rsidRPr="00D7330E" w14:paraId="753958E9" w14:textId="77777777" w:rsidTr="003E1FA3">
        <w:trPr>
          <w:trHeight w:val="333"/>
        </w:trPr>
        <w:tc>
          <w:tcPr>
            <w:tcW w:w="342" w:type="dxa"/>
            <w:tcBorders>
              <w:bottom w:val="double" w:sz="4" w:space="0" w:color="auto"/>
            </w:tcBorders>
          </w:tcPr>
          <w:p w14:paraId="702FBEB8" w14:textId="2FDB5E96" w:rsidR="002D50D5" w:rsidRPr="00D7330E" w:rsidRDefault="00C91677" w:rsidP="002D50D5">
            <w:pPr>
              <w:pStyle w:val="NoSpacing"/>
              <w:jc w:val="both"/>
              <w:rPr>
                <w:sz w:val="26"/>
                <w:szCs w:val="26"/>
              </w:rPr>
            </w:pPr>
            <w:r>
              <w:rPr>
                <w:sz w:val="26"/>
                <w:szCs w:val="26"/>
              </w:rPr>
              <w:t>5</w:t>
            </w:r>
          </w:p>
        </w:tc>
        <w:tc>
          <w:tcPr>
            <w:tcW w:w="990" w:type="dxa"/>
            <w:tcBorders>
              <w:bottom w:val="double" w:sz="4" w:space="0" w:color="auto"/>
            </w:tcBorders>
            <w:shd w:val="clear" w:color="auto" w:fill="auto"/>
          </w:tcPr>
          <w:p w14:paraId="72B49EAA" w14:textId="1B983C50" w:rsidR="002D50D5" w:rsidRPr="00D7330E" w:rsidRDefault="002D50D5" w:rsidP="002D50D5">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1637C97C" w14:textId="61A65BE1" w:rsidR="002D50D5" w:rsidRPr="00D7330E" w:rsidRDefault="002D50D5" w:rsidP="002D50D5">
            <w:pPr>
              <w:spacing w:after="0"/>
              <w:jc w:val="both"/>
              <w:rPr>
                <w:szCs w:val="26"/>
              </w:rPr>
            </w:pPr>
            <w:r>
              <w:rPr>
                <w:spacing w:val="-3"/>
                <w:szCs w:val="26"/>
              </w:rPr>
              <w:t>UI Hospital and Clinics</w:t>
            </w:r>
          </w:p>
        </w:tc>
      </w:tr>
      <w:tr w:rsidR="002D50D5" w:rsidRPr="00D7330E" w14:paraId="01AB1587" w14:textId="77777777" w:rsidTr="00F076EC">
        <w:trPr>
          <w:trHeight w:val="510"/>
        </w:trPr>
        <w:tc>
          <w:tcPr>
            <w:tcW w:w="342" w:type="dxa"/>
            <w:tcBorders>
              <w:top w:val="double" w:sz="4" w:space="0" w:color="auto"/>
            </w:tcBorders>
          </w:tcPr>
          <w:p w14:paraId="321A36F7" w14:textId="77777777" w:rsidR="002D50D5" w:rsidRPr="00D7330E" w:rsidRDefault="002D50D5" w:rsidP="002D50D5">
            <w:pPr>
              <w:pStyle w:val="NoSpacing"/>
              <w:rPr>
                <w:sz w:val="26"/>
                <w:szCs w:val="26"/>
              </w:rPr>
            </w:pPr>
          </w:p>
        </w:tc>
        <w:tc>
          <w:tcPr>
            <w:tcW w:w="990" w:type="dxa"/>
            <w:tcBorders>
              <w:top w:val="double" w:sz="4" w:space="0" w:color="auto"/>
            </w:tcBorders>
            <w:shd w:val="clear" w:color="auto" w:fill="auto"/>
          </w:tcPr>
          <w:p w14:paraId="1AA2A11E" w14:textId="77777777" w:rsidR="002D50D5" w:rsidRPr="00D7330E" w:rsidRDefault="002D50D5" w:rsidP="002D50D5">
            <w:pPr>
              <w:pStyle w:val="NoSpacing"/>
              <w:rPr>
                <w:sz w:val="26"/>
                <w:szCs w:val="26"/>
              </w:rPr>
            </w:pPr>
          </w:p>
          <w:p w14:paraId="32BB7C3F" w14:textId="6C0BCAA5" w:rsidR="002D50D5" w:rsidRPr="00D7330E" w:rsidRDefault="002D50D5" w:rsidP="002D50D5">
            <w:pPr>
              <w:pStyle w:val="NoSpacing"/>
              <w:rPr>
                <w:sz w:val="26"/>
                <w:szCs w:val="26"/>
              </w:rPr>
            </w:pPr>
            <w:r w:rsidRPr="00D7330E">
              <w:rPr>
                <w:sz w:val="26"/>
                <w:szCs w:val="26"/>
              </w:rPr>
              <w:t>Item</w:t>
            </w:r>
          </w:p>
        </w:tc>
        <w:tc>
          <w:tcPr>
            <w:tcW w:w="8118" w:type="dxa"/>
            <w:tcBorders>
              <w:top w:val="double" w:sz="4" w:space="0" w:color="auto"/>
            </w:tcBorders>
            <w:shd w:val="clear" w:color="auto" w:fill="auto"/>
            <w:vAlign w:val="center"/>
          </w:tcPr>
          <w:p w14:paraId="3172DB01" w14:textId="77777777" w:rsidR="002D50D5" w:rsidRPr="00D7330E" w:rsidRDefault="002D50D5" w:rsidP="002D50D5">
            <w:pPr>
              <w:pStyle w:val="NoSpacing"/>
              <w:rPr>
                <w:sz w:val="26"/>
                <w:szCs w:val="26"/>
              </w:rPr>
            </w:pPr>
          </w:p>
          <w:p w14:paraId="5D9A408C" w14:textId="0E9FD6BD" w:rsidR="002D50D5" w:rsidRPr="00D7330E" w:rsidRDefault="00C74629" w:rsidP="002D50D5">
            <w:pPr>
              <w:pStyle w:val="NoSpacing"/>
              <w:rPr>
                <w:sz w:val="26"/>
                <w:szCs w:val="26"/>
              </w:rPr>
            </w:pPr>
            <w:r w:rsidRPr="00E42C5B">
              <w:rPr>
                <w:sz w:val="26"/>
                <w:szCs w:val="26"/>
              </w:rPr>
              <w:t xml:space="preserve">Purchase of </w:t>
            </w:r>
            <w:r>
              <w:rPr>
                <w:sz w:val="26"/>
                <w:szCs w:val="26"/>
              </w:rPr>
              <w:t>Orthopedic Implants and Accessories for UI Hospital and Clinics</w:t>
            </w:r>
          </w:p>
        </w:tc>
      </w:tr>
      <w:tr w:rsidR="002D50D5" w:rsidRPr="00D7330E" w14:paraId="796AD199" w14:textId="77777777" w:rsidTr="005274CF">
        <w:trPr>
          <w:trHeight w:val="150"/>
        </w:trPr>
        <w:tc>
          <w:tcPr>
            <w:tcW w:w="342" w:type="dxa"/>
          </w:tcPr>
          <w:p w14:paraId="568FF330" w14:textId="77777777" w:rsidR="002D50D5" w:rsidRPr="00D7330E" w:rsidRDefault="002D50D5" w:rsidP="002D50D5">
            <w:pPr>
              <w:pStyle w:val="NoSpacing"/>
              <w:rPr>
                <w:sz w:val="26"/>
                <w:szCs w:val="26"/>
              </w:rPr>
            </w:pPr>
          </w:p>
        </w:tc>
        <w:tc>
          <w:tcPr>
            <w:tcW w:w="990" w:type="dxa"/>
            <w:shd w:val="clear" w:color="auto" w:fill="auto"/>
          </w:tcPr>
          <w:p w14:paraId="50127206" w14:textId="77777777" w:rsidR="002D50D5" w:rsidRPr="00D7330E" w:rsidRDefault="002D50D5" w:rsidP="002D50D5">
            <w:pPr>
              <w:pStyle w:val="NoSpacing"/>
              <w:rPr>
                <w:sz w:val="26"/>
                <w:szCs w:val="26"/>
              </w:rPr>
            </w:pPr>
          </w:p>
          <w:p w14:paraId="6B716F1F" w14:textId="6EAD2A2B" w:rsidR="002D50D5" w:rsidRPr="00D7330E" w:rsidRDefault="002D50D5" w:rsidP="002D50D5">
            <w:pPr>
              <w:pStyle w:val="NoSpacing"/>
              <w:rPr>
                <w:sz w:val="26"/>
                <w:szCs w:val="26"/>
              </w:rPr>
            </w:pPr>
            <w:r w:rsidRPr="00D7330E">
              <w:rPr>
                <w:sz w:val="26"/>
                <w:szCs w:val="26"/>
              </w:rPr>
              <w:t>Cost</w:t>
            </w:r>
          </w:p>
        </w:tc>
        <w:tc>
          <w:tcPr>
            <w:tcW w:w="8118" w:type="dxa"/>
            <w:shd w:val="clear" w:color="auto" w:fill="auto"/>
          </w:tcPr>
          <w:p w14:paraId="396167A1" w14:textId="77777777" w:rsidR="002D50D5" w:rsidRPr="00D7330E" w:rsidRDefault="002D50D5" w:rsidP="002D50D5">
            <w:pPr>
              <w:spacing w:after="0"/>
              <w:rPr>
                <w:szCs w:val="26"/>
              </w:rPr>
            </w:pPr>
          </w:p>
          <w:p w14:paraId="4E0A9208" w14:textId="77777777" w:rsidR="00C74629" w:rsidRPr="00C74629" w:rsidRDefault="00C74629" w:rsidP="00C74629">
            <w:pPr>
              <w:spacing w:after="0" w:line="240" w:lineRule="auto"/>
              <w:rPr>
                <w:spacing w:val="-3"/>
                <w:szCs w:val="26"/>
              </w:rPr>
            </w:pPr>
            <w:r w:rsidRPr="00C74629">
              <w:rPr>
                <w:spacing w:val="-3"/>
                <w:szCs w:val="26"/>
              </w:rPr>
              <w:t xml:space="preserve">$9,000,000 (estimated) for 5-year term August 1, </w:t>
            </w:r>
            <w:proofErr w:type="gramStart"/>
            <w:r w:rsidRPr="00C74629">
              <w:rPr>
                <w:spacing w:val="-3"/>
                <w:szCs w:val="26"/>
              </w:rPr>
              <w:t>2025</w:t>
            </w:r>
            <w:proofErr w:type="gramEnd"/>
            <w:r w:rsidRPr="00C74629">
              <w:rPr>
                <w:spacing w:val="-3"/>
                <w:szCs w:val="26"/>
              </w:rPr>
              <w:t xml:space="preserve"> through July 31, 2030    </w:t>
            </w:r>
          </w:p>
          <w:p w14:paraId="79C0EDAC" w14:textId="7F3FEA8E" w:rsidR="002D50D5" w:rsidRPr="00D7330E" w:rsidRDefault="002D50D5" w:rsidP="002D50D5">
            <w:pPr>
              <w:pStyle w:val="NoSpacing"/>
              <w:rPr>
                <w:szCs w:val="26"/>
              </w:rPr>
            </w:pPr>
          </w:p>
        </w:tc>
      </w:tr>
      <w:tr w:rsidR="002D50D5" w:rsidRPr="00D7330E" w14:paraId="76B3DC5C" w14:textId="77777777" w:rsidTr="005274CF">
        <w:trPr>
          <w:trHeight w:val="150"/>
        </w:trPr>
        <w:tc>
          <w:tcPr>
            <w:tcW w:w="342" w:type="dxa"/>
          </w:tcPr>
          <w:p w14:paraId="22094E1C" w14:textId="77777777" w:rsidR="002D50D5" w:rsidRPr="00D7330E" w:rsidRDefault="002D50D5" w:rsidP="002D50D5">
            <w:pPr>
              <w:pStyle w:val="NoSpacing"/>
              <w:rPr>
                <w:sz w:val="26"/>
                <w:szCs w:val="26"/>
              </w:rPr>
            </w:pPr>
          </w:p>
        </w:tc>
        <w:tc>
          <w:tcPr>
            <w:tcW w:w="990" w:type="dxa"/>
            <w:shd w:val="clear" w:color="auto" w:fill="auto"/>
          </w:tcPr>
          <w:p w14:paraId="5A06501A" w14:textId="2D1A961B" w:rsidR="002D50D5" w:rsidRPr="00D7330E" w:rsidRDefault="002D50D5" w:rsidP="002D50D5">
            <w:pPr>
              <w:pStyle w:val="NoSpacing"/>
              <w:rPr>
                <w:sz w:val="26"/>
                <w:szCs w:val="26"/>
              </w:rPr>
            </w:pPr>
            <w:r w:rsidRPr="00D7330E">
              <w:rPr>
                <w:sz w:val="26"/>
                <w:szCs w:val="26"/>
              </w:rPr>
              <w:t>Vendor</w:t>
            </w:r>
          </w:p>
        </w:tc>
        <w:tc>
          <w:tcPr>
            <w:tcW w:w="8118" w:type="dxa"/>
            <w:shd w:val="clear" w:color="auto" w:fill="auto"/>
          </w:tcPr>
          <w:p w14:paraId="0578F8EE" w14:textId="20F2BCF2" w:rsidR="00C74629" w:rsidRPr="00C74629" w:rsidRDefault="00C74629" w:rsidP="00C74629">
            <w:pPr>
              <w:spacing w:after="0" w:line="240" w:lineRule="auto"/>
              <w:jc w:val="both"/>
              <w:rPr>
                <w:szCs w:val="26"/>
              </w:rPr>
            </w:pPr>
            <w:r w:rsidRPr="00C74629">
              <w:rPr>
                <w:bCs/>
                <w:szCs w:val="26"/>
              </w:rPr>
              <w:t xml:space="preserve">Arthrex Corporation                         </w:t>
            </w:r>
            <w:r w:rsidR="005E7874">
              <w:rPr>
                <w:bCs/>
                <w:szCs w:val="26"/>
              </w:rPr>
              <w:t xml:space="preserve">          </w:t>
            </w:r>
            <w:r w:rsidRPr="00C74629">
              <w:rPr>
                <w:bCs/>
                <w:szCs w:val="26"/>
              </w:rPr>
              <w:t xml:space="preserve"> Naples, Florida</w:t>
            </w:r>
          </w:p>
          <w:p w14:paraId="3F3BDDAC" w14:textId="77777777" w:rsidR="002D50D5" w:rsidRPr="00D7330E" w:rsidRDefault="002D50D5" w:rsidP="002D50D5">
            <w:pPr>
              <w:spacing w:after="0"/>
              <w:rPr>
                <w:szCs w:val="26"/>
              </w:rPr>
            </w:pPr>
          </w:p>
        </w:tc>
      </w:tr>
      <w:tr w:rsidR="002D50D5" w:rsidRPr="00D7330E" w14:paraId="25A50CAA" w14:textId="77777777" w:rsidTr="005274CF">
        <w:trPr>
          <w:trHeight w:val="150"/>
        </w:trPr>
        <w:tc>
          <w:tcPr>
            <w:tcW w:w="342" w:type="dxa"/>
          </w:tcPr>
          <w:p w14:paraId="7B8DEF62" w14:textId="77777777" w:rsidR="002D50D5" w:rsidRPr="00D7330E" w:rsidRDefault="002D50D5" w:rsidP="002D50D5">
            <w:pPr>
              <w:pStyle w:val="NoSpacing"/>
              <w:rPr>
                <w:sz w:val="26"/>
                <w:szCs w:val="26"/>
              </w:rPr>
            </w:pPr>
          </w:p>
        </w:tc>
        <w:tc>
          <w:tcPr>
            <w:tcW w:w="990" w:type="dxa"/>
            <w:shd w:val="clear" w:color="auto" w:fill="auto"/>
          </w:tcPr>
          <w:p w14:paraId="0F256E21" w14:textId="77777777" w:rsidR="002D50D5" w:rsidRPr="00D7330E" w:rsidRDefault="002D50D5" w:rsidP="002D50D5">
            <w:pPr>
              <w:pStyle w:val="NoSpacing"/>
              <w:rPr>
                <w:sz w:val="26"/>
                <w:szCs w:val="26"/>
              </w:rPr>
            </w:pPr>
          </w:p>
        </w:tc>
        <w:tc>
          <w:tcPr>
            <w:tcW w:w="8118" w:type="dxa"/>
            <w:shd w:val="clear" w:color="auto" w:fill="auto"/>
          </w:tcPr>
          <w:p w14:paraId="783BE29C" w14:textId="31E681E5" w:rsidR="00C74629" w:rsidRDefault="00C74629" w:rsidP="00C74629">
            <w:pPr>
              <w:spacing w:after="0" w:line="240" w:lineRule="auto"/>
              <w:jc w:val="both"/>
              <w:rPr>
                <w:rFonts w:ascii="Calibri" w:hAnsi="Calibri"/>
                <w:sz w:val="28"/>
                <w:szCs w:val="28"/>
              </w:rPr>
            </w:pPr>
            <w:r w:rsidRPr="00C74629">
              <w:rPr>
                <w:szCs w:val="26"/>
              </w:rPr>
              <w:t>Purchase of orthopedic implants and accessories used in various procedures involving the shoulder, ankle, elbow, knees</w:t>
            </w:r>
            <w:r w:rsidR="00C12896">
              <w:rPr>
                <w:szCs w:val="26"/>
              </w:rPr>
              <w:t>,</w:t>
            </w:r>
            <w:r w:rsidRPr="00C74629">
              <w:rPr>
                <w:szCs w:val="26"/>
              </w:rPr>
              <w:t xml:space="preserve"> and hips. These items consist of screws, anchors, wires, plates, sutures, burrs, punches, kits and ancillaries. These items are used in orthopedic stability procedures, soft tissue repairs</w:t>
            </w:r>
            <w:r w:rsidR="00C12896">
              <w:rPr>
                <w:szCs w:val="26"/>
              </w:rPr>
              <w:t>,</w:t>
            </w:r>
            <w:r w:rsidRPr="00C74629">
              <w:rPr>
                <w:szCs w:val="26"/>
              </w:rPr>
              <w:t xml:space="preserve"> and arthroscopic diagnostic procedures. The Hospital’s orthopedic service line exclusively uses Arthrex video equipment for arthroscopy surgical procedures</w:t>
            </w:r>
            <w:r w:rsidR="00C12896">
              <w:rPr>
                <w:szCs w:val="26"/>
              </w:rPr>
              <w:t>,</w:t>
            </w:r>
            <w:r w:rsidRPr="00C74629">
              <w:rPr>
                <w:szCs w:val="26"/>
              </w:rPr>
              <w:t xml:space="preserve"> and there is strong surgeon preference for these items.</w:t>
            </w:r>
          </w:p>
          <w:p w14:paraId="571AC3F6" w14:textId="77777777" w:rsidR="00C74629" w:rsidRPr="00C74629" w:rsidRDefault="00C74629" w:rsidP="00C74629">
            <w:pPr>
              <w:spacing w:after="0" w:line="240" w:lineRule="auto"/>
              <w:jc w:val="both"/>
              <w:rPr>
                <w:rFonts w:ascii="Calibri" w:hAnsi="Calibri"/>
                <w:sz w:val="28"/>
                <w:szCs w:val="28"/>
              </w:rPr>
            </w:pPr>
          </w:p>
          <w:p w14:paraId="15507A0F" w14:textId="263F9D21" w:rsidR="00C74629" w:rsidRPr="00C74629" w:rsidRDefault="00C74629" w:rsidP="00C74629">
            <w:pPr>
              <w:jc w:val="both"/>
              <w:rPr>
                <w:szCs w:val="26"/>
              </w:rPr>
            </w:pPr>
            <w:r w:rsidRPr="00C74629">
              <w:rPr>
                <w:szCs w:val="26"/>
              </w:rPr>
              <w:lastRenderedPageBreak/>
              <w:t>This purchase is exempt from competitive selection procedures in accordance with the Illinois Procurement Code (30ILCS 500/1-13(b-5)).</w:t>
            </w:r>
          </w:p>
          <w:p w14:paraId="29FE8E47" w14:textId="4B6743A7" w:rsidR="002D50D5" w:rsidRPr="007F1E33" w:rsidRDefault="00C74629" w:rsidP="00C74629">
            <w:pPr>
              <w:jc w:val="both"/>
              <w:rPr>
                <w:color w:val="000000"/>
                <w:szCs w:val="26"/>
              </w:rPr>
            </w:pPr>
            <w:r w:rsidRPr="00C74629">
              <w:rPr>
                <w:rFonts w:eastAsia="Times New Roman"/>
                <w:b/>
                <w:color w:val="000000"/>
                <w:szCs w:val="26"/>
              </w:rPr>
              <w:t xml:space="preserve">Business Enterprise Program (BEP) </w:t>
            </w:r>
            <w:r w:rsidRPr="00C74629">
              <w:rPr>
                <w:rFonts w:eastAsia="Times New Roman"/>
                <w:bCs/>
                <w:color w:val="000000"/>
                <w:szCs w:val="26"/>
              </w:rPr>
              <w:t>goals are not established for purchases which are exempt from the requirements of the Illinois Procurement Code.</w:t>
            </w:r>
          </w:p>
        </w:tc>
      </w:tr>
      <w:tr w:rsidR="002D50D5" w:rsidRPr="00D7330E" w14:paraId="38B9BE0D" w14:textId="77777777" w:rsidTr="00891355">
        <w:trPr>
          <w:trHeight w:val="120"/>
        </w:trPr>
        <w:tc>
          <w:tcPr>
            <w:tcW w:w="342" w:type="dxa"/>
          </w:tcPr>
          <w:p w14:paraId="57573FEC" w14:textId="77777777" w:rsidR="002D50D5" w:rsidRPr="00D7330E" w:rsidRDefault="002D50D5" w:rsidP="002D50D5">
            <w:pPr>
              <w:pStyle w:val="NoSpacing"/>
              <w:rPr>
                <w:sz w:val="26"/>
                <w:szCs w:val="26"/>
              </w:rPr>
            </w:pPr>
          </w:p>
        </w:tc>
        <w:tc>
          <w:tcPr>
            <w:tcW w:w="990" w:type="dxa"/>
          </w:tcPr>
          <w:p w14:paraId="493C27C3" w14:textId="77777777" w:rsidR="002D50D5" w:rsidRPr="00D7330E" w:rsidRDefault="002D50D5" w:rsidP="002D50D5">
            <w:pPr>
              <w:pStyle w:val="NoSpacing"/>
              <w:rPr>
                <w:sz w:val="26"/>
                <w:szCs w:val="26"/>
              </w:rPr>
            </w:pPr>
          </w:p>
        </w:tc>
        <w:tc>
          <w:tcPr>
            <w:tcW w:w="8118" w:type="dxa"/>
          </w:tcPr>
          <w:p w14:paraId="23CE3451" w14:textId="77777777" w:rsidR="002D50D5" w:rsidRPr="00D7330E" w:rsidRDefault="002D50D5" w:rsidP="002D50D5">
            <w:pPr>
              <w:pStyle w:val="NoSpacing"/>
              <w:rPr>
                <w:spacing w:val="-3"/>
                <w:sz w:val="26"/>
                <w:szCs w:val="26"/>
              </w:rPr>
            </w:pPr>
          </w:p>
        </w:tc>
      </w:tr>
      <w:tr w:rsidR="002D50D5" w:rsidRPr="00D7330E" w14:paraId="46653B7D" w14:textId="77777777" w:rsidTr="00891355">
        <w:trPr>
          <w:trHeight w:val="120"/>
        </w:trPr>
        <w:tc>
          <w:tcPr>
            <w:tcW w:w="342" w:type="dxa"/>
            <w:tcBorders>
              <w:bottom w:val="double" w:sz="6" w:space="0" w:color="auto"/>
            </w:tcBorders>
          </w:tcPr>
          <w:p w14:paraId="57589B01" w14:textId="5B1EADAF" w:rsidR="002D50D5" w:rsidRPr="00D7330E" w:rsidRDefault="00C91677" w:rsidP="002D50D5">
            <w:pPr>
              <w:pStyle w:val="NoSpacing"/>
              <w:rPr>
                <w:sz w:val="26"/>
                <w:szCs w:val="26"/>
              </w:rPr>
            </w:pPr>
            <w:r>
              <w:rPr>
                <w:sz w:val="26"/>
                <w:szCs w:val="26"/>
              </w:rPr>
              <w:t>6</w:t>
            </w:r>
          </w:p>
        </w:tc>
        <w:tc>
          <w:tcPr>
            <w:tcW w:w="990" w:type="dxa"/>
            <w:tcBorders>
              <w:bottom w:val="double" w:sz="6" w:space="0" w:color="auto"/>
            </w:tcBorders>
          </w:tcPr>
          <w:p w14:paraId="7D3F5F29" w14:textId="77777777" w:rsidR="002D50D5" w:rsidRPr="00D7330E" w:rsidRDefault="002D50D5" w:rsidP="002D50D5">
            <w:pPr>
              <w:pStyle w:val="NoSpacing"/>
              <w:rPr>
                <w:sz w:val="26"/>
                <w:szCs w:val="26"/>
              </w:rPr>
            </w:pPr>
            <w:r w:rsidRPr="00D7330E">
              <w:rPr>
                <w:sz w:val="26"/>
                <w:szCs w:val="26"/>
              </w:rPr>
              <w:t>Unit</w:t>
            </w:r>
          </w:p>
        </w:tc>
        <w:tc>
          <w:tcPr>
            <w:tcW w:w="8118" w:type="dxa"/>
            <w:tcBorders>
              <w:bottom w:val="double" w:sz="6" w:space="0" w:color="auto"/>
            </w:tcBorders>
          </w:tcPr>
          <w:p w14:paraId="03329405" w14:textId="77777777" w:rsidR="002D50D5" w:rsidRPr="00D7330E" w:rsidRDefault="002D50D5" w:rsidP="002D50D5">
            <w:pPr>
              <w:pStyle w:val="NoSpacing"/>
              <w:rPr>
                <w:sz w:val="26"/>
                <w:szCs w:val="26"/>
              </w:rPr>
            </w:pPr>
            <w:r w:rsidRPr="00D7330E">
              <w:rPr>
                <w:spacing w:val="-3"/>
                <w:sz w:val="26"/>
                <w:szCs w:val="26"/>
              </w:rPr>
              <w:t>UI Hospital and Clinics</w:t>
            </w:r>
          </w:p>
        </w:tc>
      </w:tr>
      <w:tr w:rsidR="002D50D5" w:rsidRPr="00D7330E" w14:paraId="2605AD81" w14:textId="77777777" w:rsidTr="00891355">
        <w:trPr>
          <w:trHeight w:val="648"/>
        </w:trPr>
        <w:tc>
          <w:tcPr>
            <w:tcW w:w="342" w:type="dxa"/>
          </w:tcPr>
          <w:p w14:paraId="34A802AE" w14:textId="77777777" w:rsidR="002D50D5" w:rsidRPr="00D7330E" w:rsidRDefault="002D50D5" w:rsidP="002D50D5">
            <w:pPr>
              <w:pStyle w:val="NoSpacing"/>
              <w:rPr>
                <w:sz w:val="26"/>
                <w:szCs w:val="26"/>
              </w:rPr>
            </w:pPr>
          </w:p>
        </w:tc>
        <w:tc>
          <w:tcPr>
            <w:tcW w:w="990" w:type="dxa"/>
          </w:tcPr>
          <w:p w14:paraId="2C7B96A4" w14:textId="77777777" w:rsidR="002D50D5" w:rsidRPr="00D7330E" w:rsidRDefault="002D50D5" w:rsidP="002D50D5">
            <w:pPr>
              <w:pStyle w:val="NoSpacing"/>
              <w:rPr>
                <w:sz w:val="26"/>
                <w:szCs w:val="26"/>
              </w:rPr>
            </w:pPr>
          </w:p>
          <w:p w14:paraId="1C4EEBB8" w14:textId="77777777" w:rsidR="002D50D5" w:rsidRPr="00D7330E" w:rsidRDefault="002D50D5" w:rsidP="002D50D5">
            <w:pPr>
              <w:pStyle w:val="NoSpacing"/>
              <w:rPr>
                <w:sz w:val="26"/>
                <w:szCs w:val="26"/>
              </w:rPr>
            </w:pPr>
            <w:r w:rsidRPr="00D7330E">
              <w:rPr>
                <w:sz w:val="26"/>
                <w:szCs w:val="26"/>
              </w:rPr>
              <w:t xml:space="preserve">Item   </w:t>
            </w:r>
          </w:p>
        </w:tc>
        <w:tc>
          <w:tcPr>
            <w:tcW w:w="8118" w:type="dxa"/>
          </w:tcPr>
          <w:p w14:paraId="1AB5B907" w14:textId="77777777" w:rsidR="002D50D5" w:rsidRPr="00D7330E" w:rsidRDefault="002D50D5" w:rsidP="002D50D5">
            <w:pPr>
              <w:pStyle w:val="NoSpacing"/>
              <w:rPr>
                <w:sz w:val="26"/>
                <w:szCs w:val="26"/>
              </w:rPr>
            </w:pPr>
          </w:p>
          <w:p w14:paraId="04758983" w14:textId="77777777" w:rsidR="00B96387" w:rsidRPr="00B96387" w:rsidRDefault="00B96387" w:rsidP="00B96387">
            <w:pPr>
              <w:spacing w:after="0" w:line="240" w:lineRule="auto"/>
              <w:jc w:val="both"/>
              <w:rPr>
                <w:szCs w:val="26"/>
              </w:rPr>
            </w:pPr>
            <w:r w:rsidRPr="00B96387">
              <w:rPr>
                <w:szCs w:val="26"/>
              </w:rPr>
              <w:t>Purchase of radiopharmaceuticals for detection of neuroendocrine tumors and prostate cancer in addition to other common Nuclear Medicine exams.</w:t>
            </w:r>
          </w:p>
          <w:p w14:paraId="48880A73" w14:textId="784EDCB2" w:rsidR="002D50D5" w:rsidRPr="00D7330E" w:rsidRDefault="002D50D5" w:rsidP="002D50D5">
            <w:pPr>
              <w:pStyle w:val="NoSpacing"/>
              <w:rPr>
                <w:sz w:val="26"/>
                <w:szCs w:val="26"/>
              </w:rPr>
            </w:pPr>
          </w:p>
        </w:tc>
      </w:tr>
      <w:tr w:rsidR="002D50D5" w:rsidRPr="00D7330E" w14:paraId="6CB701D2" w14:textId="77777777" w:rsidTr="00891355">
        <w:trPr>
          <w:trHeight w:val="315"/>
        </w:trPr>
        <w:tc>
          <w:tcPr>
            <w:tcW w:w="342" w:type="dxa"/>
          </w:tcPr>
          <w:p w14:paraId="42DDEB88" w14:textId="77777777" w:rsidR="002D50D5" w:rsidRPr="00D7330E" w:rsidRDefault="002D50D5" w:rsidP="002D50D5">
            <w:pPr>
              <w:pStyle w:val="NoSpacing"/>
              <w:rPr>
                <w:sz w:val="26"/>
                <w:szCs w:val="26"/>
              </w:rPr>
            </w:pPr>
            <w:r w:rsidRPr="00D7330E">
              <w:rPr>
                <w:sz w:val="26"/>
                <w:szCs w:val="26"/>
              </w:rPr>
              <w:t xml:space="preserve"> </w:t>
            </w:r>
          </w:p>
        </w:tc>
        <w:tc>
          <w:tcPr>
            <w:tcW w:w="990" w:type="dxa"/>
          </w:tcPr>
          <w:p w14:paraId="56A186B0" w14:textId="77777777" w:rsidR="002D50D5" w:rsidRPr="00D7330E" w:rsidRDefault="002D50D5" w:rsidP="002D50D5">
            <w:pPr>
              <w:pStyle w:val="NoSpacing"/>
              <w:rPr>
                <w:sz w:val="26"/>
                <w:szCs w:val="26"/>
              </w:rPr>
            </w:pPr>
          </w:p>
          <w:p w14:paraId="0DB8F651" w14:textId="77777777" w:rsidR="002D50D5" w:rsidRPr="00D7330E" w:rsidRDefault="002D50D5" w:rsidP="002D50D5">
            <w:pPr>
              <w:pStyle w:val="NoSpacing"/>
              <w:rPr>
                <w:sz w:val="26"/>
                <w:szCs w:val="26"/>
              </w:rPr>
            </w:pPr>
            <w:r w:rsidRPr="00D7330E">
              <w:rPr>
                <w:sz w:val="26"/>
                <w:szCs w:val="26"/>
              </w:rPr>
              <w:t>Cost</w:t>
            </w:r>
          </w:p>
        </w:tc>
        <w:tc>
          <w:tcPr>
            <w:tcW w:w="8118" w:type="dxa"/>
          </w:tcPr>
          <w:p w14:paraId="0BCE35E1" w14:textId="77777777" w:rsidR="002D50D5" w:rsidRPr="00D7330E" w:rsidRDefault="002D50D5" w:rsidP="002D50D5">
            <w:pPr>
              <w:pStyle w:val="NoSpacing"/>
              <w:rPr>
                <w:spacing w:val="-3"/>
                <w:sz w:val="26"/>
                <w:szCs w:val="26"/>
              </w:rPr>
            </w:pPr>
          </w:p>
          <w:p w14:paraId="69D10BE3" w14:textId="6B90293C" w:rsidR="002D50D5" w:rsidRDefault="00B96387" w:rsidP="002D50D5">
            <w:pPr>
              <w:spacing w:after="0" w:line="240" w:lineRule="auto"/>
              <w:rPr>
                <w:szCs w:val="26"/>
              </w:rPr>
            </w:pPr>
            <w:r>
              <w:rPr>
                <w:szCs w:val="26"/>
              </w:rPr>
              <w:t xml:space="preserve">$12,500,000 (estimated) for 5-year term August 1, </w:t>
            </w:r>
            <w:proofErr w:type="gramStart"/>
            <w:r>
              <w:rPr>
                <w:szCs w:val="26"/>
              </w:rPr>
              <w:t>2025</w:t>
            </w:r>
            <w:proofErr w:type="gramEnd"/>
            <w:r>
              <w:rPr>
                <w:szCs w:val="26"/>
              </w:rPr>
              <w:t xml:space="preserve"> </w:t>
            </w:r>
            <w:r w:rsidR="005E7874">
              <w:rPr>
                <w:szCs w:val="26"/>
              </w:rPr>
              <w:t>through</w:t>
            </w:r>
            <w:r>
              <w:rPr>
                <w:szCs w:val="26"/>
              </w:rPr>
              <w:t xml:space="preserve"> July 31, 2030</w:t>
            </w:r>
          </w:p>
          <w:p w14:paraId="00F5B1EA" w14:textId="4C3DB985" w:rsidR="00B96387" w:rsidRPr="00D7330E" w:rsidRDefault="00B96387" w:rsidP="002D50D5">
            <w:pPr>
              <w:spacing w:after="0" w:line="240" w:lineRule="auto"/>
              <w:rPr>
                <w:spacing w:val="-3"/>
                <w:szCs w:val="26"/>
              </w:rPr>
            </w:pPr>
          </w:p>
        </w:tc>
      </w:tr>
      <w:tr w:rsidR="002D50D5" w:rsidRPr="00D7330E" w14:paraId="35AE24C9" w14:textId="77777777" w:rsidTr="00891355">
        <w:trPr>
          <w:trHeight w:val="657"/>
        </w:trPr>
        <w:tc>
          <w:tcPr>
            <w:tcW w:w="342" w:type="dxa"/>
          </w:tcPr>
          <w:p w14:paraId="43CDCEC0" w14:textId="77777777" w:rsidR="002D50D5" w:rsidRPr="00D7330E" w:rsidRDefault="002D50D5" w:rsidP="002D50D5">
            <w:pPr>
              <w:pStyle w:val="NoSpacing"/>
              <w:rPr>
                <w:sz w:val="26"/>
                <w:szCs w:val="26"/>
              </w:rPr>
            </w:pPr>
          </w:p>
        </w:tc>
        <w:tc>
          <w:tcPr>
            <w:tcW w:w="990" w:type="dxa"/>
            <w:shd w:val="clear" w:color="auto" w:fill="auto"/>
          </w:tcPr>
          <w:p w14:paraId="49816BB3" w14:textId="77777777" w:rsidR="002D50D5" w:rsidRPr="00D7330E" w:rsidRDefault="002D50D5" w:rsidP="002D50D5">
            <w:pPr>
              <w:pStyle w:val="NoSpacing"/>
              <w:rPr>
                <w:sz w:val="26"/>
                <w:szCs w:val="26"/>
              </w:rPr>
            </w:pPr>
            <w:r w:rsidRPr="00D7330E">
              <w:rPr>
                <w:sz w:val="26"/>
                <w:szCs w:val="26"/>
              </w:rPr>
              <w:t>Vendor</w:t>
            </w:r>
          </w:p>
        </w:tc>
        <w:tc>
          <w:tcPr>
            <w:tcW w:w="8118" w:type="dxa"/>
            <w:shd w:val="clear" w:color="auto" w:fill="auto"/>
          </w:tcPr>
          <w:p w14:paraId="72A4C1DD" w14:textId="2C148CDF" w:rsidR="002D50D5" w:rsidRPr="00D7330E" w:rsidRDefault="00B96387" w:rsidP="00F7240A">
            <w:pPr>
              <w:spacing w:after="0" w:line="240" w:lineRule="auto"/>
              <w:jc w:val="both"/>
              <w:rPr>
                <w:szCs w:val="26"/>
              </w:rPr>
            </w:pPr>
            <w:r w:rsidRPr="00B96387">
              <w:rPr>
                <w:bCs/>
                <w:szCs w:val="26"/>
              </w:rPr>
              <w:t xml:space="preserve">RLS USA, Inc.                                        </w:t>
            </w:r>
            <w:r w:rsidR="005E7874">
              <w:rPr>
                <w:bCs/>
                <w:szCs w:val="26"/>
              </w:rPr>
              <w:t xml:space="preserve">  </w:t>
            </w:r>
            <w:r w:rsidRPr="00B96387">
              <w:rPr>
                <w:bCs/>
                <w:szCs w:val="26"/>
              </w:rPr>
              <w:t xml:space="preserve">  Philadelphia, PA </w:t>
            </w:r>
          </w:p>
        </w:tc>
      </w:tr>
      <w:tr w:rsidR="002D50D5" w:rsidRPr="00D7330E" w14:paraId="2CAC2F3F" w14:textId="77777777" w:rsidTr="00891355">
        <w:trPr>
          <w:trHeight w:val="990"/>
        </w:trPr>
        <w:tc>
          <w:tcPr>
            <w:tcW w:w="342" w:type="dxa"/>
          </w:tcPr>
          <w:p w14:paraId="74C60344" w14:textId="77777777" w:rsidR="002D50D5" w:rsidRPr="00D7330E" w:rsidRDefault="002D50D5" w:rsidP="002D50D5">
            <w:pPr>
              <w:pStyle w:val="NoSpacing"/>
              <w:rPr>
                <w:sz w:val="26"/>
                <w:szCs w:val="26"/>
              </w:rPr>
            </w:pPr>
          </w:p>
        </w:tc>
        <w:tc>
          <w:tcPr>
            <w:tcW w:w="990" w:type="dxa"/>
            <w:shd w:val="clear" w:color="auto" w:fill="auto"/>
          </w:tcPr>
          <w:p w14:paraId="6B783625" w14:textId="77777777" w:rsidR="002D50D5" w:rsidRPr="00D7330E" w:rsidRDefault="002D50D5" w:rsidP="002D50D5">
            <w:pPr>
              <w:pStyle w:val="NoSpacing"/>
              <w:rPr>
                <w:sz w:val="26"/>
                <w:szCs w:val="26"/>
              </w:rPr>
            </w:pPr>
          </w:p>
        </w:tc>
        <w:tc>
          <w:tcPr>
            <w:tcW w:w="8118" w:type="dxa"/>
            <w:shd w:val="clear" w:color="auto" w:fill="auto"/>
          </w:tcPr>
          <w:p w14:paraId="17E37390" w14:textId="255D934E" w:rsidR="00B96387" w:rsidRPr="00B96387" w:rsidRDefault="00B96387" w:rsidP="00B96387">
            <w:pPr>
              <w:jc w:val="both"/>
              <w:rPr>
                <w:szCs w:val="26"/>
              </w:rPr>
            </w:pPr>
            <w:r w:rsidRPr="00B96387">
              <w:rPr>
                <w:szCs w:val="26"/>
              </w:rPr>
              <w:t>RLS provides specialty radiopharmaceuticals used to detect and provide care to patients with neuroendocrine tumors (Gallium-68), prostate cancer (</w:t>
            </w:r>
            <w:proofErr w:type="spellStart"/>
            <w:r w:rsidRPr="00B96387">
              <w:rPr>
                <w:szCs w:val="26"/>
              </w:rPr>
              <w:t>Illuccix</w:t>
            </w:r>
            <w:proofErr w:type="spellEnd"/>
            <w:r w:rsidRPr="00B96387">
              <w:rPr>
                <w:szCs w:val="26"/>
              </w:rPr>
              <w:t xml:space="preserve">), and for other Nuclear Medicine exams at UI Hospital and Clinics. RLS is the only source of </w:t>
            </w:r>
            <w:proofErr w:type="spellStart"/>
            <w:r w:rsidRPr="00B96387">
              <w:rPr>
                <w:szCs w:val="26"/>
              </w:rPr>
              <w:t>Illuccix</w:t>
            </w:r>
            <w:proofErr w:type="spellEnd"/>
            <w:r w:rsidRPr="00B96387">
              <w:rPr>
                <w:szCs w:val="26"/>
              </w:rPr>
              <w:t xml:space="preserve"> and Ga-68.</w:t>
            </w:r>
          </w:p>
          <w:p w14:paraId="081B07C2" w14:textId="545393E5" w:rsidR="00B96387" w:rsidRPr="00B96387" w:rsidRDefault="00B96387" w:rsidP="00B96387">
            <w:pPr>
              <w:jc w:val="both"/>
              <w:rPr>
                <w:szCs w:val="26"/>
              </w:rPr>
            </w:pPr>
            <w:r w:rsidRPr="00B96387">
              <w:rPr>
                <w:szCs w:val="26"/>
              </w:rPr>
              <w:t>This purchase is exempt from competitive selection procedures in accordance with the Illinois Procurement Code (30ILCS 500/1-13(b-5)).</w:t>
            </w:r>
          </w:p>
          <w:p w14:paraId="490A56AE" w14:textId="11E8EC62" w:rsidR="002D50D5" w:rsidRPr="00B96387" w:rsidRDefault="00B96387" w:rsidP="00B963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b/>
                <w:color w:val="000000"/>
                <w:szCs w:val="26"/>
              </w:rPr>
            </w:pPr>
            <w:r w:rsidRPr="00B96387">
              <w:rPr>
                <w:rFonts w:eastAsia="Times New Roman"/>
                <w:b/>
                <w:color w:val="000000"/>
                <w:szCs w:val="26"/>
              </w:rPr>
              <w:t xml:space="preserve">Business Enterprise Program (BEP) </w:t>
            </w:r>
            <w:r w:rsidRPr="00B96387">
              <w:rPr>
                <w:rFonts w:eastAsia="Times New Roman"/>
                <w:bCs/>
                <w:color w:val="000000"/>
                <w:szCs w:val="26"/>
              </w:rPr>
              <w:t>goals are not established for contracts which are exempt from the requirements of the Illinois Procurement Code.</w:t>
            </w:r>
          </w:p>
        </w:tc>
      </w:tr>
      <w:tr w:rsidR="002D50D5" w:rsidRPr="00D7330E" w14:paraId="7184CBF9" w14:textId="77777777" w:rsidTr="00891355">
        <w:trPr>
          <w:trHeight w:val="150"/>
        </w:trPr>
        <w:tc>
          <w:tcPr>
            <w:tcW w:w="342" w:type="dxa"/>
          </w:tcPr>
          <w:p w14:paraId="649D5C26" w14:textId="77777777" w:rsidR="002D50D5" w:rsidRPr="00D7330E" w:rsidRDefault="002D50D5" w:rsidP="002D50D5">
            <w:pPr>
              <w:pStyle w:val="NoSpacing"/>
              <w:rPr>
                <w:sz w:val="26"/>
                <w:szCs w:val="26"/>
              </w:rPr>
            </w:pPr>
          </w:p>
        </w:tc>
        <w:tc>
          <w:tcPr>
            <w:tcW w:w="990" w:type="dxa"/>
            <w:shd w:val="clear" w:color="auto" w:fill="auto"/>
          </w:tcPr>
          <w:p w14:paraId="03E51CF6" w14:textId="77777777" w:rsidR="002D50D5" w:rsidRPr="00D7330E" w:rsidRDefault="002D50D5" w:rsidP="002D50D5">
            <w:pPr>
              <w:pStyle w:val="NoSpacing"/>
              <w:rPr>
                <w:sz w:val="26"/>
                <w:szCs w:val="26"/>
              </w:rPr>
            </w:pPr>
          </w:p>
        </w:tc>
        <w:tc>
          <w:tcPr>
            <w:tcW w:w="8118" w:type="dxa"/>
            <w:shd w:val="clear" w:color="auto" w:fill="auto"/>
          </w:tcPr>
          <w:p w14:paraId="0794C636" w14:textId="77777777" w:rsidR="002D50D5" w:rsidRPr="00D7330E" w:rsidRDefault="002D50D5" w:rsidP="002D50D5">
            <w:pPr>
              <w:spacing w:after="0" w:line="240" w:lineRule="auto"/>
              <w:ind w:left="1478"/>
              <w:rPr>
                <w:szCs w:val="26"/>
              </w:rPr>
            </w:pPr>
          </w:p>
        </w:tc>
      </w:tr>
      <w:tr w:rsidR="002D50D5" w:rsidRPr="00D7330E" w14:paraId="0608E810" w14:textId="77777777" w:rsidTr="00891355">
        <w:trPr>
          <w:trHeight w:val="150"/>
        </w:trPr>
        <w:tc>
          <w:tcPr>
            <w:tcW w:w="342" w:type="dxa"/>
            <w:tcBorders>
              <w:bottom w:val="double" w:sz="4" w:space="0" w:color="auto"/>
            </w:tcBorders>
          </w:tcPr>
          <w:p w14:paraId="0E91FECE" w14:textId="0BAFB080" w:rsidR="002D50D5" w:rsidRPr="00D7330E" w:rsidRDefault="00C91677" w:rsidP="002D50D5">
            <w:pPr>
              <w:pStyle w:val="NoSpacing"/>
              <w:rPr>
                <w:sz w:val="26"/>
                <w:szCs w:val="26"/>
              </w:rPr>
            </w:pPr>
            <w:r>
              <w:rPr>
                <w:sz w:val="26"/>
                <w:szCs w:val="26"/>
              </w:rPr>
              <w:t>7</w:t>
            </w:r>
          </w:p>
        </w:tc>
        <w:tc>
          <w:tcPr>
            <w:tcW w:w="990" w:type="dxa"/>
            <w:tcBorders>
              <w:bottom w:val="double" w:sz="4" w:space="0" w:color="auto"/>
            </w:tcBorders>
            <w:shd w:val="clear" w:color="auto" w:fill="auto"/>
          </w:tcPr>
          <w:p w14:paraId="11E8D551" w14:textId="77777777" w:rsidR="002D50D5" w:rsidRPr="00D7330E" w:rsidRDefault="002D50D5" w:rsidP="002D50D5">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2C4C4BE9" w14:textId="77777777" w:rsidR="002D50D5" w:rsidRPr="00D7330E" w:rsidRDefault="002D50D5" w:rsidP="002D50D5">
            <w:pPr>
              <w:spacing w:after="0" w:line="240" w:lineRule="auto"/>
              <w:jc w:val="both"/>
              <w:rPr>
                <w:szCs w:val="26"/>
              </w:rPr>
            </w:pPr>
            <w:r w:rsidRPr="00D7330E">
              <w:rPr>
                <w:spacing w:val="-3"/>
                <w:szCs w:val="26"/>
              </w:rPr>
              <w:t>UI Hospital and Clinics</w:t>
            </w:r>
          </w:p>
        </w:tc>
      </w:tr>
      <w:tr w:rsidR="002D50D5" w:rsidRPr="00D7330E" w14:paraId="589DF613" w14:textId="77777777" w:rsidTr="00891355">
        <w:trPr>
          <w:trHeight w:val="150"/>
        </w:trPr>
        <w:tc>
          <w:tcPr>
            <w:tcW w:w="342" w:type="dxa"/>
            <w:tcBorders>
              <w:top w:val="double" w:sz="4" w:space="0" w:color="auto"/>
            </w:tcBorders>
          </w:tcPr>
          <w:p w14:paraId="1EBB6D0E" w14:textId="77777777" w:rsidR="002D50D5" w:rsidRPr="00D7330E" w:rsidRDefault="002D50D5" w:rsidP="002D50D5">
            <w:pPr>
              <w:pStyle w:val="NoSpacing"/>
              <w:rPr>
                <w:sz w:val="26"/>
                <w:szCs w:val="26"/>
              </w:rPr>
            </w:pPr>
          </w:p>
        </w:tc>
        <w:tc>
          <w:tcPr>
            <w:tcW w:w="990" w:type="dxa"/>
            <w:tcBorders>
              <w:top w:val="double" w:sz="4" w:space="0" w:color="auto"/>
            </w:tcBorders>
            <w:shd w:val="clear" w:color="auto" w:fill="auto"/>
          </w:tcPr>
          <w:p w14:paraId="17537141" w14:textId="77777777" w:rsidR="002D50D5" w:rsidRPr="00D7330E" w:rsidRDefault="002D50D5" w:rsidP="002D50D5">
            <w:pPr>
              <w:pStyle w:val="NoSpacing"/>
              <w:rPr>
                <w:sz w:val="26"/>
                <w:szCs w:val="26"/>
              </w:rPr>
            </w:pPr>
          </w:p>
          <w:p w14:paraId="772C82CE" w14:textId="77777777" w:rsidR="002D50D5" w:rsidRPr="00D7330E" w:rsidRDefault="002D50D5" w:rsidP="002D50D5">
            <w:pPr>
              <w:pStyle w:val="NoSpacing"/>
              <w:rPr>
                <w:sz w:val="26"/>
                <w:szCs w:val="26"/>
              </w:rPr>
            </w:pPr>
            <w:r w:rsidRPr="00D7330E">
              <w:rPr>
                <w:sz w:val="26"/>
                <w:szCs w:val="26"/>
              </w:rPr>
              <w:t xml:space="preserve">Item   </w:t>
            </w:r>
          </w:p>
        </w:tc>
        <w:tc>
          <w:tcPr>
            <w:tcW w:w="8118" w:type="dxa"/>
            <w:tcBorders>
              <w:top w:val="double" w:sz="4" w:space="0" w:color="auto"/>
            </w:tcBorders>
            <w:shd w:val="clear" w:color="auto" w:fill="auto"/>
          </w:tcPr>
          <w:p w14:paraId="01A321E2" w14:textId="77777777" w:rsidR="002D50D5" w:rsidRPr="00D7330E" w:rsidRDefault="002D50D5" w:rsidP="002D50D5">
            <w:pPr>
              <w:pStyle w:val="NoSpacing"/>
              <w:rPr>
                <w:sz w:val="26"/>
                <w:szCs w:val="26"/>
              </w:rPr>
            </w:pPr>
          </w:p>
          <w:p w14:paraId="621459A1" w14:textId="77777777" w:rsidR="002D50D5" w:rsidRDefault="00B96387" w:rsidP="002D50D5">
            <w:pPr>
              <w:spacing w:after="0" w:line="240" w:lineRule="auto"/>
              <w:rPr>
                <w:szCs w:val="26"/>
              </w:rPr>
            </w:pPr>
            <w:r w:rsidRPr="005455B4">
              <w:rPr>
                <w:szCs w:val="26"/>
              </w:rPr>
              <w:t xml:space="preserve">Purchase of </w:t>
            </w:r>
            <w:r>
              <w:rPr>
                <w:szCs w:val="26"/>
              </w:rPr>
              <w:t>Specialty Pharmaceuticals for Chimeric Antigen Receptor T-cell Therapy (CAR-T)</w:t>
            </w:r>
          </w:p>
          <w:p w14:paraId="3D4D46B2" w14:textId="7BC95564" w:rsidR="00B96387" w:rsidRPr="00D7330E" w:rsidRDefault="00B96387" w:rsidP="002D50D5">
            <w:pPr>
              <w:spacing w:after="0" w:line="240" w:lineRule="auto"/>
              <w:rPr>
                <w:rFonts w:eastAsia="Times New Roman"/>
                <w:b/>
                <w:color w:val="000000"/>
                <w:szCs w:val="26"/>
              </w:rPr>
            </w:pPr>
          </w:p>
        </w:tc>
      </w:tr>
      <w:tr w:rsidR="002D50D5" w:rsidRPr="00D7330E" w14:paraId="48378977" w14:textId="77777777" w:rsidTr="00891355">
        <w:trPr>
          <w:trHeight w:val="150"/>
        </w:trPr>
        <w:tc>
          <w:tcPr>
            <w:tcW w:w="342" w:type="dxa"/>
          </w:tcPr>
          <w:p w14:paraId="3EF627D2" w14:textId="77777777" w:rsidR="002D50D5" w:rsidRPr="00D7330E" w:rsidRDefault="002D50D5" w:rsidP="002D50D5">
            <w:pPr>
              <w:pStyle w:val="NoSpacing"/>
              <w:rPr>
                <w:sz w:val="26"/>
                <w:szCs w:val="26"/>
              </w:rPr>
            </w:pPr>
            <w:r w:rsidRPr="00D7330E">
              <w:rPr>
                <w:sz w:val="26"/>
                <w:szCs w:val="26"/>
              </w:rPr>
              <w:t xml:space="preserve"> </w:t>
            </w:r>
          </w:p>
        </w:tc>
        <w:tc>
          <w:tcPr>
            <w:tcW w:w="990" w:type="dxa"/>
            <w:shd w:val="clear" w:color="auto" w:fill="auto"/>
          </w:tcPr>
          <w:p w14:paraId="046272DE" w14:textId="77777777" w:rsidR="002D50D5" w:rsidRPr="00D7330E" w:rsidRDefault="002D50D5" w:rsidP="002D50D5">
            <w:pPr>
              <w:pStyle w:val="NoSpacing"/>
              <w:rPr>
                <w:sz w:val="26"/>
                <w:szCs w:val="26"/>
              </w:rPr>
            </w:pPr>
            <w:r w:rsidRPr="00D7330E">
              <w:rPr>
                <w:sz w:val="26"/>
                <w:szCs w:val="26"/>
              </w:rPr>
              <w:t>Cost</w:t>
            </w:r>
          </w:p>
        </w:tc>
        <w:tc>
          <w:tcPr>
            <w:tcW w:w="8118" w:type="dxa"/>
            <w:shd w:val="clear" w:color="auto" w:fill="auto"/>
          </w:tcPr>
          <w:p w14:paraId="58776D8A" w14:textId="5373F8BC" w:rsidR="00B96387" w:rsidRPr="00B96387" w:rsidRDefault="00B96387" w:rsidP="00B96387">
            <w:pPr>
              <w:spacing w:after="0" w:line="240" w:lineRule="auto"/>
              <w:rPr>
                <w:spacing w:val="-3"/>
                <w:szCs w:val="26"/>
              </w:rPr>
            </w:pPr>
            <w:r w:rsidRPr="00B96387">
              <w:rPr>
                <w:spacing w:val="-3"/>
                <w:szCs w:val="26"/>
              </w:rPr>
              <w:t xml:space="preserve">$18,000,000 (estimated) for a three-year period August 1, </w:t>
            </w:r>
            <w:proofErr w:type="gramStart"/>
            <w:r w:rsidRPr="00B96387">
              <w:rPr>
                <w:spacing w:val="-3"/>
                <w:szCs w:val="26"/>
              </w:rPr>
              <w:t>2025</w:t>
            </w:r>
            <w:proofErr w:type="gramEnd"/>
            <w:r w:rsidRPr="00B96387">
              <w:rPr>
                <w:spacing w:val="-3"/>
                <w:szCs w:val="26"/>
              </w:rPr>
              <w:t xml:space="preserve"> </w:t>
            </w:r>
            <w:r w:rsidR="005E7874">
              <w:rPr>
                <w:spacing w:val="-3"/>
                <w:szCs w:val="26"/>
              </w:rPr>
              <w:t>through</w:t>
            </w:r>
            <w:r w:rsidRPr="00B96387">
              <w:rPr>
                <w:spacing w:val="-3"/>
                <w:szCs w:val="26"/>
              </w:rPr>
              <w:t xml:space="preserve"> July 31, 2028</w:t>
            </w:r>
          </w:p>
          <w:p w14:paraId="7A7A7DC3" w14:textId="77777777" w:rsidR="002D50D5" w:rsidRPr="00D7330E" w:rsidRDefault="002D50D5" w:rsidP="002D50D5">
            <w:pPr>
              <w:spacing w:after="0" w:line="240" w:lineRule="auto"/>
              <w:rPr>
                <w:rFonts w:eastAsia="Times New Roman"/>
                <w:b/>
                <w:color w:val="000000"/>
                <w:szCs w:val="26"/>
              </w:rPr>
            </w:pPr>
          </w:p>
        </w:tc>
      </w:tr>
      <w:tr w:rsidR="002D50D5" w:rsidRPr="00D7330E" w14:paraId="45F50B31" w14:textId="77777777" w:rsidTr="00891355">
        <w:trPr>
          <w:trHeight w:val="150"/>
        </w:trPr>
        <w:tc>
          <w:tcPr>
            <w:tcW w:w="342" w:type="dxa"/>
          </w:tcPr>
          <w:p w14:paraId="15A17C2A" w14:textId="77777777" w:rsidR="002D50D5" w:rsidRPr="00D7330E" w:rsidRDefault="002D50D5" w:rsidP="002D50D5">
            <w:pPr>
              <w:pStyle w:val="NoSpacing"/>
              <w:rPr>
                <w:sz w:val="26"/>
                <w:szCs w:val="26"/>
              </w:rPr>
            </w:pPr>
          </w:p>
        </w:tc>
        <w:tc>
          <w:tcPr>
            <w:tcW w:w="990" w:type="dxa"/>
            <w:shd w:val="clear" w:color="auto" w:fill="auto"/>
          </w:tcPr>
          <w:p w14:paraId="6F251A3E" w14:textId="77777777" w:rsidR="002D50D5" w:rsidRPr="00D7330E" w:rsidRDefault="002D50D5" w:rsidP="002D50D5">
            <w:pPr>
              <w:pStyle w:val="NoSpacing"/>
              <w:rPr>
                <w:sz w:val="26"/>
                <w:szCs w:val="26"/>
              </w:rPr>
            </w:pPr>
            <w:r w:rsidRPr="00D7330E">
              <w:rPr>
                <w:sz w:val="26"/>
                <w:szCs w:val="26"/>
              </w:rPr>
              <w:t>Vendor</w:t>
            </w:r>
          </w:p>
        </w:tc>
        <w:tc>
          <w:tcPr>
            <w:tcW w:w="8118" w:type="dxa"/>
            <w:shd w:val="clear" w:color="auto" w:fill="auto"/>
          </w:tcPr>
          <w:p w14:paraId="5A87CA2C" w14:textId="77777777" w:rsidR="00B96387" w:rsidRPr="00B96387" w:rsidRDefault="00B96387" w:rsidP="00B96387">
            <w:pPr>
              <w:spacing w:after="0" w:line="240" w:lineRule="auto"/>
              <w:jc w:val="both"/>
              <w:rPr>
                <w:bCs/>
                <w:szCs w:val="26"/>
              </w:rPr>
            </w:pPr>
            <w:bookmarkStart w:id="1" w:name="_Hlk198643571"/>
            <w:r w:rsidRPr="00B96387">
              <w:rPr>
                <w:bCs/>
                <w:szCs w:val="26"/>
              </w:rPr>
              <w:t xml:space="preserve">Cardinal Health 105 Inc. d/b/a Specialty Pharmaceutical Services </w:t>
            </w:r>
          </w:p>
          <w:p w14:paraId="10711145" w14:textId="77777777" w:rsidR="002D50D5" w:rsidRDefault="00B96387" w:rsidP="00B96387">
            <w:pPr>
              <w:spacing w:after="0" w:line="240" w:lineRule="auto"/>
              <w:jc w:val="both"/>
              <w:rPr>
                <w:szCs w:val="26"/>
              </w:rPr>
            </w:pPr>
            <w:r w:rsidRPr="00B96387">
              <w:rPr>
                <w:bCs/>
                <w:szCs w:val="26"/>
              </w:rPr>
              <w:t>Columbia, Maryland</w:t>
            </w:r>
            <w:bookmarkEnd w:id="1"/>
          </w:p>
          <w:p w14:paraId="4C0A65ED" w14:textId="17F22353" w:rsidR="00B96387" w:rsidRPr="00B96387" w:rsidRDefault="00B96387" w:rsidP="00B96387">
            <w:pPr>
              <w:spacing w:after="0" w:line="240" w:lineRule="auto"/>
              <w:jc w:val="both"/>
              <w:rPr>
                <w:szCs w:val="26"/>
              </w:rPr>
            </w:pPr>
          </w:p>
        </w:tc>
      </w:tr>
      <w:tr w:rsidR="002D50D5" w:rsidRPr="00D7330E" w14:paraId="3E507635" w14:textId="77777777" w:rsidTr="00891355">
        <w:trPr>
          <w:trHeight w:val="150"/>
        </w:trPr>
        <w:tc>
          <w:tcPr>
            <w:tcW w:w="342" w:type="dxa"/>
          </w:tcPr>
          <w:p w14:paraId="64BB2553" w14:textId="77777777" w:rsidR="002D50D5" w:rsidRPr="00D7330E" w:rsidRDefault="002D50D5" w:rsidP="002D50D5">
            <w:pPr>
              <w:pStyle w:val="NoSpacing"/>
              <w:rPr>
                <w:sz w:val="26"/>
                <w:szCs w:val="26"/>
              </w:rPr>
            </w:pPr>
          </w:p>
        </w:tc>
        <w:tc>
          <w:tcPr>
            <w:tcW w:w="990" w:type="dxa"/>
            <w:shd w:val="clear" w:color="auto" w:fill="auto"/>
          </w:tcPr>
          <w:p w14:paraId="7A93C8C6" w14:textId="77777777" w:rsidR="002D50D5" w:rsidRPr="00D7330E" w:rsidRDefault="002D50D5" w:rsidP="002D50D5">
            <w:pPr>
              <w:pStyle w:val="NoSpacing"/>
              <w:rPr>
                <w:sz w:val="26"/>
                <w:szCs w:val="26"/>
              </w:rPr>
            </w:pPr>
          </w:p>
        </w:tc>
        <w:tc>
          <w:tcPr>
            <w:tcW w:w="8118" w:type="dxa"/>
            <w:shd w:val="clear" w:color="auto" w:fill="auto"/>
          </w:tcPr>
          <w:p w14:paraId="7CD7377D" w14:textId="28237F5E" w:rsidR="00B96387" w:rsidRPr="00B96387" w:rsidRDefault="00B96387" w:rsidP="00B96387">
            <w:pPr>
              <w:jc w:val="both"/>
              <w:rPr>
                <w:szCs w:val="26"/>
              </w:rPr>
            </w:pPr>
            <w:r w:rsidRPr="00B96387">
              <w:rPr>
                <w:szCs w:val="26"/>
              </w:rPr>
              <w:t xml:space="preserve">CAR-T (Chimeric Antigen Receptor Therapy) is an immunological treatment that </w:t>
            </w:r>
            <w:r w:rsidR="00C12896">
              <w:rPr>
                <w:szCs w:val="26"/>
              </w:rPr>
              <w:t xml:space="preserve">utilizes the body’s immune system to target and </w:t>
            </w:r>
            <w:r w:rsidRPr="00B96387">
              <w:rPr>
                <w:szCs w:val="26"/>
              </w:rPr>
              <w:t xml:space="preserve">destroy cancerous cells.  These gene and cell therapy pharmaceuticals are used as a last option for </w:t>
            </w:r>
            <w:r w:rsidRPr="00B96387">
              <w:rPr>
                <w:szCs w:val="26"/>
              </w:rPr>
              <w:lastRenderedPageBreak/>
              <w:t xml:space="preserve">patients who have failed previous cancer treatment.  CAR-T is </w:t>
            </w:r>
            <w:proofErr w:type="gramStart"/>
            <w:r w:rsidRPr="00B96387">
              <w:rPr>
                <w:szCs w:val="26"/>
              </w:rPr>
              <w:t>similar to</w:t>
            </w:r>
            <w:proofErr w:type="gramEnd"/>
            <w:r w:rsidRPr="00B96387">
              <w:rPr>
                <w:szCs w:val="26"/>
              </w:rPr>
              <w:t xml:space="preserve"> </w:t>
            </w:r>
            <w:r w:rsidR="00C12896">
              <w:rPr>
                <w:szCs w:val="26"/>
              </w:rPr>
              <w:t xml:space="preserve">an </w:t>
            </w:r>
            <w:r w:rsidRPr="00B96387">
              <w:rPr>
                <w:szCs w:val="26"/>
              </w:rPr>
              <w:t>autologous bone marrow transplant.  The patient’s white blood cells are harvested, then used to engineer and grow the cell product which is shipped back to UI Hospital to be infused to the patient in the bone marrow transplant unit.</w:t>
            </w:r>
          </w:p>
          <w:p w14:paraId="6778B4F6" w14:textId="6CEE14BA" w:rsidR="00B96387" w:rsidRPr="00B96387" w:rsidRDefault="00B96387" w:rsidP="00B96387">
            <w:pPr>
              <w:spacing w:after="0" w:line="240" w:lineRule="auto"/>
              <w:jc w:val="both"/>
              <w:rPr>
                <w:szCs w:val="26"/>
              </w:rPr>
            </w:pPr>
            <w:r w:rsidRPr="00B96387">
              <w:rPr>
                <w:szCs w:val="26"/>
              </w:rPr>
              <w:t xml:space="preserve">Specialty Pharmaceutical Services is the exclusive distributor for three of the six CAR-T therapies currently on the market: </w:t>
            </w:r>
            <w:proofErr w:type="spellStart"/>
            <w:r w:rsidRPr="00B96387">
              <w:rPr>
                <w:szCs w:val="26"/>
              </w:rPr>
              <w:t>Carvykti</w:t>
            </w:r>
            <w:proofErr w:type="spellEnd"/>
            <w:r w:rsidRPr="00B96387">
              <w:rPr>
                <w:szCs w:val="26"/>
              </w:rPr>
              <w:t xml:space="preserve">™, </w:t>
            </w:r>
            <w:proofErr w:type="spellStart"/>
            <w:r w:rsidRPr="00B96387">
              <w:rPr>
                <w:szCs w:val="26"/>
              </w:rPr>
              <w:t>Yescarta</w:t>
            </w:r>
            <w:proofErr w:type="spellEnd"/>
            <w:r w:rsidRPr="00B96387">
              <w:rPr>
                <w:szCs w:val="26"/>
              </w:rPr>
              <w:t xml:space="preserve">™ and </w:t>
            </w:r>
            <w:proofErr w:type="spellStart"/>
            <w:r w:rsidRPr="00B96387">
              <w:rPr>
                <w:szCs w:val="26"/>
              </w:rPr>
              <w:t>Tecartus</w:t>
            </w:r>
            <w:proofErr w:type="spellEnd"/>
            <w:r w:rsidRPr="00B96387">
              <w:rPr>
                <w:szCs w:val="26"/>
              </w:rPr>
              <w:t>™.  In the coming years, additional CAR-T products are expected to be introduced to the market.</w:t>
            </w:r>
          </w:p>
          <w:p w14:paraId="1CC339A1" w14:textId="77777777" w:rsidR="00B96387" w:rsidRPr="00B96387" w:rsidRDefault="00B96387" w:rsidP="00B96387">
            <w:pPr>
              <w:spacing w:after="0" w:line="240" w:lineRule="auto"/>
              <w:jc w:val="both"/>
              <w:rPr>
                <w:szCs w:val="26"/>
              </w:rPr>
            </w:pPr>
          </w:p>
          <w:p w14:paraId="2F51FA19" w14:textId="335F5FE1" w:rsidR="00B96387" w:rsidRPr="00B96387" w:rsidRDefault="00B96387" w:rsidP="00B96387">
            <w:pPr>
              <w:jc w:val="both"/>
              <w:rPr>
                <w:szCs w:val="26"/>
              </w:rPr>
            </w:pPr>
            <w:r w:rsidRPr="00B96387">
              <w:rPr>
                <w:szCs w:val="26"/>
              </w:rPr>
              <w:t>This purchase is exempt from competitive selection procedures in accordance with the Illinois Procurement Code (30ILCS 500/1-13(b-5)).</w:t>
            </w:r>
          </w:p>
          <w:p w14:paraId="7C2F5157" w14:textId="101D36F4" w:rsidR="002D50D5" w:rsidRPr="00D7330E" w:rsidRDefault="00B96387" w:rsidP="00B9638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b/>
                <w:color w:val="000000"/>
                <w:szCs w:val="26"/>
              </w:rPr>
            </w:pPr>
            <w:r w:rsidRPr="00B96387">
              <w:rPr>
                <w:rFonts w:eastAsia="Times New Roman"/>
                <w:b/>
                <w:color w:val="000000"/>
                <w:szCs w:val="26"/>
              </w:rPr>
              <w:t xml:space="preserve">Business Enterprise Program (BEP) </w:t>
            </w:r>
            <w:r w:rsidRPr="00B96387">
              <w:rPr>
                <w:rFonts w:eastAsia="Times New Roman"/>
                <w:bCs/>
                <w:color w:val="000000"/>
                <w:szCs w:val="26"/>
              </w:rPr>
              <w:t>goals are not established for contracts which are exempt from the requirements of the Illinois Procurement Code.</w:t>
            </w:r>
          </w:p>
        </w:tc>
      </w:tr>
      <w:tr w:rsidR="002D50D5" w:rsidRPr="00D7330E" w14:paraId="57782BF2" w14:textId="77777777" w:rsidTr="00891355">
        <w:trPr>
          <w:trHeight w:val="150"/>
        </w:trPr>
        <w:tc>
          <w:tcPr>
            <w:tcW w:w="342" w:type="dxa"/>
          </w:tcPr>
          <w:p w14:paraId="2FD3B5FB" w14:textId="77777777" w:rsidR="002D50D5" w:rsidRPr="00D7330E" w:rsidRDefault="002D50D5" w:rsidP="002D50D5">
            <w:pPr>
              <w:pStyle w:val="NoSpacing"/>
              <w:rPr>
                <w:sz w:val="26"/>
                <w:szCs w:val="26"/>
              </w:rPr>
            </w:pPr>
          </w:p>
        </w:tc>
        <w:tc>
          <w:tcPr>
            <w:tcW w:w="990" w:type="dxa"/>
            <w:shd w:val="clear" w:color="auto" w:fill="auto"/>
          </w:tcPr>
          <w:p w14:paraId="67F93925" w14:textId="77777777" w:rsidR="002D50D5" w:rsidRPr="00D7330E" w:rsidRDefault="002D50D5" w:rsidP="002D50D5">
            <w:pPr>
              <w:pStyle w:val="NoSpacing"/>
              <w:rPr>
                <w:sz w:val="26"/>
                <w:szCs w:val="26"/>
              </w:rPr>
            </w:pPr>
          </w:p>
        </w:tc>
        <w:tc>
          <w:tcPr>
            <w:tcW w:w="8118" w:type="dxa"/>
            <w:shd w:val="clear" w:color="auto" w:fill="auto"/>
          </w:tcPr>
          <w:p w14:paraId="5F122DE9" w14:textId="77777777" w:rsidR="002D50D5" w:rsidRPr="00D7330E" w:rsidRDefault="002D50D5" w:rsidP="002D50D5">
            <w:pPr>
              <w:spacing w:after="0" w:line="240" w:lineRule="auto"/>
              <w:rPr>
                <w:rFonts w:eastAsia="Times New Roman"/>
                <w:b/>
                <w:color w:val="000000"/>
                <w:szCs w:val="26"/>
              </w:rPr>
            </w:pPr>
          </w:p>
        </w:tc>
      </w:tr>
    </w:tbl>
    <w:p w14:paraId="29359927" w14:textId="61189D96" w:rsidR="00D743A9" w:rsidRPr="00D7330E" w:rsidRDefault="00D743A9">
      <w:pPr>
        <w:spacing w:after="0" w:line="240" w:lineRule="auto"/>
        <w:rPr>
          <w:szCs w:val="26"/>
        </w:rPr>
      </w:pPr>
    </w:p>
    <w:p w14:paraId="4A063824" w14:textId="77777777" w:rsidR="0076023D" w:rsidRPr="00D7330E"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2E16B6" w:rsidRPr="00D7330E" w14:paraId="1F21279B" w14:textId="77777777" w:rsidTr="00271289">
        <w:trPr>
          <w:cantSplit/>
          <w:trHeight w:val="314"/>
        </w:trPr>
        <w:tc>
          <w:tcPr>
            <w:tcW w:w="7595" w:type="dxa"/>
            <w:gridSpan w:val="2"/>
          </w:tcPr>
          <w:p w14:paraId="5546FB3D"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SUMMARY OF PURCHASES</w:t>
            </w:r>
          </w:p>
        </w:tc>
      </w:tr>
      <w:tr w:rsidR="00C91677" w:rsidRPr="00D7330E" w14:paraId="4A858E54" w14:textId="77777777" w:rsidTr="00271289">
        <w:trPr>
          <w:trHeight w:val="394"/>
        </w:trPr>
        <w:tc>
          <w:tcPr>
            <w:tcW w:w="5693" w:type="dxa"/>
          </w:tcPr>
          <w:p w14:paraId="66AB14B7" w14:textId="1B5338CD" w:rsidR="00C91677" w:rsidRDefault="00C91677"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University of Illinois Urbana-Champaign</w:t>
            </w:r>
          </w:p>
        </w:tc>
        <w:tc>
          <w:tcPr>
            <w:tcW w:w="1902" w:type="dxa"/>
            <w:shd w:val="clear" w:color="auto" w:fill="auto"/>
          </w:tcPr>
          <w:p w14:paraId="4C469316" w14:textId="5C12F2A3" w:rsidR="00C91677" w:rsidRDefault="00C91677"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$20,000,000</w:t>
            </w:r>
          </w:p>
        </w:tc>
      </w:tr>
      <w:tr w:rsidR="002E16B6" w:rsidRPr="00D7330E" w14:paraId="6DCA621F" w14:textId="77777777" w:rsidTr="00271289">
        <w:trPr>
          <w:trHeight w:val="394"/>
        </w:trPr>
        <w:tc>
          <w:tcPr>
            <w:tcW w:w="5693" w:type="dxa"/>
          </w:tcPr>
          <w:p w14:paraId="26487922"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University of Illinois Chicago</w:t>
            </w:r>
          </w:p>
        </w:tc>
        <w:tc>
          <w:tcPr>
            <w:tcW w:w="1902" w:type="dxa"/>
            <w:shd w:val="clear" w:color="auto" w:fill="auto"/>
          </w:tcPr>
          <w:p w14:paraId="455BCCBE" w14:textId="3CF9A7E6"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Pr>
                <w:rFonts w:eastAsia="Times New Roman"/>
                <w:szCs w:val="26"/>
              </w:rPr>
              <w:t>$</w:t>
            </w:r>
            <w:r w:rsidR="00923CDB">
              <w:rPr>
                <w:rFonts w:eastAsia="Times New Roman"/>
                <w:szCs w:val="26"/>
              </w:rPr>
              <w:t>55,220,936</w:t>
            </w:r>
          </w:p>
        </w:tc>
      </w:tr>
      <w:tr w:rsidR="002E16B6" w:rsidRPr="00D7330E" w14:paraId="4ED8A39B" w14:textId="77777777" w:rsidTr="00271289">
        <w:trPr>
          <w:trHeight w:val="394"/>
        </w:trPr>
        <w:tc>
          <w:tcPr>
            <w:tcW w:w="5693" w:type="dxa"/>
          </w:tcPr>
          <w:p w14:paraId="5084B765" w14:textId="77777777" w:rsidR="002E16B6" w:rsidRPr="00D7330E" w:rsidRDefault="002E16B6" w:rsidP="0027128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0E7C7583"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color w:val="000000"/>
                <w:szCs w:val="26"/>
              </w:rPr>
              <w:t>Grand Total</w:t>
            </w:r>
          </w:p>
        </w:tc>
        <w:tc>
          <w:tcPr>
            <w:tcW w:w="1902" w:type="dxa"/>
            <w:shd w:val="clear" w:color="auto" w:fill="auto"/>
          </w:tcPr>
          <w:p w14:paraId="57B4D192" w14:textId="584899C1"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C91677">
              <w:rPr>
                <w:rFonts w:eastAsia="Times New Roman"/>
                <w:szCs w:val="26"/>
              </w:rPr>
              <w:t>7</w:t>
            </w:r>
            <w:r w:rsidR="00923CDB">
              <w:rPr>
                <w:rFonts w:eastAsia="Times New Roman"/>
                <w:szCs w:val="26"/>
              </w:rPr>
              <w:t>5,220,936</w:t>
            </w:r>
          </w:p>
        </w:tc>
      </w:tr>
      <w:tr w:rsidR="002E16B6" w:rsidRPr="00D7330E" w14:paraId="52056F70" w14:textId="77777777" w:rsidTr="00271289">
        <w:trPr>
          <w:trHeight w:val="394"/>
        </w:trPr>
        <w:tc>
          <w:tcPr>
            <w:tcW w:w="5693" w:type="dxa"/>
          </w:tcPr>
          <w:p w14:paraId="68095BC8"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4A12E5C4" w14:textId="77777777" w:rsidR="002E16B6" w:rsidRPr="00D7330E" w:rsidRDefault="002E16B6" w:rsidP="00271289">
            <w:pPr>
              <w:overflowPunct w:val="0"/>
              <w:autoSpaceDE w:val="0"/>
              <w:autoSpaceDN w:val="0"/>
              <w:adjustRightInd w:val="0"/>
              <w:spacing w:after="0" w:line="240" w:lineRule="auto"/>
              <w:textAlignment w:val="baseline"/>
              <w:rPr>
                <w:rFonts w:eastAsia="Times New Roman"/>
                <w:szCs w:val="26"/>
              </w:rPr>
            </w:pP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65149B">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3B3F" w14:textId="77777777" w:rsidR="00F03832" w:rsidRDefault="00F03832" w:rsidP="00A817DF">
      <w:pPr>
        <w:spacing w:after="0" w:line="240" w:lineRule="auto"/>
      </w:pPr>
      <w:r>
        <w:separator/>
      </w:r>
    </w:p>
  </w:endnote>
  <w:endnote w:type="continuationSeparator" w:id="0">
    <w:p w14:paraId="0166C515" w14:textId="77777777" w:rsidR="00F03832" w:rsidRDefault="00F03832"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D490" w14:textId="77777777" w:rsidR="00F03832" w:rsidRDefault="00F03832" w:rsidP="00A817DF">
      <w:pPr>
        <w:spacing w:after="0" w:line="240" w:lineRule="auto"/>
      </w:pPr>
      <w:r>
        <w:separator/>
      </w:r>
    </w:p>
  </w:footnote>
  <w:footnote w:type="continuationSeparator" w:id="0">
    <w:p w14:paraId="42839EA6" w14:textId="77777777" w:rsidR="00F03832" w:rsidRDefault="00F03832"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31216"/>
      <w:docPartObj>
        <w:docPartGallery w:val="Page Numbers (Top of Page)"/>
        <w:docPartUnique/>
      </w:docPartObj>
    </w:sdtPr>
    <w:sdtEndPr>
      <w:rPr>
        <w:noProof/>
      </w:rPr>
    </w:sdtEndPr>
    <w:sdtContent>
      <w:p w14:paraId="453E5F57" w14:textId="0D550C09" w:rsidR="00301F8C" w:rsidRDefault="00301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53F6F3" w14:textId="1CCD791D"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F4659"/>
    <w:multiLevelType w:val="multilevel"/>
    <w:tmpl w:val="208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1"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3"/>
  </w:num>
  <w:num w:numId="2" w16cid:durableId="70201751">
    <w:abstractNumId w:val="15"/>
  </w:num>
  <w:num w:numId="3" w16cid:durableId="1048265266">
    <w:abstractNumId w:val="14"/>
  </w:num>
  <w:num w:numId="4" w16cid:durableId="1585650123">
    <w:abstractNumId w:val="4"/>
  </w:num>
  <w:num w:numId="5" w16cid:durableId="838888282">
    <w:abstractNumId w:val="1"/>
  </w:num>
  <w:num w:numId="6" w16cid:durableId="1045367517">
    <w:abstractNumId w:val="9"/>
  </w:num>
  <w:num w:numId="7" w16cid:durableId="897666194">
    <w:abstractNumId w:val="12"/>
  </w:num>
  <w:num w:numId="8" w16cid:durableId="2017615362">
    <w:abstractNumId w:val="16"/>
  </w:num>
  <w:num w:numId="9" w16cid:durableId="826671625">
    <w:abstractNumId w:val="11"/>
  </w:num>
  <w:num w:numId="10" w16cid:durableId="1128474828">
    <w:abstractNumId w:val="6"/>
  </w:num>
  <w:num w:numId="11" w16cid:durableId="402604075">
    <w:abstractNumId w:val="2"/>
  </w:num>
  <w:num w:numId="12" w16cid:durableId="2074963495">
    <w:abstractNumId w:val="7"/>
  </w:num>
  <w:num w:numId="13" w16cid:durableId="987980008">
    <w:abstractNumId w:val="8"/>
  </w:num>
  <w:num w:numId="14" w16cid:durableId="1276791993">
    <w:abstractNumId w:val="17"/>
  </w:num>
  <w:num w:numId="15" w16cid:durableId="2070229302">
    <w:abstractNumId w:val="5"/>
  </w:num>
  <w:num w:numId="16" w16cid:durableId="1960799502">
    <w:abstractNumId w:val="18"/>
  </w:num>
  <w:num w:numId="17" w16cid:durableId="1029793834">
    <w:abstractNumId w:val="0"/>
  </w:num>
  <w:num w:numId="18" w16cid:durableId="188757344">
    <w:abstractNumId w:val="10"/>
  </w:num>
  <w:num w:numId="19" w16cid:durableId="152590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trQwMzU0MDYwMjFV0lEKTi0uzszPAykwqgUA6fglgywAAAA="/>
  </w:docVars>
  <w:rsids>
    <w:rsidRoot w:val="00790C45"/>
    <w:rsid w:val="000031A9"/>
    <w:rsid w:val="00004D4E"/>
    <w:rsid w:val="0001031D"/>
    <w:rsid w:val="00010EA7"/>
    <w:rsid w:val="00012052"/>
    <w:rsid w:val="000143EE"/>
    <w:rsid w:val="00015DC9"/>
    <w:rsid w:val="00035646"/>
    <w:rsid w:val="00037C1C"/>
    <w:rsid w:val="00040E89"/>
    <w:rsid w:val="0004427C"/>
    <w:rsid w:val="00044FA0"/>
    <w:rsid w:val="00045674"/>
    <w:rsid w:val="00050736"/>
    <w:rsid w:val="000623F4"/>
    <w:rsid w:val="000628A6"/>
    <w:rsid w:val="000671B9"/>
    <w:rsid w:val="000707D0"/>
    <w:rsid w:val="000715A9"/>
    <w:rsid w:val="000750EE"/>
    <w:rsid w:val="00075885"/>
    <w:rsid w:val="00080C61"/>
    <w:rsid w:val="00081788"/>
    <w:rsid w:val="00081B16"/>
    <w:rsid w:val="000833FC"/>
    <w:rsid w:val="00085CAE"/>
    <w:rsid w:val="00086CBF"/>
    <w:rsid w:val="00090A46"/>
    <w:rsid w:val="00091912"/>
    <w:rsid w:val="00091CFA"/>
    <w:rsid w:val="0009228A"/>
    <w:rsid w:val="00094741"/>
    <w:rsid w:val="0009781F"/>
    <w:rsid w:val="000A0032"/>
    <w:rsid w:val="000A16D9"/>
    <w:rsid w:val="000A6143"/>
    <w:rsid w:val="000B04AB"/>
    <w:rsid w:val="000B3155"/>
    <w:rsid w:val="000B3742"/>
    <w:rsid w:val="000B5B85"/>
    <w:rsid w:val="000B69D6"/>
    <w:rsid w:val="000C2912"/>
    <w:rsid w:val="000C6006"/>
    <w:rsid w:val="000D35D5"/>
    <w:rsid w:val="000D5BC3"/>
    <w:rsid w:val="000D6281"/>
    <w:rsid w:val="000D64DB"/>
    <w:rsid w:val="000E15C9"/>
    <w:rsid w:val="000E51D1"/>
    <w:rsid w:val="000F53D3"/>
    <w:rsid w:val="000F72ED"/>
    <w:rsid w:val="00107F78"/>
    <w:rsid w:val="00112E2B"/>
    <w:rsid w:val="00114F6C"/>
    <w:rsid w:val="00115A32"/>
    <w:rsid w:val="00124B96"/>
    <w:rsid w:val="00125422"/>
    <w:rsid w:val="001278A6"/>
    <w:rsid w:val="00130E3F"/>
    <w:rsid w:val="00141D9C"/>
    <w:rsid w:val="00151197"/>
    <w:rsid w:val="00152827"/>
    <w:rsid w:val="001610D8"/>
    <w:rsid w:val="00162A4C"/>
    <w:rsid w:val="00165B0B"/>
    <w:rsid w:val="001707DC"/>
    <w:rsid w:val="00172D76"/>
    <w:rsid w:val="001730D7"/>
    <w:rsid w:val="00182841"/>
    <w:rsid w:val="00184765"/>
    <w:rsid w:val="00196069"/>
    <w:rsid w:val="00197E32"/>
    <w:rsid w:val="001A0B41"/>
    <w:rsid w:val="001A31BF"/>
    <w:rsid w:val="001A33EE"/>
    <w:rsid w:val="001A4080"/>
    <w:rsid w:val="001A5F67"/>
    <w:rsid w:val="001B2AC1"/>
    <w:rsid w:val="001B4A24"/>
    <w:rsid w:val="001B4AC0"/>
    <w:rsid w:val="001B4D8B"/>
    <w:rsid w:val="001B58A7"/>
    <w:rsid w:val="001B762B"/>
    <w:rsid w:val="001D3AA7"/>
    <w:rsid w:val="001D78B4"/>
    <w:rsid w:val="001E6078"/>
    <w:rsid w:val="001F257D"/>
    <w:rsid w:val="001F3416"/>
    <w:rsid w:val="001F3C70"/>
    <w:rsid w:val="001F55E7"/>
    <w:rsid w:val="001F5883"/>
    <w:rsid w:val="001F7A96"/>
    <w:rsid w:val="001F7E65"/>
    <w:rsid w:val="00201AC3"/>
    <w:rsid w:val="00212C6B"/>
    <w:rsid w:val="0021646C"/>
    <w:rsid w:val="002179D7"/>
    <w:rsid w:val="00232759"/>
    <w:rsid w:val="00236489"/>
    <w:rsid w:val="00237E2A"/>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8738A"/>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2EBE"/>
    <w:rsid w:val="002D35E7"/>
    <w:rsid w:val="002D4035"/>
    <w:rsid w:val="002D50D5"/>
    <w:rsid w:val="002E0B93"/>
    <w:rsid w:val="002E1375"/>
    <w:rsid w:val="002E16B6"/>
    <w:rsid w:val="002E30D4"/>
    <w:rsid w:val="002E31C2"/>
    <w:rsid w:val="002E44F4"/>
    <w:rsid w:val="002F04D8"/>
    <w:rsid w:val="002F2D48"/>
    <w:rsid w:val="002F4DAF"/>
    <w:rsid w:val="00301F8C"/>
    <w:rsid w:val="003045AE"/>
    <w:rsid w:val="00306B06"/>
    <w:rsid w:val="00307B8F"/>
    <w:rsid w:val="00307D0C"/>
    <w:rsid w:val="00315A3D"/>
    <w:rsid w:val="003175D4"/>
    <w:rsid w:val="00317DD0"/>
    <w:rsid w:val="00333ECF"/>
    <w:rsid w:val="003376C9"/>
    <w:rsid w:val="00343729"/>
    <w:rsid w:val="00346906"/>
    <w:rsid w:val="00346ABB"/>
    <w:rsid w:val="00353536"/>
    <w:rsid w:val="00354DFE"/>
    <w:rsid w:val="00357D48"/>
    <w:rsid w:val="00361DE1"/>
    <w:rsid w:val="00370AC3"/>
    <w:rsid w:val="00372028"/>
    <w:rsid w:val="00377765"/>
    <w:rsid w:val="00380E12"/>
    <w:rsid w:val="003900FD"/>
    <w:rsid w:val="003907E9"/>
    <w:rsid w:val="00390FC0"/>
    <w:rsid w:val="0039204D"/>
    <w:rsid w:val="003948C4"/>
    <w:rsid w:val="00395D90"/>
    <w:rsid w:val="003A175C"/>
    <w:rsid w:val="003A2088"/>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505E"/>
    <w:rsid w:val="00416087"/>
    <w:rsid w:val="00420B03"/>
    <w:rsid w:val="00425BB7"/>
    <w:rsid w:val="00426458"/>
    <w:rsid w:val="00427DA3"/>
    <w:rsid w:val="00431751"/>
    <w:rsid w:val="00435F85"/>
    <w:rsid w:val="00437797"/>
    <w:rsid w:val="00442481"/>
    <w:rsid w:val="00450F9C"/>
    <w:rsid w:val="00457CDE"/>
    <w:rsid w:val="00464D6F"/>
    <w:rsid w:val="00467717"/>
    <w:rsid w:val="00470228"/>
    <w:rsid w:val="0047290A"/>
    <w:rsid w:val="00477568"/>
    <w:rsid w:val="00480227"/>
    <w:rsid w:val="00481670"/>
    <w:rsid w:val="0048342A"/>
    <w:rsid w:val="00487510"/>
    <w:rsid w:val="00495256"/>
    <w:rsid w:val="00496CFF"/>
    <w:rsid w:val="004A1335"/>
    <w:rsid w:val="004A6CB4"/>
    <w:rsid w:val="004A7669"/>
    <w:rsid w:val="004A7B2E"/>
    <w:rsid w:val="004B23AD"/>
    <w:rsid w:val="004B2BDA"/>
    <w:rsid w:val="004C0608"/>
    <w:rsid w:val="004C43B8"/>
    <w:rsid w:val="004C5D18"/>
    <w:rsid w:val="004D189C"/>
    <w:rsid w:val="004E2F4F"/>
    <w:rsid w:val="004F31D7"/>
    <w:rsid w:val="004F787F"/>
    <w:rsid w:val="00511E7E"/>
    <w:rsid w:val="005122F2"/>
    <w:rsid w:val="005145D8"/>
    <w:rsid w:val="00517741"/>
    <w:rsid w:val="00525289"/>
    <w:rsid w:val="00525D4A"/>
    <w:rsid w:val="00526A44"/>
    <w:rsid w:val="00537F38"/>
    <w:rsid w:val="00540E60"/>
    <w:rsid w:val="00542702"/>
    <w:rsid w:val="00543A5A"/>
    <w:rsid w:val="00552EB0"/>
    <w:rsid w:val="00555371"/>
    <w:rsid w:val="0057172C"/>
    <w:rsid w:val="005733AC"/>
    <w:rsid w:val="00573A23"/>
    <w:rsid w:val="005745EF"/>
    <w:rsid w:val="005917CC"/>
    <w:rsid w:val="005978EE"/>
    <w:rsid w:val="005C38D7"/>
    <w:rsid w:val="005C393C"/>
    <w:rsid w:val="005C45AE"/>
    <w:rsid w:val="005D08FB"/>
    <w:rsid w:val="005D3635"/>
    <w:rsid w:val="005D66E5"/>
    <w:rsid w:val="005D6E7E"/>
    <w:rsid w:val="005E0483"/>
    <w:rsid w:val="005E0799"/>
    <w:rsid w:val="005E6979"/>
    <w:rsid w:val="005E70D5"/>
    <w:rsid w:val="005E7874"/>
    <w:rsid w:val="00602119"/>
    <w:rsid w:val="0060572F"/>
    <w:rsid w:val="006059B6"/>
    <w:rsid w:val="00606D2C"/>
    <w:rsid w:val="00607197"/>
    <w:rsid w:val="00610227"/>
    <w:rsid w:val="00616398"/>
    <w:rsid w:val="00621395"/>
    <w:rsid w:val="00631E2A"/>
    <w:rsid w:val="00642E66"/>
    <w:rsid w:val="0065149B"/>
    <w:rsid w:val="00652AC9"/>
    <w:rsid w:val="00652B42"/>
    <w:rsid w:val="00652F1D"/>
    <w:rsid w:val="00660DBC"/>
    <w:rsid w:val="00664CE2"/>
    <w:rsid w:val="00667303"/>
    <w:rsid w:val="006718D0"/>
    <w:rsid w:val="006722F9"/>
    <w:rsid w:val="00694F56"/>
    <w:rsid w:val="00696A30"/>
    <w:rsid w:val="00697A43"/>
    <w:rsid w:val="006A2B59"/>
    <w:rsid w:val="006A30CF"/>
    <w:rsid w:val="006A4606"/>
    <w:rsid w:val="006A498C"/>
    <w:rsid w:val="006A4FD8"/>
    <w:rsid w:val="006A5B1A"/>
    <w:rsid w:val="006A77EA"/>
    <w:rsid w:val="006B4216"/>
    <w:rsid w:val="006C0830"/>
    <w:rsid w:val="006C5858"/>
    <w:rsid w:val="006D4B9B"/>
    <w:rsid w:val="006D7B82"/>
    <w:rsid w:val="006E2C01"/>
    <w:rsid w:val="006F037C"/>
    <w:rsid w:val="006F4DF5"/>
    <w:rsid w:val="006F53BA"/>
    <w:rsid w:val="00703E4D"/>
    <w:rsid w:val="00711A18"/>
    <w:rsid w:val="00725371"/>
    <w:rsid w:val="00725DF2"/>
    <w:rsid w:val="007373C0"/>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B6A11"/>
    <w:rsid w:val="007C715E"/>
    <w:rsid w:val="007D2DAF"/>
    <w:rsid w:val="007D384F"/>
    <w:rsid w:val="007E11BA"/>
    <w:rsid w:val="007E5C88"/>
    <w:rsid w:val="007F0D35"/>
    <w:rsid w:val="007F1BA7"/>
    <w:rsid w:val="007F1E33"/>
    <w:rsid w:val="007F2C48"/>
    <w:rsid w:val="00800461"/>
    <w:rsid w:val="00802220"/>
    <w:rsid w:val="00803F05"/>
    <w:rsid w:val="00804CCE"/>
    <w:rsid w:val="00806DE8"/>
    <w:rsid w:val="00814778"/>
    <w:rsid w:val="00814D1D"/>
    <w:rsid w:val="0081669D"/>
    <w:rsid w:val="00821EB7"/>
    <w:rsid w:val="00822060"/>
    <w:rsid w:val="00824193"/>
    <w:rsid w:val="00831D4B"/>
    <w:rsid w:val="008327E0"/>
    <w:rsid w:val="008331ED"/>
    <w:rsid w:val="00833E5D"/>
    <w:rsid w:val="00834684"/>
    <w:rsid w:val="00837CEB"/>
    <w:rsid w:val="00840758"/>
    <w:rsid w:val="00850E03"/>
    <w:rsid w:val="00852D8E"/>
    <w:rsid w:val="00856201"/>
    <w:rsid w:val="0086174B"/>
    <w:rsid w:val="00862ECF"/>
    <w:rsid w:val="00866607"/>
    <w:rsid w:val="008667B4"/>
    <w:rsid w:val="0088073D"/>
    <w:rsid w:val="00881246"/>
    <w:rsid w:val="008856C6"/>
    <w:rsid w:val="00890239"/>
    <w:rsid w:val="00896404"/>
    <w:rsid w:val="008A0A3A"/>
    <w:rsid w:val="008A49BE"/>
    <w:rsid w:val="008A5F5A"/>
    <w:rsid w:val="008A76F6"/>
    <w:rsid w:val="008B1803"/>
    <w:rsid w:val="008C5291"/>
    <w:rsid w:val="008D3D78"/>
    <w:rsid w:val="008E48B9"/>
    <w:rsid w:val="008E5232"/>
    <w:rsid w:val="0090482B"/>
    <w:rsid w:val="009112AA"/>
    <w:rsid w:val="009140AC"/>
    <w:rsid w:val="00916E9E"/>
    <w:rsid w:val="0091703F"/>
    <w:rsid w:val="009208B6"/>
    <w:rsid w:val="0092193D"/>
    <w:rsid w:val="00923084"/>
    <w:rsid w:val="009239A5"/>
    <w:rsid w:val="00923CDB"/>
    <w:rsid w:val="0093137B"/>
    <w:rsid w:val="00932F29"/>
    <w:rsid w:val="00934E68"/>
    <w:rsid w:val="00934FC6"/>
    <w:rsid w:val="00937704"/>
    <w:rsid w:val="009412F7"/>
    <w:rsid w:val="009433E2"/>
    <w:rsid w:val="0094759E"/>
    <w:rsid w:val="00947D9A"/>
    <w:rsid w:val="0095135F"/>
    <w:rsid w:val="00951987"/>
    <w:rsid w:val="00953F0C"/>
    <w:rsid w:val="00956A39"/>
    <w:rsid w:val="00960688"/>
    <w:rsid w:val="00964369"/>
    <w:rsid w:val="0097228A"/>
    <w:rsid w:val="0097563B"/>
    <w:rsid w:val="00995CB6"/>
    <w:rsid w:val="00996840"/>
    <w:rsid w:val="00996A1C"/>
    <w:rsid w:val="00997329"/>
    <w:rsid w:val="00997940"/>
    <w:rsid w:val="009B1FAA"/>
    <w:rsid w:val="009C04C5"/>
    <w:rsid w:val="009C37EA"/>
    <w:rsid w:val="009C42A4"/>
    <w:rsid w:val="009C721A"/>
    <w:rsid w:val="009D191D"/>
    <w:rsid w:val="009D210B"/>
    <w:rsid w:val="009D6C8E"/>
    <w:rsid w:val="009E07C4"/>
    <w:rsid w:val="009E6403"/>
    <w:rsid w:val="009F0658"/>
    <w:rsid w:val="009F4C20"/>
    <w:rsid w:val="009F54F9"/>
    <w:rsid w:val="009F7098"/>
    <w:rsid w:val="009F7C35"/>
    <w:rsid w:val="00A036DB"/>
    <w:rsid w:val="00A0766E"/>
    <w:rsid w:val="00A10CC8"/>
    <w:rsid w:val="00A11DA2"/>
    <w:rsid w:val="00A15B6B"/>
    <w:rsid w:val="00A16291"/>
    <w:rsid w:val="00A2774E"/>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0B02"/>
    <w:rsid w:val="00A93A6B"/>
    <w:rsid w:val="00A940F7"/>
    <w:rsid w:val="00A95116"/>
    <w:rsid w:val="00A96331"/>
    <w:rsid w:val="00AA411F"/>
    <w:rsid w:val="00AA6905"/>
    <w:rsid w:val="00AB3CE5"/>
    <w:rsid w:val="00AB3F1D"/>
    <w:rsid w:val="00AB46BD"/>
    <w:rsid w:val="00AB5E95"/>
    <w:rsid w:val="00AC037A"/>
    <w:rsid w:val="00AC1317"/>
    <w:rsid w:val="00AC20BC"/>
    <w:rsid w:val="00AC2DA1"/>
    <w:rsid w:val="00AC3D48"/>
    <w:rsid w:val="00AD1DD3"/>
    <w:rsid w:val="00AD2247"/>
    <w:rsid w:val="00AD2AF9"/>
    <w:rsid w:val="00AD6BCE"/>
    <w:rsid w:val="00AE2427"/>
    <w:rsid w:val="00AE5100"/>
    <w:rsid w:val="00AE655F"/>
    <w:rsid w:val="00AE6FCA"/>
    <w:rsid w:val="00AE7E41"/>
    <w:rsid w:val="00AF1920"/>
    <w:rsid w:val="00AF7580"/>
    <w:rsid w:val="00AF7A7C"/>
    <w:rsid w:val="00B07E57"/>
    <w:rsid w:val="00B16D5F"/>
    <w:rsid w:val="00B175A3"/>
    <w:rsid w:val="00B32B03"/>
    <w:rsid w:val="00B34107"/>
    <w:rsid w:val="00B37520"/>
    <w:rsid w:val="00B4111B"/>
    <w:rsid w:val="00B42D4C"/>
    <w:rsid w:val="00B51B04"/>
    <w:rsid w:val="00B53ECD"/>
    <w:rsid w:val="00B54C69"/>
    <w:rsid w:val="00B557C9"/>
    <w:rsid w:val="00B55900"/>
    <w:rsid w:val="00B57AE3"/>
    <w:rsid w:val="00B61A02"/>
    <w:rsid w:val="00B62DED"/>
    <w:rsid w:val="00B64B99"/>
    <w:rsid w:val="00B64FF8"/>
    <w:rsid w:val="00B7436F"/>
    <w:rsid w:val="00B74CD2"/>
    <w:rsid w:val="00B75F06"/>
    <w:rsid w:val="00B775E6"/>
    <w:rsid w:val="00B77647"/>
    <w:rsid w:val="00B81279"/>
    <w:rsid w:val="00B81529"/>
    <w:rsid w:val="00B93AC4"/>
    <w:rsid w:val="00B96387"/>
    <w:rsid w:val="00B973C4"/>
    <w:rsid w:val="00BA1D2D"/>
    <w:rsid w:val="00BA1FD0"/>
    <w:rsid w:val="00BA31FA"/>
    <w:rsid w:val="00BB1A68"/>
    <w:rsid w:val="00BB45D5"/>
    <w:rsid w:val="00BD5FE0"/>
    <w:rsid w:val="00BE6129"/>
    <w:rsid w:val="00BF0F74"/>
    <w:rsid w:val="00BF29E2"/>
    <w:rsid w:val="00BF79DF"/>
    <w:rsid w:val="00C12896"/>
    <w:rsid w:val="00C16DFA"/>
    <w:rsid w:val="00C279B8"/>
    <w:rsid w:val="00C411D8"/>
    <w:rsid w:val="00C413AA"/>
    <w:rsid w:val="00C41497"/>
    <w:rsid w:val="00C4531C"/>
    <w:rsid w:val="00C54A45"/>
    <w:rsid w:val="00C56EDF"/>
    <w:rsid w:val="00C70B26"/>
    <w:rsid w:val="00C71135"/>
    <w:rsid w:val="00C74629"/>
    <w:rsid w:val="00C754ED"/>
    <w:rsid w:val="00C82FBC"/>
    <w:rsid w:val="00C91677"/>
    <w:rsid w:val="00CA1216"/>
    <w:rsid w:val="00CA6A48"/>
    <w:rsid w:val="00CA7D87"/>
    <w:rsid w:val="00CB17B7"/>
    <w:rsid w:val="00CB625C"/>
    <w:rsid w:val="00CC0310"/>
    <w:rsid w:val="00CD33D1"/>
    <w:rsid w:val="00CD3429"/>
    <w:rsid w:val="00CD4B28"/>
    <w:rsid w:val="00CD6ECE"/>
    <w:rsid w:val="00CE007B"/>
    <w:rsid w:val="00CE657C"/>
    <w:rsid w:val="00CF0EC5"/>
    <w:rsid w:val="00CF6C35"/>
    <w:rsid w:val="00CF7DF5"/>
    <w:rsid w:val="00D0051A"/>
    <w:rsid w:val="00D058D4"/>
    <w:rsid w:val="00D0692B"/>
    <w:rsid w:val="00D11118"/>
    <w:rsid w:val="00D1519C"/>
    <w:rsid w:val="00D20528"/>
    <w:rsid w:val="00D20988"/>
    <w:rsid w:val="00D2252D"/>
    <w:rsid w:val="00D23363"/>
    <w:rsid w:val="00D30961"/>
    <w:rsid w:val="00D33D9D"/>
    <w:rsid w:val="00D452DC"/>
    <w:rsid w:val="00D4686B"/>
    <w:rsid w:val="00D6273A"/>
    <w:rsid w:val="00D71521"/>
    <w:rsid w:val="00D71BB4"/>
    <w:rsid w:val="00D7330E"/>
    <w:rsid w:val="00D743A9"/>
    <w:rsid w:val="00D75780"/>
    <w:rsid w:val="00D77C49"/>
    <w:rsid w:val="00D8403A"/>
    <w:rsid w:val="00D85698"/>
    <w:rsid w:val="00D86A58"/>
    <w:rsid w:val="00D87860"/>
    <w:rsid w:val="00D87F39"/>
    <w:rsid w:val="00D910A3"/>
    <w:rsid w:val="00D92467"/>
    <w:rsid w:val="00D9572D"/>
    <w:rsid w:val="00DA3B25"/>
    <w:rsid w:val="00DA5244"/>
    <w:rsid w:val="00DB1DE3"/>
    <w:rsid w:val="00DB4DB5"/>
    <w:rsid w:val="00DC158F"/>
    <w:rsid w:val="00DC1E5A"/>
    <w:rsid w:val="00DC4151"/>
    <w:rsid w:val="00DD2502"/>
    <w:rsid w:val="00DD6334"/>
    <w:rsid w:val="00DE6846"/>
    <w:rsid w:val="00DF4C72"/>
    <w:rsid w:val="00DF4DBC"/>
    <w:rsid w:val="00E026AB"/>
    <w:rsid w:val="00E1112F"/>
    <w:rsid w:val="00E11F13"/>
    <w:rsid w:val="00E24EB2"/>
    <w:rsid w:val="00E31D29"/>
    <w:rsid w:val="00E3408D"/>
    <w:rsid w:val="00E44C01"/>
    <w:rsid w:val="00E44D3C"/>
    <w:rsid w:val="00E50F57"/>
    <w:rsid w:val="00E612F0"/>
    <w:rsid w:val="00E6345C"/>
    <w:rsid w:val="00E65C97"/>
    <w:rsid w:val="00E678BD"/>
    <w:rsid w:val="00E757FE"/>
    <w:rsid w:val="00E805DA"/>
    <w:rsid w:val="00E805FF"/>
    <w:rsid w:val="00E859F8"/>
    <w:rsid w:val="00E935EC"/>
    <w:rsid w:val="00E94B0E"/>
    <w:rsid w:val="00E96F38"/>
    <w:rsid w:val="00EA78BD"/>
    <w:rsid w:val="00EB675E"/>
    <w:rsid w:val="00EC160D"/>
    <w:rsid w:val="00EC188D"/>
    <w:rsid w:val="00EC4354"/>
    <w:rsid w:val="00EC5861"/>
    <w:rsid w:val="00ED2FEE"/>
    <w:rsid w:val="00ED57F4"/>
    <w:rsid w:val="00EF06B3"/>
    <w:rsid w:val="00EF100E"/>
    <w:rsid w:val="00EF2B70"/>
    <w:rsid w:val="00EF33AD"/>
    <w:rsid w:val="00EF47C6"/>
    <w:rsid w:val="00F0150E"/>
    <w:rsid w:val="00F03156"/>
    <w:rsid w:val="00F03832"/>
    <w:rsid w:val="00F052D8"/>
    <w:rsid w:val="00F0660E"/>
    <w:rsid w:val="00F073A6"/>
    <w:rsid w:val="00F076EC"/>
    <w:rsid w:val="00F122AF"/>
    <w:rsid w:val="00F129CD"/>
    <w:rsid w:val="00F13CFE"/>
    <w:rsid w:val="00F17643"/>
    <w:rsid w:val="00F22646"/>
    <w:rsid w:val="00F23B9C"/>
    <w:rsid w:val="00F3108F"/>
    <w:rsid w:val="00F32041"/>
    <w:rsid w:val="00F33E3E"/>
    <w:rsid w:val="00F3539B"/>
    <w:rsid w:val="00F35A06"/>
    <w:rsid w:val="00F376EB"/>
    <w:rsid w:val="00F37A72"/>
    <w:rsid w:val="00F4062E"/>
    <w:rsid w:val="00F41ABD"/>
    <w:rsid w:val="00F4322A"/>
    <w:rsid w:val="00F47925"/>
    <w:rsid w:val="00F53080"/>
    <w:rsid w:val="00F53616"/>
    <w:rsid w:val="00F53FA1"/>
    <w:rsid w:val="00F563D3"/>
    <w:rsid w:val="00F601A3"/>
    <w:rsid w:val="00F61739"/>
    <w:rsid w:val="00F61FB1"/>
    <w:rsid w:val="00F6377E"/>
    <w:rsid w:val="00F671E8"/>
    <w:rsid w:val="00F7240A"/>
    <w:rsid w:val="00F7418C"/>
    <w:rsid w:val="00F76F2F"/>
    <w:rsid w:val="00F76FEF"/>
    <w:rsid w:val="00F77A9C"/>
    <w:rsid w:val="00F85E11"/>
    <w:rsid w:val="00F87EE6"/>
    <w:rsid w:val="00F91A54"/>
    <w:rsid w:val="00F9536A"/>
    <w:rsid w:val="00FA423B"/>
    <w:rsid w:val="00FB766B"/>
    <w:rsid w:val="00FC4CA9"/>
    <w:rsid w:val="00FC5D5F"/>
    <w:rsid w:val="00FD10D6"/>
    <w:rsid w:val="00FD438A"/>
    <w:rsid w:val="00FE0685"/>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003">
      <w:bodyDiv w:val="1"/>
      <w:marLeft w:val="0"/>
      <w:marRight w:val="0"/>
      <w:marTop w:val="0"/>
      <w:marBottom w:val="0"/>
      <w:divBdr>
        <w:top w:val="none" w:sz="0" w:space="0" w:color="auto"/>
        <w:left w:val="none" w:sz="0" w:space="0" w:color="auto"/>
        <w:bottom w:val="none" w:sz="0" w:space="0" w:color="auto"/>
        <w:right w:val="none" w:sz="0" w:space="0" w:color="auto"/>
      </w:divBdr>
    </w:div>
    <w:div w:id="224414891">
      <w:bodyDiv w:val="1"/>
      <w:marLeft w:val="0"/>
      <w:marRight w:val="0"/>
      <w:marTop w:val="0"/>
      <w:marBottom w:val="0"/>
      <w:divBdr>
        <w:top w:val="none" w:sz="0" w:space="0" w:color="auto"/>
        <w:left w:val="none" w:sz="0" w:space="0" w:color="auto"/>
        <w:bottom w:val="none" w:sz="0" w:space="0" w:color="auto"/>
        <w:right w:val="none" w:sz="0" w:space="0" w:color="auto"/>
      </w:divBdr>
    </w:div>
    <w:div w:id="245044519">
      <w:bodyDiv w:val="1"/>
      <w:marLeft w:val="0"/>
      <w:marRight w:val="0"/>
      <w:marTop w:val="0"/>
      <w:marBottom w:val="0"/>
      <w:divBdr>
        <w:top w:val="none" w:sz="0" w:space="0" w:color="auto"/>
        <w:left w:val="none" w:sz="0" w:space="0" w:color="auto"/>
        <w:bottom w:val="none" w:sz="0" w:space="0" w:color="auto"/>
        <w:right w:val="none" w:sz="0" w:space="0" w:color="auto"/>
      </w:divBdr>
    </w:div>
    <w:div w:id="797453189">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946618010">
      <w:bodyDiv w:val="1"/>
      <w:marLeft w:val="0"/>
      <w:marRight w:val="0"/>
      <w:marTop w:val="0"/>
      <w:marBottom w:val="0"/>
      <w:divBdr>
        <w:top w:val="none" w:sz="0" w:space="0" w:color="auto"/>
        <w:left w:val="none" w:sz="0" w:space="0" w:color="auto"/>
        <w:bottom w:val="none" w:sz="0" w:space="0" w:color="auto"/>
        <w:right w:val="none" w:sz="0" w:space="0" w:color="auto"/>
      </w:divBdr>
    </w:div>
    <w:div w:id="993726450">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23545573">
      <w:bodyDiv w:val="1"/>
      <w:marLeft w:val="0"/>
      <w:marRight w:val="0"/>
      <w:marTop w:val="0"/>
      <w:marBottom w:val="0"/>
      <w:divBdr>
        <w:top w:val="none" w:sz="0" w:space="0" w:color="auto"/>
        <w:left w:val="none" w:sz="0" w:space="0" w:color="auto"/>
        <w:bottom w:val="none" w:sz="0" w:space="0" w:color="auto"/>
        <w:right w:val="none" w:sz="0" w:space="0" w:color="auto"/>
      </w:divBdr>
    </w:div>
    <w:div w:id="1832065052">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1852989640">
      <w:bodyDiv w:val="1"/>
      <w:marLeft w:val="0"/>
      <w:marRight w:val="0"/>
      <w:marTop w:val="0"/>
      <w:marBottom w:val="0"/>
      <w:divBdr>
        <w:top w:val="none" w:sz="0" w:space="0" w:color="auto"/>
        <w:left w:val="none" w:sz="0" w:space="0" w:color="auto"/>
        <w:bottom w:val="none" w:sz="0" w:space="0" w:color="auto"/>
        <w:right w:val="none" w:sz="0" w:space="0" w:color="auto"/>
      </w:divBdr>
    </w:div>
    <w:div w:id="1857959220">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Todd, Marla Jo</cp:lastModifiedBy>
  <cp:revision>10</cp:revision>
  <cp:lastPrinted>2025-06-02T17:07:00Z</cp:lastPrinted>
  <dcterms:created xsi:type="dcterms:W3CDTF">2025-05-30T20:59:00Z</dcterms:created>
  <dcterms:modified xsi:type="dcterms:W3CDTF">2025-07-10T16:18:00Z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a2adc81a705e0c021f01152de730247318374fbcd8feb4ac4d42a7421ef9ede7</vt:lpwstr>
  </property>
</Properties>
</file>