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E6F8B" w14:textId="77777777" w:rsidR="00FC0242" w:rsidRPr="00FC0242" w:rsidRDefault="00FC0242" w:rsidP="00FC0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ind w:right="5670"/>
        <w:rPr>
          <w:color w:val="FF0000"/>
          <w:sz w:val="24"/>
          <w:szCs w:val="24"/>
        </w:rPr>
      </w:pPr>
      <w:bookmarkStart w:id="0" w:name="_Hlk77839959"/>
      <w:bookmarkStart w:id="1" w:name="_Hlk93577479"/>
      <w:r w:rsidRPr="00FC0242">
        <w:rPr>
          <w:color w:val="FF0000"/>
          <w:sz w:val="24"/>
          <w:szCs w:val="24"/>
        </w:rPr>
        <w:t>Approved by the Board of Trustees</w:t>
      </w:r>
    </w:p>
    <w:bookmarkEnd w:id="0"/>
    <w:bookmarkEnd w:id="1"/>
    <w:p w14:paraId="6ADA1B7C" w14:textId="77777777" w:rsidR="00FC0242" w:rsidRPr="00FC0242" w:rsidRDefault="00FC0242" w:rsidP="00FC0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ind w:right="5670"/>
        <w:rPr>
          <w:color w:val="FF0000"/>
          <w:sz w:val="24"/>
          <w:szCs w:val="24"/>
        </w:rPr>
      </w:pPr>
      <w:r w:rsidRPr="00FC0242">
        <w:rPr>
          <w:color w:val="FF0000"/>
          <w:sz w:val="24"/>
          <w:szCs w:val="24"/>
        </w:rPr>
        <w:t>July 20, 2023</w:t>
      </w:r>
    </w:p>
    <w:p w14:paraId="2025EE7E" w14:textId="06BB509D" w:rsidR="00FF7A5D" w:rsidRDefault="001E25CA" w:rsidP="00FF7A5D">
      <w:pPr>
        <w:pStyle w:val="Default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z w:val="60"/>
          <w:szCs w:val="60"/>
        </w:rPr>
        <w:t>35</w:t>
      </w:r>
    </w:p>
    <w:p w14:paraId="664115F8" w14:textId="21B358AB" w:rsidR="00E24260" w:rsidRDefault="002B7FDA" w:rsidP="009F4E81">
      <w:pPr>
        <w:pStyle w:val="Default"/>
        <w:tabs>
          <w:tab w:val="left" w:pos="7200"/>
        </w:tabs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</w:p>
    <w:p w14:paraId="1E69E3FD" w14:textId="77777777" w:rsidR="00B8321F" w:rsidRDefault="00B8321F" w:rsidP="009F4E81">
      <w:pPr>
        <w:pStyle w:val="Default"/>
        <w:tabs>
          <w:tab w:val="left" w:pos="7200"/>
        </w:tabs>
        <w:rPr>
          <w:rFonts w:ascii="Times New Roman" w:hAnsi="Times New Roman" w:cs="Times New Roman"/>
          <w:color w:val="auto"/>
          <w:sz w:val="26"/>
          <w:szCs w:val="26"/>
        </w:rPr>
      </w:pPr>
    </w:p>
    <w:p w14:paraId="6959CF7D" w14:textId="582949CC" w:rsidR="002B7FDA" w:rsidRPr="002B7FDA" w:rsidRDefault="00E24260" w:rsidP="009F4E81">
      <w:pPr>
        <w:pStyle w:val="Default"/>
        <w:tabs>
          <w:tab w:val="left" w:pos="7200"/>
        </w:tabs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  <w:t>B</w:t>
      </w:r>
      <w:r w:rsidR="002B7FDA" w:rsidRPr="002B7FDA">
        <w:rPr>
          <w:rFonts w:ascii="Times New Roman" w:hAnsi="Times New Roman" w:cs="Times New Roman"/>
          <w:color w:val="auto"/>
          <w:sz w:val="26"/>
          <w:szCs w:val="26"/>
        </w:rPr>
        <w:t>oard Meeting</w:t>
      </w:r>
    </w:p>
    <w:p w14:paraId="4105DD74" w14:textId="47C1EEFA" w:rsidR="00C474C6" w:rsidRPr="007D0E76" w:rsidRDefault="002B7FDA" w:rsidP="009F4E81">
      <w:pPr>
        <w:pStyle w:val="Default"/>
        <w:tabs>
          <w:tab w:val="left" w:pos="7200"/>
        </w:tabs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2B7FDA">
        <w:rPr>
          <w:rFonts w:ascii="Times New Roman" w:hAnsi="Times New Roman" w:cs="Times New Roman"/>
          <w:color w:val="auto"/>
          <w:sz w:val="26"/>
          <w:szCs w:val="26"/>
        </w:rPr>
        <w:t>July</w:t>
      </w:r>
      <w:r w:rsidR="009F4E8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2B7FDA">
        <w:rPr>
          <w:rFonts w:ascii="Times New Roman" w:hAnsi="Times New Roman" w:cs="Times New Roman"/>
          <w:color w:val="auto"/>
          <w:sz w:val="26"/>
          <w:szCs w:val="26"/>
        </w:rPr>
        <w:t>20,</w:t>
      </w:r>
      <w:r w:rsidR="009F4E81">
        <w:rPr>
          <w:rFonts w:ascii="Times New Roman" w:hAnsi="Times New Roman" w:cs="Times New Roman"/>
          <w:color w:val="auto"/>
          <w:sz w:val="26"/>
          <w:szCs w:val="26"/>
        </w:rPr>
        <w:t xml:space="preserve"> 2023</w:t>
      </w:r>
    </w:p>
    <w:p w14:paraId="190D905F" w14:textId="65912E37" w:rsidR="00C474C6" w:rsidRDefault="00C474C6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</w:p>
    <w:p w14:paraId="52E1384D" w14:textId="77777777" w:rsidR="009F4E81" w:rsidRPr="007D0E76" w:rsidRDefault="009F4E81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</w:p>
    <w:p w14:paraId="38684F33" w14:textId="2539BC1D" w:rsidR="00C474C6" w:rsidRDefault="00C474C6" w:rsidP="00FF7A5D">
      <w:pPr>
        <w:pStyle w:val="Default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7072A5">
        <w:rPr>
          <w:rFonts w:ascii="Times New Roman" w:hAnsi="Times New Roman" w:cs="Times New Roman"/>
          <w:color w:val="auto"/>
          <w:sz w:val="26"/>
          <w:szCs w:val="26"/>
        </w:rPr>
        <w:t>ROLL CALL</w:t>
      </w:r>
    </w:p>
    <w:p w14:paraId="14B32455" w14:textId="77777777" w:rsidR="00C474C6" w:rsidRPr="007D0E76" w:rsidRDefault="00C474C6" w:rsidP="00FF7A5D">
      <w:pPr>
        <w:pStyle w:val="Default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14:paraId="37858B53" w14:textId="4E66EF17" w:rsidR="00C474C6" w:rsidRPr="007D0E76" w:rsidRDefault="00206E57" w:rsidP="00D225C6">
      <w:pPr>
        <w:pStyle w:val="Heading1"/>
      </w:pPr>
      <w:r w:rsidRPr="003D2B7D">
        <w:t xml:space="preserve">AMEND </w:t>
      </w:r>
      <w:r w:rsidRPr="00D225C6">
        <w:t>PROFESSIONAL</w:t>
      </w:r>
      <w:r w:rsidRPr="003D2B7D">
        <w:t xml:space="preserve"> SERVICES </w:t>
      </w:r>
      <w:r w:rsidR="00852423">
        <w:t xml:space="preserve">CONSULTANT CONTRACT </w:t>
      </w:r>
      <w:r w:rsidR="00C474C6" w:rsidRPr="003D2B7D">
        <w:t>FOR</w:t>
      </w:r>
      <w:r w:rsidR="007D0E76" w:rsidRPr="003D2B7D">
        <w:t xml:space="preserve"> </w:t>
      </w:r>
      <w:r w:rsidR="00BA20A6">
        <w:t>ILLINOIS AUTONOMOUS AND CONNECTED TRACK</w:t>
      </w:r>
      <w:r w:rsidR="000444CE">
        <w:t xml:space="preserve"> FACILITY</w:t>
      </w:r>
      <w:r w:rsidR="002B7FDA">
        <w:t>,</w:t>
      </w:r>
      <w:r w:rsidR="00BA20A6">
        <w:t xml:space="preserve"> </w:t>
      </w:r>
      <w:r w:rsidR="00BC4D4C">
        <w:t>URBANA</w:t>
      </w:r>
    </w:p>
    <w:p w14:paraId="193EBCB5" w14:textId="0521323E" w:rsidR="00C474C6" w:rsidRPr="007D0E76" w:rsidRDefault="00C474C6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</w:p>
    <w:p w14:paraId="16DA1F28" w14:textId="38E35ADA" w:rsidR="00C474C6" w:rsidRPr="007D0E76" w:rsidRDefault="00C474C6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</w:p>
    <w:p w14:paraId="48EA0C3C" w14:textId="3CFC2B43" w:rsidR="00C474C6" w:rsidRPr="007D0E76" w:rsidRDefault="00C474C6" w:rsidP="00FF7A5D">
      <w:pPr>
        <w:pStyle w:val="Default"/>
        <w:tabs>
          <w:tab w:val="left" w:pos="1440"/>
        </w:tabs>
        <w:ind w:left="1440" w:hanging="1440"/>
        <w:rPr>
          <w:rFonts w:ascii="Times New Roman" w:hAnsi="Times New Roman" w:cs="Times New Roman"/>
          <w:color w:val="auto"/>
          <w:sz w:val="26"/>
          <w:szCs w:val="26"/>
        </w:rPr>
      </w:pPr>
      <w:r w:rsidRPr="007D0E76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Action: </w:t>
      </w:r>
      <w:r w:rsidR="00FF7A5D" w:rsidRPr="007D0E76">
        <w:rPr>
          <w:rFonts w:ascii="Times New Roman" w:hAnsi="Times New Roman" w:cs="Times New Roman"/>
          <w:b/>
          <w:bCs/>
          <w:color w:val="auto"/>
          <w:sz w:val="26"/>
          <w:szCs w:val="26"/>
        </w:rPr>
        <w:tab/>
      </w:r>
      <w:r w:rsidR="00206E57" w:rsidRPr="003D2B7D">
        <w:rPr>
          <w:rFonts w:ascii="Times New Roman" w:hAnsi="Times New Roman" w:cs="Times New Roman"/>
          <w:color w:val="auto"/>
          <w:sz w:val="26"/>
          <w:szCs w:val="26"/>
        </w:rPr>
        <w:t xml:space="preserve">Amend Professional Services </w:t>
      </w:r>
      <w:r w:rsidR="00852423">
        <w:rPr>
          <w:rFonts w:ascii="Times New Roman" w:hAnsi="Times New Roman" w:cs="Times New Roman"/>
          <w:color w:val="auto"/>
          <w:sz w:val="26"/>
          <w:szCs w:val="26"/>
        </w:rPr>
        <w:t xml:space="preserve">Consultant Contract </w:t>
      </w:r>
      <w:r w:rsidRPr="003D2B7D">
        <w:rPr>
          <w:rFonts w:ascii="Times New Roman" w:hAnsi="Times New Roman" w:cs="Times New Roman"/>
          <w:color w:val="auto"/>
          <w:sz w:val="26"/>
          <w:szCs w:val="26"/>
        </w:rPr>
        <w:t>for</w:t>
      </w:r>
      <w:r w:rsidR="007D0E76" w:rsidRPr="003D2B7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A20A6">
        <w:rPr>
          <w:rFonts w:ascii="Times New Roman" w:hAnsi="Times New Roman" w:cs="Times New Roman"/>
          <w:color w:val="auto"/>
          <w:sz w:val="26"/>
          <w:szCs w:val="26"/>
        </w:rPr>
        <w:t>Illinois Autonomous and Connected Track</w:t>
      </w:r>
      <w:r w:rsidR="000444CE">
        <w:rPr>
          <w:rFonts w:ascii="Times New Roman" w:hAnsi="Times New Roman" w:cs="Times New Roman"/>
          <w:color w:val="auto"/>
          <w:sz w:val="26"/>
          <w:szCs w:val="26"/>
        </w:rPr>
        <w:t xml:space="preserve"> Facility</w:t>
      </w:r>
    </w:p>
    <w:p w14:paraId="55E4374E" w14:textId="77777777" w:rsidR="00C474C6" w:rsidRPr="007D0E76" w:rsidRDefault="00C474C6" w:rsidP="00FF7A5D">
      <w:pPr>
        <w:pStyle w:val="Default"/>
        <w:tabs>
          <w:tab w:val="left" w:pos="1440"/>
        </w:tabs>
        <w:ind w:left="1440" w:hanging="1440"/>
        <w:rPr>
          <w:rFonts w:ascii="Times New Roman" w:hAnsi="Times New Roman" w:cs="Times New Roman"/>
          <w:color w:val="auto"/>
          <w:sz w:val="26"/>
          <w:szCs w:val="26"/>
        </w:rPr>
      </w:pPr>
      <w:r w:rsidRPr="007D0E7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2F2A9F8D" w14:textId="1B34832F" w:rsidR="002168D6" w:rsidRDefault="00C474C6" w:rsidP="000168FA">
      <w:pPr>
        <w:pStyle w:val="bdstyle1"/>
        <w:tabs>
          <w:tab w:val="clear" w:pos="720"/>
        </w:tabs>
      </w:pPr>
      <w:r w:rsidRPr="007D0E76">
        <w:rPr>
          <w:b/>
          <w:bCs/>
          <w:szCs w:val="26"/>
        </w:rPr>
        <w:t xml:space="preserve">Funding: </w:t>
      </w:r>
      <w:r w:rsidR="00FF7A5D" w:rsidRPr="007D0E76">
        <w:rPr>
          <w:b/>
          <w:bCs/>
          <w:szCs w:val="26"/>
        </w:rPr>
        <w:tab/>
      </w:r>
      <w:r w:rsidR="007072A5" w:rsidRPr="00C43ADD">
        <w:rPr>
          <w:szCs w:val="26"/>
        </w:rPr>
        <w:t xml:space="preserve">Institutional Funds Operating Budget </w:t>
      </w:r>
    </w:p>
    <w:p w14:paraId="1137B380" w14:textId="41CCF8E0" w:rsidR="00C474C6" w:rsidRPr="007D0E76" w:rsidRDefault="007D0E76" w:rsidP="007D0E76">
      <w:pPr>
        <w:ind w:left="1430" w:hanging="1430"/>
      </w:pPr>
      <w:r>
        <w:tab/>
      </w:r>
      <w:r w:rsidR="00BA20A6">
        <w:tab/>
      </w:r>
    </w:p>
    <w:p w14:paraId="20EDEFB9" w14:textId="77777777" w:rsidR="00C474C6" w:rsidRDefault="00C474C6" w:rsidP="00FF7A5D">
      <w:pPr>
        <w:pStyle w:val="Default"/>
        <w:tabs>
          <w:tab w:val="left" w:pos="1440"/>
        </w:tabs>
        <w:ind w:left="1440" w:hanging="144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2F0DB2E4" w14:textId="46AB68E1" w:rsidR="00A07187" w:rsidRDefault="00FF7A5D" w:rsidP="00A07187">
      <w:pPr>
        <w:pStyle w:val="Default"/>
        <w:tabs>
          <w:tab w:val="left" w:pos="1440"/>
        </w:tabs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="00BC4D4C">
        <w:rPr>
          <w:rFonts w:ascii="Times New Roman" w:hAnsi="Times New Roman" w:cs="Times New Roman"/>
          <w:color w:val="auto"/>
          <w:sz w:val="26"/>
          <w:szCs w:val="26"/>
        </w:rPr>
        <w:t xml:space="preserve">The </w:t>
      </w:r>
      <w:r w:rsidR="009F4E81">
        <w:rPr>
          <w:rFonts w:ascii="Times New Roman" w:hAnsi="Times New Roman" w:cs="Times New Roman"/>
          <w:color w:val="auto"/>
          <w:sz w:val="26"/>
          <w:szCs w:val="26"/>
        </w:rPr>
        <w:t xml:space="preserve">Department of </w:t>
      </w:r>
      <w:r w:rsidR="00852423">
        <w:rPr>
          <w:rFonts w:ascii="Times New Roman" w:hAnsi="Times New Roman" w:cs="Times New Roman"/>
          <w:color w:val="auto"/>
          <w:sz w:val="26"/>
          <w:szCs w:val="26"/>
        </w:rPr>
        <w:t xml:space="preserve">Civil and Environmental Engineering, within </w:t>
      </w:r>
      <w:r w:rsidR="00E239A6">
        <w:rPr>
          <w:rFonts w:ascii="Times New Roman" w:hAnsi="Times New Roman" w:cs="Times New Roman"/>
          <w:color w:val="auto"/>
          <w:sz w:val="26"/>
          <w:szCs w:val="26"/>
        </w:rPr>
        <w:t>T</w:t>
      </w:r>
      <w:r w:rsidR="00852423">
        <w:rPr>
          <w:rFonts w:ascii="Times New Roman" w:hAnsi="Times New Roman" w:cs="Times New Roman"/>
          <w:color w:val="auto"/>
          <w:sz w:val="26"/>
          <w:szCs w:val="26"/>
        </w:rPr>
        <w:t xml:space="preserve">he </w:t>
      </w:r>
      <w:r w:rsidR="00BC4D4C">
        <w:rPr>
          <w:rFonts w:ascii="Times New Roman" w:hAnsi="Times New Roman" w:cs="Times New Roman"/>
          <w:color w:val="auto"/>
          <w:sz w:val="26"/>
          <w:szCs w:val="26"/>
        </w:rPr>
        <w:t>Grainger College of Engineering</w:t>
      </w:r>
      <w:r w:rsidR="00852423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BC4D4C">
        <w:rPr>
          <w:rFonts w:ascii="Times New Roman" w:hAnsi="Times New Roman" w:cs="Times New Roman"/>
          <w:color w:val="auto"/>
          <w:sz w:val="26"/>
          <w:szCs w:val="26"/>
        </w:rPr>
        <w:t xml:space="preserve"> is developing a</w:t>
      </w:r>
      <w:r w:rsidR="00852423">
        <w:rPr>
          <w:rFonts w:ascii="Times New Roman" w:hAnsi="Times New Roman" w:cs="Times New Roman"/>
          <w:color w:val="auto"/>
          <w:sz w:val="26"/>
          <w:szCs w:val="26"/>
        </w:rPr>
        <w:t>n advanced research</w:t>
      </w:r>
      <w:r w:rsidR="00BC4D4C">
        <w:rPr>
          <w:rFonts w:ascii="Times New Roman" w:hAnsi="Times New Roman" w:cs="Times New Roman"/>
          <w:color w:val="auto"/>
          <w:sz w:val="26"/>
          <w:szCs w:val="26"/>
        </w:rPr>
        <w:t xml:space="preserve"> program for autonomous vehicles.</w:t>
      </w:r>
      <w:r w:rsidR="00A0718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A07187" w:rsidRPr="00C43ADD">
        <w:rPr>
          <w:rFonts w:ascii="Times New Roman" w:hAnsi="Times New Roman" w:cs="Times New Roman"/>
          <w:color w:val="auto"/>
          <w:sz w:val="26"/>
          <w:szCs w:val="26"/>
        </w:rPr>
        <w:t xml:space="preserve">The </w:t>
      </w:r>
      <w:r w:rsidR="00852423">
        <w:rPr>
          <w:rFonts w:ascii="Times New Roman" w:hAnsi="Times New Roman" w:cs="Times New Roman"/>
          <w:color w:val="auto"/>
          <w:sz w:val="26"/>
          <w:szCs w:val="26"/>
        </w:rPr>
        <w:t xml:space="preserve">program’s </w:t>
      </w:r>
      <w:r w:rsidR="00A07187" w:rsidRPr="00C43ADD">
        <w:rPr>
          <w:rFonts w:ascii="Times New Roman" w:hAnsi="Times New Roman" w:cs="Times New Roman"/>
          <w:color w:val="auto"/>
          <w:sz w:val="26"/>
          <w:szCs w:val="26"/>
        </w:rPr>
        <w:t xml:space="preserve">goal is to upgrade and expand </w:t>
      </w:r>
      <w:r w:rsidR="00A07187">
        <w:rPr>
          <w:rFonts w:ascii="Times New Roman" w:hAnsi="Times New Roman" w:cs="Times New Roman"/>
          <w:color w:val="auto"/>
          <w:sz w:val="26"/>
          <w:szCs w:val="26"/>
        </w:rPr>
        <w:t>vehicular research activities at the former site of the Chanute Air Force Base in Rantoul</w:t>
      </w:r>
      <w:r w:rsidR="00852423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A0718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52423">
        <w:rPr>
          <w:rFonts w:ascii="Times New Roman" w:hAnsi="Times New Roman" w:cs="Times New Roman"/>
          <w:color w:val="auto"/>
          <w:sz w:val="26"/>
          <w:szCs w:val="26"/>
        </w:rPr>
        <w:t>Illinois. This project will expand</w:t>
      </w:r>
      <w:r w:rsidR="00A07187">
        <w:rPr>
          <w:rFonts w:ascii="Times New Roman" w:hAnsi="Times New Roman" w:cs="Times New Roman"/>
          <w:color w:val="auto"/>
          <w:sz w:val="26"/>
          <w:szCs w:val="26"/>
        </w:rPr>
        <w:t xml:space="preserve"> their existing presence at that location</w:t>
      </w:r>
      <w:r w:rsidR="00A07187" w:rsidRPr="00C43ADD">
        <w:rPr>
          <w:rFonts w:ascii="Times New Roman" w:hAnsi="Times New Roman" w:cs="Times New Roman"/>
          <w:color w:val="auto"/>
          <w:sz w:val="26"/>
          <w:szCs w:val="26"/>
        </w:rPr>
        <w:t xml:space="preserve">. The proposed project </w:t>
      </w:r>
      <w:r w:rsidR="00A07187">
        <w:rPr>
          <w:rFonts w:ascii="Times New Roman" w:hAnsi="Times New Roman" w:cs="Times New Roman"/>
          <w:color w:val="auto"/>
          <w:sz w:val="26"/>
          <w:szCs w:val="26"/>
        </w:rPr>
        <w:t>includes design</w:t>
      </w:r>
      <w:r w:rsidR="00852423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A07187">
        <w:rPr>
          <w:rFonts w:ascii="Times New Roman" w:hAnsi="Times New Roman" w:cs="Times New Roman"/>
          <w:color w:val="auto"/>
          <w:sz w:val="26"/>
          <w:szCs w:val="26"/>
        </w:rPr>
        <w:t xml:space="preserve"> and </w:t>
      </w:r>
      <w:r w:rsidR="00852423">
        <w:rPr>
          <w:rFonts w:ascii="Times New Roman" w:hAnsi="Times New Roman" w:cs="Times New Roman"/>
          <w:color w:val="auto"/>
          <w:sz w:val="26"/>
          <w:szCs w:val="26"/>
        </w:rPr>
        <w:t xml:space="preserve">the </w:t>
      </w:r>
      <w:r w:rsidR="00A07187">
        <w:rPr>
          <w:rFonts w:ascii="Times New Roman" w:hAnsi="Times New Roman" w:cs="Times New Roman"/>
          <w:color w:val="auto"/>
          <w:sz w:val="26"/>
          <w:szCs w:val="26"/>
        </w:rPr>
        <w:t>eventual construction</w:t>
      </w:r>
      <w:r w:rsidR="00852423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A07187">
        <w:rPr>
          <w:rFonts w:ascii="Times New Roman" w:hAnsi="Times New Roman" w:cs="Times New Roman"/>
          <w:color w:val="auto"/>
          <w:sz w:val="26"/>
          <w:szCs w:val="26"/>
        </w:rPr>
        <w:t xml:space="preserve"> of an automated and connected testing track and fleet vehicle building</w:t>
      </w:r>
      <w:r w:rsidR="00852423">
        <w:rPr>
          <w:rFonts w:ascii="Times New Roman" w:hAnsi="Times New Roman" w:cs="Times New Roman"/>
          <w:color w:val="auto"/>
          <w:sz w:val="26"/>
          <w:szCs w:val="26"/>
        </w:rPr>
        <w:t>. The project intends to utilize</w:t>
      </w:r>
      <w:r w:rsidR="00A07187">
        <w:rPr>
          <w:rFonts w:ascii="Times New Roman" w:hAnsi="Times New Roman" w:cs="Times New Roman"/>
          <w:color w:val="auto"/>
          <w:sz w:val="26"/>
          <w:szCs w:val="26"/>
        </w:rPr>
        <w:t xml:space="preserve"> construction funding available from a National Science Foundation </w:t>
      </w:r>
      <w:r w:rsidR="00852423">
        <w:rPr>
          <w:rFonts w:ascii="Times New Roman" w:hAnsi="Times New Roman" w:cs="Times New Roman"/>
          <w:color w:val="auto"/>
          <w:sz w:val="26"/>
          <w:szCs w:val="26"/>
        </w:rPr>
        <w:t xml:space="preserve">(NSF) </w:t>
      </w:r>
      <w:r w:rsidR="00A07187">
        <w:rPr>
          <w:rFonts w:ascii="Times New Roman" w:hAnsi="Times New Roman" w:cs="Times New Roman"/>
          <w:color w:val="auto"/>
          <w:sz w:val="26"/>
          <w:szCs w:val="26"/>
        </w:rPr>
        <w:t>grant.</w:t>
      </w:r>
    </w:p>
    <w:p w14:paraId="4F40DBE0" w14:textId="6A5BF3E9" w:rsidR="000444CE" w:rsidRDefault="00BC4D4C" w:rsidP="00710A22">
      <w:pPr>
        <w:pStyle w:val="Default"/>
        <w:tabs>
          <w:tab w:val="left" w:pos="1440"/>
        </w:tabs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="00852423">
        <w:rPr>
          <w:rFonts w:ascii="Times New Roman" w:hAnsi="Times New Roman" w:cs="Times New Roman"/>
          <w:color w:val="auto"/>
          <w:sz w:val="26"/>
          <w:szCs w:val="26"/>
        </w:rPr>
        <w:t xml:space="preserve">In </w:t>
      </w:r>
      <w:r w:rsidR="00B61E20">
        <w:rPr>
          <w:rFonts w:ascii="Times New Roman" w:hAnsi="Times New Roman" w:cs="Times New Roman"/>
          <w:color w:val="auto"/>
          <w:sz w:val="26"/>
          <w:szCs w:val="26"/>
        </w:rPr>
        <w:t>August 2021</w:t>
      </w:r>
      <w:r w:rsidR="00710A22">
        <w:rPr>
          <w:rFonts w:ascii="Times New Roman" w:hAnsi="Times New Roman" w:cs="Times New Roman"/>
          <w:color w:val="auto"/>
          <w:sz w:val="26"/>
          <w:szCs w:val="26"/>
        </w:rPr>
        <w:t>, t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he </w:t>
      </w:r>
      <w:r w:rsidR="00852423">
        <w:rPr>
          <w:rFonts w:ascii="Times New Roman" w:hAnsi="Times New Roman" w:cs="Times New Roman"/>
          <w:color w:val="auto"/>
          <w:sz w:val="26"/>
          <w:szCs w:val="26"/>
        </w:rPr>
        <w:t xml:space="preserve">Urbana </w:t>
      </w:r>
      <w:r w:rsidR="009F4E81">
        <w:rPr>
          <w:rFonts w:ascii="Times New Roman" w:hAnsi="Times New Roman" w:cs="Times New Roman"/>
          <w:color w:val="auto"/>
          <w:sz w:val="26"/>
          <w:szCs w:val="26"/>
        </w:rPr>
        <w:t>university</w:t>
      </w:r>
      <w:r w:rsidR="00852423">
        <w:rPr>
          <w:rFonts w:ascii="Times New Roman" w:hAnsi="Times New Roman" w:cs="Times New Roman"/>
          <w:color w:val="auto"/>
          <w:sz w:val="26"/>
          <w:szCs w:val="26"/>
        </w:rPr>
        <w:t xml:space="preserve"> approved a </w:t>
      </w:r>
      <w:r w:rsidR="009F4E81">
        <w:rPr>
          <w:rFonts w:ascii="Times New Roman" w:hAnsi="Times New Roman" w:cs="Times New Roman"/>
          <w:color w:val="auto"/>
          <w:sz w:val="26"/>
          <w:szCs w:val="26"/>
        </w:rPr>
        <w:t>p</w:t>
      </w:r>
      <w:r w:rsidR="00852423">
        <w:rPr>
          <w:rFonts w:ascii="Times New Roman" w:hAnsi="Times New Roman" w:cs="Times New Roman"/>
          <w:color w:val="auto"/>
          <w:sz w:val="26"/>
          <w:szCs w:val="26"/>
        </w:rPr>
        <w:t xml:space="preserve">rofessional </w:t>
      </w:r>
      <w:r w:rsidR="009F4E81">
        <w:rPr>
          <w:rFonts w:ascii="Times New Roman" w:hAnsi="Times New Roman" w:cs="Times New Roman"/>
          <w:color w:val="auto"/>
          <w:sz w:val="26"/>
          <w:szCs w:val="26"/>
        </w:rPr>
        <w:t>s</w:t>
      </w:r>
      <w:r w:rsidR="00852423">
        <w:rPr>
          <w:rFonts w:ascii="Times New Roman" w:hAnsi="Times New Roman" w:cs="Times New Roman"/>
          <w:color w:val="auto"/>
          <w:sz w:val="26"/>
          <w:szCs w:val="26"/>
        </w:rPr>
        <w:t xml:space="preserve">ervices </w:t>
      </w:r>
      <w:r w:rsidR="009F4E81">
        <w:rPr>
          <w:rFonts w:ascii="Times New Roman" w:hAnsi="Times New Roman" w:cs="Times New Roman"/>
          <w:color w:val="auto"/>
          <w:sz w:val="26"/>
          <w:szCs w:val="26"/>
        </w:rPr>
        <w:t>c</w:t>
      </w:r>
      <w:r w:rsidR="00852423">
        <w:rPr>
          <w:rFonts w:ascii="Times New Roman" w:hAnsi="Times New Roman" w:cs="Times New Roman"/>
          <w:color w:val="auto"/>
          <w:sz w:val="26"/>
          <w:szCs w:val="26"/>
        </w:rPr>
        <w:t xml:space="preserve">onsultant contract with </w:t>
      </w:r>
      <w:r w:rsidR="00710A22">
        <w:rPr>
          <w:rFonts w:ascii="Times New Roman" w:hAnsi="Times New Roman" w:cs="Times New Roman"/>
          <w:color w:val="auto"/>
          <w:sz w:val="26"/>
          <w:szCs w:val="26"/>
        </w:rPr>
        <w:t>AECOM Technical Services, Inc</w:t>
      </w:r>
      <w:r w:rsidR="00852423">
        <w:rPr>
          <w:rFonts w:ascii="Times New Roman" w:hAnsi="Times New Roman" w:cs="Times New Roman"/>
          <w:color w:val="auto"/>
          <w:sz w:val="26"/>
          <w:szCs w:val="26"/>
        </w:rPr>
        <w:t>. of</w:t>
      </w:r>
      <w:r w:rsidR="00710A22">
        <w:rPr>
          <w:rFonts w:ascii="Times New Roman" w:hAnsi="Times New Roman" w:cs="Times New Roman"/>
          <w:color w:val="auto"/>
          <w:sz w:val="26"/>
          <w:szCs w:val="26"/>
        </w:rPr>
        <w:t xml:space="preserve"> Chicago, I</w:t>
      </w:r>
      <w:r w:rsidR="00E239A6">
        <w:rPr>
          <w:rFonts w:ascii="Times New Roman" w:hAnsi="Times New Roman" w:cs="Times New Roman"/>
          <w:color w:val="auto"/>
          <w:sz w:val="26"/>
          <w:szCs w:val="26"/>
        </w:rPr>
        <w:t>llinois</w:t>
      </w:r>
      <w:r w:rsidR="00710A22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852423">
        <w:rPr>
          <w:rFonts w:ascii="Times New Roman" w:hAnsi="Times New Roman" w:cs="Times New Roman"/>
          <w:color w:val="auto"/>
          <w:sz w:val="26"/>
          <w:szCs w:val="26"/>
        </w:rPr>
        <w:t xml:space="preserve"> for </w:t>
      </w:r>
      <w:r w:rsidR="00EF1E3E">
        <w:rPr>
          <w:rFonts w:ascii="Times New Roman" w:hAnsi="Times New Roman" w:cs="Times New Roman"/>
          <w:color w:val="auto"/>
          <w:sz w:val="26"/>
          <w:szCs w:val="26"/>
        </w:rPr>
        <w:lastRenderedPageBreak/>
        <w:t>c</w:t>
      </w:r>
      <w:r w:rsidR="00401F3C">
        <w:rPr>
          <w:rFonts w:ascii="Times New Roman" w:hAnsi="Times New Roman" w:cs="Times New Roman"/>
          <w:color w:val="auto"/>
          <w:sz w:val="26"/>
          <w:szCs w:val="26"/>
        </w:rPr>
        <w:t>onceptualization phase</w:t>
      </w:r>
      <w:r w:rsidR="00710A2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401F3C">
        <w:rPr>
          <w:rFonts w:ascii="Times New Roman" w:hAnsi="Times New Roman" w:cs="Times New Roman"/>
          <w:color w:val="auto"/>
          <w:sz w:val="26"/>
          <w:szCs w:val="26"/>
        </w:rPr>
        <w:t>services</w:t>
      </w:r>
      <w:r w:rsidR="00E83BC3">
        <w:rPr>
          <w:rFonts w:ascii="Times New Roman" w:hAnsi="Times New Roman" w:cs="Times New Roman"/>
          <w:color w:val="auto"/>
          <w:sz w:val="26"/>
          <w:szCs w:val="26"/>
        </w:rPr>
        <w:t xml:space="preserve"> in the amount of $604,320</w:t>
      </w:r>
      <w:r w:rsidR="00401F3C">
        <w:rPr>
          <w:rFonts w:ascii="Times New Roman" w:hAnsi="Times New Roman" w:cs="Times New Roman"/>
          <w:color w:val="auto"/>
          <w:sz w:val="26"/>
          <w:szCs w:val="26"/>
        </w:rPr>
        <w:t xml:space="preserve">. AECOM </w:t>
      </w:r>
      <w:r w:rsidR="00E24260">
        <w:rPr>
          <w:rFonts w:ascii="Times New Roman" w:hAnsi="Times New Roman" w:cs="Times New Roman"/>
          <w:color w:val="auto"/>
          <w:sz w:val="26"/>
          <w:szCs w:val="26"/>
        </w:rPr>
        <w:t xml:space="preserve">Technical Services, Inc., </w:t>
      </w:r>
      <w:r w:rsidR="00401F3C">
        <w:rPr>
          <w:rFonts w:ascii="Times New Roman" w:hAnsi="Times New Roman" w:cs="Times New Roman"/>
          <w:color w:val="auto"/>
          <w:sz w:val="26"/>
          <w:szCs w:val="26"/>
        </w:rPr>
        <w:t xml:space="preserve">completed a </w:t>
      </w:r>
      <w:r w:rsidR="00EF1E3E">
        <w:rPr>
          <w:rFonts w:ascii="Times New Roman" w:hAnsi="Times New Roman" w:cs="Times New Roman"/>
          <w:color w:val="auto"/>
          <w:sz w:val="26"/>
          <w:szCs w:val="26"/>
        </w:rPr>
        <w:t>c</w:t>
      </w:r>
      <w:r w:rsidR="00401F3C">
        <w:rPr>
          <w:rFonts w:ascii="Times New Roman" w:hAnsi="Times New Roman" w:cs="Times New Roman"/>
          <w:color w:val="auto"/>
          <w:sz w:val="26"/>
          <w:szCs w:val="26"/>
        </w:rPr>
        <w:t xml:space="preserve">onceptualization </w:t>
      </w:r>
      <w:r w:rsidR="00EF1E3E">
        <w:rPr>
          <w:rFonts w:ascii="Times New Roman" w:hAnsi="Times New Roman" w:cs="Times New Roman"/>
          <w:color w:val="auto"/>
          <w:sz w:val="26"/>
          <w:szCs w:val="26"/>
        </w:rPr>
        <w:t>p</w:t>
      </w:r>
      <w:r w:rsidR="00401F3C">
        <w:rPr>
          <w:rFonts w:ascii="Times New Roman" w:hAnsi="Times New Roman" w:cs="Times New Roman"/>
          <w:color w:val="auto"/>
          <w:sz w:val="26"/>
          <w:szCs w:val="26"/>
        </w:rPr>
        <w:t xml:space="preserve">hase </w:t>
      </w:r>
      <w:r w:rsidR="00EF1E3E">
        <w:rPr>
          <w:rFonts w:ascii="Times New Roman" w:hAnsi="Times New Roman" w:cs="Times New Roman"/>
          <w:color w:val="auto"/>
          <w:sz w:val="26"/>
          <w:szCs w:val="26"/>
        </w:rPr>
        <w:t>s</w:t>
      </w:r>
      <w:r w:rsidR="00401F3C">
        <w:rPr>
          <w:rFonts w:ascii="Times New Roman" w:hAnsi="Times New Roman" w:cs="Times New Roman"/>
          <w:color w:val="auto"/>
          <w:sz w:val="26"/>
          <w:szCs w:val="26"/>
        </w:rPr>
        <w:t xml:space="preserve">tudy that included four possible options for the future interconnected track. The selection of the </w:t>
      </w:r>
      <w:r w:rsidR="00EF1E3E">
        <w:rPr>
          <w:rFonts w:ascii="Times New Roman" w:hAnsi="Times New Roman" w:cs="Times New Roman"/>
          <w:color w:val="auto"/>
          <w:sz w:val="26"/>
          <w:szCs w:val="26"/>
        </w:rPr>
        <w:t>p</w:t>
      </w:r>
      <w:r w:rsidR="00401F3C">
        <w:rPr>
          <w:rFonts w:ascii="Times New Roman" w:hAnsi="Times New Roman" w:cs="Times New Roman"/>
          <w:color w:val="auto"/>
          <w:sz w:val="26"/>
          <w:szCs w:val="26"/>
        </w:rPr>
        <w:t xml:space="preserve">rofessional </w:t>
      </w:r>
      <w:r w:rsidR="00EF1E3E">
        <w:rPr>
          <w:rFonts w:ascii="Times New Roman" w:hAnsi="Times New Roman" w:cs="Times New Roman"/>
          <w:color w:val="auto"/>
          <w:sz w:val="26"/>
          <w:szCs w:val="26"/>
        </w:rPr>
        <w:t>s</w:t>
      </w:r>
      <w:r w:rsidR="00401F3C">
        <w:rPr>
          <w:rFonts w:ascii="Times New Roman" w:hAnsi="Times New Roman" w:cs="Times New Roman"/>
          <w:color w:val="auto"/>
          <w:sz w:val="26"/>
          <w:szCs w:val="26"/>
        </w:rPr>
        <w:t xml:space="preserve">ervices </w:t>
      </w:r>
      <w:r w:rsidR="00EF1E3E">
        <w:rPr>
          <w:rFonts w:ascii="Times New Roman" w:hAnsi="Times New Roman" w:cs="Times New Roman"/>
          <w:color w:val="auto"/>
          <w:sz w:val="26"/>
          <w:szCs w:val="26"/>
        </w:rPr>
        <w:t>c</w:t>
      </w:r>
      <w:r w:rsidR="00401F3C">
        <w:rPr>
          <w:rFonts w:ascii="Times New Roman" w:hAnsi="Times New Roman" w:cs="Times New Roman"/>
          <w:color w:val="auto"/>
          <w:sz w:val="26"/>
          <w:szCs w:val="26"/>
        </w:rPr>
        <w:t xml:space="preserve">onsultant for this project was </w:t>
      </w:r>
      <w:r w:rsidR="00710A22" w:rsidRPr="000119AB">
        <w:rPr>
          <w:rFonts w:ascii="Times New Roman" w:hAnsi="Times New Roman" w:cs="Times New Roman"/>
          <w:color w:val="auto"/>
          <w:sz w:val="26"/>
          <w:szCs w:val="26"/>
        </w:rPr>
        <w:t>in accordance with the requirements and provisions of Public Act 87-673 (Architectural, Engineering</w:t>
      </w:r>
      <w:r w:rsidR="00E239A6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710A22" w:rsidRPr="000119AB">
        <w:rPr>
          <w:rFonts w:ascii="Times New Roman" w:hAnsi="Times New Roman" w:cs="Times New Roman"/>
          <w:color w:val="auto"/>
          <w:sz w:val="26"/>
          <w:szCs w:val="26"/>
        </w:rPr>
        <w:t xml:space="preserve"> and Land Surveying Qualifications</w:t>
      </w:r>
      <w:r w:rsidR="00E239A6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="00710A22" w:rsidRPr="000119AB">
        <w:rPr>
          <w:rFonts w:ascii="Times New Roman" w:hAnsi="Times New Roman" w:cs="Times New Roman"/>
          <w:color w:val="auto"/>
          <w:sz w:val="26"/>
          <w:szCs w:val="26"/>
        </w:rPr>
        <w:t>Based Selection Act)</w:t>
      </w:r>
      <w:r w:rsidR="00710A22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710A22" w:rsidRPr="000119AB">
        <w:rPr>
          <w:rStyle w:val="FootnoteReference"/>
          <w:rFonts w:ascii="Times New Roman" w:hAnsi="Times New Roman" w:cs="Times New Roman"/>
          <w:color w:val="auto"/>
          <w:sz w:val="26"/>
          <w:szCs w:val="26"/>
        </w:rPr>
        <w:footnoteReference w:id="1"/>
      </w:r>
    </w:p>
    <w:p w14:paraId="19510CC7" w14:textId="2AE73D97" w:rsidR="00710A22" w:rsidRDefault="000444CE" w:rsidP="00C474C6">
      <w:pPr>
        <w:pStyle w:val="Default"/>
        <w:tabs>
          <w:tab w:val="left" w:pos="1440"/>
        </w:tabs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="00710A22">
        <w:rPr>
          <w:rFonts w:ascii="Times New Roman" w:hAnsi="Times New Roman" w:cs="Times New Roman"/>
          <w:color w:val="auto"/>
          <w:sz w:val="26"/>
          <w:szCs w:val="26"/>
        </w:rPr>
        <w:t xml:space="preserve">There is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now </w:t>
      </w:r>
      <w:r w:rsidR="00710A22">
        <w:rPr>
          <w:rFonts w:ascii="Times New Roman" w:hAnsi="Times New Roman" w:cs="Times New Roman"/>
          <w:color w:val="auto"/>
          <w:sz w:val="26"/>
          <w:szCs w:val="26"/>
        </w:rPr>
        <w:t xml:space="preserve">an opportunity to apply for </w:t>
      </w:r>
      <w:r>
        <w:rPr>
          <w:rFonts w:ascii="Times New Roman" w:hAnsi="Times New Roman" w:cs="Times New Roman"/>
          <w:color w:val="auto"/>
          <w:sz w:val="26"/>
          <w:szCs w:val="26"/>
        </w:rPr>
        <w:t>a</w:t>
      </w:r>
      <w:r w:rsidR="00401F3C">
        <w:rPr>
          <w:rFonts w:ascii="Times New Roman" w:hAnsi="Times New Roman" w:cs="Times New Roman"/>
          <w:color w:val="auto"/>
          <w:sz w:val="26"/>
          <w:szCs w:val="26"/>
        </w:rPr>
        <w:t>n NSF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10A22">
        <w:rPr>
          <w:rFonts w:ascii="Times New Roman" w:hAnsi="Times New Roman" w:cs="Times New Roman"/>
          <w:color w:val="auto"/>
          <w:sz w:val="26"/>
          <w:szCs w:val="26"/>
        </w:rPr>
        <w:t>grant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401F3C">
        <w:rPr>
          <w:rFonts w:ascii="Times New Roman" w:hAnsi="Times New Roman" w:cs="Times New Roman"/>
          <w:color w:val="auto"/>
          <w:sz w:val="26"/>
          <w:szCs w:val="26"/>
        </w:rPr>
        <w:t xml:space="preserve">to fund construction of this project. The grant application </w:t>
      </w:r>
      <w:r w:rsidR="00710A22">
        <w:rPr>
          <w:rFonts w:ascii="Times New Roman" w:hAnsi="Times New Roman" w:cs="Times New Roman"/>
          <w:color w:val="auto"/>
          <w:sz w:val="26"/>
          <w:szCs w:val="26"/>
        </w:rPr>
        <w:t>requires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a</w:t>
      </w:r>
      <w:r w:rsidR="00710A2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“</w:t>
      </w:r>
      <w:r w:rsidR="00710A22">
        <w:rPr>
          <w:rFonts w:ascii="Times New Roman" w:hAnsi="Times New Roman" w:cs="Times New Roman"/>
          <w:color w:val="auto"/>
          <w:sz w:val="26"/>
          <w:szCs w:val="26"/>
        </w:rPr>
        <w:t>shovel</w:t>
      </w:r>
      <w:r w:rsidR="00E239A6">
        <w:rPr>
          <w:rFonts w:ascii="Times New Roman" w:hAnsi="Times New Roman" w:cs="Times New Roman"/>
          <w:color w:val="auto"/>
          <w:sz w:val="26"/>
          <w:szCs w:val="26"/>
        </w:rPr>
        <w:t>-</w:t>
      </w:r>
      <w:r w:rsidR="00710A22">
        <w:rPr>
          <w:rFonts w:ascii="Times New Roman" w:hAnsi="Times New Roman" w:cs="Times New Roman"/>
          <w:color w:val="auto"/>
          <w:sz w:val="26"/>
          <w:szCs w:val="26"/>
        </w:rPr>
        <w:t>ready design</w:t>
      </w:r>
      <w:r>
        <w:rPr>
          <w:rFonts w:ascii="Times New Roman" w:hAnsi="Times New Roman" w:cs="Times New Roman"/>
          <w:color w:val="auto"/>
          <w:sz w:val="26"/>
          <w:szCs w:val="26"/>
        </w:rPr>
        <w:t>”</w:t>
      </w:r>
      <w:r w:rsidR="00710A22">
        <w:rPr>
          <w:rFonts w:ascii="Times New Roman" w:hAnsi="Times New Roman" w:cs="Times New Roman"/>
          <w:color w:val="auto"/>
          <w:sz w:val="26"/>
          <w:szCs w:val="26"/>
        </w:rPr>
        <w:t xml:space="preserve"> completed and submitted for NSF evaluation prior to December 15, 2023.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It is therefore</w:t>
      </w:r>
      <w:r w:rsidRPr="000119AB">
        <w:rPr>
          <w:rFonts w:ascii="Times New Roman" w:hAnsi="Times New Roman" w:cs="Times New Roman"/>
          <w:color w:val="auto"/>
          <w:sz w:val="26"/>
          <w:szCs w:val="26"/>
        </w:rPr>
        <w:t xml:space="preserve"> necessary to amend the </w:t>
      </w:r>
      <w:r w:rsidR="00EF1E3E">
        <w:rPr>
          <w:rFonts w:ascii="Times New Roman" w:hAnsi="Times New Roman" w:cs="Times New Roman"/>
          <w:color w:val="auto"/>
          <w:sz w:val="26"/>
          <w:szCs w:val="26"/>
        </w:rPr>
        <w:t>p</w:t>
      </w:r>
      <w:r w:rsidRPr="000119AB">
        <w:rPr>
          <w:rFonts w:ascii="Times New Roman" w:hAnsi="Times New Roman" w:cs="Times New Roman"/>
          <w:color w:val="auto"/>
          <w:sz w:val="26"/>
          <w:szCs w:val="26"/>
        </w:rPr>
        <w:t xml:space="preserve">rofessional </w:t>
      </w:r>
      <w:r w:rsidR="00EF1E3E">
        <w:rPr>
          <w:rFonts w:ascii="Times New Roman" w:hAnsi="Times New Roman" w:cs="Times New Roman"/>
          <w:color w:val="auto"/>
          <w:sz w:val="26"/>
          <w:szCs w:val="26"/>
        </w:rPr>
        <w:t>s</w:t>
      </w:r>
      <w:r w:rsidRPr="000119AB">
        <w:rPr>
          <w:rFonts w:ascii="Times New Roman" w:hAnsi="Times New Roman" w:cs="Times New Roman"/>
          <w:color w:val="auto"/>
          <w:sz w:val="26"/>
          <w:szCs w:val="26"/>
        </w:rPr>
        <w:t xml:space="preserve">ervices </w:t>
      </w:r>
      <w:r w:rsidR="00EF1E3E">
        <w:rPr>
          <w:rFonts w:ascii="Times New Roman" w:hAnsi="Times New Roman" w:cs="Times New Roman"/>
          <w:color w:val="auto"/>
          <w:sz w:val="26"/>
          <w:szCs w:val="26"/>
        </w:rPr>
        <w:t>a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greement to include complete design </w:t>
      </w:r>
      <w:r w:rsidR="00401F3C">
        <w:rPr>
          <w:rFonts w:ascii="Times New Roman" w:hAnsi="Times New Roman" w:cs="Times New Roman"/>
          <w:color w:val="auto"/>
          <w:sz w:val="26"/>
          <w:szCs w:val="26"/>
        </w:rPr>
        <w:t xml:space="preserve">services </w:t>
      </w:r>
      <w:proofErr w:type="gramStart"/>
      <w:r w:rsidR="00401F3C">
        <w:rPr>
          <w:rFonts w:ascii="Times New Roman" w:hAnsi="Times New Roman" w:cs="Times New Roman"/>
          <w:color w:val="auto"/>
          <w:sz w:val="26"/>
          <w:szCs w:val="26"/>
        </w:rPr>
        <w:t>in order to</w:t>
      </w:r>
      <w:proofErr w:type="gramEnd"/>
      <w:r w:rsidR="00401F3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provide the required </w:t>
      </w:r>
      <w:r w:rsidR="00E83BC3">
        <w:rPr>
          <w:rFonts w:ascii="Times New Roman" w:hAnsi="Times New Roman" w:cs="Times New Roman"/>
          <w:color w:val="auto"/>
          <w:sz w:val="26"/>
          <w:szCs w:val="26"/>
        </w:rPr>
        <w:t xml:space="preserve">design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documents for NSF evaluation of the grant application. </w:t>
      </w:r>
      <w:r w:rsidR="00710A22" w:rsidRPr="00297D90">
        <w:rPr>
          <w:rFonts w:ascii="Times New Roman" w:hAnsi="Times New Roman" w:cs="Times New Roman"/>
          <w:color w:val="auto"/>
          <w:sz w:val="26"/>
          <w:szCs w:val="26"/>
        </w:rPr>
        <w:t>Should the NSF grant submission be successful</w:t>
      </w:r>
      <w:r w:rsidR="00E83BC3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710A22" w:rsidRPr="00297D90">
        <w:rPr>
          <w:rFonts w:ascii="Times New Roman" w:hAnsi="Times New Roman" w:cs="Times New Roman"/>
          <w:color w:val="auto"/>
          <w:sz w:val="26"/>
          <w:szCs w:val="26"/>
        </w:rPr>
        <w:t xml:space="preserve"> the </w:t>
      </w:r>
      <w:r w:rsidR="00401F3C" w:rsidRPr="00297D90">
        <w:rPr>
          <w:rFonts w:ascii="Times New Roman" w:hAnsi="Times New Roman" w:cs="Times New Roman"/>
          <w:color w:val="auto"/>
          <w:sz w:val="26"/>
          <w:szCs w:val="26"/>
        </w:rPr>
        <w:t xml:space="preserve">project budget </w:t>
      </w:r>
      <w:r w:rsidR="00710A22" w:rsidRPr="00297D90">
        <w:rPr>
          <w:rFonts w:ascii="Times New Roman" w:hAnsi="Times New Roman" w:cs="Times New Roman"/>
          <w:color w:val="auto"/>
          <w:sz w:val="26"/>
          <w:szCs w:val="26"/>
        </w:rPr>
        <w:t xml:space="preserve">is </w:t>
      </w:r>
      <w:r w:rsidR="00297D90" w:rsidRPr="00297D90">
        <w:rPr>
          <w:rFonts w:ascii="Times New Roman" w:hAnsi="Times New Roman" w:cs="Times New Roman"/>
          <w:color w:val="auto"/>
          <w:sz w:val="26"/>
          <w:szCs w:val="26"/>
        </w:rPr>
        <w:t xml:space="preserve">anticipated </w:t>
      </w:r>
      <w:r w:rsidR="00710A22" w:rsidRPr="00297D90">
        <w:rPr>
          <w:rFonts w:ascii="Times New Roman" w:hAnsi="Times New Roman" w:cs="Times New Roman"/>
          <w:color w:val="auto"/>
          <w:sz w:val="26"/>
          <w:szCs w:val="26"/>
        </w:rPr>
        <w:t xml:space="preserve">to be slightly </w:t>
      </w:r>
      <w:r w:rsidR="00392C7C">
        <w:rPr>
          <w:rFonts w:ascii="Times New Roman" w:hAnsi="Times New Roman" w:cs="Times New Roman"/>
          <w:color w:val="auto"/>
          <w:sz w:val="26"/>
          <w:szCs w:val="26"/>
        </w:rPr>
        <w:t>less than</w:t>
      </w:r>
      <w:r w:rsidR="00710A22" w:rsidRPr="00297D90">
        <w:rPr>
          <w:rFonts w:ascii="Times New Roman" w:hAnsi="Times New Roman" w:cs="Times New Roman"/>
          <w:color w:val="auto"/>
          <w:sz w:val="26"/>
          <w:szCs w:val="26"/>
        </w:rPr>
        <w:t xml:space="preserve"> $</w:t>
      </w:r>
      <w:r w:rsidR="005F3E60" w:rsidRPr="00297D90">
        <w:rPr>
          <w:rFonts w:ascii="Times New Roman" w:hAnsi="Times New Roman" w:cs="Times New Roman"/>
          <w:color w:val="auto"/>
          <w:sz w:val="26"/>
          <w:szCs w:val="26"/>
        </w:rPr>
        <w:t>7</w:t>
      </w:r>
      <w:r w:rsidR="00392C7C">
        <w:rPr>
          <w:rFonts w:ascii="Times New Roman" w:hAnsi="Times New Roman" w:cs="Times New Roman"/>
          <w:color w:val="auto"/>
          <w:sz w:val="26"/>
          <w:szCs w:val="26"/>
        </w:rPr>
        <w:t>1</w:t>
      </w:r>
      <w:r w:rsidR="00E239A6">
        <w:rPr>
          <w:rFonts w:ascii="Times New Roman" w:hAnsi="Times New Roman" w:cs="Times New Roman"/>
          <w:color w:val="auto"/>
          <w:sz w:val="26"/>
          <w:szCs w:val="26"/>
        </w:rPr>
        <w:t>.0</w:t>
      </w:r>
      <w:r w:rsidR="005F3E60">
        <w:rPr>
          <w:rFonts w:ascii="Times New Roman" w:hAnsi="Times New Roman" w:cs="Times New Roman"/>
          <w:color w:val="auto"/>
          <w:sz w:val="26"/>
          <w:szCs w:val="26"/>
        </w:rPr>
        <w:t xml:space="preserve"> million</w:t>
      </w:r>
      <w:r w:rsidRPr="00297D90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710A22" w:rsidRPr="00297D90">
        <w:rPr>
          <w:rFonts w:ascii="Times New Roman" w:hAnsi="Times New Roman" w:cs="Times New Roman"/>
          <w:color w:val="auto"/>
          <w:sz w:val="26"/>
          <w:szCs w:val="26"/>
        </w:rPr>
        <w:t xml:space="preserve"> which would </w:t>
      </w:r>
      <w:r w:rsidRPr="00297D90">
        <w:rPr>
          <w:rFonts w:ascii="Times New Roman" w:hAnsi="Times New Roman" w:cs="Times New Roman"/>
          <w:color w:val="auto"/>
          <w:sz w:val="26"/>
          <w:szCs w:val="26"/>
        </w:rPr>
        <w:t xml:space="preserve">be brought to the Board for </w:t>
      </w:r>
      <w:r w:rsidR="00710A22" w:rsidRPr="00297D90">
        <w:rPr>
          <w:rFonts w:ascii="Times New Roman" w:hAnsi="Times New Roman" w:cs="Times New Roman"/>
          <w:color w:val="auto"/>
          <w:sz w:val="26"/>
          <w:szCs w:val="26"/>
        </w:rPr>
        <w:t>review and approval before bidding, award</w:t>
      </w:r>
      <w:r w:rsidR="00E239A6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710A22" w:rsidRPr="00297D90">
        <w:rPr>
          <w:rFonts w:ascii="Times New Roman" w:hAnsi="Times New Roman" w:cs="Times New Roman"/>
          <w:color w:val="auto"/>
          <w:sz w:val="26"/>
          <w:szCs w:val="26"/>
        </w:rPr>
        <w:t xml:space="preserve"> or construction activities commence.</w:t>
      </w:r>
      <w:r w:rsidR="00710A2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5893C207" w14:textId="4D6A7CFB" w:rsidR="0003135D" w:rsidRDefault="000168FA" w:rsidP="0003135D">
      <w:pPr>
        <w:pStyle w:val="Default"/>
        <w:tabs>
          <w:tab w:val="left" w:pos="1440"/>
        </w:tabs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="00DE48DD" w:rsidRPr="008D223A">
        <w:rPr>
          <w:rFonts w:ascii="Times New Roman" w:hAnsi="Times New Roman" w:cs="Times New Roman"/>
          <w:sz w:val="26"/>
          <w:szCs w:val="26"/>
        </w:rPr>
        <w:t xml:space="preserve">Accordingly, the </w:t>
      </w:r>
      <w:r w:rsidR="00EF1E3E">
        <w:rPr>
          <w:rFonts w:ascii="Times New Roman" w:hAnsi="Times New Roman" w:cs="Times New Roman"/>
          <w:sz w:val="26"/>
          <w:szCs w:val="26"/>
        </w:rPr>
        <w:t>c</w:t>
      </w:r>
      <w:r w:rsidRPr="008D223A">
        <w:rPr>
          <w:rFonts w:ascii="Times New Roman" w:hAnsi="Times New Roman" w:cs="Times New Roman"/>
          <w:sz w:val="26"/>
          <w:szCs w:val="26"/>
        </w:rPr>
        <w:t>hancellor, University of Illinois</w:t>
      </w:r>
      <w:r w:rsidR="00DE48DD" w:rsidRPr="008D223A">
        <w:rPr>
          <w:rFonts w:ascii="Times New Roman" w:hAnsi="Times New Roman" w:cs="Times New Roman"/>
          <w:sz w:val="26"/>
          <w:szCs w:val="26"/>
        </w:rPr>
        <w:t xml:space="preserve"> Urbana-Champaign</w:t>
      </w:r>
      <w:r w:rsidR="00DB34A0">
        <w:rPr>
          <w:rFonts w:ascii="Times New Roman" w:hAnsi="Times New Roman" w:cs="Times New Roman"/>
          <w:sz w:val="26"/>
          <w:szCs w:val="26"/>
        </w:rPr>
        <w:t>,</w:t>
      </w:r>
      <w:r w:rsidR="008E0E28">
        <w:rPr>
          <w:rFonts w:ascii="Times New Roman" w:hAnsi="Times New Roman" w:cs="Times New Roman"/>
          <w:sz w:val="26"/>
          <w:szCs w:val="26"/>
        </w:rPr>
        <w:t xml:space="preserve"> </w:t>
      </w:r>
      <w:r w:rsidR="00DE48DD" w:rsidRPr="008D223A">
        <w:rPr>
          <w:rFonts w:ascii="Times New Roman" w:hAnsi="Times New Roman" w:cs="Times New Roman"/>
          <w:sz w:val="26"/>
          <w:szCs w:val="26"/>
        </w:rPr>
        <w:t xml:space="preserve">and </w:t>
      </w:r>
      <w:r w:rsidR="00EF1E3E">
        <w:rPr>
          <w:rFonts w:ascii="Times New Roman" w:hAnsi="Times New Roman" w:cs="Times New Roman"/>
          <w:sz w:val="26"/>
          <w:szCs w:val="26"/>
        </w:rPr>
        <w:t>v</w:t>
      </w:r>
      <w:r w:rsidRPr="008D223A">
        <w:rPr>
          <w:rFonts w:ascii="Times New Roman" w:hAnsi="Times New Roman" w:cs="Times New Roman"/>
          <w:sz w:val="26"/>
          <w:szCs w:val="26"/>
        </w:rPr>
        <w:t xml:space="preserve">ice </w:t>
      </w:r>
      <w:r w:rsidR="00EF1E3E">
        <w:rPr>
          <w:rFonts w:ascii="Times New Roman" w:hAnsi="Times New Roman" w:cs="Times New Roman"/>
          <w:sz w:val="26"/>
          <w:szCs w:val="26"/>
        </w:rPr>
        <w:t>p</w:t>
      </w:r>
      <w:r w:rsidRPr="008D223A">
        <w:rPr>
          <w:rFonts w:ascii="Times New Roman" w:hAnsi="Times New Roman" w:cs="Times New Roman"/>
          <w:sz w:val="26"/>
          <w:szCs w:val="26"/>
        </w:rPr>
        <w:t>resident, University of Illinois</w:t>
      </w:r>
      <w:r w:rsidR="00EF1E3E">
        <w:rPr>
          <w:rFonts w:ascii="Times New Roman" w:hAnsi="Times New Roman" w:cs="Times New Roman"/>
          <w:sz w:val="26"/>
          <w:szCs w:val="26"/>
        </w:rPr>
        <w:t xml:space="preserve"> System</w:t>
      </w:r>
      <w:r w:rsidR="008E0E28">
        <w:rPr>
          <w:rFonts w:ascii="Times New Roman" w:hAnsi="Times New Roman" w:cs="Times New Roman"/>
          <w:sz w:val="26"/>
          <w:szCs w:val="26"/>
        </w:rPr>
        <w:t>,</w:t>
      </w:r>
      <w:r w:rsidRPr="008D223A">
        <w:rPr>
          <w:rFonts w:ascii="Times New Roman" w:hAnsi="Times New Roman" w:cs="Times New Roman"/>
          <w:sz w:val="26"/>
          <w:szCs w:val="26"/>
        </w:rPr>
        <w:t xml:space="preserve"> with the concurrence of the appropriate administrative officers recommends</w:t>
      </w:r>
      <w:r w:rsidRPr="000168FA">
        <w:rPr>
          <w:rFonts w:ascii="Times New Roman" w:hAnsi="Times New Roman" w:cs="Times New Roman"/>
          <w:sz w:val="26"/>
          <w:szCs w:val="26"/>
        </w:rPr>
        <w:t xml:space="preserve"> </w:t>
      </w:r>
      <w:r w:rsidR="0044381C">
        <w:rPr>
          <w:rFonts w:ascii="Times New Roman" w:hAnsi="Times New Roman" w:cs="Times New Roman"/>
          <w:sz w:val="26"/>
          <w:szCs w:val="26"/>
        </w:rPr>
        <w:t>AECOM Technical Services, Inc.</w:t>
      </w:r>
      <w:r w:rsidRPr="005E4C84">
        <w:rPr>
          <w:rFonts w:ascii="Times New Roman" w:hAnsi="Times New Roman" w:cs="Times New Roman"/>
          <w:sz w:val="26"/>
          <w:szCs w:val="26"/>
        </w:rPr>
        <w:t>,</w:t>
      </w:r>
      <w:r w:rsidRPr="000168FA">
        <w:rPr>
          <w:rFonts w:ascii="Times New Roman" w:hAnsi="Times New Roman" w:cs="Times New Roman"/>
          <w:sz w:val="26"/>
          <w:szCs w:val="26"/>
        </w:rPr>
        <w:t xml:space="preserve"> </w:t>
      </w:r>
      <w:r w:rsidRPr="008D223A">
        <w:rPr>
          <w:rFonts w:ascii="Times New Roman" w:hAnsi="Times New Roman" w:cs="Times New Roman"/>
          <w:sz w:val="26"/>
          <w:szCs w:val="26"/>
        </w:rPr>
        <w:t xml:space="preserve">continue to be </w:t>
      </w:r>
      <w:r w:rsidRPr="008D223A">
        <w:rPr>
          <w:rFonts w:ascii="Times New Roman" w:hAnsi="Times New Roman" w:cs="Times New Roman"/>
          <w:sz w:val="26"/>
          <w:szCs w:val="26"/>
        </w:rPr>
        <w:lastRenderedPageBreak/>
        <w:t>employed and their contract amended for the professional services required for the</w:t>
      </w:r>
      <w:r w:rsidRPr="001A236D">
        <w:rPr>
          <w:rFonts w:ascii="Times New Roman" w:hAnsi="Times New Roman" w:cs="Times New Roman"/>
          <w:sz w:val="26"/>
          <w:szCs w:val="26"/>
        </w:rPr>
        <w:t xml:space="preserve"> </w:t>
      </w:r>
      <w:r w:rsidR="00EF1E3E">
        <w:rPr>
          <w:rFonts w:ascii="Times New Roman" w:hAnsi="Times New Roman" w:cs="Times New Roman"/>
          <w:sz w:val="26"/>
          <w:szCs w:val="26"/>
        </w:rPr>
        <w:t>s</w:t>
      </w:r>
      <w:r w:rsidR="00CD3146">
        <w:rPr>
          <w:rFonts w:ascii="Times New Roman" w:hAnsi="Times New Roman" w:cs="Times New Roman"/>
          <w:sz w:val="26"/>
          <w:szCs w:val="26"/>
        </w:rPr>
        <w:t xml:space="preserve">chematic </w:t>
      </w:r>
      <w:r w:rsidR="00EF1E3E">
        <w:rPr>
          <w:rFonts w:ascii="Times New Roman" w:hAnsi="Times New Roman" w:cs="Times New Roman"/>
          <w:sz w:val="26"/>
          <w:szCs w:val="26"/>
        </w:rPr>
        <w:t>d</w:t>
      </w:r>
      <w:r w:rsidR="00CD3146">
        <w:rPr>
          <w:rFonts w:ascii="Times New Roman" w:hAnsi="Times New Roman" w:cs="Times New Roman"/>
          <w:sz w:val="26"/>
          <w:szCs w:val="26"/>
        </w:rPr>
        <w:t xml:space="preserve">esign </w:t>
      </w:r>
      <w:r w:rsidR="00EF1E3E">
        <w:rPr>
          <w:rFonts w:ascii="Times New Roman" w:hAnsi="Times New Roman" w:cs="Times New Roman"/>
          <w:sz w:val="26"/>
          <w:szCs w:val="26"/>
        </w:rPr>
        <w:t>p</w:t>
      </w:r>
      <w:r w:rsidR="00CD3146">
        <w:rPr>
          <w:rFonts w:ascii="Times New Roman" w:hAnsi="Times New Roman" w:cs="Times New Roman"/>
          <w:sz w:val="26"/>
          <w:szCs w:val="26"/>
        </w:rPr>
        <w:t xml:space="preserve">hase, </w:t>
      </w:r>
      <w:r w:rsidR="00EF1E3E">
        <w:rPr>
          <w:rFonts w:ascii="Times New Roman" w:hAnsi="Times New Roman" w:cs="Times New Roman"/>
          <w:sz w:val="26"/>
          <w:szCs w:val="26"/>
        </w:rPr>
        <w:t>d</w:t>
      </w:r>
      <w:r w:rsidR="00CD3146">
        <w:rPr>
          <w:rFonts w:ascii="Times New Roman" w:hAnsi="Times New Roman" w:cs="Times New Roman"/>
          <w:sz w:val="26"/>
          <w:szCs w:val="26"/>
        </w:rPr>
        <w:t xml:space="preserve">esign </w:t>
      </w:r>
      <w:r w:rsidR="00EF1E3E">
        <w:rPr>
          <w:rFonts w:ascii="Times New Roman" w:hAnsi="Times New Roman" w:cs="Times New Roman"/>
          <w:sz w:val="26"/>
          <w:szCs w:val="26"/>
        </w:rPr>
        <w:t>d</w:t>
      </w:r>
      <w:r w:rsidR="00CD3146">
        <w:rPr>
          <w:rFonts w:ascii="Times New Roman" w:hAnsi="Times New Roman" w:cs="Times New Roman"/>
          <w:sz w:val="26"/>
          <w:szCs w:val="26"/>
        </w:rPr>
        <w:t xml:space="preserve">evelopment </w:t>
      </w:r>
      <w:r w:rsidR="00EF1E3E">
        <w:rPr>
          <w:rFonts w:ascii="Times New Roman" w:hAnsi="Times New Roman" w:cs="Times New Roman"/>
          <w:sz w:val="26"/>
          <w:szCs w:val="26"/>
        </w:rPr>
        <w:t>p</w:t>
      </w:r>
      <w:r w:rsidR="00CD3146">
        <w:rPr>
          <w:rFonts w:ascii="Times New Roman" w:hAnsi="Times New Roman" w:cs="Times New Roman"/>
          <w:sz w:val="26"/>
          <w:szCs w:val="26"/>
        </w:rPr>
        <w:t xml:space="preserve">hase, and </w:t>
      </w:r>
      <w:r w:rsidR="00EF1E3E">
        <w:rPr>
          <w:rFonts w:ascii="Times New Roman" w:hAnsi="Times New Roman" w:cs="Times New Roman"/>
          <w:sz w:val="26"/>
          <w:szCs w:val="26"/>
        </w:rPr>
        <w:t>c</w:t>
      </w:r>
      <w:r w:rsidR="0044381C">
        <w:rPr>
          <w:rFonts w:ascii="Times New Roman" w:hAnsi="Times New Roman" w:cs="Times New Roman"/>
          <w:sz w:val="26"/>
          <w:szCs w:val="26"/>
        </w:rPr>
        <w:t xml:space="preserve">onstruction </w:t>
      </w:r>
      <w:r w:rsidR="00EF1E3E">
        <w:rPr>
          <w:rFonts w:ascii="Times New Roman" w:hAnsi="Times New Roman" w:cs="Times New Roman"/>
          <w:sz w:val="26"/>
          <w:szCs w:val="26"/>
        </w:rPr>
        <w:t>d</w:t>
      </w:r>
      <w:r w:rsidR="0044381C">
        <w:rPr>
          <w:rFonts w:ascii="Times New Roman" w:hAnsi="Times New Roman" w:cs="Times New Roman"/>
          <w:sz w:val="26"/>
          <w:szCs w:val="26"/>
        </w:rPr>
        <w:t>ocument</w:t>
      </w:r>
      <w:r w:rsidR="00CD3146">
        <w:rPr>
          <w:rFonts w:ascii="Times New Roman" w:hAnsi="Times New Roman" w:cs="Times New Roman"/>
          <w:sz w:val="26"/>
          <w:szCs w:val="26"/>
        </w:rPr>
        <w:t xml:space="preserve">s </w:t>
      </w:r>
      <w:r w:rsidR="00EF1E3E">
        <w:rPr>
          <w:rFonts w:ascii="Times New Roman" w:hAnsi="Times New Roman" w:cs="Times New Roman"/>
          <w:sz w:val="26"/>
          <w:szCs w:val="26"/>
        </w:rPr>
        <w:t>p</w:t>
      </w:r>
      <w:r w:rsidR="00CD3146">
        <w:rPr>
          <w:rFonts w:ascii="Times New Roman" w:hAnsi="Times New Roman" w:cs="Times New Roman"/>
          <w:sz w:val="26"/>
          <w:szCs w:val="26"/>
        </w:rPr>
        <w:t>hase</w:t>
      </w:r>
      <w:r w:rsidR="0044381C">
        <w:rPr>
          <w:rFonts w:ascii="Times New Roman" w:hAnsi="Times New Roman" w:cs="Times New Roman"/>
          <w:sz w:val="26"/>
          <w:szCs w:val="26"/>
        </w:rPr>
        <w:t>s</w:t>
      </w:r>
      <w:r w:rsidRPr="001A236D">
        <w:rPr>
          <w:rFonts w:ascii="Times New Roman" w:hAnsi="Times New Roman" w:cs="Times New Roman"/>
          <w:sz w:val="26"/>
          <w:szCs w:val="26"/>
        </w:rPr>
        <w:t xml:space="preserve"> of the project. </w:t>
      </w:r>
      <w:r w:rsidRPr="008D223A">
        <w:rPr>
          <w:rFonts w:ascii="Times New Roman" w:hAnsi="Times New Roman" w:cs="Times New Roman"/>
          <w:sz w:val="26"/>
          <w:szCs w:val="26"/>
        </w:rPr>
        <w:t xml:space="preserve">The firm’s fixed fee will be </w:t>
      </w:r>
      <w:r w:rsidR="00297D90">
        <w:rPr>
          <w:rFonts w:ascii="Times New Roman" w:hAnsi="Times New Roman" w:cs="Times New Roman"/>
          <w:sz w:val="26"/>
          <w:szCs w:val="26"/>
        </w:rPr>
        <w:t xml:space="preserve">$2,010,000 for </w:t>
      </w:r>
      <w:r w:rsidR="00EF1E3E">
        <w:rPr>
          <w:rFonts w:ascii="Times New Roman" w:hAnsi="Times New Roman" w:cs="Times New Roman"/>
          <w:sz w:val="26"/>
          <w:szCs w:val="26"/>
        </w:rPr>
        <w:t>b</w:t>
      </w:r>
      <w:r w:rsidR="00297D90">
        <w:rPr>
          <w:rFonts w:ascii="Times New Roman" w:hAnsi="Times New Roman" w:cs="Times New Roman"/>
          <w:sz w:val="26"/>
          <w:szCs w:val="26"/>
        </w:rPr>
        <w:t xml:space="preserve">asic </w:t>
      </w:r>
      <w:r w:rsidR="00EF1E3E">
        <w:rPr>
          <w:rFonts w:ascii="Times New Roman" w:hAnsi="Times New Roman" w:cs="Times New Roman"/>
          <w:sz w:val="26"/>
          <w:szCs w:val="26"/>
        </w:rPr>
        <w:t>s</w:t>
      </w:r>
      <w:r w:rsidR="00297D90">
        <w:rPr>
          <w:rFonts w:ascii="Times New Roman" w:hAnsi="Times New Roman" w:cs="Times New Roman"/>
          <w:sz w:val="26"/>
          <w:szCs w:val="26"/>
        </w:rPr>
        <w:t xml:space="preserve">ervices; $78,000 for </w:t>
      </w:r>
      <w:r w:rsidR="00E83BC3">
        <w:rPr>
          <w:rFonts w:ascii="Times New Roman" w:hAnsi="Times New Roman" w:cs="Times New Roman"/>
          <w:sz w:val="26"/>
          <w:szCs w:val="26"/>
        </w:rPr>
        <w:t xml:space="preserve">additional </w:t>
      </w:r>
      <w:r w:rsidRPr="008D223A">
        <w:rPr>
          <w:rFonts w:ascii="Times New Roman" w:hAnsi="Times New Roman" w:cs="Times New Roman"/>
          <w:sz w:val="26"/>
          <w:szCs w:val="26"/>
        </w:rPr>
        <w:t>supplemental services on a</w:t>
      </w:r>
      <w:r w:rsidR="00B61E20">
        <w:rPr>
          <w:rFonts w:ascii="Times New Roman" w:hAnsi="Times New Roman" w:cs="Times New Roman"/>
          <w:sz w:val="26"/>
          <w:szCs w:val="26"/>
        </w:rPr>
        <w:t xml:space="preserve"> fixed fee</w:t>
      </w:r>
      <w:r w:rsidRPr="008D223A">
        <w:rPr>
          <w:rFonts w:ascii="Times New Roman" w:hAnsi="Times New Roman" w:cs="Times New Roman"/>
          <w:sz w:val="26"/>
          <w:szCs w:val="26"/>
        </w:rPr>
        <w:t xml:space="preserve"> basis; and </w:t>
      </w:r>
      <w:r w:rsidR="00E83BC3" w:rsidRPr="008D223A">
        <w:rPr>
          <w:rFonts w:ascii="Times New Roman" w:hAnsi="Times New Roman" w:cs="Times New Roman"/>
          <w:sz w:val="26"/>
          <w:szCs w:val="26"/>
        </w:rPr>
        <w:t>$</w:t>
      </w:r>
      <w:r w:rsidR="00E83BC3">
        <w:rPr>
          <w:rFonts w:ascii="Times New Roman" w:hAnsi="Times New Roman" w:cs="Times New Roman"/>
          <w:sz w:val="26"/>
          <w:szCs w:val="26"/>
        </w:rPr>
        <w:t xml:space="preserve">93,220 </w:t>
      </w:r>
      <w:r w:rsidRPr="008D223A">
        <w:rPr>
          <w:rFonts w:ascii="Times New Roman" w:hAnsi="Times New Roman" w:cs="Times New Roman"/>
          <w:sz w:val="26"/>
          <w:szCs w:val="26"/>
        </w:rPr>
        <w:t xml:space="preserve">for </w:t>
      </w:r>
      <w:r w:rsidR="006B250A">
        <w:rPr>
          <w:rFonts w:ascii="Times New Roman" w:hAnsi="Times New Roman" w:cs="Times New Roman"/>
          <w:sz w:val="26"/>
          <w:szCs w:val="26"/>
        </w:rPr>
        <w:t xml:space="preserve">additional </w:t>
      </w:r>
      <w:r w:rsidRPr="008D223A">
        <w:rPr>
          <w:rFonts w:ascii="Times New Roman" w:hAnsi="Times New Roman" w:cs="Times New Roman"/>
          <w:sz w:val="26"/>
          <w:szCs w:val="26"/>
        </w:rPr>
        <w:t>authorized reimbursable expenses</w:t>
      </w:r>
      <w:r w:rsidR="00D4515E" w:rsidRPr="008D223A">
        <w:rPr>
          <w:rFonts w:ascii="Times New Roman" w:hAnsi="Times New Roman" w:cs="Times New Roman"/>
          <w:sz w:val="26"/>
          <w:szCs w:val="26"/>
        </w:rPr>
        <w:t>, fo</w:t>
      </w:r>
      <w:r w:rsidR="00DE48DD" w:rsidRPr="008D223A">
        <w:rPr>
          <w:rFonts w:ascii="Times New Roman" w:hAnsi="Times New Roman" w:cs="Times New Roman"/>
          <w:sz w:val="26"/>
          <w:szCs w:val="26"/>
        </w:rPr>
        <w:t>r a total amended contract of</w:t>
      </w:r>
      <w:r w:rsidR="00DE48DD" w:rsidRPr="001A236D">
        <w:rPr>
          <w:rFonts w:ascii="Times New Roman" w:hAnsi="Times New Roman" w:cs="Times New Roman"/>
          <w:sz w:val="26"/>
          <w:szCs w:val="26"/>
        </w:rPr>
        <w:t xml:space="preserve"> </w:t>
      </w:r>
      <w:r w:rsidR="00487449">
        <w:rPr>
          <w:rFonts w:ascii="Times New Roman" w:hAnsi="Times New Roman" w:cs="Times New Roman"/>
          <w:sz w:val="26"/>
          <w:szCs w:val="26"/>
        </w:rPr>
        <w:t>$</w:t>
      </w:r>
      <w:r w:rsidR="00166EE1">
        <w:rPr>
          <w:rFonts w:ascii="Times New Roman" w:hAnsi="Times New Roman" w:cs="Times New Roman"/>
          <w:sz w:val="26"/>
          <w:szCs w:val="26"/>
        </w:rPr>
        <w:t>2,78</w:t>
      </w:r>
      <w:r w:rsidR="006B250A">
        <w:rPr>
          <w:rFonts w:ascii="Times New Roman" w:hAnsi="Times New Roman" w:cs="Times New Roman"/>
          <w:sz w:val="26"/>
          <w:szCs w:val="26"/>
        </w:rPr>
        <w:t>5,</w:t>
      </w:r>
      <w:r w:rsidR="00271691">
        <w:rPr>
          <w:rFonts w:ascii="Times New Roman" w:hAnsi="Times New Roman" w:cs="Times New Roman"/>
          <w:sz w:val="26"/>
          <w:szCs w:val="26"/>
        </w:rPr>
        <w:t>6</w:t>
      </w:r>
      <w:r w:rsidR="006B250A">
        <w:rPr>
          <w:rFonts w:ascii="Times New Roman" w:hAnsi="Times New Roman" w:cs="Times New Roman"/>
          <w:sz w:val="26"/>
          <w:szCs w:val="26"/>
        </w:rPr>
        <w:t>40</w:t>
      </w:r>
      <w:r w:rsidR="0044381C">
        <w:rPr>
          <w:rFonts w:ascii="Times New Roman" w:hAnsi="Times New Roman" w:cs="Times New Roman"/>
          <w:sz w:val="26"/>
          <w:szCs w:val="26"/>
        </w:rPr>
        <w:t xml:space="preserve"> </w:t>
      </w:r>
      <w:r w:rsidR="00DE48DD" w:rsidRPr="001A236D">
        <w:rPr>
          <w:rFonts w:ascii="Times New Roman" w:hAnsi="Times New Roman" w:cs="Times New Roman"/>
          <w:sz w:val="26"/>
          <w:szCs w:val="26"/>
        </w:rPr>
        <w:t>(</w:t>
      </w:r>
      <w:r w:rsidR="00DE48DD" w:rsidRPr="008D223A">
        <w:rPr>
          <w:rFonts w:ascii="Times New Roman" w:hAnsi="Times New Roman" w:cs="Times New Roman"/>
          <w:sz w:val="26"/>
          <w:szCs w:val="26"/>
        </w:rPr>
        <w:t>an increase of</w:t>
      </w:r>
      <w:r w:rsidR="00DE48DD" w:rsidRPr="00CB4FC9">
        <w:rPr>
          <w:rFonts w:ascii="Times New Roman" w:hAnsi="Times New Roman" w:cs="Times New Roman"/>
          <w:sz w:val="26"/>
          <w:szCs w:val="26"/>
        </w:rPr>
        <w:t xml:space="preserve"> </w:t>
      </w:r>
      <w:r w:rsidR="00487449">
        <w:rPr>
          <w:rFonts w:ascii="Times New Roman" w:hAnsi="Times New Roman" w:cs="Times New Roman"/>
          <w:sz w:val="26"/>
          <w:szCs w:val="26"/>
        </w:rPr>
        <w:t>$</w:t>
      </w:r>
      <w:r w:rsidR="0044381C">
        <w:rPr>
          <w:rFonts w:ascii="Times New Roman" w:hAnsi="Times New Roman" w:cs="Times New Roman"/>
          <w:sz w:val="26"/>
          <w:szCs w:val="26"/>
        </w:rPr>
        <w:t>2,</w:t>
      </w:r>
      <w:r w:rsidR="00B61E20">
        <w:rPr>
          <w:rFonts w:ascii="Times New Roman" w:hAnsi="Times New Roman" w:cs="Times New Roman"/>
          <w:sz w:val="26"/>
          <w:szCs w:val="26"/>
        </w:rPr>
        <w:t>181,220</w:t>
      </w:r>
      <w:r w:rsidR="00DE48DD" w:rsidRPr="00CB4FC9">
        <w:rPr>
          <w:rFonts w:ascii="Times New Roman" w:hAnsi="Times New Roman" w:cs="Times New Roman"/>
          <w:sz w:val="26"/>
          <w:szCs w:val="26"/>
        </w:rPr>
        <w:t>).</w:t>
      </w:r>
    </w:p>
    <w:p w14:paraId="37877690" w14:textId="09B0606A" w:rsidR="0003135D" w:rsidRPr="0003135D" w:rsidRDefault="0003135D" w:rsidP="00EF1E3E">
      <w:pPr>
        <w:pStyle w:val="Default"/>
        <w:tabs>
          <w:tab w:val="left" w:pos="1440"/>
        </w:tabs>
        <w:spacing w:line="480" w:lineRule="auto"/>
        <w:ind w:firstLine="1440"/>
        <w:rPr>
          <w:rFonts w:ascii="Times New Roman" w:hAnsi="Times New Roman" w:cs="Times New Roman"/>
          <w:sz w:val="26"/>
        </w:rPr>
      </w:pPr>
      <w:r w:rsidRPr="008D223A">
        <w:rPr>
          <w:rFonts w:ascii="Times New Roman" w:hAnsi="Times New Roman" w:cs="Times New Roman"/>
          <w:sz w:val="26"/>
        </w:rPr>
        <w:t xml:space="preserve">The Board actions recommended in this item complies in all material respects with applicable State and federal laws, University of Illinois </w:t>
      </w:r>
      <w:r w:rsidRPr="008D223A">
        <w:rPr>
          <w:rFonts w:ascii="Times New Roman" w:hAnsi="Times New Roman" w:cs="Times New Roman"/>
          <w:i/>
          <w:sz w:val="26"/>
        </w:rPr>
        <w:t>Statutes</w:t>
      </w:r>
      <w:r w:rsidRPr="00E239A6">
        <w:rPr>
          <w:rFonts w:ascii="Times New Roman" w:hAnsi="Times New Roman" w:cs="Times New Roman"/>
          <w:sz w:val="26"/>
        </w:rPr>
        <w:t>,</w:t>
      </w:r>
      <w:r w:rsidRPr="008D223A">
        <w:rPr>
          <w:rFonts w:ascii="Times New Roman" w:hAnsi="Times New Roman" w:cs="Times New Roman"/>
          <w:sz w:val="26"/>
        </w:rPr>
        <w:t xml:space="preserve"> </w:t>
      </w:r>
      <w:r w:rsidRPr="008D223A">
        <w:rPr>
          <w:rFonts w:ascii="Times New Roman" w:hAnsi="Times New Roman" w:cs="Times New Roman"/>
          <w:i/>
          <w:sz w:val="26"/>
        </w:rPr>
        <w:t>The General Rules Concerning University Organization and Procedure</w:t>
      </w:r>
      <w:r w:rsidRPr="00E239A6">
        <w:rPr>
          <w:rFonts w:ascii="Times New Roman" w:hAnsi="Times New Roman" w:cs="Times New Roman"/>
          <w:sz w:val="26"/>
        </w:rPr>
        <w:t>,</w:t>
      </w:r>
      <w:r w:rsidRPr="008D223A">
        <w:rPr>
          <w:rFonts w:ascii="Times New Roman" w:hAnsi="Times New Roman" w:cs="Times New Roman"/>
          <w:sz w:val="26"/>
        </w:rPr>
        <w:t xml:space="preserve"> and Board of Trustees policies and directives.</w:t>
      </w:r>
    </w:p>
    <w:p w14:paraId="5F6CBA4A" w14:textId="22138174" w:rsidR="00B46248" w:rsidRPr="008F6425" w:rsidRDefault="00B46248" w:rsidP="00EF1E3E">
      <w:pPr>
        <w:tabs>
          <w:tab w:val="left" w:pos="1440"/>
        </w:tabs>
        <w:spacing w:line="480" w:lineRule="auto"/>
        <w:ind w:firstLine="1440"/>
        <w:rPr>
          <w:color w:val="000000"/>
          <w:szCs w:val="26"/>
          <w:u w:val="single"/>
        </w:rPr>
      </w:pPr>
      <w:r w:rsidRPr="008F6425">
        <w:rPr>
          <w:color w:val="000000"/>
          <w:szCs w:val="26"/>
        </w:rPr>
        <w:t>Funds for this project are available from</w:t>
      </w:r>
      <w:r w:rsidR="00E239A6">
        <w:rPr>
          <w:color w:val="000000"/>
          <w:szCs w:val="26"/>
        </w:rPr>
        <w:t xml:space="preserve"> UIUC</w:t>
      </w:r>
      <w:r w:rsidRPr="008F6425">
        <w:rPr>
          <w:color w:val="000000"/>
          <w:szCs w:val="26"/>
        </w:rPr>
        <w:t xml:space="preserve"> institutional funds</w:t>
      </w:r>
      <w:r w:rsidR="00852423">
        <w:rPr>
          <w:color w:val="000000"/>
          <w:szCs w:val="26"/>
        </w:rPr>
        <w:t xml:space="preserve">. The </w:t>
      </w:r>
      <w:r w:rsidRPr="008F6425">
        <w:rPr>
          <w:color w:val="000000"/>
          <w:szCs w:val="26"/>
        </w:rPr>
        <w:t>University of Illinois Urbana-Champaign</w:t>
      </w:r>
      <w:r w:rsidR="00852423">
        <w:rPr>
          <w:color w:val="000000"/>
          <w:szCs w:val="26"/>
        </w:rPr>
        <w:t xml:space="preserve"> has applied for an NSF grant</w:t>
      </w:r>
      <w:r w:rsidR="00EF1E3E">
        <w:rPr>
          <w:color w:val="000000"/>
          <w:szCs w:val="26"/>
        </w:rPr>
        <w:t>,</w:t>
      </w:r>
      <w:r w:rsidR="00852423">
        <w:rPr>
          <w:color w:val="000000"/>
          <w:szCs w:val="26"/>
        </w:rPr>
        <w:t xml:space="preserve"> which, if awarded, would provide funding for the construction of this project</w:t>
      </w:r>
      <w:r w:rsidRPr="008F6425">
        <w:rPr>
          <w:color w:val="000000"/>
          <w:szCs w:val="26"/>
        </w:rPr>
        <w:t xml:space="preserve">. </w:t>
      </w:r>
    </w:p>
    <w:p w14:paraId="69339321" w14:textId="644C0EAE" w:rsidR="00B46248" w:rsidRPr="00E415C7" w:rsidRDefault="00B46248" w:rsidP="00B46248">
      <w:pPr>
        <w:spacing w:before="12"/>
        <w:ind w:right="69" w:firstLine="1440"/>
        <w:rPr>
          <w:szCs w:val="26"/>
        </w:rPr>
      </w:pPr>
      <w:r w:rsidRPr="00CC06D9">
        <w:rPr>
          <w:szCs w:val="26"/>
        </w:rPr>
        <w:t xml:space="preserve">The </w:t>
      </w:r>
      <w:r w:rsidR="00EF1E3E">
        <w:rPr>
          <w:szCs w:val="26"/>
        </w:rPr>
        <w:t>p</w:t>
      </w:r>
      <w:r w:rsidRPr="00CC06D9">
        <w:rPr>
          <w:szCs w:val="26"/>
        </w:rPr>
        <w:t xml:space="preserve">resident of the University </w:t>
      </w:r>
      <w:r w:rsidRPr="00351CA4">
        <w:rPr>
          <w:szCs w:val="26"/>
        </w:rPr>
        <w:t xml:space="preserve">of Illinois System </w:t>
      </w:r>
      <w:r w:rsidRPr="00CC06D9">
        <w:rPr>
          <w:szCs w:val="26"/>
        </w:rPr>
        <w:t>concurs.</w:t>
      </w:r>
    </w:p>
    <w:p w14:paraId="1EC4A2C3" w14:textId="7AA0488E" w:rsidR="007072A5" w:rsidRDefault="007072A5" w:rsidP="00B46248">
      <w:pPr>
        <w:pStyle w:val="Default"/>
        <w:tabs>
          <w:tab w:val="left" w:pos="1440"/>
        </w:tabs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</w:p>
    <w:tbl>
      <w:tblPr>
        <w:tblW w:w="9080" w:type="dxa"/>
        <w:tblLook w:val="04A0" w:firstRow="1" w:lastRow="0" w:firstColumn="1" w:lastColumn="0" w:noHBand="0" w:noVBand="1"/>
      </w:tblPr>
      <w:tblGrid>
        <w:gridCol w:w="4140"/>
        <w:gridCol w:w="1800"/>
        <w:gridCol w:w="1500"/>
        <w:gridCol w:w="1640"/>
      </w:tblGrid>
      <w:tr w:rsidR="00EE07A2" w:rsidRPr="00EE07A2" w14:paraId="608A0237" w14:textId="77777777" w:rsidTr="00EE07A2">
        <w:trPr>
          <w:trHeight w:val="324"/>
        </w:trPr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AE13" w14:textId="77777777" w:rsidR="00EE07A2" w:rsidRPr="00EE07A2" w:rsidRDefault="00EE07A2" w:rsidP="00EE07A2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E07A2">
              <w:rPr>
                <w:color w:val="000000"/>
                <w:sz w:val="24"/>
                <w:szCs w:val="24"/>
              </w:rPr>
              <w:t>Table 1: Diverse Business Utilization</w:t>
            </w:r>
          </w:p>
        </w:tc>
      </w:tr>
      <w:tr w:rsidR="00EE07A2" w:rsidRPr="00EE07A2" w14:paraId="2189A877" w14:textId="77777777" w:rsidTr="00EE07A2">
        <w:trPr>
          <w:trHeight w:val="636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983E6CD" w14:textId="77777777" w:rsidR="00EE07A2" w:rsidRPr="00EE07A2" w:rsidRDefault="00EE07A2" w:rsidP="00EE07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E07A2">
              <w:rPr>
                <w:b/>
                <w:bCs/>
                <w:color w:val="000000"/>
                <w:sz w:val="24"/>
                <w:szCs w:val="24"/>
              </w:rPr>
              <w:t>Awarded Vendor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43A12C0" w14:textId="77777777" w:rsidR="00EE07A2" w:rsidRPr="00EE07A2" w:rsidRDefault="00EE07A2" w:rsidP="00EE07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E07A2">
              <w:rPr>
                <w:b/>
                <w:bCs/>
                <w:color w:val="000000"/>
                <w:sz w:val="24"/>
                <w:szCs w:val="24"/>
              </w:rPr>
              <w:t>PSC Agreement $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2EE2625" w14:textId="77777777" w:rsidR="00EE07A2" w:rsidRPr="00EE07A2" w:rsidRDefault="00EE07A2" w:rsidP="00EE07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E07A2">
              <w:rPr>
                <w:b/>
                <w:bCs/>
                <w:color w:val="000000"/>
                <w:sz w:val="24"/>
                <w:szCs w:val="24"/>
              </w:rPr>
              <w:t>Subcontract Value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053A1D7B" w14:textId="77777777" w:rsidR="00EE07A2" w:rsidRPr="00EE07A2" w:rsidRDefault="00EE07A2" w:rsidP="00EE07A2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E07A2">
              <w:rPr>
                <w:b/>
                <w:bCs/>
                <w:color w:val="000000"/>
                <w:sz w:val="24"/>
                <w:szCs w:val="24"/>
              </w:rPr>
              <w:t>Subvendor</w:t>
            </w:r>
            <w:proofErr w:type="spellEnd"/>
            <w:r w:rsidRPr="00EE07A2">
              <w:rPr>
                <w:b/>
                <w:bCs/>
                <w:color w:val="000000"/>
                <w:sz w:val="24"/>
                <w:szCs w:val="24"/>
              </w:rPr>
              <w:t xml:space="preserve"> % of Work</w:t>
            </w:r>
          </w:p>
        </w:tc>
      </w:tr>
      <w:tr w:rsidR="00EE07A2" w:rsidRPr="00EE07A2" w14:paraId="2D9907AA" w14:textId="77777777" w:rsidTr="008C5268">
        <w:trPr>
          <w:trHeight w:val="331"/>
        </w:trPr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10B137" w14:textId="46302E5B" w:rsidR="00EE07A2" w:rsidRPr="00EE07A2" w:rsidRDefault="00EE07A2" w:rsidP="00EE07A2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E07A2">
              <w:rPr>
                <w:color w:val="000000"/>
                <w:sz w:val="24"/>
                <w:szCs w:val="24"/>
              </w:rPr>
              <w:t>AECOM Technical Services, Inc.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B6D53" w14:textId="77777777" w:rsidR="00EE07A2" w:rsidRPr="00EE07A2" w:rsidRDefault="00EE07A2" w:rsidP="00EE07A2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E07A2">
              <w:rPr>
                <w:color w:val="000000"/>
                <w:sz w:val="24"/>
                <w:szCs w:val="24"/>
              </w:rPr>
              <w:t xml:space="preserve">$2,785,540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DDF52" w14:textId="77777777" w:rsidR="00EE07A2" w:rsidRPr="00EE07A2" w:rsidRDefault="00EE07A2" w:rsidP="00EE07A2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E07A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7D2247" w14:textId="77777777" w:rsidR="00EE07A2" w:rsidRPr="00EE07A2" w:rsidRDefault="00EE07A2" w:rsidP="00EE07A2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E07A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E07A2" w:rsidRPr="00EE07A2" w14:paraId="4C601502" w14:textId="77777777" w:rsidTr="008C5268">
        <w:trPr>
          <w:trHeight w:val="312"/>
        </w:trPr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C7C0A0" w14:textId="77777777" w:rsidR="00EE07A2" w:rsidRPr="00EE07A2" w:rsidRDefault="00EE07A2" w:rsidP="00EE07A2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E07A2">
              <w:rPr>
                <w:color w:val="000000"/>
                <w:sz w:val="24"/>
                <w:szCs w:val="24"/>
              </w:rPr>
              <w:t>Chicago, IL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598FC" w14:textId="77777777" w:rsidR="00EE07A2" w:rsidRPr="00EE07A2" w:rsidRDefault="00EE07A2" w:rsidP="00EE07A2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E07A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AD3BD" w14:textId="77777777" w:rsidR="00EE07A2" w:rsidRPr="00EE07A2" w:rsidRDefault="00EE07A2" w:rsidP="00EE07A2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E07A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D9CB7B" w14:textId="77777777" w:rsidR="00EE07A2" w:rsidRPr="00EE07A2" w:rsidRDefault="00EE07A2" w:rsidP="00EE07A2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E07A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E07A2" w:rsidRPr="00EE07A2" w14:paraId="22C45F39" w14:textId="77777777" w:rsidTr="008C5268">
        <w:trPr>
          <w:trHeight w:val="312"/>
        </w:trPr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12DA13" w14:textId="77777777" w:rsidR="00EE07A2" w:rsidRPr="00EE07A2" w:rsidRDefault="00EE07A2" w:rsidP="00EE07A2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E07A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4D767" w14:textId="77777777" w:rsidR="00EE07A2" w:rsidRPr="00EE07A2" w:rsidRDefault="00EE07A2" w:rsidP="00EE07A2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E07A2">
              <w:rPr>
                <w:color w:val="000000"/>
                <w:sz w:val="24"/>
                <w:szCs w:val="24"/>
              </w:rPr>
              <w:t>MBE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875B8" w14:textId="77777777" w:rsidR="00EE07A2" w:rsidRPr="00EE07A2" w:rsidRDefault="00EE07A2" w:rsidP="00EE07A2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E07A2">
              <w:rPr>
                <w:color w:val="000000"/>
                <w:sz w:val="24"/>
                <w:szCs w:val="24"/>
              </w:rPr>
              <w:t>$660,940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98CB85" w14:textId="77777777" w:rsidR="00EE07A2" w:rsidRPr="00EE07A2" w:rsidRDefault="00EE07A2" w:rsidP="00EE07A2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E07A2">
              <w:rPr>
                <w:color w:val="000000"/>
                <w:sz w:val="24"/>
                <w:szCs w:val="24"/>
              </w:rPr>
              <w:t>16%</w:t>
            </w:r>
          </w:p>
        </w:tc>
      </w:tr>
      <w:tr w:rsidR="00EE07A2" w:rsidRPr="00EE07A2" w14:paraId="28D5280E" w14:textId="77777777" w:rsidTr="008C5268">
        <w:trPr>
          <w:trHeight w:val="312"/>
        </w:trPr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85C022" w14:textId="77777777" w:rsidR="00EE07A2" w:rsidRPr="00EE07A2" w:rsidRDefault="00EE07A2" w:rsidP="00EE07A2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E07A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8BB8F" w14:textId="77777777" w:rsidR="00EE07A2" w:rsidRPr="00EE07A2" w:rsidRDefault="00EE07A2" w:rsidP="00EE07A2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E07A2">
              <w:rPr>
                <w:color w:val="000000"/>
                <w:sz w:val="24"/>
                <w:szCs w:val="24"/>
              </w:rPr>
              <w:t>VOSB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0234E" w14:textId="77777777" w:rsidR="00EE07A2" w:rsidRPr="00EE07A2" w:rsidRDefault="00EE07A2" w:rsidP="00EE07A2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E07A2">
              <w:rPr>
                <w:color w:val="000000"/>
                <w:sz w:val="24"/>
                <w:szCs w:val="24"/>
              </w:rPr>
              <w:t>$91,200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4756AF" w14:textId="77777777" w:rsidR="00EE07A2" w:rsidRPr="00EE07A2" w:rsidRDefault="00EE07A2" w:rsidP="00EE07A2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E07A2">
              <w:rPr>
                <w:color w:val="000000"/>
                <w:sz w:val="24"/>
                <w:szCs w:val="24"/>
              </w:rPr>
              <w:t>3%</w:t>
            </w:r>
          </w:p>
        </w:tc>
      </w:tr>
      <w:tr w:rsidR="00EE07A2" w:rsidRPr="00EE07A2" w14:paraId="306E8EF9" w14:textId="77777777" w:rsidTr="008C5268">
        <w:trPr>
          <w:trHeight w:val="324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46E6892" w14:textId="77777777" w:rsidR="00EE07A2" w:rsidRPr="00EE07A2" w:rsidRDefault="00EE07A2" w:rsidP="00EE07A2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E07A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E72F4" w14:textId="77777777" w:rsidR="00EE07A2" w:rsidRPr="00EE07A2" w:rsidRDefault="00EE07A2" w:rsidP="00EE07A2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E07A2">
              <w:rPr>
                <w:color w:val="000000"/>
                <w:sz w:val="24"/>
                <w:szCs w:val="24"/>
              </w:rPr>
              <w:t>WBE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CEEE4" w14:textId="77777777" w:rsidR="00EE07A2" w:rsidRPr="00EE07A2" w:rsidRDefault="00EE07A2" w:rsidP="00EE07A2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E07A2">
              <w:rPr>
                <w:color w:val="000000"/>
                <w:sz w:val="24"/>
                <w:szCs w:val="24"/>
              </w:rPr>
              <w:t>$186,000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E586BA" w14:textId="77777777" w:rsidR="00EE07A2" w:rsidRPr="00EE07A2" w:rsidRDefault="00EE07A2" w:rsidP="00EE07A2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E07A2">
              <w:rPr>
                <w:color w:val="000000"/>
                <w:sz w:val="24"/>
                <w:szCs w:val="24"/>
              </w:rPr>
              <w:t>15%</w:t>
            </w:r>
          </w:p>
        </w:tc>
      </w:tr>
      <w:tr w:rsidR="00EE07A2" w:rsidRPr="00EE07A2" w14:paraId="136BA32F" w14:textId="77777777" w:rsidTr="008C5268">
        <w:trPr>
          <w:trHeight w:val="312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FB49C" w14:textId="77777777" w:rsidR="00EE07A2" w:rsidRPr="00EE07A2" w:rsidRDefault="00EE07A2" w:rsidP="00EE07A2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E07A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08976" w14:textId="77777777" w:rsidR="00EE07A2" w:rsidRPr="00EE07A2" w:rsidRDefault="00EE07A2" w:rsidP="00EE07A2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E07A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1D9A" w14:textId="77777777" w:rsidR="00EE07A2" w:rsidRPr="00EE07A2" w:rsidRDefault="00EE07A2" w:rsidP="00EE07A2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E07A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BA7D74" w14:textId="77777777" w:rsidR="00EE07A2" w:rsidRPr="00EE07A2" w:rsidRDefault="00EE07A2" w:rsidP="00EE07A2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E07A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E07A2" w:rsidRPr="00EE07A2" w14:paraId="5062CBC2" w14:textId="77777777" w:rsidTr="008C5268">
        <w:trPr>
          <w:trHeight w:val="315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005F6" w14:textId="77777777" w:rsidR="00EE07A2" w:rsidRPr="00EE07A2" w:rsidRDefault="00EE07A2" w:rsidP="00EE07A2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07A2">
              <w:rPr>
                <w:color w:val="000000"/>
                <w:sz w:val="24"/>
                <w:szCs w:val="24"/>
              </w:rPr>
              <w:t>Total MBE (AFA)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17793" w14:textId="77777777" w:rsidR="00EE07A2" w:rsidRPr="00EE07A2" w:rsidRDefault="00EE07A2" w:rsidP="00EE07A2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E07A2">
              <w:rPr>
                <w:color w:val="000000"/>
                <w:sz w:val="24"/>
                <w:szCs w:val="24"/>
              </w:rPr>
              <w:t>$110,000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E507A3" w14:textId="77777777" w:rsidR="00EE07A2" w:rsidRPr="00EE07A2" w:rsidRDefault="00EE07A2" w:rsidP="00EE07A2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E07A2">
              <w:rPr>
                <w:color w:val="000000"/>
                <w:sz w:val="24"/>
                <w:szCs w:val="24"/>
              </w:rPr>
              <w:t>4%</w:t>
            </w:r>
          </w:p>
        </w:tc>
      </w:tr>
      <w:tr w:rsidR="00EE07A2" w:rsidRPr="00EE07A2" w14:paraId="6F81A300" w14:textId="77777777" w:rsidTr="008C5268">
        <w:trPr>
          <w:trHeight w:val="315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FBF9E" w14:textId="77777777" w:rsidR="00EE07A2" w:rsidRPr="00EE07A2" w:rsidRDefault="00EE07A2" w:rsidP="00EE07A2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07A2">
              <w:rPr>
                <w:color w:val="000000"/>
                <w:sz w:val="24"/>
                <w:szCs w:val="24"/>
              </w:rPr>
              <w:t>Total MBE (HA)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7110D" w14:textId="77777777" w:rsidR="00EE07A2" w:rsidRPr="00EE07A2" w:rsidRDefault="00EE07A2" w:rsidP="00EE07A2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E07A2">
              <w:rPr>
                <w:color w:val="000000"/>
                <w:sz w:val="24"/>
                <w:szCs w:val="24"/>
              </w:rPr>
              <w:t>$435,940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B5F4EA" w14:textId="77777777" w:rsidR="00EE07A2" w:rsidRPr="00EE07A2" w:rsidRDefault="00EE07A2" w:rsidP="00EE07A2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E07A2">
              <w:rPr>
                <w:color w:val="000000"/>
                <w:sz w:val="24"/>
                <w:szCs w:val="24"/>
              </w:rPr>
              <w:t>16%</w:t>
            </w:r>
          </w:p>
        </w:tc>
      </w:tr>
      <w:tr w:rsidR="00EE07A2" w:rsidRPr="00EE07A2" w14:paraId="4E7BF502" w14:textId="77777777" w:rsidTr="008C5268">
        <w:trPr>
          <w:trHeight w:val="315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729B7" w14:textId="77777777" w:rsidR="00EE07A2" w:rsidRPr="00EE07A2" w:rsidRDefault="00EE07A2" w:rsidP="00EE07A2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07A2">
              <w:rPr>
                <w:color w:val="000000"/>
                <w:sz w:val="24"/>
                <w:szCs w:val="24"/>
              </w:rPr>
              <w:t>Total MBE (ASA)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82EEB" w14:textId="77777777" w:rsidR="00EE07A2" w:rsidRPr="00EE07A2" w:rsidRDefault="00EE07A2" w:rsidP="00EE07A2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E07A2">
              <w:rPr>
                <w:color w:val="000000"/>
                <w:sz w:val="24"/>
                <w:szCs w:val="24"/>
              </w:rPr>
              <w:t>$115,000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CB441" w14:textId="77777777" w:rsidR="00EE07A2" w:rsidRPr="00EE07A2" w:rsidRDefault="00EE07A2" w:rsidP="00EE07A2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E07A2">
              <w:rPr>
                <w:color w:val="000000"/>
                <w:sz w:val="24"/>
                <w:szCs w:val="24"/>
              </w:rPr>
              <w:t>4%</w:t>
            </w:r>
          </w:p>
        </w:tc>
      </w:tr>
      <w:tr w:rsidR="00EE07A2" w:rsidRPr="00EE07A2" w14:paraId="642FEAAA" w14:textId="77777777" w:rsidTr="008C5268">
        <w:trPr>
          <w:trHeight w:val="315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32DF0" w14:textId="77777777" w:rsidR="00EE07A2" w:rsidRPr="00EE07A2" w:rsidRDefault="00EE07A2" w:rsidP="00EE07A2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07A2">
              <w:rPr>
                <w:color w:val="000000"/>
                <w:sz w:val="24"/>
                <w:szCs w:val="24"/>
              </w:rPr>
              <w:t>Total VOSB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60C5B" w14:textId="77777777" w:rsidR="00EE07A2" w:rsidRPr="00EE07A2" w:rsidRDefault="00EE07A2" w:rsidP="00EE07A2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E07A2">
              <w:rPr>
                <w:color w:val="000000"/>
                <w:sz w:val="24"/>
                <w:szCs w:val="24"/>
              </w:rPr>
              <w:t>$91,200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4D36D" w14:textId="77777777" w:rsidR="00EE07A2" w:rsidRPr="00EE07A2" w:rsidRDefault="00EE07A2" w:rsidP="00EE07A2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E07A2">
              <w:rPr>
                <w:color w:val="000000"/>
                <w:sz w:val="24"/>
                <w:szCs w:val="24"/>
              </w:rPr>
              <w:t>3%</w:t>
            </w:r>
          </w:p>
        </w:tc>
      </w:tr>
      <w:tr w:rsidR="00EE07A2" w:rsidRPr="00EE07A2" w14:paraId="2E4C95C4" w14:textId="77777777" w:rsidTr="008C5268">
        <w:trPr>
          <w:trHeight w:val="315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A7572" w14:textId="77777777" w:rsidR="00EE07A2" w:rsidRPr="00EE07A2" w:rsidRDefault="00EE07A2" w:rsidP="00EE07A2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07A2">
              <w:rPr>
                <w:color w:val="000000"/>
                <w:sz w:val="24"/>
                <w:szCs w:val="24"/>
              </w:rPr>
              <w:lastRenderedPageBreak/>
              <w:t>Total WBE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8494A" w14:textId="77777777" w:rsidR="00EE07A2" w:rsidRPr="00EE07A2" w:rsidRDefault="00EE07A2" w:rsidP="00EE07A2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E07A2">
              <w:rPr>
                <w:color w:val="000000"/>
                <w:sz w:val="24"/>
                <w:szCs w:val="24"/>
              </w:rPr>
              <w:t>$186,000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708289" w14:textId="77777777" w:rsidR="00EE07A2" w:rsidRPr="00EE07A2" w:rsidRDefault="00EE07A2" w:rsidP="00EE07A2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E07A2">
              <w:rPr>
                <w:color w:val="000000"/>
                <w:sz w:val="24"/>
                <w:szCs w:val="24"/>
              </w:rPr>
              <w:t>7%</w:t>
            </w:r>
          </w:p>
        </w:tc>
      </w:tr>
      <w:tr w:rsidR="00EE07A2" w:rsidRPr="00EE07A2" w14:paraId="1BF97E47" w14:textId="77777777" w:rsidTr="008C5268">
        <w:trPr>
          <w:trHeight w:val="330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A4B6E" w14:textId="77777777" w:rsidR="00EE07A2" w:rsidRPr="00EE07A2" w:rsidRDefault="00EE07A2" w:rsidP="00EE07A2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07A2">
              <w:rPr>
                <w:color w:val="000000"/>
                <w:sz w:val="24"/>
                <w:szCs w:val="24"/>
              </w:rPr>
              <w:t>Total Diversity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A2E3" w14:textId="77777777" w:rsidR="00EE07A2" w:rsidRPr="00EE07A2" w:rsidRDefault="00EE07A2" w:rsidP="00EE07A2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E07A2">
              <w:rPr>
                <w:color w:val="000000"/>
                <w:sz w:val="24"/>
                <w:szCs w:val="24"/>
              </w:rPr>
              <w:t>$938,140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91B5D5" w14:textId="77777777" w:rsidR="00EE07A2" w:rsidRPr="00EE07A2" w:rsidRDefault="00EE07A2" w:rsidP="00EE07A2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E07A2">
              <w:rPr>
                <w:color w:val="000000"/>
                <w:sz w:val="24"/>
                <w:szCs w:val="24"/>
              </w:rPr>
              <w:t>34%</w:t>
            </w:r>
          </w:p>
        </w:tc>
      </w:tr>
    </w:tbl>
    <w:p w14:paraId="276766FA" w14:textId="77777777" w:rsidR="00EE07A2" w:rsidRDefault="00EE07A2" w:rsidP="00B46248">
      <w:pPr>
        <w:pStyle w:val="Default"/>
        <w:tabs>
          <w:tab w:val="left" w:pos="1440"/>
        </w:tabs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</w:p>
    <w:sectPr w:rsidR="00EE07A2" w:rsidSect="00B832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1440" w:left="1440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96220" w14:textId="77777777" w:rsidR="00FD24A4" w:rsidRDefault="00FD24A4" w:rsidP="00621ED7">
      <w:r>
        <w:separator/>
      </w:r>
    </w:p>
  </w:endnote>
  <w:endnote w:type="continuationSeparator" w:id="0">
    <w:p w14:paraId="496084BB" w14:textId="77777777" w:rsidR="00FD24A4" w:rsidRDefault="00FD24A4" w:rsidP="0062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1490F" w14:textId="77777777" w:rsidR="00B8321F" w:rsidRDefault="00B832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D1AA7" w14:textId="77777777" w:rsidR="00B8321F" w:rsidRDefault="00B832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DB86A" w14:textId="77777777" w:rsidR="00B8321F" w:rsidRDefault="00B832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626B9" w14:textId="77777777" w:rsidR="00FD24A4" w:rsidRDefault="00FD24A4" w:rsidP="00621ED7">
      <w:r>
        <w:separator/>
      </w:r>
    </w:p>
  </w:footnote>
  <w:footnote w:type="continuationSeparator" w:id="0">
    <w:p w14:paraId="234D7164" w14:textId="77777777" w:rsidR="00FD24A4" w:rsidRDefault="00FD24A4" w:rsidP="00621ED7">
      <w:r>
        <w:continuationSeparator/>
      </w:r>
    </w:p>
  </w:footnote>
  <w:footnote w:id="1">
    <w:p w14:paraId="3C482DEF" w14:textId="1DB3767C" w:rsidR="00710A22" w:rsidRDefault="00710A22" w:rsidP="00710A22">
      <w:pPr>
        <w:pStyle w:val="FootnoteText"/>
      </w:pPr>
      <w:r w:rsidRPr="00ED0B90">
        <w:rPr>
          <w:rStyle w:val="FootnoteReference"/>
        </w:rPr>
        <w:footnoteRef/>
      </w:r>
      <w:r w:rsidRPr="00ED0B90">
        <w:t xml:space="preserve"> </w:t>
      </w:r>
      <w:r w:rsidRPr="00ED0B90">
        <w:rPr>
          <w:sz w:val="22"/>
          <w:szCs w:val="22"/>
        </w:rPr>
        <w:t xml:space="preserve">A selection committee consisting of </w:t>
      </w:r>
      <w:r>
        <w:rPr>
          <w:sz w:val="22"/>
          <w:szCs w:val="22"/>
        </w:rPr>
        <w:t>Jim Sims</w:t>
      </w:r>
      <w:r w:rsidR="00EF1E3E">
        <w:rPr>
          <w:sz w:val="22"/>
          <w:szCs w:val="22"/>
        </w:rPr>
        <w:t>, c</w:t>
      </w:r>
      <w:r>
        <w:rPr>
          <w:sz w:val="22"/>
          <w:szCs w:val="22"/>
        </w:rPr>
        <w:t xml:space="preserve">ampus </w:t>
      </w:r>
      <w:r w:rsidR="00EF1E3E">
        <w:rPr>
          <w:sz w:val="22"/>
          <w:szCs w:val="22"/>
        </w:rPr>
        <w:t>c</w:t>
      </w:r>
      <w:r>
        <w:rPr>
          <w:sz w:val="22"/>
          <w:szCs w:val="22"/>
        </w:rPr>
        <w:t xml:space="preserve">onstruction </w:t>
      </w:r>
      <w:r w:rsidR="00EF1E3E">
        <w:rPr>
          <w:sz w:val="22"/>
          <w:szCs w:val="22"/>
        </w:rPr>
        <w:t>u</w:t>
      </w:r>
      <w:r>
        <w:rPr>
          <w:sz w:val="22"/>
          <w:szCs w:val="22"/>
        </w:rPr>
        <w:t>nit/</w:t>
      </w:r>
      <w:r w:rsidR="00EF1E3E">
        <w:rPr>
          <w:sz w:val="22"/>
          <w:szCs w:val="22"/>
        </w:rPr>
        <w:t>c</w:t>
      </w:r>
      <w:r>
        <w:rPr>
          <w:sz w:val="22"/>
          <w:szCs w:val="22"/>
        </w:rPr>
        <w:t>hair</w:t>
      </w:r>
      <w:r w:rsidR="00EF1E3E">
        <w:rPr>
          <w:sz w:val="22"/>
          <w:szCs w:val="22"/>
        </w:rPr>
        <w:t>;</w:t>
      </w:r>
      <w:r w:rsidRPr="00ED0B9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Kelly Jo Hoffmann, F&amp;S </w:t>
      </w:r>
      <w:r w:rsidR="00EF1E3E">
        <w:rPr>
          <w:sz w:val="22"/>
          <w:szCs w:val="22"/>
        </w:rPr>
        <w:t>a</w:t>
      </w:r>
      <w:r>
        <w:rPr>
          <w:sz w:val="22"/>
          <w:szCs w:val="22"/>
        </w:rPr>
        <w:t xml:space="preserve">ssociate </w:t>
      </w:r>
      <w:r w:rsidR="00EF1E3E">
        <w:rPr>
          <w:sz w:val="22"/>
          <w:szCs w:val="22"/>
        </w:rPr>
        <w:t>director</w:t>
      </w:r>
      <w:r>
        <w:rPr>
          <w:sz w:val="22"/>
          <w:szCs w:val="22"/>
        </w:rPr>
        <w:t xml:space="preserve"> </w:t>
      </w:r>
      <w:r w:rsidR="00EF1E3E">
        <w:rPr>
          <w:sz w:val="22"/>
          <w:szCs w:val="22"/>
        </w:rPr>
        <w:t>o</w:t>
      </w:r>
      <w:r>
        <w:rPr>
          <w:sz w:val="22"/>
          <w:szCs w:val="22"/>
        </w:rPr>
        <w:t xml:space="preserve">f </w:t>
      </w:r>
      <w:r w:rsidR="00EF1E3E">
        <w:rPr>
          <w:sz w:val="22"/>
          <w:szCs w:val="22"/>
        </w:rPr>
        <w:t>e</w:t>
      </w:r>
      <w:r>
        <w:rPr>
          <w:sz w:val="22"/>
          <w:szCs w:val="22"/>
        </w:rPr>
        <w:t xml:space="preserve">ngineering </w:t>
      </w:r>
      <w:r w:rsidR="00EF1E3E">
        <w:rPr>
          <w:sz w:val="22"/>
          <w:szCs w:val="22"/>
        </w:rPr>
        <w:t>s</w:t>
      </w:r>
      <w:r>
        <w:rPr>
          <w:sz w:val="22"/>
          <w:szCs w:val="22"/>
        </w:rPr>
        <w:t>ervices</w:t>
      </w:r>
      <w:r w:rsidR="00EF1E3E">
        <w:rPr>
          <w:sz w:val="22"/>
          <w:szCs w:val="22"/>
        </w:rPr>
        <w:t>;</w:t>
      </w:r>
      <w:r w:rsidRPr="00ED0B90">
        <w:rPr>
          <w:sz w:val="22"/>
          <w:szCs w:val="22"/>
        </w:rPr>
        <w:t xml:space="preserve"> </w:t>
      </w:r>
      <w:r>
        <w:rPr>
          <w:sz w:val="22"/>
          <w:szCs w:val="22"/>
        </w:rPr>
        <w:t>Jim LaFave</w:t>
      </w:r>
      <w:r w:rsidR="00EF1E3E">
        <w:rPr>
          <w:sz w:val="22"/>
          <w:szCs w:val="22"/>
        </w:rPr>
        <w:t xml:space="preserve">, </w:t>
      </w:r>
      <w:r w:rsidR="00E239A6">
        <w:rPr>
          <w:sz w:val="22"/>
          <w:szCs w:val="22"/>
        </w:rPr>
        <w:t xml:space="preserve">The </w:t>
      </w:r>
      <w:r>
        <w:rPr>
          <w:sz w:val="22"/>
          <w:szCs w:val="22"/>
        </w:rPr>
        <w:t>Grain</w:t>
      </w:r>
      <w:r w:rsidR="00EF1E3E">
        <w:rPr>
          <w:sz w:val="22"/>
          <w:szCs w:val="22"/>
        </w:rPr>
        <w:t>g</w:t>
      </w:r>
      <w:r>
        <w:rPr>
          <w:sz w:val="22"/>
          <w:szCs w:val="22"/>
        </w:rPr>
        <w:t xml:space="preserve">er College of Engineering </w:t>
      </w:r>
      <w:r w:rsidR="00E239A6">
        <w:rPr>
          <w:sz w:val="22"/>
          <w:szCs w:val="22"/>
        </w:rPr>
        <w:t>r</w:t>
      </w:r>
      <w:r>
        <w:rPr>
          <w:sz w:val="22"/>
          <w:szCs w:val="22"/>
        </w:rPr>
        <w:t>epresentative (</w:t>
      </w:r>
      <w:r w:rsidR="00E239A6">
        <w:rPr>
          <w:sz w:val="22"/>
          <w:szCs w:val="22"/>
        </w:rPr>
        <w:t>c</w:t>
      </w:r>
      <w:r>
        <w:rPr>
          <w:sz w:val="22"/>
          <w:szCs w:val="22"/>
        </w:rPr>
        <w:t>lient)</w:t>
      </w:r>
      <w:r w:rsidRPr="00ED0B90">
        <w:rPr>
          <w:sz w:val="22"/>
          <w:szCs w:val="22"/>
        </w:rPr>
        <w:t xml:space="preserve"> and </w:t>
      </w:r>
      <w:r>
        <w:rPr>
          <w:sz w:val="22"/>
          <w:szCs w:val="22"/>
        </w:rPr>
        <w:t>Kensil Garnett, P.E.,</w:t>
      </w:r>
      <w:r w:rsidR="00CD31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IDOT Region 3 </w:t>
      </w:r>
      <w:r w:rsidR="00E239A6">
        <w:rPr>
          <w:sz w:val="22"/>
          <w:szCs w:val="22"/>
        </w:rPr>
        <w:t>e</w:t>
      </w:r>
      <w:r>
        <w:rPr>
          <w:sz w:val="22"/>
          <w:szCs w:val="22"/>
        </w:rPr>
        <w:t>ngineer</w:t>
      </w:r>
      <w:r w:rsidR="00EF1E3E">
        <w:rPr>
          <w:sz w:val="22"/>
          <w:szCs w:val="22"/>
        </w:rPr>
        <w:t>;</w:t>
      </w:r>
      <w:r>
        <w:rPr>
          <w:sz w:val="22"/>
          <w:szCs w:val="22"/>
        </w:rPr>
        <w:t xml:space="preserve"> Chris Rogan</w:t>
      </w:r>
      <w:r w:rsidR="00EF1E3E">
        <w:rPr>
          <w:sz w:val="22"/>
          <w:szCs w:val="22"/>
        </w:rPr>
        <w:t xml:space="preserve">, </w:t>
      </w:r>
      <w:r>
        <w:rPr>
          <w:sz w:val="22"/>
          <w:szCs w:val="22"/>
        </w:rPr>
        <w:t>University Office of Capital Programs &amp; Real Estate Services</w:t>
      </w:r>
      <w:r w:rsidR="00EF1E3E">
        <w:rPr>
          <w:sz w:val="22"/>
          <w:szCs w:val="22"/>
        </w:rPr>
        <w:t>;</w:t>
      </w:r>
      <w:r w:rsidRPr="00ED0B90">
        <w:rPr>
          <w:sz w:val="22"/>
          <w:szCs w:val="22"/>
        </w:rPr>
        <w:t xml:space="preserve"> </w:t>
      </w:r>
      <w:r w:rsidR="00CD3146">
        <w:rPr>
          <w:sz w:val="22"/>
          <w:szCs w:val="22"/>
        </w:rPr>
        <w:t xml:space="preserve">and </w:t>
      </w:r>
      <w:r>
        <w:rPr>
          <w:sz w:val="22"/>
          <w:szCs w:val="22"/>
        </w:rPr>
        <w:t>Dale Morrison</w:t>
      </w:r>
      <w:r w:rsidR="00EF1E3E">
        <w:rPr>
          <w:sz w:val="22"/>
          <w:szCs w:val="22"/>
        </w:rPr>
        <w:t>, a</w:t>
      </w:r>
      <w:r>
        <w:rPr>
          <w:sz w:val="22"/>
          <w:szCs w:val="22"/>
        </w:rPr>
        <w:t xml:space="preserve">ssistant </w:t>
      </w:r>
      <w:r w:rsidR="00EF1E3E">
        <w:rPr>
          <w:sz w:val="22"/>
          <w:szCs w:val="22"/>
        </w:rPr>
        <w:t>d</w:t>
      </w:r>
      <w:r>
        <w:rPr>
          <w:sz w:val="22"/>
          <w:szCs w:val="22"/>
        </w:rPr>
        <w:t>irector, Office of Procurement Diversity</w:t>
      </w:r>
      <w:r w:rsidR="00EF1E3E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ED0B90">
        <w:rPr>
          <w:sz w:val="22"/>
          <w:szCs w:val="22"/>
        </w:rPr>
        <w:t>interviewed the following firms</w:t>
      </w:r>
      <w:r w:rsidR="00CD3146">
        <w:rPr>
          <w:sz w:val="22"/>
          <w:szCs w:val="22"/>
        </w:rPr>
        <w:t>:</w:t>
      </w:r>
      <w:r>
        <w:rPr>
          <w:sz w:val="22"/>
          <w:szCs w:val="22"/>
        </w:rPr>
        <w:t xml:space="preserve"> AECOM Technical Services, Inc</w:t>
      </w:r>
      <w:r w:rsidRPr="00ED0B90">
        <w:rPr>
          <w:sz w:val="22"/>
          <w:szCs w:val="22"/>
        </w:rPr>
        <w:t>., Ch</w:t>
      </w:r>
      <w:r>
        <w:rPr>
          <w:sz w:val="22"/>
          <w:szCs w:val="22"/>
        </w:rPr>
        <w:t>icago</w:t>
      </w:r>
      <w:r w:rsidRPr="00ED0B90">
        <w:rPr>
          <w:sz w:val="22"/>
          <w:szCs w:val="22"/>
        </w:rPr>
        <w:t xml:space="preserve">, IL; </w:t>
      </w:r>
      <w:r>
        <w:rPr>
          <w:sz w:val="22"/>
          <w:szCs w:val="22"/>
        </w:rPr>
        <w:t>Hansen Professional Services, Inc., Springfield, IL</w:t>
      </w:r>
      <w:r w:rsidRPr="00ED0B90">
        <w:rPr>
          <w:sz w:val="22"/>
          <w:szCs w:val="22"/>
        </w:rPr>
        <w:t xml:space="preserve">; </w:t>
      </w:r>
      <w:r>
        <w:rPr>
          <w:sz w:val="22"/>
          <w:szCs w:val="22"/>
        </w:rPr>
        <w:t>TERRA Engineering, Ltd.</w:t>
      </w:r>
      <w:r w:rsidRPr="00ED0B90">
        <w:rPr>
          <w:sz w:val="22"/>
          <w:szCs w:val="22"/>
        </w:rPr>
        <w:t xml:space="preserve">, </w:t>
      </w:r>
      <w:r>
        <w:rPr>
          <w:sz w:val="22"/>
          <w:szCs w:val="22"/>
        </w:rPr>
        <w:t>Peoria</w:t>
      </w:r>
      <w:r w:rsidRPr="00ED0B90">
        <w:rPr>
          <w:sz w:val="22"/>
          <w:szCs w:val="22"/>
        </w:rPr>
        <w:t xml:space="preserve">, IL, </w:t>
      </w:r>
      <w:r>
        <w:rPr>
          <w:sz w:val="22"/>
          <w:szCs w:val="22"/>
        </w:rPr>
        <w:t xml:space="preserve">Chastain &amp; Associates, LLC, Decatur, IL; </w:t>
      </w:r>
      <w:r w:rsidR="00E239A6">
        <w:rPr>
          <w:sz w:val="22"/>
          <w:szCs w:val="22"/>
        </w:rPr>
        <w:t xml:space="preserve">and </w:t>
      </w:r>
      <w:r>
        <w:rPr>
          <w:sz w:val="22"/>
          <w:szCs w:val="22"/>
        </w:rPr>
        <w:t>Globetrotters Engineering Corporation, Chicago, IL</w:t>
      </w:r>
      <w:r w:rsidRPr="00ED0B90">
        <w:rPr>
          <w:sz w:val="22"/>
          <w:szCs w:val="22"/>
        </w:rPr>
        <w:t>. The committee recommend</w:t>
      </w:r>
      <w:r>
        <w:rPr>
          <w:sz w:val="22"/>
          <w:szCs w:val="22"/>
        </w:rPr>
        <w:t>s AECOM Technical Services, Inc</w:t>
      </w:r>
      <w:r w:rsidR="00E24260">
        <w:rPr>
          <w:sz w:val="22"/>
          <w:szCs w:val="22"/>
        </w:rPr>
        <w:t>.</w:t>
      </w:r>
      <w:r w:rsidRPr="00ED0B90">
        <w:rPr>
          <w:sz w:val="22"/>
          <w:szCs w:val="22"/>
        </w:rPr>
        <w:t>, Chicago, IL, as best meeting the criteria for the project.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78D5F" w14:textId="77777777" w:rsidR="00B8321F" w:rsidRDefault="00B832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49034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684FD6F" w14:textId="59F3D97F" w:rsidR="00E239A6" w:rsidRDefault="00E239A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11A1B4" w14:textId="77777777" w:rsidR="00E239A6" w:rsidRDefault="00E2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D4DE7" w14:textId="77777777" w:rsidR="00B8321F" w:rsidRDefault="00B832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IwMDA2NDQxNjWwMDVX0lEKTi0uzszPAykwrAUAuVBH/iwAAAA="/>
  </w:docVars>
  <w:rsids>
    <w:rsidRoot w:val="00FF7A5D"/>
    <w:rsid w:val="000119AB"/>
    <w:rsid w:val="000168FA"/>
    <w:rsid w:val="0003135D"/>
    <w:rsid w:val="000444CE"/>
    <w:rsid w:val="000771A3"/>
    <w:rsid w:val="000D17A2"/>
    <w:rsid w:val="00166EE1"/>
    <w:rsid w:val="00191C16"/>
    <w:rsid w:val="00196FF1"/>
    <w:rsid w:val="001A236D"/>
    <w:rsid w:val="001B2571"/>
    <w:rsid w:val="001E25CA"/>
    <w:rsid w:val="00206E57"/>
    <w:rsid w:val="002168D6"/>
    <w:rsid w:val="002361F3"/>
    <w:rsid w:val="00255F60"/>
    <w:rsid w:val="00264626"/>
    <w:rsid w:val="00271691"/>
    <w:rsid w:val="002740D4"/>
    <w:rsid w:val="00281157"/>
    <w:rsid w:val="00297D90"/>
    <w:rsid w:val="002B7FDA"/>
    <w:rsid w:val="002D75BA"/>
    <w:rsid w:val="00307C2C"/>
    <w:rsid w:val="00392C7C"/>
    <w:rsid w:val="003C43AB"/>
    <w:rsid w:val="003D2B7D"/>
    <w:rsid w:val="003E7D18"/>
    <w:rsid w:val="00401F3C"/>
    <w:rsid w:val="00402873"/>
    <w:rsid w:val="00412272"/>
    <w:rsid w:val="00441633"/>
    <w:rsid w:val="0044381C"/>
    <w:rsid w:val="00487449"/>
    <w:rsid w:val="004928A9"/>
    <w:rsid w:val="004B44D1"/>
    <w:rsid w:val="004C2352"/>
    <w:rsid w:val="00504C9D"/>
    <w:rsid w:val="00512A7B"/>
    <w:rsid w:val="00526FEB"/>
    <w:rsid w:val="00543FF0"/>
    <w:rsid w:val="00547943"/>
    <w:rsid w:val="00552086"/>
    <w:rsid w:val="00563FD3"/>
    <w:rsid w:val="00583006"/>
    <w:rsid w:val="005A2A07"/>
    <w:rsid w:val="005E4C84"/>
    <w:rsid w:val="005F3E60"/>
    <w:rsid w:val="00616DA3"/>
    <w:rsid w:val="00621ED7"/>
    <w:rsid w:val="00622ED4"/>
    <w:rsid w:val="00696D35"/>
    <w:rsid w:val="006B250A"/>
    <w:rsid w:val="007072A5"/>
    <w:rsid w:val="00710A22"/>
    <w:rsid w:val="007A1E51"/>
    <w:rsid w:val="007A4620"/>
    <w:rsid w:val="007D0E76"/>
    <w:rsid w:val="00827A4F"/>
    <w:rsid w:val="00852423"/>
    <w:rsid w:val="0086289D"/>
    <w:rsid w:val="00864884"/>
    <w:rsid w:val="008B5BE7"/>
    <w:rsid w:val="008C5268"/>
    <w:rsid w:val="008D06F1"/>
    <w:rsid w:val="008D223A"/>
    <w:rsid w:val="008D4B78"/>
    <w:rsid w:val="008E0E28"/>
    <w:rsid w:val="00950533"/>
    <w:rsid w:val="00967202"/>
    <w:rsid w:val="00984947"/>
    <w:rsid w:val="009F4E81"/>
    <w:rsid w:val="00A07187"/>
    <w:rsid w:val="00A073DB"/>
    <w:rsid w:val="00A12C16"/>
    <w:rsid w:val="00AA5162"/>
    <w:rsid w:val="00AD0702"/>
    <w:rsid w:val="00AE06F1"/>
    <w:rsid w:val="00B46248"/>
    <w:rsid w:val="00B571A9"/>
    <w:rsid w:val="00B60DC9"/>
    <w:rsid w:val="00B61E20"/>
    <w:rsid w:val="00B631A3"/>
    <w:rsid w:val="00B8321F"/>
    <w:rsid w:val="00BA20A6"/>
    <w:rsid w:val="00BC4D4C"/>
    <w:rsid w:val="00C474C6"/>
    <w:rsid w:val="00CB26A0"/>
    <w:rsid w:val="00CB4FC9"/>
    <w:rsid w:val="00CD3146"/>
    <w:rsid w:val="00CD6984"/>
    <w:rsid w:val="00D02EDC"/>
    <w:rsid w:val="00D225C6"/>
    <w:rsid w:val="00D4515E"/>
    <w:rsid w:val="00D945EE"/>
    <w:rsid w:val="00D958CC"/>
    <w:rsid w:val="00DB34A0"/>
    <w:rsid w:val="00DB5E25"/>
    <w:rsid w:val="00DD2C91"/>
    <w:rsid w:val="00DE14D0"/>
    <w:rsid w:val="00DE48DD"/>
    <w:rsid w:val="00DF6DB2"/>
    <w:rsid w:val="00E000F7"/>
    <w:rsid w:val="00E239A6"/>
    <w:rsid w:val="00E24260"/>
    <w:rsid w:val="00E63E6A"/>
    <w:rsid w:val="00E83BC3"/>
    <w:rsid w:val="00EA034F"/>
    <w:rsid w:val="00ED0B90"/>
    <w:rsid w:val="00EE07A2"/>
    <w:rsid w:val="00EE737B"/>
    <w:rsid w:val="00EF1E3E"/>
    <w:rsid w:val="00F00B41"/>
    <w:rsid w:val="00FC0242"/>
    <w:rsid w:val="00FC06EA"/>
    <w:rsid w:val="00FD24A4"/>
    <w:rsid w:val="00FD453F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3B7054"/>
  <w14:defaultImageDpi w14:val="0"/>
  <w15:docId w15:val="{6A61C5FB-780F-409F-A203-6EA30EA3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8D6"/>
    <w:pPr>
      <w:overflowPunct w:val="0"/>
      <w:autoSpaceDE w:val="0"/>
      <w:autoSpaceDN w:val="0"/>
      <w:adjustRightInd w:val="0"/>
      <w:spacing w:after="0" w:line="240" w:lineRule="auto"/>
    </w:pPr>
    <w:rPr>
      <w:sz w:val="26"/>
      <w:szCs w:val="20"/>
    </w:rPr>
  </w:style>
  <w:style w:type="paragraph" w:styleId="Heading1">
    <w:name w:val="heading 1"/>
    <w:basedOn w:val="Default"/>
    <w:next w:val="Normal"/>
    <w:link w:val="Heading1Char"/>
    <w:uiPriority w:val="9"/>
    <w:qFormat/>
    <w:rsid w:val="00D225C6"/>
    <w:pPr>
      <w:jc w:val="center"/>
      <w:outlineLvl w:val="0"/>
    </w:pPr>
    <w:rPr>
      <w:rFonts w:ascii="Times New Roman" w:hAnsi="Times New Roman" w:cs="Times New Roman"/>
      <w:color w:val="auto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customStyle="1" w:styleId="bdstyle1">
    <w:name w:val="bdstyle1"/>
    <w:basedOn w:val="Normal"/>
    <w:uiPriority w:val="99"/>
    <w:rsid w:val="002168D6"/>
    <w:pPr>
      <w:tabs>
        <w:tab w:val="left" w:pos="720"/>
        <w:tab w:val="left" w:pos="1440"/>
      </w:tabs>
      <w:ind w:left="1440" w:hanging="1440"/>
    </w:pPr>
  </w:style>
  <w:style w:type="paragraph" w:styleId="BalloonText">
    <w:name w:val="Balloon Text"/>
    <w:basedOn w:val="Normal"/>
    <w:link w:val="BalloonTextChar"/>
    <w:uiPriority w:val="99"/>
    <w:rsid w:val="00A12C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12C16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rsid w:val="00621ED7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21ED7"/>
    <w:rPr>
      <w:sz w:val="20"/>
      <w:szCs w:val="20"/>
    </w:rPr>
  </w:style>
  <w:style w:type="character" w:styleId="EndnoteReference">
    <w:name w:val="endnote reference"/>
    <w:basedOn w:val="DefaultParagraphFont"/>
    <w:uiPriority w:val="99"/>
    <w:rsid w:val="00621ED7"/>
    <w:rPr>
      <w:vertAlign w:val="superscript"/>
    </w:rPr>
  </w:style>
  <w:style w:type="paragraph" w:styleId="FootnoteText">
    <w:name w:val="footnote text"/>
    <w:basedOn w:val="Normal"/>
    <w:link w:val="FootnoteTextChar"/>
    <w:rsid w:val="00621ED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21ED7"/>
    <w:rPr>
      <w:sz w:val="20"/>
      <w:szCs w:val="20"/>
    </w:rPr>
  </w:style>
  <w:style w:type="character" w:styleId="FootnoteReference">
    <w:name w:val="footnote reference"/>
    <w:basedOn w:val="DefaultParagraphFont"/>
    <w:rsid w:val="00621ED7"/>
    <w:rPr>
      <w:vertAlign w:val="superscript"/>
    </w:rPr>
  </w:style>
  <w:style w:type="paragraph" w:customStyle="1" w:styleId="bdstyle2">
    <w:name w:val="bdstyle2"/>
    <w:basedOn w:val="Normal"/>
    <w:rsid w:val="007072A5"/>
    <w:pPr>
      <w:tabs>
        <w:tab w:val="left" w:pos="720"/>
        <w:tab w:val="left" w:pos="1440"/>
      </w:tabs>
      <w:spacing w:line="480" w:lineRule="auto"/>
      <w:ind w:firstLine="1440"/>
      <w:textAlignment w:val="baseline"/>
    </w:pPr>
  </w:style>
  <w:style w:type="paragraph" w:styleId="Revision">
    <w:name w:val="Revision"/>
    <w:hidden/>
    <w:uiPriority w:val="99"/>
    <w:semiHidden/>
    <w:rsid w:val="007A1E51"/>
    <w:pPr>
      <w:spacing w:after="0" w:line="240" w:lineRule="auto"/>
    </w:pPr>
    <w:rPr>
      <w:sz w:val="26"/>
      <w:szCs w:val="20"/>
    </w:rPr>
  </w:style>
  <w:style w:type="character" w:styleId="CommentReference">
    <w:name w:val="annotation reference"/>
    <w:basedOn w:val="DefaultParagraphFont"/>
    <w:uiPriority w:val="99"/>
    <w:rsid w:val="00CD31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D314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31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31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314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E2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9A6"/>
    <w:rPr>
      <w:sz w:val="26"/>
      <w:szCs w:val="20"/>
    </w:rPr>
  </w:style>
  <w:style w:type="paragraph" w:styleId="Footer">
    <w:name w:val="footer"/>
    <w:basedOn w:val="Normal"/>
    <w:link w:val="FooterChar"/>
    <w:uiPriority w:val="99"/>
    <w:rsid w:val="00E2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9A6"/>
    <w:rPr>
      <w:sz w:val="2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225C6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DCEA0-238A-4372-8F4D-3CE209F89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bduitsma</dc:creator>
  <cp:keywords/>
  <dc:description/>
  <cp:lastModifiedBy>Williams, Aubrie</cp:lastModifiedBy>
  <cp:revision>11</cp:revision>
  <cp:lastPrinted>2018-02-09T16:21:00Z</cp:lastPrinted>
  <dcterms:created xsi:type="dcterms:W3CDTF">2023-06-24T03:50:00Z</dcterms:created>
  <dcterms:modified xsi:type="dcterms:W3CDTF">2023-07-20T18:19:00Z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bfc2bbc5b6355b5547aeb73332d02b2766aa03d9e0e4d6b8ec8f8e5579370687</vt:lpwstr>
  </property>
</Properties>
</file>