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FA11" w14:textId="77777777" w:rsidR="007702E4" w:rsidRPr="007702E4" w:rsidRDefault="007702E4" w:rsidP="0077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 w:rsidRPr="007702E4">
        <w:rPr>
          <w:color w:val="FF0000"/>
        </w:rPr>
        <w:t>Approved by the Board of Trustees</w:t>
      </w:r>
    </w:p>
    <w:bookmarkEnd w:id="0"/>
    <w:p w14:paraId="0499097D" w14:textId="77777777" w:rsidR="007702E4" w:rsidRPr="007702E4" w:rsidRDefault="007702E4" w:rsidP="0077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 w:rsidRPr="007702E4">
        <w:rPr>
          <w:color w:val="FF0000"/>
        </w:rPr>
        <w:t>July 21, 2022</w:t>
      </w:r>
      <w:bookmarkEnd w:id="1"/>
    </w:p>
    <w:p w14:paraId="50B873F7" w14:textId="385DB46E" w:rsidR="009B6A47" w:rsidRPr="004F1674" w:rsidRDefault="009A5BC7" w:rsidP="004F1674">
      <w:pPr>
        <w:pStyle w:val="bdheading2"/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25</w:t>
      </w:r>
    </w:p>
    <w:p w14:paraId="5F3F740D" w14:textId="2053F343" w:rsidR="004F1674" w:rsidRDefault="004F1674" w:rsidP="004F1674">
      <w:pPr>
        <w:pStyle w:val="bdheading2"/>
      </w:pPr>
    </w:p>
    <w:p w14:paraId="4FA81154" w14:textId="7DADA1FF" w:rsidR="004F1674" w:rsidRDefault="004F1674" w:rsidP="004F1674">
      <w:pPr>
        <w:pStyle w:val="bdheading2"/>
      </w:pPr>
    </w:p>
    <w:p w14:paraId="092CB5B7" w14:textId="65316042" w:rsidR="004F1674" w:rsidRDefault="004F1674" w:rsidP="004F1674">
      <w:pPr>
        <w:pStyle w:val="bdheading2"/>
      </w:pPr>
      <w:r>
        <w:tab/>
        <w:t>Board Meeting</w:t>
      </w:r>
    </w:p>
    <w:p w14:paraId="2ABE4175" w14:textId="3246A7A2" w:rsidR="004F1674" w:rsidRDefault="004F1674" w:rsidP="004F1674">
      <w:pPr>
        <w:pStyle w:val="bdheading2"/>
      </w:pPr>
      <w:r>
        <w:tab/>
        <w:t>July 21, 2022</w:t>
      </w:r>
    </w:p>
    <w:p w14:paraId="1BFDD9BA" w14:textId="7496698B" w:rsidR="004F1674" w:rsidRDefault="004F1674" w:rsidP="004F1674">
      <w:pPr>
        <w:pStyle w:val="bdheading2"/>
      </w:pPr>
    </w:p>
    <w:p w14:paraId="495BE372" w14:textId="77777777" w:rsidR="004F1674" w:rsidRPr="00572405" w:rsidRDefault="004F1674" w:rsidP="004F1674">
      <w:pPr>
        <w:pStyle w:val="bdheading2"/>
      </w:pPr>
    </w:p>
    <w:p w14:paraId="4F45AACA" w14:textId="77777777" w:rsidR="009B6A47" w:rsidRPr="00572405" w:rsidRDefault="009B6A47" w:rsidP="004F1674">
      <w:pPr>
        <w:jc w:val="center"/>
      </w:pPr>
      <w:r w:rsidRPr="00572405">
        <w:t>ROLL CALL</w:t>
      </w:r>
    </w:p>
    <w:p w14:paraId="3EB5DBFA" w14:textId="77777777" w:rsidR="009B6A47" w:rsidRPr="00572405" w:rsidRDefault="009B6A47" w:rsidP="004F1674">
      <w:pPr>
        <w:jc w:val="center"/>
      </w:pPr>
    </w:p>
    <w:p w14:paraId="61C4E26E" w14:textId="6ED28C86" w:rsidR="009B6A47" w:rsidRPr="00AE7F7F" w:rsidRDefault="001E7F1D" w:rsidP="00AE7F7F">
      <w:pPr>
        <w:pStyle w:val="Heading1"/>
      </w:pPr>
      <w:r w:rsidRPr="00AE7F7F">
        <w:t xml:space="preserve">APPROVE </w:t>
      </w:r>
      <w:r w:rsidR="006D2746" w:rsidRPr="00AE7F7F">
        <w:t>PROFESSIONAL SERVICES CONSULTANT</w:t>
      </w:r>
      <w:r w:rsidR="00A522AF" w:rsidRPr="00AE7F7F">
        <w:t xml:space="preserve"> </w:t>
      </w:r>
      <w:r w:rsidRPr="00AE7F7F">
        <w:t xml:space="preserve">CONTRACT </w:t>
      </w:r>
      <w:r w:rsidR="00A522AF" w:rsidRPr="00AE7F7F">
        <w:t xml:space="preserve">FOR </w:t>
      </w:r>
      <w:r w:rsidR="0031325B" w:rsidRPr="00AE7F7F">
        <w:t xml:space="preserve">SWINE RESEARCH CENTER </w:t>
      </w:r>
      <w:r w:rsidRPr="00AE7F7F">
        <w:t xml:space="preserve">RELOCATION AND </w:t>
      </w:r>
      <w:r w:rsidR="0031325B" w:rsidRPr="00AE7F7F">
        <w:t>MODERNIZATION</w:t>
      </w:r>
      <w:r w:rsidR="005A05A7" w:rsidRPr="00AE7F7F">
        <w:t xml:space="preserve">, </w:t>
      </w:r>
      <w:r w:rsidRPr="00AE7F7F">
        <w:t>URBANA</w:t>
      </w:r>
    </w:p>
    <w:p w14:paraId="592F8348" w14:textId="5B99BBA8" w:rsidR="009B6A47" w:rsidRDefault="009B6A47" w:rsidP="004F1674">
      <w:pPr>
        <w:jc w:val="center"/>
      </w:pPr>
    </w:p>
    <w:p w14:paraId="54638C9F" w14:textId="77777777" w:rsidR="004F1674" w:rsidRDefault="004F1674" w:rsidP="004F1674">
      <w:pPr>
        <w:pStyle w:val="bdstyle1"/>
        <w:tabs>
          <w:tab w:val="clear" w:pos="720"/>
        </w:tabs>
        <w:ind w:left="0" w:firstLine="0"/>
        <w:rPr>
          <w:b/>
        </w:rPr>
      </w:pPr>
    </w:p>
    <w:p w14:paraId="1FFCAFD9" w14:textId="77777777" w:rsidR="004F1674" w:rsidRDefault="009B6A47" w:rsidP="004F1674">
      <w:pPr>
        <w:pStyle w:val="bdstyle1"/>
        <w:tabs>
          <w:tab w:val="clear" w:pos="720"/>
        </w:tabs>
        <w:ind w:left="0" w:firstLine="0"/>
      </w:pPr>
      <w:r w:rsidRPr="00572405">
        <w:rPr>
          <w:b/>
        </w:rPr>
        <w:t>Action:</w:t>
      </w:r>
      <w:r w:rsidRPr="00572405">
        <w:tab/>
      </w:r>
      <w:r w:rsidR="001E7F1D">
        <w:t xml:space="preserve">Approve </w:t>
      </w:r>
      <w:r w:rsidR="006D2746" w:rsidRPr="00572405">
        <w:t>Professional Services Consultant</w:t>
      </w:r>
      <w:r w:rsidR="00B830F0" w:rsidRPr="00572405">
        <w:t xml:space="preserve"> for</w:t>
      </w:r>
      <w:r w:rsidR="0035013E" w:rsidRPr="00572405">
        <w:t xml:space="preserve"> </w:t>
      </w:r>
      <w:r w:rsidR="0031325B" w:rsidRPr="00572405">
        <w:t xml:space="preserve">Swine Research Center </w:t>
      </w:r>
    </w:p>
    <w:p w14:paraId="0ECC3B86" w14:textId="3BF2E828" w:rsidR="009B6A47" w:rsidRPr="00756196" w:rsidRDefault="004F1674" w:rsidP="004F1674">
      <w:pPr>
        <w:pStyle w:val="bdstyle1"/>
        <w:tabs>
          <w:tab w:val="clear" w:pos="720"/>
        </w:tabs>
        <w:ind w:left="0" w:firstLine="0"/>
      </w:pPr>
      <w:r>
        <w:tab/>
      </w:r>
      <w:r w:rsidR="001E7F1D">
        <w:t xml:space="preserve">Relocation and </w:t>
      </w:r>
      <w:r w:rsidR="0031325B" w:rsidRPr="00572405">
        <w:t>Modernization</w:t>
      </w:r>
    </w:p>
    <w:p w14:paraId="4C143967" w14:textId="77777777" w:rsidR="005D221A" w:rsidRPr="00756196" w:rsidRDefault="005D221A" w:rsidP="004F1674">
      <w:pPr>
        <w:pStyle w:val="bdstyle1"/>
        <w:tabs>
          <w:tab w:val="clear" w:pos="720"/>
        </w:tabs>
        <w:ind w:left="0" w:firstLine="0"/>
      </w:pPr>
    </w:p>
    <w:p w14:paraId="476ABD36" w14:textId="77777777" w:rsidR="001E7F1D" w:rsidRPr="00F27A46" w:rsidRDefault="005D221A" w:rsidP="004F1674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642AFA">
        <w:rPr>
          <w:rFonts w:ascii="Times New Roman" w:hAnsi="Times New Roman" w:cs="Times New Roman"/>
          <w:b/>
          <w:color w:val="auto"/>
          <w:sz w:val="26"/>
          <w:szCs w:val="20"/>
        </w:rPr>
        <w:t>Funding:</w:t>
      </w:r>
      <w:r w:rsidRPr="00756196">
        <w:tab/>
      </w:r>
      <w:bookmarkStart w:id="2" w:name="OLE_LINK3"/>
      <w:bookmarkStart w:id="3" w:name="OLE_LINK4"/>
      <w:r w:rsidR="001E7F1D" w:rsidRPr="00F27A46">
        <w:rPr>
          <w:rFonts w:ascii="Times New Roman" w:hAnsi="Times New Roman" w:cs="Times New Roman"/>
          <w:color w:val="auto"/>
          <w:sz w:val="26"/>
          <w:szCs w:val="26"/>
        </w:rPr>
        <w:t>Institutional Funds Operating Budget and State Grant Funds</w:t>
      </w:r>
    </w:p>
    <w:p w14:paraId="3A65C0CF" w14:textId="77777777" w:rsidR="004F1674" w:rsidRDefault="001A3A0A" w:rsidP="004F1674">
      <w:pPr>
        <w:pStyle w:val="bdstyle1"/>
        <w:tabs>
          <w:tab w:val="clear" w:pos="720"/>
        </w:tabs>
        <w:ind w:left="0"/>
        <w:rPr>
          <w:b/>
        </w:rPr>
      </w:pPr>
      <w:r>
        <w:rPr>
          <w:b/>
        </w:rPr>
        <w:tab/>
      </w:r>
    </w:p>
    <w:p w14:paraId="5984CC00" w14:textId="70C11594" w:rsidR="00002F55" w:rsidRPr="00756196" w:rsidRDefault="00EE6DF9" w:rsidP="004F1674">
      <w:pPr>
        <w:pStyle w:val="bdstyle1"/>
        <w:tabs>
          <w:tab w:val="clear" w:pos="720"/>
        </w:tabs>
        <w:ind w:left="0"/>
      </w:pPr>
      <w:r w:rsidRPr="00756196">
        <w:tab/>
      </w:r>
    </w:p>
    <w:bookmarkEnd w:id="2"/>
    <w:bookmarkEnd w:id="3"/>
    <w:p w14:paraId="5692F577" w14:textId="383E0167" w:rsidR="0035013E" w:rsidRPr="00756196" w:rsidRDefault="00EB0417" w:rsidP="004F1674">
      <w:pPr>
        <w:pStyle w:val="bdstyle2"/>
        <w:tabs>
          <w:tab w:val="clear" w:pos="720"/>
        </w:tabs>
      </w:pPr>
      <w:r w:rsidRPr="00572405">
        <w:t xml:space="preserve">In </w:t>
      </w:r>
      <w:r w:rsidR="003464C8" w:rsidRPr="00572405">
        <w:t>November 2021</w:t>
      </w:r>
      <w:r w:rsidRPr="00572405">
        <w:t xml:space="preserve">, the Board approved the </w:t>
      </w:r>
      <w:r w:rsidR="003464C8" w:rsidRPr="00572405">
        <w:t xml:space="preserve">Swine Research Center </w:t>
      </w:r>
      <w:r w:rsidR="001E7F1D">
        <w:t xml:space="preserve">(SRC) Relocation and </w:t>
      </w:r>
      <w:r w:rsidR="003464C8" w:rsidRPr="00572405">
        <w:t>Modernization</w:t>
      </w:r>
      <w:r w:rsidR="001E7F1D">
        <w:t xml:space="preserve"> project </w:t>
      </w:r>
      <w:r w:rsidRPr="00572405">
        <w:t>with a budget of $</w:t>
      </w:r>
      <w:r w:rsidR="003464C8" w:rsidRPr="00572405">
        <w:t>18</w:t>
      </w:r>
      <w:r w:rsidR="008255B2">
        <w:t>.0</w:t>
      </w:r>
      <w:r w:rsidRPr="00572405">
        <w:t xml:space="preserve"> million</w:t>
      </w:r>
      <w:r w:rsidRPr="00756196">
        <w:t xml:space="preserve">. </w:t>
      </w:r>
      <w:r w:rsidR="004F1674">
        <w:t xml:space="preserve"> </w:t>
      </w:r>
      <w:r w:rsidR="003464C8" w:rsidRPr="008E4230">
        <w:rPr>
          <w:szCs w:val="26"/>
        </w:rPr>
        <w:t xml:space="preserve">This project will relocate critical operations from </w:t>
      </w:r>
      <w:r w:rsidR="00394EFD">
        <w:rPr>
          <w:szCs w:val="26"/>
        </w:rPr>
        <w:t xml:space="preserve">the </w:t>
      </w:r>
      <w:r w:rsidR="003464C8" w:rsidRPr="008E4230">
        <w:rPr>
          <w:szCs w:val="26"/>
        </w:rPr>
        <w:t>I</w:t>
      </w:r>
      <w:r w:rsidR="00572405">
        <w:rPr>
          <w:szCs w:val="26"/>
        </w:rPr>
        <w:t xml:space="preserve">mported </w:t>
      </w:r>
      <w:r w:rsidR="003464C8" w:rsidRPr="008E4230">
        <w:rPr>
          <w:szCs w:val="26"/>
        </w:rPr>
        <w:t>S</w:t>
      </w:r>
      <w:r w:rsidR="00572405">
        <w:rPr>
          <w:szCs w:val="26"/>
        </w:rPr>
        <w:t xml:space="preserve">wine Research </w:t>
      </w:r>
      <w:r w:rsidR="003464C8" w:rsidRPr="008E4230">
        <w:rPr>
          <w:szCs w:val="26"/>
        </w:rPr>
        <w:t>L</w:t>
      </w:r>
      <w:r w:rsidR="00572405">
        <w:rPr>
          <w:szCs w:val="26"/>
        </w:rPr>
        <w:t>aboratory (ISRL)</w:t>
      </w:r>
      <w:r w:rsidR="003464C8" w:rsidRPr="008E4230">
        <w:rPr>
          <w:szCs w:val="26"/>
        </w:rPr>
        <w:t xml:space="preserve"> to SRC</w:t>
      </w:r>
      <w:r w:rsidR="003464C8">
        <w:rPr>
          <w:szCs w:val="26"/>
        </w:rPr>
        <w:t xml:space="preserve">. </w:t>
      </w:r>
      <w:r w:rsidR="004F1674">
        <w:rPr>
          <w:szCs w:val="26"/>
        </w:rPr>
        <w:t xml:space="preserve"> </w:t>
      </w:r>
      <w:r w:rsidR="002878AB">
        <w:rPr>
          <w:szCs w:val="26"/>
        </w:rPr>
        <w:t xml:space="preserve">The </w:t>
      </w:r>
      <w:r w:rsidR="003464C8">
        <w:rPr>
          <w:szCs w:val="26"/>
        </w:rPr>
        <w:t xml:space="preserve">SRC will be modernized </w:t>
      </w:r>
      <w:r w:rsidR="003464C8" w:rsidRPr="008E4230">
        <w:rPr>
          <w:szCs w:val="26"/>
        </w:rPr>
        <w:t>to introduce proper biosecurity measures</w:t>
      </w:r>
      <w:r w:rsidR="00394EFD">
        <w:rPr>
          <w:szCs w:val="26"/>
        </w:rPr>
        <w:t xml:space="preserve"> including the</w:t>
      </w:r>
      <w:r w:rsidR="003464C8" w:rsidRPr="008E4230">
        <w:rPr>
          <w:szCs w:val="26"/>
        </w:rPr>
        <w:t xml:space="preserve"> addition of modular research pods designed to meet housing standards for gene-edited and biomedical pigs</w:t>
      </w:r>
      <w:r w:rsidR="00394EFD">
        <w:rPr>
          <w:szCs w:val="26"/>
        </w:rPr>
        <w:t xml:space="preserve"> and an</w:t>
      </w:r>
      <w:r w:rsidR="003464C8" w:rsidRPr="008E4230">
        <w:rPr>
          <w:szCs w:val="26"/>
        </w:rPr>
        <w:t xml:space="preserve"> addition of a technology-enabled breed-to-finish swine production </w:t>
      </w:r>
      <w:r w:rsidR="00394EFD">
        <w:rPr>
          <w:szCs w:val="26"/>
        </w:rPr>
        <w:t>flow with the</w:t>
      </w:r>
      <w:r w:rsidR="008255B2">
        <w:rPr>
          <w:szCs w:val="26"/>
        </w:rPr>
        <w:t xml:space="preserve"> </w:t>
      </w:r>
      <w:r w:rsidR="003464C8" w:rsidRPr="008E4230">
        <w:rPr>
          <w:szCs w:val="26"/>
        </w:rPr>
        <w:t>flexibility to meet ever-changing research needs</w:t>
      </w:r>
      <w:r w:rsidR="003464C8">
        <w:rPr>
          <w:szCs w:val="26"/>
        </w:rPr>
        <w:t>.</w:t>
      </w:r>
    </w:p>
    <w:p w14:paraId="5EDFAB6C" w14:textId="20514B1A" w:rsidR="00EB0417" w:rsidRDefault="00EB0417" w:rsidP="004F1674">
      <w:pPr>
        <w:pStyle w:val="bdstyle2"/>
        <w:tabs>
          <w:tab w:val="clear" w:pos="720"/>
        </w:tabs>
      </w:pPr>
      <w:r w:rsidRPr="00572405">
        <w:t xml:space="preserve">In order for the project to proceed, it is necessary to employ </w:t>
      </w:r>
      <w:r w:rsidR="00C42423" w:rsidRPr="00572405">
        <w:t>a professional services consultant</w:t>
      </w:r>
      <w:r w:rsidRPr="00572405">
        <w:t xml:space="preserve"> for the required professional services. </w:t>
      </w:r>
      <w:r w:rsidR="004F1674">
        <w:t xml:space="preserve"> </w:t>
      </w:r>
      <w:r w:rsidRPr="00572405">
        <w:t xml:space="preserve">The selection of the </w:t>
      </w:r>
      <w:r w:rsidR="00C42423" w:rsidRPr="00572405">
        <w:t>professional services consultant</w:t>
      </w:r>
      <w:r w:rsidRPr="00572405">
        <w:t xml:space="preserve"> for this project was in accordance with the requirements </w:t>
      </w:r>
      <w:r w:rsidRPr="00572405">
        <w:lastRenderedPageBreak/>
        <w:t>and provisions of Public Act 87-673 (Architectural, Engineering</w:t>
      </w:r>
      <w:r w:rsidR="00394EFD">
        <w:t>,</w:t>
      </w:r>
      <w:r w:rsidRPr="00572405">
        <w:t xml:space="preserve"> and Land Surveying Qualifications-Based Selection Act).</w:t>
      </w:r>
      <w:r w:rsidRPr="00572405">
        <w:rPr>
          <w:rStyle w:val="FootnoteReference"/>
        </w:rPr>
        <w:footnoteReference w:id="1"/>
      </w:r>
    </w:p>
    <w:p w14:paraId="45C03C3B" w14:textId="493114C6" w:rsidR="00EB0417" w:rsidRPr="0072330E" w:rsidRDefault="0020472F" w:rsidP="004F1674">
      <w:pPr>
        <w:pStyle w:val="bdstyle2"/>
        <w:tabs>
          <w:tab w:val="clear" w:pos="720"/>
        </w:tabs>
      </w:pPr>
      <w:r w:rsidRPr="008C5E87">
        <w:t>A</w:t>
      </w:r>
      <w:r w:rsidR="00C42423" w:rsidRPr="008C5E87">
        <w:t>ccordingly, the Chancellor, University of Illinois Urbana</w:t>
      </w:r>
      <w:r w:rsidR="008255B2">
        <w:t>-</w:t>
      </w:r>
      <w:r w:rsidR="00C42423" w:rsidRPr="008C5E87">
        <w:t>Champaign, and Vice President, University of Illinois</w:t>
      </w:r>
      <w:r w:rsidR="004F1674">
        <w:t xml:space="preserve"> System</w:t>
      </w:r>
      <w:r w:rsidR="00EB0417" w:rsidRPr="008C5E87">
        <w:t xml:space="preserve"> with the concurrence of the appropriate administrative officers recommend</w:t>
      </w:r>
      <w:r w:rsidR="004F1674">
        <w:t>s</w:t>
      </w:r>
      <w:r w:rsidR="00EB0417" w:rsidRPr="008C5E87">
        <w:t xml:space="preserve"> that </w:t>
      </w:r>
      <w:r w:rsidR="00384ADD" w:rsidRPr="008C5E87">
        <w:t>Bailey Edward Design</w:t>
      </w:r>
      <w:r w:rsidR="00E37EF8" w:rsidRPr="008C5E87">
        <w:t xml:space="preserve"> of Chicago</w:t>
      </w:r>
      <w:r w:rsidR="00477EF3" w:rsidRPr="008C5E87">
        <w:t>, IL</w:t>
      </w:r>
      <w:r w:rsidR="004F1674">
        <w:t>,</w:t>
      </w:r>
      <w:r w:rsidR="00EB0417" w:rsidRPr="008C5E87">
        <w:t xml:space="preserve"> be employed for the professional services required for</w:t>
      </w:r>
      <w:r w:rsidR="000E10EF">
        <w:t xml:space="preserve"> conceptualization, </w:t>
      </w:r>
      <w:r w:rsidR="008C5E87" w:rsidRPr="008C5E87">
        <w:t xml:space="preserve">schematic design, design </w:t>
      </w:r>
      <w:r w:rsidR="008C5E87" w:rsidRPr="0072330E">
        <w:t xml:space="preserve">development, </w:t>
      </w:r>
      <w:r w:rsidR="00EB0417" w:rsidRPr="0072330E">
        <w:t xml:space="preserve">construction documents, bidding, and construction administration phases of the project. </w:t>
      </w:r>
      <w:r w:rsidR="004F1674">
        <w:t xml:space="preserve"> </w:t>
      </w:r>
      <w:r w:rsidR="00EB0417" w:rsidRPr="0072330E">
        <w:t xml:space="preserve">The firm’s </w:t>
      </w:r>
      <w:r w:rsidR="00384ADD" w:rsidRPr="0072330E">
        <w:t xml:space="preserve">Basic Services </w:t>
      </w:r>
      <w:r w:rsidR="00EB0417" w:rsidRPr="0072330E">
        <w:t xml:space="preserve">fixed fee will be </w:t>
      </w:r>
      <w:bookmarkStart w:id="4" w:name="OLE_LINK1"/>
      <w:bookmarkStart w:id="5" w:name="OLE_LINK2"/>
      <w:r w:rsidR="00EB0417" w:rsidRPr="0072330E">
        <w:t>$</w:t>
      </w:r>
      <w:bookmarkEnd w:id="4"/>
      <w:bookmarkEnd w:id="5"/>
      <w:r w:rsidR="002C7B9E" w:rsidRPr="0072330E">
        <w:t>8</w:t>
      </w:r>
      <w:r w:rsidR="00384ADD" w:rsidRPr="0072330E">
        <w:t>68</w:t>
      </w:r>
      <w:r w:rsidR="002C7B9E" w:rsidRPr="0072330E">
        <w:t>,</w:t>
      </w:r>
      <w:r w:rsidR="00384ADD" w:rsidRPr="0072330E">
        <w:t>077</w:t>
      </w:r>
      <w:r w:rsidR="00EB0417" w:rsidRPr="0072330E">
        <w:t xml:space="preserve">; for on-site observation on an hourly basis not to exceed </w:t>
      </w:r>
      <w:r w:rsidR="00291580" w:rsidRPr="0072330E">
        <w:t>$</w:t>
      </w:r>
      <w:r w:rsidR="00687D5D" w:rsidRPr="0072330E">
        <w:t>38</w:t>
      </w:r>
      <w:r w:rsidR="002C7B9E" w:rsidRPr="0072330E">
        <w:t>,</w:t>
      </w:r>
      <w:r w:rsidR="00384ADD" w:rsidRPr="0072330E">
        <w:t>0</w:t>
      </w:r>
      <w:r w:rsidR="00687D5D" w:rsidRPr="0072330E">
        <w:t>16</w:t>
      </w:r>
      <w:r w:rsidR="00EB0417" w:rsidRPr="0072330E">
        <w:t xml:space="preserve">; for warranty phase on an hourly basis not to exceed </w:t>
      </w:r>
      <w:r w:rsidR="00291580" w:rsidRPr="0072330E">
        <w:t>$</w:t>
      </w:r>
      <w:r w:rsidR="00384ADD" w:rsidRPr="0072330E">
        <w:t>1</w:t>
      </w:r>
      <w:r w:rsidR="00687D5D" w:rsidRPr="0072330E">
        <w:t>5</w:t>
      </w:r>
      <w:r w:rsidR="002C7B9E" w:rsidRPr="0072330E">
        <w:t>,</w:t>
      </w:r>
      <w:r w:rsidR="00687D5D" w:rsidRPr="0072330E">
        <w:t>750</w:t>
      </w:r>
      <w:r w:rsidR="00EB0417" w:rsidRPr="0072330E">
        <w:t>;</w:t>
      </w:r>
      <w:r w:rsidR="00687D5D" w:rsidRPr="0072330E">
        <w:t xml:space="preserve"> for furniture, fixtures </w:t>
      </w:r>
      <w:r w:rsidR="008255B2">
        <w:t>and</w:t>
      </w:r>
      <w:r w:rsidR="00703110" w:rsidRPr="0072330E">
        <w:t xml:space="preserve"> equipment design not to excee</w:t>
      </w:r>
      <w:r w:rsidR="008518D5">
        <w:t xml:space="preserve">d </w:t>
      </w:r>
      <w:r w:rsidR="00703110" w:rsidRPr="0072330E">
        <w:t>$62,000;</w:t>
      </w:r>
      <w:r w:rsidR="00EB0417" w:rsidRPr="0072330E">
        <w:t xml:space="preserve"> </w:t>
      </w:r>
      <w:r w:rsidR="00AE774E" w:rsidRPr="0072330E">
        <w:t xml:space="preserve">for conceptualization phase on a fixed fee of $99,820; </w:t>
      </w:r>
      <w:r w:rsidR="00EB0417" w:rsidRPr="0072330E">
        <w:t xml:space="preserve">for authorized reimbursable expenses estimated at </w:t>
      </w:r>
      <w:r w:rsidR="00291580" w:rsidRPr="0072330E">
        <w:t>$</w:t>
      </w:r>
      <w:r w:rsidR="00384ADD" w:rsidRPr="0072330E">
        <w:t>7</w:t>
      </w:r>
      <w:r w:rsidR="00687D5D" w:rsidRPr="0072330E">
        <w:t>2</w:t>
      </w:r>
      <w:r w:rsidR="00384ADD" w:rsidRPr="0072330E">
        <w:t>,</w:t>
      </w:r>
      <w:r w:rsidR="00687D5D" w:rsidRPr="0072330E">
        <w:t>9</w:t>
      </w:r>
      <w:r w:rsidR="00384ADD" w:rsidRPr="0072330E">
        <w:t>15</w:t>
      </w:r>
      <w:r w:rsidR="00C42423" w:rsidRPr="0072330E">
        <w:t xml:space="preserve">; </w:t>
      </w:r>
      <w:r w:rsidR="005140EB" w:rsidRPr="0072330E">
        <w:t>for other supplemental services for a fixed fee of $</w:t>
      </w:r>
      <w:r w:rsidR="00687D5D" w:rsidRPr="0072330E">
        <w:t>15</w:t>
      </w:r>
      <w:r w:rsidR="00384ADD" w:rsidRPr="0072330E">
        <w:t>,</w:t>
      </w:r>
      <w:r w:rsidR="00687D5D" w:rsidRPr="0072330E">
        <w:t>120</w:t>
      </w:r>
      <w:r w:rsidR="00C42423" w:rsidRPr="0072330E">
        <w:t xml:space="preserve">; and for other supplemental services on </w:t>
      </w:r>
      <w:r w:rsidRPr="0072330E">
        <w:t>an hourly basis not to exceed $</w:t>
      </w:r>
      <w:r w:rsidR="00AE774E" w:rsidRPr="0072330E">
        <w:t>158</w:t>
      </w:r>
      <w:r w:rsidR="003E45D8" w:rsidRPr="0072330E">
        <w:t>,</w:t>
      </w:r>
      <w:r w:rsidR="00AE774E" w:rsidRPr="0072330E">
        <w:t>056</w:t>
      </w:r>
      <w:r w:rsidR="005140EB" w:rsidRPr="0072330E">
        <w:t>.</w:t>
      </w:r>
      <w:r w:rsidR="004F1674">
        <w:t xml:space="preserve"> </w:t>
      </w:r>
      <w:r w:rsidR="00A543D3">
        <w:t xml:space="preserve"> This will bring the total contract value </w:t>
      </w:r>
      <w:r w:rsidR="008255B2">
        <w:t xml:space="preserve">to </w:t>
      </w:r>
      <w:r w:rsidR="00A543D3">
        <w:t>$1,329,754.</w:t>
      </w:r>
    </w:p>
    <w:p w14:paraId="7AD36FC8" w14:textId="77777777" w:rsidR="008B50D5" w:rsidRPr="001A3A0A" w:rsidRDefault="00D46DC8" w:rsidP="004F1674">
      <w:pPr>
        <w:pStyle w:val="bdstyle2"/>
        <w:tabs>
          <w:tab w:val="clear" w:pos="720"/>
        </w:tabs>
      </w:pPr>
      <w:r w:rsidRPr="0072330E">
        <w:t xml:space="preserve">The </w:t>
      </w:r>
      <w:r w:rsidR="00477EF3" w:rsidRPr="0072330E">
        <w:t>B</w:t>
      </w:r>
      <w:r w:rsidR="008B50D5" w:rsidRPr="0072330E">
        <w:t>oard action recommended in this item complies in all material respects with applicable State and federal laws, University of Illinois</w:t>
      </w:r>
      <w:r w:rsidR="008B50D5" w:rsidRPr="001A3A0A">
        <w:t xml:space="preserve"> </w:t>
      </w:r>
      <w:r w:rsidR="008B50D5" w:rsidRPr="001A3A0A">
        <w:rPr>
          <w:i/>
        </w:rPr>
        <w:t>Statutes</w:t>
      </w:r>
      <w:r w:rsidR="008B50D5" w:rsidRPr="001A3A0A">
        <w:t xml:space="preserve">, </w:t>
      </w:r>
      <w:r w:rsidR="008B50D5" w:rsidRPr="001A3A0A">
        <w:rPr>
          <w:i/>
        </w:rPr>
        <w:t>The General Rules Concerning University Organization and Procedure</w:t>
      </w:r>
      <w:r w:rsidR="008B50D5" w:rsidRPr="001A3A0A">
        <w:t>, and Board of Trustees policies and directives.</w:t>
      </w:r>
    </w:p>
    <w:p w14:paraId="4502CCC4" w14:textId="4EB48C0A" w:rsidR="00EF4C42" w:rsidRPr="008E4AFA" w:rsidRDefault="00EF4C42" w:rsidP="004F1674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E4AFA">
        <w:rPr>
          <w:rFonts w:ascii="Times New Roman" w:hAnsi="Times New Roman" w:cs="Times New Roman"/>
          <w:sz w:val="26"/>
          <w:szCs w:val="26"/>
        </w:rPr>
        <w:t xml:space="preserve">Funds for this project are available from institutional funds operating </w:t>
      </w:r>
      <w:r w:rsidRPr="008E4AFA">
        <w:rPr>
          <w:rFonts w:ascii="Times New Roman" w:hAnsi="Times New Roman" w:cs="Times New Roman"/>
          <w:sz w:val="26"/>
          <w:szCs w:val="26"/>
        </w:rPr>
        <w:lastRenderedPageBreak/>
        <w:t>budget of the University of Illinois Urbana-Champaign and State grant funds.</w:t>
      </w:r>
    </w:p>
    <w:p w14:paraId="351622AB" w14:textId="639949E6" w:rsidR="000C63B2" w:rsidRDefault="000C63B2" w:rsidP="004F1674">
      <w:pPr>
        <w:tabs>
          <w:tab w:val="left" w:pos="1440"/>
        </w:tabs>
        <w:spacing w:line="480" w:lineRule="auto"/>
        <w:rPr>
          <w:szCs w:val="26"/>
        </w:rPr>
      </w:pPr>
      <w:r w:rsidRPr="001A3A0A">
        <w:rPr>
          <w:szCs w:val="26"/>
        </w:rPr>
        <w:tab/>
        <w:t xml:space="preserve">The President of the University </w:t>
      </w:r>
      <w:r w:rsidR="004F1674">
        <w:rPr>
          <w:szCs w:val="26"/>
        </w:rPr>
        <w:t xml:space="preserve">of Illinois System </w:t>
      </w:r>
      <w:r w:rsidRPr="001A3A0A">
        <w:rPr>
          <w:szCs w:val="26"/>
        </w:rPr>
        <w:t>concurs.</w:t>
      </w:r>
    </w:p>
    <w:p w14:paraId="2D3CB936" w14:textId="4B78A539" w:rsidR="000C63B2" w:rsidRDefault="00A61E7F" w:rsidP="004F1674">
      <w:pPr>
        <w:tabs>
          <w:tab w:val="left" w:pos="1440"/>
          <w:tab w:val="left" w:pos="6480"/>
        </w:tabs>
        <w:rPr>
          <w:szCs w:val="26"/>
        </w:rPr>
      </w:pPr>
      <w:r>
        <w:rPr>
          <w:szCs w:val="26"/>
        </w:rPr>
        <w:tab/>
      </w:r>
      <w:r w:rsidR="000C63B2">
        <w:rPr>
          <w:szCs w:val="26"/>
        </w:rPr>
        <w:tab/>
      </w:r>
    </w:p>
    <w:p w14:paraId="1CFF2510" w14:textId="78B93D0E" w:rsidR="00EF4C42" w:rsidRDefault="00EF4C42" w:rsidP="004F1674">
      <w:pPr>
        <w:tabs>
          <w:tab w:val="left" w:pos="1440"/>
          <w:tab w:val="left" w:pos="6480"/>
        </w:tabs>
        <w:rPr>
          <w:szCs w:val="26"/>
        </w:rPr>
      </w:pPr>
    </w:p>
    <w:p w14:paraId="75682D3B" w14:textId="4ACD07E2" w:rsidR="00EF4C42" w:rsidRDefault="00EF4C42" w:rsidP="004F1674">
      <w:pPr>
        <w:tabs>
          <w:tab w:val="left" w:pos="1440"/>
          <w:tab w:val="left" w:pos="6480"/>
        </w:tabs>
        <w:rPr>
          <w:szCs w:val="26"/>
        </w:rPr>
      </w:pPr>
    </w:p>
    <w:tbl>
      <w:tblPr>
        <w:tblW w:w="7400" w:type="dxa"/>
        <w:tblLook w:val="04A0" w:firstRow="1" w:lastRow="0" w:firstColumn="1" w:lastColumn="0" w:noHBand="0" w:noVBand="1"/>
      </w:tblPr>
      <w:tblGrid>
        <w:gridCol w:w="2880"/>
        <w:gridCol w:w="1480"/>
        <w:gridCol w:w="1520"/>
        <w:gridCol w:w="1520"/>
      </w:tblGrid>
      <w:tr w:rsidR="00EF4C42" w:rsidRPr="00EF4C42" w14:paraId="1602F972" w14:textId="77777777" w:rsidTr="00EF4C42">
        <w:trPr>
          <w:trHeight w:val="324"/>
        </w:trPr>
        <w:tc>
          <w:tcPr>
            <w:tcW w:w="7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7A27" w14:textId="77777777" w:rsidR="00EF4C42" w:rsidRPr="00EF4C42" w:rsidRDefault="00EF4C42" w:rsidP="004F167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Table 1: Diverse Business Utilization</w:t>
            </w:r>
          </w:p>
        </w:tc>
      </w:tr>
      <w:tr w:rsidR="00EF4C42" w:rsidRPr="00EF4C42" w14:paraId="5021490C" w14:textId="77777777" w:rsidTr="00EF4C42">
        <w:trPr>
          <w:trHeight w:val="636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B2844A3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F4C42">
              <w:rPr>
                <w:b/>
                <w:bCs/>
                <w:color w:val="000000"/>
                <w:sz w:val="24"/>
                <w:szCs w:val="24"/>
              </w:rPr>
              <w:t>Awarded Vendor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2DDD9DD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F4C42">
              <w:rPr>
                <w:b/>
                <w:bCs/>
                <w:color w:val="000000"/>
                <w:sz w:val="24"/>
                <w:szCs w:val="24"/>
              </w:rPr>
              <w:t>PSC Agreement $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3FBB30D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F4C42">
              <w:rPr>
                <w:b/>
                <w:bCs/>
                <w:color w:val="000000"/>
                <w:sz w:val="24"/>
                <w:szCs w:val="24"/>
              </w:rPr>
              <w:t>Subcontract Value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5A10C34D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F4C42">
              <w:rPr>
                <w:b/>
                <w:bCs/>
                <w:color w:val="000000"/>
                <w:sz w:val="24"/>
                <w:szCs w:val="24"/>
              </w:rPr>
              <w:t>Subvendor % of Work</w:t>
            </w:r>
          </w:p>
        </w:tc>
      </w:tr>
      <w:tr w:rsidR="00EF4C42" w:rsidRPr="00EF4C42" w14:paraId="7895CFCA" w14:textId="77777777" w:rsidTr="00EF4C42">
        <w:trPr>
          <w:trHeight w:val="435"/>
        </w:trPr>
        <w:tc>
          <w:tcPr>
            <w:tcW w:w="2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7FC36AA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Bailey Edward Design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E16A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 xml:space="preserve">$1,329,754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6831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EDA9F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F4C42" w:rsidRPr="00EF4C42" w14:paraId="7C003984" w14:textId="77777777" w:rsidTr="00EF4C42">
        <w:trPr>
          <w:trHeight w:val="435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5163E8" w14:textId="77777777" w:rsidR="00EF4C42" w:rsidRPr="00EF4C42" w:rsidRDefault="00EF4C42" w:rsidP="004F167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87EF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AEB3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BB876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F4C42" w:rsidRPr="00EF4C42" w14:paraId="3B2208B5" w14:textId="77777777" w:rsidTr="00EF4C42">
        <w:trPr>
          <w:trHeight w:val="435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AB7511" w14:textId="77777777" w:rsidR="00EF4C42" w:rsidRPr="00EF4C42" w:rsidRDefault="00EF4C42" w:rsidP="004F167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C73E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MBE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8CF7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$0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A815F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0%</w:t>
            </w:r>
          </w:p>
        </w:tc>
      </w:tr>
      <w:tr w:rsidR="00EF4C42" w:rsidRPr="00EF4C42" w14:paraId="586719F1" w14:textId="77777777" w:rsidTr="00EF4C42">
        <w:trPr>
          <w:trHeight w:val="435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B4E784" w14:textId="77777777" w:rsidR="00EF4C42" w:rsidRPr="00EF4C42" w:rsidRDefault="00EF4C42" w:rsidP="004F167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6BAC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VOSB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9295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$39,893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92396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3%</w:t>
            </w:r>
          </w:p>
        </w:tc>
      </w:tr>
      <w:tr w:rsidR="00EF4C42" w:rsidRPr="00EF4C42" w14:paraId="5D03640F" w14:textId="77777777" w:rsidTr="00EF4C42">
        <w:trPr>
          <w:trHeight w:val="435"/>
        </w:trPr>
        <w:tc>
          <w:tcPr>
            <w:tcW w:w="2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5B147C" w14:textId="77777777" w:rsidR="00EF4C42" w:rsidRPr="00EF4C42" w:rsidRDefault="00EF4C42" w:rsidP="004F167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9C08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WBE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C795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$582,579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06F86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44%</w:t>
            </w:r>
          </w:p>
        </w:tc>
      </w:tr>
      <w:tr w:rsidR="00EF4C42" w:rsidRPr="00EF4C42" w14:paraId="0B09C502" w14:textId="77777777" w:rsidTr="00EF4C42">
        <w:trPr>
          <w:trHeight w:val="43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815E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DEE5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D8AC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D2463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F4C42" w:rsidRPr="00EF4C42" w14:paraId="2BE281C8" w14:textId="77777777" w:rsidTr="00EF4C42">
        <w:trPr>
          <w:trHeight w:val="43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8571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Total MBE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FDDE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$0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601DE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0%</w:t>
            </w:r>
          </w:p>
        </w:tc>
      </w:tr>
      <w:tr w:rsidR="00EF4C42" w:rsidRPr="00EF4C42" w14:paraId="2A1D65F3" w14:textId="77777777" w:rsidTr="00EF4C42">
        <w:trPr>
          <w:trHeight w:val="43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B14C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Total VOSB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69B4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$39,893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B07F7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3%</w:t>
            </w:r>
          </w:p>
        </w:tc>
      </w:tr>
      <w:tr w:rsidR="00EF4C42" w:rsidRPr="00EF4C42" w14:paraId="7AABF9FA" w14:textId="77777777" w:rsidTr="00EF4C42">
        <w:trPr>
          <w:trHeight w:val="43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DF3D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Total WBE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F755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$582,579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95F5B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44%</w:t>
            </w:r>
          </w:p>
        </w:tc>
      </w:tr>
      <w:tr w:rsidR="00EF4C42" w:rsidRPr="00EF4C42" w14:paraId="5D19B736" w14:textId="77777777" w:rsidTr="00EF4C42">
        <w:trPr>
          <w:trHeight w:val="43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1D672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Total Diversity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992D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$622,472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D0AF2" w14:textId="77777777" w:rsidR="00EF4C42" w:rsidRPr="00EF4C42" w:rsidRDefault="00EF4C42" w:rsidP="004F167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F4C42">
              <w:rPr>
                <w:color w:val="000000"/>
                <w:sz w:val="24"/>
                <w:szCs w:val="24"/>
              </w:rPr>
              <w:t>47%</w:t>
            </w:r>
          </w:p>
        </w:tc>
      </w:tr>
    </w:tbl>
    <w:p w14:paraId="36B44018" w14:textId="77777777" w:rsidR="00EF4C42" w:rsidRDefault="00EF4C42" w:rsidP="004F1674">
      <w:pPr>
        <w:tabs>
          <w:tab w:val="left" w:pos="1440"/>
          <w:tab w:val="left" w:pos="6480"/>
        </w:tabs>
        <w:rPr>
          <w:szCs w:val="26"/>
        </w:rPr>
      </w:pPr>
    </w:p>
    <w:p w14:paraId="0D9A2436" w14:textId="77777777" w:rsidR="00F23F60" w:rsidRPr="00F23F60" w:rsidRDefault="00F23F60" w:rsidP="004F1674">
      <w:pPr>
        <w:pStyle w:val="bdstyle2"/>
        <w:spacing w:line="240" w:lineRule="auto"/>
      </w:pPr>
    </w:p>
    <w:sectPr w:rsidR="00F23F60" w:rsidRPr="00F23F60" w:rsidSect="004F1674">
      <w:headerReference w:type="even" r:id="rId8"/>
      <w:headerReference w:type="default" r:id="rId9"/>
      <w:type w:val="continuous"/>
      <w:pgSz w:w="12240" w:h="15840" w:code="1"/>
      <w:pgMar w:top="720" w:right="1440" w:bottom="1440" w:left="144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21F44" w14:textId="77777777" w:rsidR="005072F0" w:rsidRDefault="005072F0">
      <w:r>
        <w:separator/>
      </w:r>
    </w:p>
  </w:endnote>
  <w:endnote w:type="continuationSeparator" w:id="0">
    <w:p w14:paraId="4ECE9C10" w14:textId="77777777" w:rsidR="005072F0" w:rsidRDefault="0050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A766" w14:textId="77777777" w:rsidR="005072F0" w:rsidRDefault="005072F0">
      <w:r>
        <w:separator/>
      </w:r>
    </w:p>
  </w:footnote>
  <w:footnote w:type="continuationSeparator" w:id="0">
    <w:p w14:paraId="47424AF0" w14:textId="77777777" w:rsidR="005072F0" w:rsidRDefault="005072F0">
      <w:r>
        <w:continuationSeparator/>
      </w:r>
    </w:p>
  </w:footnote>
  <w:footnote w:id="1">
    <w:p w14:paraId="78CE8635" w14:textId="4204B058" w:rsidR="00084E51" w:rsidRPr="00CD5DF3" w:rsidRDefault="00084E51" w:rsidP="00CD5DF3">
      <w:pPr>
        <w:pStyle w:val="bdfootnote"/>
        <w:rPr>
          <w:sz w:val="20"/>
          <w:szCs w:val="14"/>
        </w:rPr>
      </w:pPr>
      <w:r w:rsidRPr="00642AFA">
        <w:rPr>
          <w:rStyle w:val="FootnoteReference"/>
          <w:sz w:val="20"/>
          <w:szCs w:val="14"/>
        </w:rPr>
        <w:footnoteRef/>
      </w:r>
      <w:r w:rsidRPr="00642AFA">
        <w:rPr>
          <w:sz w:val="20"/>
          <w:szCs w:val="14"/>
        </w:rPr>
        <w:t xml:space="preserve"> A </w:t>
      </w:r>
      <w:r w:rsidR="003464C8" w:rsidRPr="00642AFA">
        <w:rPr>
          <w:sz w:val="20"/>
          <w:szCs w:val="14"/>
        </w:rPr>
        <w:t xml:space="preserve">selection committee consisting of Jackson Liong (Facilities </w:t>
      </w:r>
      <w:r w:rsidR="008255B2">
        <w:rPr>
          <w:sz w:val="20"/>
          <w:szCs w:val="14"/>
        </w:rPr>
        <w:t>and</w:t>
      </w:r>
      <w:r w:rsidR="003464C8" w:rsidRPr="00642AFA">
        <w:rPr>
          <w:sz w:val="20"/>
          <w:szCs w:val="14"/>
        </w:rPr>
        <w:t xml:space="preserve"> Services, Capital Programs), Doug Wolters (College of A</w:t>
      </w:r>
      <w:r w:rsidR="008255B2">
        <w:rPr>
          <w:sz w:val="20"/>
          <w:szCs w:val="14"/>
        </w:rPr>
        <w:t>gricultural, Consumer and Environmental Sciences</w:t>
      </w:r>
      <w:r w:rsidR="003464C8" w:rsidRPr="00642AFA">
        <w:rPr>
          <w:sz w:val="20"/>
          <w:szCs w:val="14"/>
        </w:rPr>
        <w:t xml:space="preserve">), </w:t>
      </w:r>
      <w:r w:rsidR="00456EFB" w:rsidRPr="00642AFA">
        <w:rPr>
          <w:sz w:val="20"/>
          <w:szCs w:val="14"/>
        </w:rPr>
        <w:t>Ebone White</w:t>
      </w:r>
      <w:r w:rsidR="003464C8" w:rsidRPr="00642AFA">
        <w:rPr>
          <w:sz w:val="20"/>
          <w:szCs w:val="14"/>
        </w:rPr>
        <w:t xml:space="preserve"> (U</w:t>
      </w:r>
      <w:r w:rsidR="008255B2">
        <w:rPr>
          <w:sz w:val="20"/>
          <w:szCs w:val="14"/>
        </w:rPr>
        <w:t xml:space="preserve">niversity </w:t>
      </w:r>
      <w:r w:rsidR="003464C8" w:rsidRPr="00642AFA">
        <w:rPr>
          <w:sz w:val="20"/>
          <w:szCs w:val="14"/>
        </w:rPr>
        <w:t>O</w:t>
      </w:r>
      <w:r w:rsidR="008255B2">
        <w:rPr>
          <w:sz w:val="20"/>
          <w:szCs w:val="14"/>
        </w:rPr>
        <w:t xml:space="preserve">ffice of </w:t>
      </w:r>
      <w:r w:rsidR="003464C8" w:rsidRPr="00642AFA">
        <w:rPr>
          <w:sz w:val="20"/>
          <w:szCs w:val="14"/>
        </w:rPr>
        <w:t>C</w:t>
      </w:r>
      <w:r w:rsidR="008255B2">
        <w:rPr>
          <w:sz w:val="20"/>
          <w:szCs w:val="14"/>
        </w:rPr>
        <w:t xml:space="preserve">apital </w:t>
      </w:r>
      <w:r w:rsidR="003464C8" w:rsidRPr="00642AFA">
        <w:rPr>
          <w:sz w:val="20"/>
          <w:szCs w:val="14"/>
        </w:rPr>
        <w:t>P</w:t>
      </w:r>
      <w:r w:rsidR="008255B2">
        <w:rPr>
          <w:sz w:val="20"/>
          <w:szCs w:val="14"/>
        </w:rPr>
        <w:t>rograms</w:t>
      </w:r>
      <w:r w:rsidR="003464C8" w:rsidRPr="00642AFA">
        <w:rPr>
          <w:sz w:val="20"/>
          <w:szCs w:val="14"/>
        </w:rPr>
        <w:t xml:space="preserve">, Capital Programs), </w:t>
      </w:r>
      <w:r w:rsidR="00456EFB" w:rsidRPr="00642AFA">
        <w:rPr>
          <w:sz w:val="20"/>
          <w:szCs w:val="14"/>
        </w:rPr>
        <w:t>Dale Morrison</w:t>
      </w:r>
      <w:r w:rsidR="003464C8" w:rsidRPr="00642AFA">
        <w:rPr>
          <w:sz w:val="20"/>
          <w:szCs w:val="14"/>
        </w:rPr>
        <w:t xml:space="preserve"> (Office of Procurement Diversity) and </w:t>
      </w:r>
      <w:r w:rsidR="00456EFB" w:rsidRPr="00642AFA">
        <w:rPr>
          <w:sz w:val="20"/>
          <w:szCs w:val="14"/>
        </w:rPr>
        <w:t>Jim Sims</w:t>
      </w:r>
      <w:r w:rsidR="003464C8" w:rsidRPr="00642AFA">
        <w:rPr>
          <w:sz w:val="20"/>
          <w:szCs w:val="14"/>
        </w:rPr>
        <w:t xml:space="preserve"> (Facilities </w:t>
      </w:r>
      <w:r w:rsidR="008255B2">
        <w:rPr>
          <w:sz w:val="20"/>
          <w:szCs w:val="14"/>
        </w:rPr>
        <w:t>and</w:t>
      </w:r>
      <w:r w:rsidR="003464C8" w:rsidRPr="00642AFA">
        <w:rPr>
          <w:sz w:val="20"/>
          <w:szCs w:val="14"/>
        </w:rPr>
        <w:t xml:space="preserve"> Services, Engineering Services), interviewed the following firms: Bailey Edward Design, Chicago, IL; </w:t>
      </w:r>
      <w:r w:rsidR="00456EFB" w:rsidRPr="00642AFA">
        <w:rPr>
          <w:sz w:val="20"/>
          <w:szCs w:val="14"/>
        </w:rPr>
        <w:t>Mode Architects</w:t>
      </w:r>
      <w:r w:rsidR="003464C8" w:rsidRPr="00642AFA">
        <w:rPr>
          <w:sz w:val="20"/>
          <w:szCs w:val="14"/>
        </w:rPr>
        <w:t>,</w:t>
      </w:r>
      <w:r w:rsidR="00CD5DF3">
        <w:rPr>
          <w:sz w:val="20"/>
          <w:szCs w:val="14"/>
        </w:rPr>
        <w:t xml:space="preserve"> P.C., </w:t>
      </w:r>
      <w:r w:rsidR="003464C8" w:rsidRPr="00642AFA">
        <w:rPr>
          <w:sz w:val="20"/>
          <w:szCs w:val="14"/>
        </w:rPr>
        <w:t>Chicago, IL;</w:t>
      </w:r>
      <w:r w:rsidR="00CD5DF3">
        <w:rPr>
          <w:sz w:val="20"/>
          <w:szCs w:val="14"/>
        </w:rPr>
        <w:t xml:space="preserve"> and</w:t>
      </w:r>
      <w:r w:rsidR="003464C8" w:rsidRPr="00642AFA">
        <w:rPr>
          <w:sz w:val="20"/>
          <w:szCs w:val="14"/>
        </w:rPr>
        <w:t xml:space="preserve"> </w:t>
      </w:r>
      <w:r w:rsidR="00456EFB" w:rsidRPr="00642AFA">
        <w:rPr>
          <w:sz w:val="20"/>
          <w:szCs w:val="14"/>
        </w:rPr>
        <w:t>Civil Design</w:t>
      </w:r>
      <w:r w:rsidR="003464C8" w:rsidRPr="00642AFA">
        <w:rPr>
          <w:sz w:val="20"/>
          <w:szCs w:val="14"/>
        </w:rPr>
        <w:t>,</w:t>
      </w:r>
      <w:r w:rsidR="00CD5DF3">
        <w:rPr>
          <w:sz w:val="20"/>
          <w:szCs w:val="14"/>
        </w:rPr>
        <w:t xml:space="preserve"> Inc.,</w:t>
      </w:r>
      <w:r w:rsidR="003464C8" w:rsidRPr="00642AFA">
        <w:rPr>
          <w:sz w:val="20"/>
          <w:szCs w:val="14"/>
        </w:rPr>
        <w:t xml:space="preserve"> </w:t>
      </w:r>
      <w:r w:rsidR="00456EFB" w:rsidRPr="00642AFA">
        <w:rPr>
          <w:sz w:val="20"/>
          <w:szCs w:val="14"/>
        </w:rPr>
        <w:t>Effingham</w:t>
      </w:r>
      <w:r w:rsidR="003464C8" w:rsidRPr="00642AFA">
        <w:rPr>
          <w:sz w:val="20"/>
          <w:szCs w:val="14"/>
        </w:rPr>
        <w:t>, IL</w:t>
      </w:r>
      <w:r w:rsidRPr="00642AFA">
        <w:rPr>
          <w:sz w:val="20"/>
          <w:szCs w:val="14"/>
        </w:rPr>
        <w:t xml:space="preserve">.  </w:t>
      </w:r>
      <w:r w:rsidR="00456EFB" w:rsidRPr="00642AFA">
        <w:rPr>
          <w:sz w:val="20"/>
          <w:szCs w:val="14"/>
        </w:rPr>
        <w:t>The committee recommends Bailey Edward Design of Chicago, IL, as best meeting the criteria for the project.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6374173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D19988A" w14:textId="6CE77E12" w:rsidR="004F1674" w:rsidRDefault="004F1674" w:rsidP="00B554F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1D3F7E" w14:textId="77777777" w:rsidR="004F1674" w:rsidRDefault="004F1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684138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0ED2F7F" w14:textId="3E989033" w:rsidR="004F1674" w:rsidRDefault="004F1674" w:rsidP="00B554FC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CD42070" w14:textId="42E2C951" w:rsidR="004F1674" w:rsidRDefault="004F1674">
    <w:pPr>
      <w:pStyle w:val="Header"/>
    </w:pPr>
  </w:p>
  <w:p w14:paraId="1151F203" w14:textId="77777777" w:rsidR="004F1674" w:rsidRDefault="004F1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0C7B"/>
    <w:multiLevelType w:val="hybridMultilevel"/>
    <w:tmpl w:val="08D05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355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MDYyMbc0NDA3NjBW0lEKTi0uzszPAykwqgUAaqDLtywAAAA="/>
  </w:docVars>
  <w:rsids>
    <w:rsidRoot w:val="00B327B4"/>
    <w:rsid w:val="00002F55"/>
    <w:rsid w:val="00004FA6"/>
    <w:rsid w:val="0001629F"/>
    <w:rsid w:val="000231DC"/>
    <w:rsid w:val="0003698B"/>
    <w:rsid w:val="00044BC8"/>
    <w:rsid w:val="000574BA"/>
    <w:rsid w:val="00084E51"/>
    <w:rsid w:val="000B1FF1"/>
    <w:rsid w:val="000C63B2"/>
    <w:rsid w:val="000D7C60"/>
    <w:rsid w:val="000E10EF"/>
    <w:rsid w:val="00105B5B"/>
    <w:rsid w:val="0013413E"/>
    <w:rsid w:val="00160BC6"/>
    <w:rsid w:val="001A3A0A"/>
    <w:rsid w:val="001B060C"/>
    <w:rsid w:val="001E7F1D"/>
    <w:rsid w:val="0020472F"/>
    <w:rsid w:val="00204ED2"/>
    <w:rsid w:val="00266F06"/>
    <w:rsid w:val="002878AB"/>
    <w:rsid w:val="00291580"/>
    <w:rsid w:val="00295D7F"/>
    <w:rsid w:val="002C7B9E"/>
    <w:rsid w:val="0030794F"/>
    <w:rsid w:val="0031325B"/>
    <w:rsid w:val="00317881"/>
    <w:rsid w:val="00341C05"/>
    <w:rsid w:val="003431EB"/>
    <w:rsid w:val="003464C8"/>
    <w:rsid w:val="0035013E"/>
    <w:rsid w:val="00361A1D"/>
    <w:rsid w:val="00371F6B"/>
    <w:rsid w:val="00373410"/>
    <w:rsid w:val="00382B84"/>
    <w:rsid w:val="003832EA"/>
    <w:rsid w:val="00384ADD"/>
    <w:rsid w:val="00394EFD"/>
    <w:rsid w:val="003E0E55"/>
    <w:rsid w:val="003E38F1"/>
    <w:rsid w:val="003E45D8"/>
    <w:rsid w:val="0040106E"/>
    <w:rsid w:val="00453D0D"/>
    <w:rsid w:val="00456EFB"/>
    <w:rsid w:val="00477EF3"/>
    <w:rsid w:val="00493B83"/>
    <w:rsid w:val="004B1E32"/>
    <w:rsid w:val="004C60EA"/>
    <w:rsid w:val="004E2CC1"/>
    <w:rsid w:val="004F1674"/>
    <w:rsid w:val="00505B3F"/>
    <w:rsid w:val="005072F0"/>
    <w:rsid w:val="005140EB"/>
    <w:rsid w:val="0052027F"/>
    <w:rsid w:val="00572405"/>
    <w:rsid w:val="0057507D"/>
    <w:rsid w:val="005A05A7"/>
    <w:rsid w:val="005B1E3B"/>
    <w:rsid w:val="005C35FF"/>
    <w:rsid w:val="005C3F07"/>
    <w:rsid w:val="005D221A"/>
    <w:rsid w:val="005E79CC"/>
    <w:rsid w:val="00620245"/>
    <w:rsid w:val="00633A37"/>
    <w:rsid w:val="00642AFA"/>
    <w:rsid w:val="006646A0"/>
    <w:rsid w:val="00687D5D"/>
    <w:rsid w:val="00696B5E"/>
    <w:rsid w:val="00697F75"/>
    <w:rsid w:val="006C41C8"/>
    <w:rsid w:val="006C5810"/>
    <w:rsid w:val="006D2746"/>
    <w:rsid w:val="006F05F1"/>
    <w:rsid w:val="006F13BB"/>
    <w:rsid w:val="006F264E"/>
    <w:rsid w:val="00703110"/>
    <w:rsid w:val="00703551"/>
    <w:rsid w:val="00714A54"/>
    <w:rsid w:val="0072330E"/>
    <w:rsid w:val="0072473B"/>
    <w:rsid w:val="007329C8"/>
    <w:rsid w:val="00756196"/>
    <w:rsid w:val="007702E4"/>
    <w:rsid w:val="00774646"/>
    <w:rsid w:val="00777D0B"/>
    <w:rsid w:val="00792842"/>
    <w:rsid w:val="00792DFB"/>
    <w:rsid w:val="007A16E4"/>
    <w:rsid w:val="007C1C46"/>
    <w:rsid w:val="007F7680"/>
    <w:rsid w:val="007F7AD0"/>
    <w:rsid w:val="00813421"/>
    <w:rsid w:val="0082203D"/>
    <w:rsid w:val="008255B2"/>
    <w:rsid w:val="00843AAD"/>
    <w:rsid w:val="008518D5"/>
    <w:rsid w:val="0086140D"/>
    <w:rsid w:val="00871A5E"/>
    <w:rsid w:val="00873CB4"/>
    <w:rsid w:val="008A2057"/>
    <w:rsid w:val="008B50D5"/>
    <w:rsid w:val="008C5E87"/>
    <w:rsid w:val="008D1F59"/>
    <w:rsid w:val="008E6F24"/>
    <w:rsid w:val="008F5501"/>
    <w:rsid w:val="00924FAA"/>
    <w:rsid w:val="009A5BC7"/>
    <w:rsid w:val="009B6A47"/>
    <w:rsid w:val="009C2994"/>
    <w:rsid w:val="009D3F4F"/>
    <w:rsid w:val="009D47AF"/>
    <w:rsid w:val="009D49DD"/>
    <w:rsid w:val="009F5020"/>
    <w:rsid w:val="00A1797B"/>
    <w:rsid w:val="00A4286E"/>
    <w:rsid w:val="00A521FC"/>
    <w:rsid w:val="00A522AF"/>
    <w:rsid w:val="00A543D3"/>
    <w:rsid w:val="00A551C7"/>
    <w:rsid w:val="00A61E7F"/>
    <w:rsid w:val="00A76DC4"/>
    <w:rsid w:val="00A95689"/>
    <w:rsid w:val="00AB0DE2"/>
    <w:rsid w:val="00AC27FF"/>
    <w:rsid w:val="00AD14D8"/>
    <w:rsid w:val="00AE774E"/>
    <w:rsid w:val="00AE7F7F"/>
    <w:rsid w:val="00AF2072"/>
    <w:rsid w:val="00B327B4"/>
    <w:rsid w:val="00B42165"/>
    <w:rsid w:val="00B830F0"/>
    <w:rsid w:val="00B92FA5"/>
    <w:rsid w:val="00BB6BCB"/>
    <w:rsid w:val="00C02A0F"/>
    <w:rsid w:val="00C20582"/>
    <w:rsid w:val="00C42423"/>
    <w:rsid w:val="00C665C6"/>
    <w:rsid w:val="00CD5DF3"/>
    <w:rsid w:val="00CF3CC5"/>
    <w:rsid w:val="00CF4AA4"/>
    <w:rsid w:val="00CF5C15"/>
    <w:rsid w:val="00D13821"/>
    <w:rsid w:val="00D17224"/>
    <w:rsid w:val="00D26BD9"/>
    <w:rsid w:val="00D46DC8"/>
    <w:rsid w:val="00D807C1"/>
    <w:rsid w:val="00D86FD6"/>
    <w:rsid w:val="00D87C7E"/>
    <w:rsid w:val="00DB4038"/>
    <w:rsid w:val="00E03F59"/>
    <w:rsid w:val="00E37EF8"/>
    <w:rsid w:val="00E646E8"/>
    <w:rsid w:val="00EA623D"/>
    <w:rsid w:val="00EA7E3F"/>
    <w:rsid w:val="00EB0417"/>
    <w:rsid w:val="00EB16AD"/>
    <w:rsid w:val="00EE6DF9"/>
    <w:rsid w:val="00EF4C42"/>
    <w:rsid w:val="00EF7D64"/>
    <w:rsid w:val="00F151FA"/>
    <w:rsid w:val="00F23F60"/>
    <w:rsid w:val="00F76AB1"/>
    <w:rsid w:val="00F83AD3"/>
    <w:rsid w:val="00F93302"/>
    <w:rsid w:val="00FA177B"/>
    <w:rsid w:val="00FD3EF0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506E5"/>
  <w15:chartTrackingRefBased/>
  <w15:docId w15:val="{CC1D7EA2-0229-4669-9119-1D2A1CB9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AE7F7F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customStyle="1" w:styleId="questionhd">
    <w:name w:val="questionhd"/>
    <w:basedOn w:val="Normal"/>
    <w:pPr>
      <w:overflowPunct/>
      <w:autoSpaceDE/>
      <w:autoSpaceDN/>
      <w:adjustRightInd/>
      <w:ind w:left="153" w:right="153"/>
      <w:textAlignment w:val="auto"/>
    </w:pPr>
    <w:rPr>
      <w:rFonts w:ascii="Courier" w:hAnsi="Courier"/>
      <w:b/>
      <w:sz w:val="20"/>
    </w:rPr>
  </w:style>
  <w:style w:type="paragraph" w:customStyle="1" w:styleId="questionname">
    <w:name w:val="questionname"/>
    <w:basedOn w:val="Normal"/>
    <w:pPr>
      <w:overflowPunct/>
      <w:autoSpaceDE/>
      <w:autoSpaceDN/>
      <w:adjustRightInd/>
      <w:ind w:left="153" w:right="153"/>
      <w:textAlignment w:val="auto"/>
    </w:pPr>
    <w:rPr>
      <w:rFonts w:ascii="Tahoma" w:hAnsi="Tahoma"/>
      <w:b/>
      <w:sz w:val="24"/>
    </w:rPr>
  </w:style>
  <w:style w:type="paragraph" w:styleId="FootnoteText">
    <w:name w:val="footnote text"/>
    <w:basedOn w:val="Normal"/>
    <w:semiHidden/>
    <w:rsid w:val="00F76AB1"/>
    <w:rPr>
      <w:sz w:val="20"/>
    </w:rPr>
  </w:style>
  <w:style w:type="character" w:styleId="FootnoteReference">
    <w:name w:val="footnote reference"/>
    <w:semiHidden/>
    <w:rsid w:val="00F76AB1"/>
    <w:rPr>
      <w:vertAlign w:val="superscript"/>
    </w:rPr>
  </w:style>
  <w:style w:type="paragraph" w:styleId="BalloonText">
    <w:name w:val="Balloon Text"/>
    <w:basedOn w:val="Normal"/>
    <w:semiHidden/>
    <w:rsid w:val="0082203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E7F1D"/>
    <w:rPr>
      <w:sz w:val="26"/>
    </w:rPr>
  </w:style>
  <w:style w:type="paragraph" w:customStyle="1" w:styleId="Default">
    <w:name w:val="Default"/>
    <w:uiPriority w:val="99"/>
    <w:rsid w:val="001E7F1D"/>
    <w:pPr>
      <w:widowControl w:val="0"/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EF4C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C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4C4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4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4C42"/>
    <w:rPr>
      <w:b/>
      <w:bCs/>
    </w:rPr>
  </w:style>
  <w:style w:type="paragraph" w:styleId="Header">
    <w:name w:val="header"/>
    <w:basedOn w:val="Normal"/>
    <w:link w:val="HeaderChar"/>
    <w:rsid w:val="004F16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1674"/>
    <w:rPr>
      <w:sz w:val="26"/>
    </w:rPr>
  </w:style>
  <w:style w:type="character" w:styleId="PageNumber">
    <w:name w:val="page number"/>
    <w:basedOn w:val="DefaultParagraphFont"/>
    <w:rsid w:val="004F1674"/>
  </w:style>
  <w:style w:type="paragraph" w:styleId="Footer">
    <w:name w:val="footer"/>
    <w:basedOn w:val="Normal"/>
    <w:link w:val="FooterChar"/>
    <w:rsid w:val="004F1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1674"/>
    <w:rPr>
      <w:sz w:val="26"/>
    </w:rPr>
  </w:style>
  <w:style w:type="character" w:customStyle="1" w:styleId="Heading1Char">
    <w:name w:val="Heading 1 Char"/>
    <w:basedOn w:val="DefaultParagraphFont"/>
    <w:link w:val="Heading1"/>
    <w:rsid w:val="00AE7F7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91FFB-406C-46A5-A7F3-D70FE33D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cshade</dc:creator>
  <cp:keywords/>
  <dc:description/>
  <cp:lastModifiedBy>Williams, Aubrie Lee</cp:lastModifiedBy>
  <cp:revision>7</cp:revision>
  <cp:lastPrinted>2017-07-21T15:11:00Z</cp:lastPrinted>
  <dcterms:created xsi:type="dcterms:W3CDTF">2022-06-23T23:01:00Z</dcterms:created>
  <dcterms:modified xsi:type="dcterms:W3CDTF">2022-07-21T14:13:00Z</dcterms:modified>
</cp:coreProperties>
</file>