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F789" w14:textId="77777777" w:rsidR="00AB5235" w:rsidRPr="00AB5235" w:rsidRDefault="00AB5235" w:rsidP="00AB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AB5235">
        <w:rPr>
          <w:color w:val="FF0000"/>
        </w:rPr>
        <w:t>Approved by the Board of Trustees</w:t>
      </w:r>
    </w:p>
    <w:bookmarkEnd w:id="0"/>
    <w:p w14:paraId="460E2FA4" w14:textId="77777777" w:rsidR="00AB5235" w:rsidRPr="00AB5235" w:rsidRDefault="00AB5235" w:rsidP="00AB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AB5235">
        <w:rPr>
          <w:color w:val="FF0000"/>
        </w:rPr>
        <w:t>July 21, 2022</w:t>
      </w:r>
      <w:bookmarkEnd w:id="1"/>
    </w:p>
    <w:p w14:paraId="1A8715C0" w14:textId="4853619D" w:rsidR="001A0834" w:rsidRPr="001A0834" w:rsidRDefault="00F75DB0" w:rsidP="001A0834">
      <w:pPr>
        <w:pStyle w:val="bdheading2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26</w:t>
      </w:r>
    </w:p>
    <w:p w14:paraId="5C00257B" w14:textId="77777777" w:rsidR="001A0834" w:rsidRDefault="001A0834" w:rsidP="001A0834">
      <w:pPr>
        <w:pStyle w:val="bdheading2"/>
      </w:pPr>
    </w:p>
    <w:p w14:paraId="0E6806AA" w14:textId="77777777" w:rsidR="001A0834" w:rsidRDefault="001A0834" w:rsidP="001A0834">
      <w:pPr>
        <w:pStyle w:val="bdheading2"/>
      </w:pPr>
    </w:p>
    <w:p w14:paraId="41FAB7FF" w14:textId="47D45397" w:rsidR="009B6A47" w:rsidRPr="00C505F8" w:rsidRDefault="001A0834" w:rsidP="001A0834">
      <w:pPr>
        <w:pStyle w:val="bdheading2"/>
      </w:pPr>
      <w:r>
        <w:tab/>
      </w:r>
      <w:r w:rsidR="009B6A47" w:rsidRPr="00C505F8">
        <w:t>Board Meeting</w:t>
      </w:r>
    </w:p>
    <w:p w14:paraId="4A719391" w14:textId="50A14A23" w:rsidR="009B6A47" w:rsidRPr="00C505F8" w:rsidRDefault="009B6A47" w:rsidP="001A0834">
      <w:pPr>
        <w:pStyle w:val="bdheading2"/>
      </w:pPr>
      <w:r w:rsidRPr="00C505F8">
        <w:tab/>
      </w:r>
      <w:r w:rsidR="00740E80" w:rsidRPr="00C505F8">
        <w:t xml:space="preserve">July </w:t>
      </w:r>
      <w:r w:rsidR="001A0834">
        <w:t>2</w:t>
      </w:r>
      <w:r w:rsidR="00740E80" w:rsidRPr="00C505F8">
        <w:t>1, 2022</w:t>
      </w:r>
    </w:p>
    <w:p w14:paraId="02370B07" w14:textId="682AC746" w:rsidR="009B6A47" w:rsidRDefault="009B6A47" w:rsidP="001A0834">
      <w:pPr>
        <w:pStyle w:val="bdheading2"/>
      </w:pPr>
    </w:p>
    <w:p w14:paraId="4C2BA723" w14:textId="77777777" w:rsidR="001A0834" w:rsidRPr="00C505F8" w:rsidRDefault="001A0834" w:rsidP="001A0834">
      <w:pPr>
        <w:pStyle w:val="bdheading2"/>
      </w:pPr>
    </w:p>
    <w:p w14:paraId="14AECDDC" w14:textId="77777777" w:rsidR="009B6A47" w:rsidRPr="00C505F8" w:rsidRDefault="009B6A47" w:rsidP="001A0834">
      <w:pPr>
        <w:jc w:val="center"/>
      </w:pPr>
      <w:r w:rsidRPr="00C505F8">
        <w:t>ROLL CALL</w:t>
      </w:r>
    </w:p>
    <w:p w14:paraId="111C1AE3" w14:textId="77777777" w:rsidR="009B6A47" w:rsidRPr="00C505F8" w:rsidRDefault="009B6A47" w:rsidP="001A0834">
      <w:pPr>
        <w:jc w:val="center"/>
      </w:pPr>
    </w:p>
    <w:p w14:paraId="7E403627" w14:textId="494900F9" w:rsidR="009B6A47" w:rsidRPr="00DE1C35" w:rsidRDefault="005D4844" w:rsidP="00DE1C35">
      <w:pPr>
        <w:pStyle w:val="Heading1"/>
      </w:pPr>
      <w:r w:rsidRPr="00DE1C35">
        <w:t xml:space="preserve">APPROVE </w:t>
      </w:r>
      <w:r w:rsidR="006D2746" w:rsidRPr="00DE1C35">
        <w:t>PROFESSIONAL SERVICES CONSULTANT</w:t>
      </w:r>
      <w:r w:rsidR="00A522AF" w:rsidRPr="00DE1C35">
        <w:t xml:space="preserve"> </w:t>
      </w:r>
      <w:r w:rsidRPr="00DE1C35">
        <w:t xml:space="preserve">CONTRACT </w:t>
      </w:r>
      <w:r w:rsidR="00A522AF" w:rsidRPr="00DE1C35">
        <w:t xml:space="preserve">FOR </w:t>
      </w:r>
      <w:r w:rsidR="00740E80" w:rsidRPr="00DE1C35">
        <w:t>SMALL ANIMAL CLINIC ONCOL</w:t>
      </w:r>
      <w:r w:rsidR="00F30E77" w:rsidRPr="00DE1C35">
        <w:t>OG</w:t>
      </w:r>
      <w:r w:rsidR="00740E80" w:rsidRPr="00DE1C35">
        <w:t>Y CENTER ADDITION,</w:t>
      </w:r>
      <w:r w:rsidR="00F30E77" w:rsidRPr="00DE1C35">
        <w:t xml:space="preserve"> VETERINARY TEACHING HOSPITAL,</w:t>
      </w:r>
      <w:r w:rsidR="00740E80" w:rsidRPr="00DE1C35">
        <w:t xml:space="preserve"> </w:t>
      </w:r>
      <w:r w:rsidR="005A05A7" w:rsidRPr="00DE1C35">
        <w:t>URBANA</w:t>
      </w:r>
    </w:p>
    <w:p w14:paraId="006A5F26" w14:textId="3B0CAC21" w:rsidR="009B6A47" w:rsidRDefault="009B6A47" w:rsidP="001A0834">
      <w:pPr>
        <w:jc w:val="center"/>
      </w:pPr>
    </w:p>
    <w:p w14:paraId="70343B03" w14:textId="77777777" w:rsidR="001A0834" w:rsidRPr="00C505F8" w:rsidRDefault="001A0834" w:rsidP="001A0834">
      <w:pPr>
        <w:jc w:val="center"/>
      </w:pPr>
    </w:p>
    <w:p w14:paraId="70EBC8B5" w14:textId="77777777" w:rsidR="001A0834" w:rsidRDefault="009B6A47" w:rsidP="001A0834">
      <w:pPr>
        <w:pStyle w:val="bdstyle1"/>
        <w:tabs>
          <w:tab w:val="clear" w:pos="720"/>
        </w:tabs>
        <w:ind w:left="0" w:firstLine="0"/>
      </w:pPr>
      <w:r w:rsidRPr="00C505F8">
        <w:rPr>
          <w:b/>
        </w:rPr>
        <w:t>Action:</w:t>
      </w:r>
      <w:r w:rsidRPr="00C505F8">
        <w:tab/>
      </w:r>
      <w:r w:rsidR="005D4844">
        <w:t xml:space="preserve">Approve </w:t>
      </w:r>
      <w:r w:rsidR="006D2746" w:rsidRPr="00C505F8">
        <w:t>Professional Services Consultant</w:t>
      </w:r>
      <w:r w:rsidR="00B830F0" w:rsidRPr="00C505F8">
        <w:t xml:space="preserve"> </w:t>
      </w:r>
      <w:r w:rsidR="005D4844">
        <w:t xml:space="preserve">Contract </w:t>
      </w:r>
      <w:r w:rsidR="00B830F0" w:rsidRPr="00C505F8">
        <w:t>for</w:t>
      </w:r>
      <w:r w:rsidR="0035013E" w:rsidRPr="00C505F8">
        <w:t xml:space="preserve"> </w:t>
      </w:r>
      <w:r w:rsidR="0085372C" w:rsidRPr="00C505F8">
        <w:t xml:space="preserve">Small Animal </w:t>
      </w:r>
    </w:p>
    <w:p w14:paraId="0BD0D45A" w14:textId="207FBED1" w:rsidR="009B6A47" w:rsidRPr="00C505F8" w:rsidRDefault="001A0834" w:rsidP="001A0834">
      <w:pPr>
        <w:pStyle w:val="bdstyle1"/>
        <w:tabs>
          <w:tab w:val="clear" w:pos="720"/>
        </w:tabs>
        <w:ind w:left="0" w:firstLine="0"/>
      </w:pPr>
      <w:r>
        <w:tab/>
      </w:r>
      <w:r w:rsidR="0085372C" w:rsidRPr="00C505F8">
        <w:t xml:space="preserve">Clinic </w:t>
      </w:r>
      <w:r w:rsidR="00740E80" w:rsidRPr="00C505F8">
        <w:t>Oncology Center Addition</w:t>
      </w:r>
      <w:r w:rsidR="00C42423" w:rsidRPr="00C505F8">
        <w:t xml:space="preserve">, </w:t>
      </w:r>
      <w:r w:rsidR="00740E80" w:rsidRPr="00C505F8">
        <w:t>Veterinary Teaching Hospital</w:t>
      </w:r>
    </w:p>
    <w:p w14:paraId="656F463A" w14:textId="77777777" w:rsidR="005D221A" w:rsidRPr="00C505F8" w:rsidRDefault="005D221A" w:rsidP="001A0834">
      <w:pPr>
        <w:pStyle w:val="bdstyle1"/>
        <w:tabs>
          <w:tab w:val="clear" w:pos="720"/>
        </w:tabs>
        <w:ind w:left="0" w:firstLine="0"/>
      </w:pPr>
    </w:p>
    <w:p w14:paraId="78E619FD" w14:textId="1C07D673" w:rsidR="00EE6DF9" w:rsidRPr="00C505F8" w:rsidRDefault="005D221A" w:rsidP="001A0834">
      <w:pPr>
        <w:pStyle w:val="bdstyle1"/>
        <w:tabs>
          <w:tab w:val="clear" w:pos="720"/>
        </w:tabs>
        <w:ind w:left="0" w:firstLine="0"/>
      </w:pPr>
      <w:r w:rsidRPr="00C505F8">
        <w:rPr>
          <w:b/>
        </w:rPr>
        <w:t>Funding:</w:t>
      </w:r>
      <w:bookmarkStart w:id="2" w:name="OLE_LINK3"/>
      <w:bookmarkStart w:id="3" w:name="OLE_LINK4"/>
      <w:r w:rsidR="001A0834">
        <w:tab/>
      </w:r>
      <w:r w:rsidR="009D3F4F" w:rsidRPr="00C505F8">
        <w:t xml:space="preserve">Institutional </w:t>
      </w:r>
      <w:r w:rsidR="0093106D" w:rsidRPr="00C505F8">
        <w:t xml:space="preserve">Funds </w:t>
      </w:r>
      <w:r w:rsidR="009D3F4F" w:rsidRPr="00C505F8">
        <w:t>Operating Budget</w:t>
      </w:r>
    </w:p>
    <w:p w14:paraId="2E7FEB42" w14:textId="73BABC89" w:rsidR="00002F55" w:rsidRDefault="00EE6DF9" w:rsidP="001A0834">
      <w:pPr>
        <w:tabs>
          <w:tab w:val="left" w:pos="1440"/>
        </w:tabs>
        <w:ind w:hanging="1430"/>
      </w:pPr>
      <w:r w:rsidRPr="00C505F8">
        <w:tab/>
      </w:r>
    </w:p>
    <w:p w14:paraId="5DDFCDE7" w14:textId="77777777" w:rsidR="001A0834" w:rsidRPr="00C505F8" w:rsidRDefault="001A0834" w:rsidP="001A0834">
      <w:pPr>
        <w:tabs>
          <w:tab w:val="left" w:pos="1440"/>
        </w:tabs>
        <w:ind w:hanging="1430"/>
      </w:pPr>
    </w:p>
    <w:bookmarkEnd w:id="2"/>
    <w:bookmarkEnd w:id="3"/>
    <w:p w14:paraId="7C710FA0" w14:textId="72EF659E" w:rsidR="0035013E" w:rsidRPr="00C505F8" w:rsidRDefault="001A0834" w:rsidP="001A0834">
      <w:pPr>
        <w:pStyle w:val="bdstyle2"/>
        <w:tabs>
          <w:tab w:val="clear" w:pos="720"/>
        </w:tabs>
        <w:ind w:firstLine="0"/>
      </w:pPr>
      <w:r>
        <w:tab/>
      </w:r>
      <w:r w:rsidR="00EB0417" w:rsidRPr="00C505F8">
        <w:t xml:space="preserve">In </w:t>
      </w:r>
      <w:r w:rsidR="00740E80" w:rsidRPr="00C505F8">
        <w:t>July</w:t>
      </w:r>
      <w:r w:rsidR="00C42423" w:rsidRPr="00C505F8">
        <w:t xml:space="preserve"> 20</w:t>
      </w:r>
      <w:r w:rsidR="00740E80" w:rsidRPr="00C505F8">
        <w:t>2</w:t>
      </w:r>
      <w:r w:rsidR="00F30E77" w:rsidRPr="00C505F8">
        <w:t>1</w:t>
      </w:r>
      <w:r w:rsidR="00EB0417" w:rsidRPr="00C505F8">
        <w:t xml:space="preserve">, the Board approved the </w:t>
      </w:r>
      <w:r w:rsidR="0085372C" w:rsidRPr="00C505F8">
        <w:t>Small Animal Clinic Oncology Center Addition, Veterinary Teaching Hospital</w:t>
      </w:r>
      <w:r w:rsidR="00EB0417" w:rsidRPr="00C505F8">
        <w:t xml:space="preserve"> with a budget of $</w:t>
      </w:r>
      <w:r w:rsidR="0035013E" w:rsidRPr="00C505F8">
        <w:t>15</w:t>
      </w:r>
      <w:r w:rsidR="00C42423" w:rsidRPr="00C505F8">
        <w:t>.</w:t>
      </w:r>
      <w:r w:rsidR="0093106D" w:rsidRPr="00C505F8">
        <w:t>0</w:t>
      </w:r>
      <w:r w:rsidR="00EB0417" w:rsidRPr="00C505F8">
        <w:t xml:space="preserve"> million.</w:t>
      </w:r>
      <w:r>
        <w:t xml:space="preserve"> </w:t>
      </w:r>
      <w:r w:rsidR="00EB0417" w:rsidRPr="00C505F8">
        <w:t xml:space="preserve"> </w:t>
      </w:r>
      <w:r w:rsidR="00CF5C15" w:rsidRPr="00C505F8">
        <w:t xml:space="preserve">This project will </w:t>
      </w:r>
      <w:r w:rsidR="005D4844">
        <w:t xml:space="preserve">add </w:t>
      </w:r>
      <w:r w:rsidR="0093106D" w:rsidRPr="00C505F8">
        <w:rPr>
          <w:szCs w:val="26"/>
        </w:rPr>
        <w:t xml:space="preserve">20,373 gross square </w:t>
      </w:r>
      <w:r w:rsidR="005D4844" w:rsidRPr="00C505F8">
        <w:rPr>
          <w:szCs w:val="26"/>
        </w:rPr>
        <w:t>f</w:t>
      </w:r>
      <w:r w:rsidR="005D4844">
        <w:rPr>
          <w:szCs w:val="26"/>
        </w:rPr>
        <w:t>ee</w:t>
      </w:r>
      <w:r w:rsidR="005D4844" w:rsidRPr="00C505F8">
        <w:rPr>
          <w:szCs w:val="26"/>
        </w:rPr>
        <w:t>t</w:t>
      </w:r>
      <w:r w:rsidR="009F3756">
        <w:rPr>
          <w:szCs w:val="26"/>
        </w:rPr>
        <w:t xml:space="preserve"> of diagnostic, surgical</w:t>
      </w:r>
      <w:r w:rsidR="00327CED">
        <w:rPr>
          <w:szCs w:val="26"/>
        </w:rPr>
        <w:t>,</w:t>
      </w:r>
      <w:r w:rsidR="009F3756">
        <w:rPr>
          <w:szCs w:val="26"/>
        </w:rPr>
        <w:t xml:space="preserve"> and imaging space</w:t>
      </w:r>
      <w:r w:rsidR="005D4844" w:rsidRPr="00C505F8">
        <w:rPr>
          <w:szCs w:val="26"/>
        </w:rPr>
        <w:t xml:space="preserve"> </w:t>
      </w:r>
      <w:r w:rsidR="0093106D" w:rsidRPr="00C505F8">
        <w:rPr>
          <w:szCs w:val="26"/>
        </w:rPr>
        <w:t>for the expanding Oncology Services</w:t>
      </w:r>
      <w:r w:rsidR="005D4844">
        <w:rPr>
          <w:szCs w:val="26"/>
        </w:rPr>
        <w:t xml:space="preserve"> unit.</w:t>
      </w:r>
      <w:r w:rsidR="0093106D" w:rsidRPr="00C505F8">
        <w:rPr>
          <w:szCs w:val="26"/>
        </w:rPr>
        <w:t xml:space="preserve"> </w:t>
      </w:r>
    </w:p>
    <w:p w14:paraId="1871665D" w14:textId="3E6B7485" w:rsidR="00EB0417" w:rsidRPr="00C505F8" w:rsidRDefault="009F3756" w:rsidP="001A0834">
      <w:pPr>
        <w:pStyle w:val="bdstyle2"/>
        <w:tabs>
          <w:tab w:val="clear" w:pos="720"/>
        </w:tabs>
      </w:pPr>
      <w:r>
        <w:t>F</w:t>
      </w:r>
      <w:r w:rsidR="00EB0417" w:rsidRPr="00C505F8">
        <w:t xml:space="preserve">or the project to proceed, it is necessary to employ </w:t>
      </w:r>
      <w:r w:rsidR="00C42423" w:rsidRPr="00C505F8">
        <w:t>a professional services consultant</w:t>
      </w:r>
      <w:r w:rsidR="00EB0417" w:rsidRPr="00C505F8">
        <w:t xml:space="preserve"> for the required professional services.  The selection of the </w:t>
      </w:r>
      <w:r w:rsidR="00C42423" w:rsidRPr="00C505F8">
        <w:t>professional services consultant</w:t>
      </w:r>
      <w:r w:rsidR="00EB0417" w:rsidRPr="00C505F8">
        <w:t xml:space="preserve"> for this project was in accordance with the requirements and provisions of Public Act 87-673 (Architectural, Engineering</w:t>
      </w:r>
      <w:r w:rsidR="00327CED">
        <w:t>,</w:t>
      </w:r>
      <w:r w:rsidR="00EB0417" w:rsidRPr="00C505F8">
        <w:t xml:space="preserve"> and Land Surveying Qualifications-Based Selection Act).</w:t>
      </w:r>
      <w:r w:rsidR="00EB0417" w:rsidRPr="00C505F8">
        <w:rPr>
          <w:rStyle w:val="FootnoteReference"/>
        </w:rPr>
        <w:footnoteReference w:id="1"/>
      </w:r>
    </w:p>
    <w:p w14:paraId="5170AD5D" w14:textId="334C4FE8" w:rsidR="00EB0417" w:rsidRPr="00C505F8" w:rsidRDefault="0020472F" w:rsidP="001A0834">
      <w:pPr>
        <w:pStyle w:val="bdstyle2"/>
        <w:tabs>
          <w:tab w:val="clear" w:pos="720"/>
        </w:tabs>
      </w:pPr>
      <w:r w:rsidRPr="00C505F8">
        <w:lastRenderedPageBreak/>
        <w:t>A</w:t>
      </w:r>
      <w:r w:rsidR="00C42423" w:rsidRPr="00C505F8">
        <w:t>ccordingly, the Chancellor, University of Illinois Urbana-Champaign, and Vice President, University of Illinois</w:t>
      </w:r>
      <w:r w:rsidR="001A0834">
        <w:t xml:space="preserve"> System</w:t>
      </w:r>
      <w:r w:rsidR="00EB0417" w:rsidRPr="00C505F8">
        <w:t xml:space="preserve"> with the concurrence of the appropriate administrative officers </w:t>
      </w:r>
      <w:r w:rsidR="00327CED">
        <w:t>recommend</w:t>
      </w:r>
      <w:r w:rsidR="005246DC">
        <w:t>s</w:t>
      </w:r>
      <w:r w:rsidR="00327CED" w:rsidRPr="00C505F8">
        <w:t xml:space="preserve"> </w:t>
      </w:r>
      <w:r w:rsidR="00EB0417" w:rsidRPr="00C505F8">
        <w:t xml:space="preserve">that </w:t>
      </w:r>
      <w:r w:rsidR="000E3D9A" w:rsidRPr="00C505F8">
        <w:t xml:space="preserve">Reifsteck Reid &amp; Company Architects </w:t>
      </w:r>
      <w:r w:rsidR="00E37EF8" w:rsidRPr="00C505F8">
        <w:t>of Ch</w:t>
      </w:r>
      <w:r w:rsidR="000E3D9A" w:rsidRPr="00C505F8">
        <w:t>ampaign</w:t>
      </w:r>
      <w:r w:rsidR="00477EF3" w:rsidRPr="00C505F8">
        <w:t>, IL</w:t>
      </w:r>
      <w:r w:rsidR="009F3756">
        <w:t xml:space="preserve">, </w:t>
      </w:r>
      <w:r w:rsidR="00EB0417" w:rsidRPr="00C505F8">
        <w:t xml:space="preserve">be employed for the professional services required for </w:t>
      </w:r>
      <w:r w:rsidR="00C82433">
        <w:t>conceptualization,</w:t>
      </w:r>
      <w:r w:rsidR="00EB0417" w:rsidRPr="00C505F8">
        <w:t xml:space="preserve"> </w:t>
      </w:r>
      <w:r w:rsidR="00F22929">
        <w:t xml:space="preserve">schematic design, design development, </w:t>
      </w:r>
      <w:r w:rsidR="00EB0417" w:rsidRPr="00C505F8">
        <w:t xml:space="preserve">construction documents, bidding, and construction administration phases of the project.  The firm’s fixed fee will be </w:t>
      </w:r>
      <w:bookmarkStart w:id="4" w:name="OLE_LINK1"/>
      <w:bookmarkStart w:id="5" w:name="OLE_LINK2"/>
      <w:r w:rsidR="00EB0417" w:rsidRPr="00C505F8">
        <w:t>$</w:t>
      </w:r>
      <w:bookmarkEnd w:id="4"/>
      <w:bookmarkEnd w:id="5"/>
      <w:r w:rsidR="002C1EAF" w:rsidRPr="00C505F8">
        <w:t>727,900</w:t>
      </w:r>
      <w:r w:rsidR="00D85C06">
        <w:t>;</w:t>
      </w:r>
      <w:r w:rsidR="00EB0417" w:rsidRPr="00C505F8">
        <w:t xml:space="preserve"> for on-site observation on an hourly basis not to exceed </w:t>
      </w:r>
      <w:r w:rsidR="00291580" w:rsidRPr="00C505F8">
        <w:t>$</w:t>
      </w:r>
      <w:r w:rsidR="002C1EAF" w:rsidRPr="00C505F8">
        <w:t>4</w:t>
      </w:r>
      <w:r w:rsidR="00D53C53" w:rsidRPr="00C505F8">
        <w:t>3</w:t>
      </w:r>
      <w:r w:rsidR="002C1EAF" w:rsidRPr="00C505F8">
        <w:t>,160</w:t>
      </w:r>
      <w:r w:rsidR="00D85C06">
        <w:t>;</w:t>
      </w:r>
      <w:r w:rsidR="00EB0417" w:rsidRPr="00C505F8">
        <w:t xml:space="preserve"> for warranty phase on an hourly basis not to exceed </w:t>
      </w:r>
      <w:r w:rsidR="00291580" w:rsidRPr="00C505F8">
        <w:t>$</w:t>
      </w:r>
      <w:r w:rsidR="002C1EAF" w:rsidRPr="00C505F8">
        <w:t>5</w:t>
      </w:r>
      <w:r w:rsidR="00F22929">
        <w:t>,</w:t>
      </w:r>
      <w:r w:rsidR="002C1EAF" w:rsidRPr="00C505F8">
        <w:t>900</w:t>
      </w:r>
      <w:r w:rsidR="00D85C06">
        <w:t>;</w:t>
      </w:r>
      <w:r w:rsidR="00EB0417" w:rsidRPr="00C505F8">
        <w:t xml:space="preserve"> for authorized reimbursable expenses estimated at </w:t>
      </w:r>
      <w:r w:rsidR="00291580" w:rsidRPr="00C505F8">
        <w:t>$</w:t>
      </w:r>
      <w:r w:rsidR="00D53C53" w:rsidRPr="00C505F8">
        <w:t>85,050</w:t>
      </w:r>
      <w:r w:rsidR="00D85C06">
        <w:t>;</w:t>
      </w:r>
      <w:r w:rsidR="00C42423" w:rsidRPr="00C505F8">
        <w:t xml:space="preserve"> </w:t>
      </w:r>
      <w:r w:rsidR="005140EB" w:rsidRPr="00C505F8">
        <w:t>for other supplemental services for a fixed fee of $</w:t>
      </w:r>
      <w:r w:rsidR="009A279D" w:rsidRPr="00C505F8">
        <w:t>260,779</w:t>
      </w:r>
      <w:r w:rsidR="005140EB" w:rsidRPr="00C505F8">
        <w:t>.</w:t>
      </w:r>
      <w:r w:rsidR="00F9654B">
        <w:t xml:space="preserve"> This will bring the total contract value to $1,222,789.</w:t>
      </w:r>
    </w:p>
    <w:p w14:paraId="6AB7AFBC" w14:textId="77777777" w:rsidR="008B50D5" w:rsidRPr="00C505F8" w:rsidRDefault="00D46DC8" w:rsidP="001A0834">
      <w:pPr>
        <w:pStyle w:val="bdstyle2"/>
        <w:tabs>
          <w:tab w:val="clear" w:pos="720"/>
        </w:tabs>
      </w:pPr>
      <w:r w:rsidRPr="00C505F8">
        <w:t xml:space="preserve">The </w:t>
      </w:r>
      <w:r w:rsidR="00477EF3" w:rsidRPr="00C505F8">
        <w:t>B</w:t>
      </w:r>
      <w:r w:rsidR="008B50D5" w:rsidRPr="00C505F8">
        <w:t xml:space="preserve">oard action recommended in this item complies in all material respects with applicable State and federal laws, University of Illinois </w:t>
      </w:r>
      <w:r w:rsidR="008B50D5" w:rsidRPr="00C505F8">
        <w:rPr>
          <w:i/>
        </w:rPr>
        <w:t>Statutes</w:t>
      </w:r>
      <w:r w:rsidR="008B50D5" w:rsidRPr="00C505F8">
        <w:t xml:space="preserve">, </w:t>
      </w:r>
      <w:r w:rsidR="008B50D5" w:rsidRPr="00C505F8">
        <w:rPr>
          <w:i/>
        </w:rPr>
        <w:t>The General Rules Concerning University Organization and Procedure</w:t>
      </w:r>
      <w:r w:rsidR="008B50D5" w:rsidRPr="00C505F8">
        <w:t>, and Board of Trustees policies and directives.</w:t>
      </w:r>
    </w:p>
    <w:p w14:paraId="23DDAF2B" w14:textId="698BC28E" w:rsidR="00A61E7F" w:rsidRPr="00C505F8" w:rsidRDefault="00A61E7F" w:rsidP="001A0834">
      <w:pPr>
        <w:pStyle w:val="bdstyle2"/>
      </w:pPr>
      <w:r w:rsidRPr="00C505F8">
        <w:t xml:space="preserve">Funds for </w:t>
      </w:r>
      <w:r w:rsidR="00C42423" w:rsidRPr="00C505F8">
        <w:t>this</w:t>
      </w:r>
      <w:r w:rsidR="00B830F0" w:rsidRPr="00C505F8">
        <w:t xml:space="preserve"> project</w:t>
      </w:r>
      <w:r w:rsidRPr="00C505F8">
        <w:t xml:space="preserve"> are available</w:t>
      </w:r>
      <w:r w:rsidR="0013413E" w:rsidRPr="00C505F8">
        <w:t xml:space="preserve"> from</w:t>
      </w:r>
      <w:r w:rsidR="00F83AD3" w:rsidRPr="00C505F8">
        <w:t xml:space="preserve"> </w:t>
      </w:r>
      <w:r w:rsidR="0013413E" w:rsidRPr="00C505F8">
        <w:t>the</w:t>
      </w:r>
      <w:r w:rsidR="006F05F1" w:rsidRPr="00C505F8">
        <w:t xml:space="preserve"> </w:t>
      </w:r>
      <w:r w:rsidR="00C42423" w:rsidRPr="00C505F8">
        <w:t xml:space="preserve">institutional funds operating budget </w:t>
      </w:r>
      <w:r w:rsidR="00CF5C15" w:rsidRPr="00C505F8">
        <w:t>of the University of Illinois Urbana-Champaign</w:t>
      </w:r>
      <w:r w:rsidR="006C5810" w:rsidRPr="00C505F8">
        <w:t>.</w:t>
      </w:r>
    </w:p>
    <w:p w14:paraId="371CAEE6" w14:textId="3827948E" w:rsidR="009F3756" w:rsidRDefault="000C63B2" w:rsidP="00410741">
      <w:pPr>
        <w:tabs>
          <w:tab w:val="left" w:pos="1440"/>
          <w:tab w:val="left" w:pos="6480"/>
        </w:tabs>
        <w:spacing w:line="480" w:lineRule="auto"/>
        <w:rPr>
          <w:szCs w:val="26"/>
        </w:rPr>
      </w:pPr>
      <w:r w:rsidRPr="00C505F8">
        <w:rPr>
          <w:szCs w:val="26"/>
        </w:rPr>
        <w:tab/>
        <w:t xml:space="preserve">The President of the University </w:t>
      </w:r>
      <w:r w:rsidR="001A0834">
        <w:rPr>
          <w:szCs w:val="26"/>
        </w:rPr>
        <w:t xml:space="preserve">of Illinois System </w:t>
      </w:r>
      <w:r w:rsidRPr="00C505F8">
        <w:rPr>
          <w:szCs w:val="26"/>
        </w:rPr>
        <w:t>concurs.</w:t>
      </w:r>
    </w:p>
    <w:p w14:paraId="617AEC77" w14:textId="43CE8C1D" w:rsidR="00410741" w:rsidRDefault="00410741" w:rsidP="00410741">
      <w:pPr>
        <w:tabs>
          <w:tab w:val="left" w:pos="1440"/>
          <w:tab w:val="left" w:pos="6480"/>
        </w:tabs>
        <w:spacing w:line="480" w:lineRule="auto"/>
        <w:rPr>
          <w:szCs w:val="26"/>
        </w:rPr>
      </w:pPr>
    </w:p>
    <w:p w14:paraId="65E20A2D" w14:textId="2BAD51CA" w:rsidR="00410741" w:rsidRDefault="00410741" w:rsidP="00410741">
      <w:pPr>
        <w:tabs>
          <w:tab w:val="left" w:pos="1440"/>
          <w:tab w:val="left" w:pos="6480"/>
        </w:tabs>
        <w:spacing w:line="480" w:lineRule="auto"/>
        <w:rPr>
          <w:szCs w:val="26"/>
        </w:rPr>
      </w:pPr>
    </w:p>
    <w:p w14:paraId="33278C5F" w14:textId="0F40F820" w:rsidR="00410741" w:rsidRDefault="00410741" w:rsidP="00410741">
      <w:pPr>
        <w:tabs>
          <w:tab w:val="left" w:pos="1440"/>
          <w:tab w:val="left" w:pos="6480"/>
        </w:tabs>
        <w:spacing w:line="480" w:lineRule="auto"/>
        <w:rPr>
          <w:szCs w:val="26"/>
        </w:rPr>
      </w:pPr>
    </w:p>
    <w:p w14:paraId="4A7B8E69" w14:textId="01132120" w:rsidR="00410741" w:rsidRDefault="00410741" w:rsidP="00410741">
      <w:pPr>
        <w:tabs>
          <w:tab w:val="left" w:pos="1440"/>
          <w:tab w:val="left" w:pos="6480"/>
        </w:tabs>
        <w:spacing w:line="480" w:lineRule="auto"/>
        <w:rPr>
          <w:szCs w:val="26"/>
        </w:rPr>
      </w:pPr>
    </w:p>
    <w:p w14:paraId="55EA66F8" w14:textId="77777777" w:rsidR="00410741" w:rsidRPr="00410741" w:rsidRDefault="00410741" w:rsidP="00410741">
      <w:pPr>
        <w:tabs>
          <w:tab w:val="left" w:pos="1440"/>
          <w:tab w:val="left" w:pos="6480"/>
        </w:tabs>
        <w:spacing w:line="480" w:lineRule="auto"/>
        <w:rPr>
          <w:szCs w:val="26"/>
        </w:rPr>
      </w:pPr>
    </w:p>
    <w:p w14:paraId="3009CC3A" w14:textId="3B57C179" w:rsidR="009F3756" w:rsidRDefault="009F3756" w:rsidP="001A0834">
      <w:pPr>
        <w:pStyle w:val="bdstyle2"/>
        <w:spacing w:line="240" w:lineRule="auto"/>
        <w:ind w:firstLine="0"/>
      </w:pPr>
    </w:p>
    <w:tbl>
      <w:tblPr>
        <w:tblW w:w="8280" w:type="dxa"/>
        <w:tblLayout w:type="fixed"/>
        <w:tblLook w:val="04A0" w:firstRow="1" w:lastRow="0" w:firstColumn="1" w:lastColumn="0" w:noHBand="0" w:noVBand="1"/>
      </w:tblPr>
      <w:tblGrid>
        <w:gridCol w:w="2800"/>
        <w:gridCol w:w="2060"/>
        <w:gridCol w:w="1710"/>
        <w:gridCol w:w="1710"/>
      </w:tblGrid>
      <w:tr w:rsidR="009F3756" w:rsidRPr="001510AF" w14:paraId="549A08C3" w14:textId="77777777" w:rsidTr="00114D13">
        <w:trPr>
          <w:trHeight w:val="330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FB43" w14:textId="77777777" w:rsidR="009F3756" w:rsidRPr="001510AF" w:rsidRDefault="009F3756" w:rsidP="001A08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Table 1: Diverse Business Utilization</w:t>
            </w:r>
          </w:p>
        </w:tc>
      </w:tr>
      <w:tr w:rsidR="009F3756" w:rsidRPr="001510AF" w14:paraId="3DD32A99" w14:textId="77777777" w:rsidTr="00114D13">
        <w:trPr>
          <w:trHeight w:val="69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4F0F5C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Awarded Vendor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0D1330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PSC Agreement $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5FF51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Subcontract Value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34088F6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Subvendor % of Work</w:t>
            </w:r>
          </w:p>
        </w:tc>
      </w:tr>
      <w:tr w:rsidR="009F3756" w:rsidRPr="001510AF" w14:paraId="4C787EDA" w14:textId="77777777" w:rsidTr="00114D13">
        <w:trPr>
          <w:trHeight w:val="435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915F244" w14:textId="2ED2DE1C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Reifsteck Reid and Company Architects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0DDF" w14:textId="004E85A4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</w:t>
            </w:r>
            <w:r w:rsidR="008743AB">
              <w:rPr>
                <w:color w:val="000000"/>
                <w:szCs w:val="26"/>
              </w:rPr>
              <w:t>1,122,789</w:t>
            </w:r>
            <w:r w:rsidRPr="001510AF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DE75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EFC0D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</w:tr>
      <w:tr w:rsidR="009F3756" w:rsidRPr="001510AF" w14:paraId="5D10EE3F" w14:textId="77777777" w:rsidTr="00114D13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73C0C" w14:textId="77777777" w:rsidR="009F3756" w:rsidRPr="001510AF" w:rsidRDefault="009F3756" w:rsidP="001A08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83CF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1D0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D123A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</w:tr>
      <w:tr w:rsidR="009F3756" w:rsidRPr="001510AF" w14:paraId="710CFAE1" w14:textId="77777777" w:rsidTr="00114D13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0C30C" w14:textId="77777777" w:rsidR="009F3756" w:rsidRPr="001510AF" w:rsidRDefault="009F3756" w:rsidP="001A08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8D3B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MBE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039A" w14:textId="2AD6B2E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</w:t>
            </w:r>
            <w:r w:rsidR="008743AB">
              <w:rPr>
                <w:color w:val="000000"/>
                <w:szCs w:val="26"/>
              </w:rPr>
              <w:t>325</w:t>
            </w:r>
            <w:r w:rsidRPr="001510AF">
              <w:rPr>
                <w:color w:val="000000"/>
                <w:szCs w:val="26"/>
              </w:rPr>
              <w:t>,</w:t>
            </w:r>
            <w:r w:rsidR="008743AB">
              <w:rPr>
                <w:color w:val="000000"/>
                <w:szCs w:val="26"/>
              </w:rPr>
              <w:t>41</w:t>
            </w:r>
            <w:r w:rsidRPr="001510AF">
              <w:rPr>
                <w:color w:val="000000"/>
                <w:szCs w:val="26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0E565" w14:textId="742CA4F2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</w:t>
            </w:r>
            <w:r w:rsidR="009F3756" w:rsidRPr="001510AF">
              <w:rPr>
                <w:color w:val="000000"/>
                <w:szCs w:val="26"/>
              </w:rPr>
              <w:t>%</w:t>
            </w:r>
          </w:p>
        </w:tc>
      </w:tr>
      <w:tr w:rsidR="009F3756" w:rsidRPr="001510AF" w14:paraId="24842CA5" w14:textId="77777777" w:rsidTr="00114D13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17A80" w14:textId="77777777" w:rsidR="009F3756" w:rsidRPr="001510AF" w:rsidRDefault="009F3756" w:rsidP="001A08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32ED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VOSB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914E" w14:textId="5C18D6CF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$5</w:t>
            </w:r>
            <w:r w:rsidR="008743AB">
              <w:rPr>
                <w:color w:val="000000"/>
                <w:szCs w:val="26"/>
              </w:rPr>
              <w:t>6</w:t>
            </w:r>
            <w:r w:rsidRPr="001510AF">
              <w:rPr>
                <w:color w:val="000000"/>
                <w:szCs w:val="26"/>
              </w:rPr>
              <w:t>,</w:t>
            </w:r>
            <w:r w:rsidR="008743AB">
              <w:rPr>
                <w:color w:val="000000"/>
                <w:szCs w:val="26"/>
              </w:rPr>
              <w:t>195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623B1" w14:textId="7E2712FF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  <w:r w:rsidR="009F3756" w:rsidRPr="001510AF">
              <w:rPr>
                <w:color w:val="000000"/>
                <w:szCs w:val="26"/>
              </w:rPr>
              <w:t>%</w:t>
            </w:r>
          </w:p>
        </w:tc>
      </w:tr>
      <w:tr w:rsidR="009F3756" w:rsidRPr="001510AF" w14:paraId="35C0D37B" w14:textId="77777777" w:rsidTr="00114D13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18CA1" w14:textId="77777777" w:rsidR="009F3756" w:rsidRPr="001510AF" w:rsidRDefault="009F3756" w:rsidP="001A08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02C3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WBE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B980" w14:textId="6B87ABC0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</w:t>
            </w:r>
            <w:r w:rsidR="008743AB">
              <w:rPr>
                <w:color w:val="000000"/>
                <w:szCs w:val="26"/>
              </w:rPr>
              <w:t>32</w:t>
            </w:r>
            <w:r w:rsidRPr="001510AF">
              <w:rPr>
                <w:color w:val="000000"/>
                <w:szCs w:val="26"/>
              </w:rPr>
              <w:t>,8</w:t>
            </w:r>
            <w:r w:rsidR="008743AB">
              <w:rPr>
                <w:color w:val="000000"/>
                <w:szCs w:val="26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C21FD" w14:textId="6A514DC6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="009F3756" w:rsidRPr="001510AF">
              <w:rPr>
                <w:color w:val="000000"/>
                <w:szCs w:val="26"/>
              </w:rPr>
              <w:t>%</w:t>
            </w:r>
          </w:p>
        </w:tc>
      </w:tr>
      <w:tr w:rsidR="009F3756" w:rsidRPr="001510AF" w14:paraId="24B8BD5E" w14:textId="77777777" w:rsidTr="00114D13">
        <w:trPr>
          <w:trHeight w:val="43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717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0C4B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520C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3DB3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</w:tr>
      <w:tr w:rsidR="009F3756" w:rsidRPr="001510AF" w14:paraId="1BCB2F90" w14:textId="77777777" w:rsidTr="00114D13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819C" w14:textId="538872A7" w:rsidR="009F3756" w:rsidRPr="001510AF" w:rsidRDefault="009F3756" w:rsidP="001A08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MBE (A</w:t>
            </w:r>
            <w:r w:rsidR="008743AB">
              <w:rPr>
                <w:color w:val="000000"/>
                <w:szCs w:val="26"/>
              </w:rPr>
              <w:t>F</w:t>
            </w:r>
            <w:r w:rsidRPr="001510AF">
              <w:rPr>
                <w:color w:val="000000"/>
                <w:szCs w:val="26"/>
              </w:rPr>
              <w:t>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276F" w14:textId="19540491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</w:t>
            </w:r>
            <w:r w:rsidR="008743AB">
              <w:rPr>
                <w:color w:val="000000"/>
                <w:szCs w:val="26"/>
              </w:rPr>
              <w:t>167,860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A2BD" w14:textId="3FCBD1F2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</w:t>
            </w:r>
            <w:r w:rsidR="009F3756" w:rsidRPr="001510AF">
              <w:rPr>
                <w:color w:val="000000"/>
                <w:szCs w:val="26"/>
              </w:rPr>
              <w:t>%</w:t>
            </w:r>
          </w:p>
        </w:tc>
      </w:tr>
      <w:tr w:rsidR="009F3756" w:rsidRPr="001510AF" w14:paraId="444B73AF" w14:textId="77777777" w:rsidTr="00114D13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6760" w14:textId="7CF398E8" w:rsidR="009F3756" w:rsidRPr="001510AF" w:rsidRDefault="009F3756" w:rsidP="001A08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MBE (</w:t>
            </w:r>
            <w:r w:rsidR="008743AB">
              <w:rPr>
                <w:color w:val="000000"/>
                <w:szCs w:val="26"/>
              </w:rPr>
              <w:t>AS</w:t>
            </w:r>
            <w:r w:rsidRPr="001510AF">
              <w:rPr>
                <w:color w:val="000000"/>
                <w:szCs w:val="26"/>
              </w:rPr>
              <w:t>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B353" w14:textId="4660E23B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</w:t>
            </w:r>
            <w:r w:rsidR="008743AB">
              <w:rPr>
                <w:color w:val="000000"/>
                <w:szCs w:val="26"/>
              </w:rPr>
              <w:t>160</w:t>
            </w:r>
            <w:r w:rsidRPr="001510AF">
              <w:rPr>
                <w:color w:val="000000"/>
                <w:szCs w:val="26"/>
              </w:rPr>
              <w:t>,</w:t>
            </w:r>
            <w:r w:rsidR="008743AB">
              <w:rPr>
                <w:color w:val="000000"/>
                <w:szCs w:val="26"/>
              </w:rPr>
              <w:t>550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A751B" w14:textId="2C575213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  <w:r w:rsidR="009F3756" w:rsidRPr="001510AF">
              <w:rPr>
                <w:color w:val="000000"/>
                <w:szCs w:val="26"/>
              </w:rPr>
              <w:t>4%</w:t>
            </w:r>
          </w:p>
        </w:tc>
      </w:tr>
      <w:tr w:rsidR="009F3756" w:rsidRPr="001510AF" w14:paraId="7142486C" w14:textId="77777777" w:rsidTr="00114D13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E97A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VOSB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AC2F" w14:textId="3FC86A87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$5</w:t>
            </w:r>
            <w:r w:rsidR="008743AB">
              <w:rPr>
                <w:color w:val="000000"/>
                <w:szCs w:val="26"/>
              </w:rPr>
              <w:t>6,195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87020" w14:textId="5860052D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  <w:r w:rsidR="009F3756" w:rsidRPr="001510AF">
              <w:rPr>
                <w:color w:val="000000"/>
                <w:szCs w:val="26"/>
              </w:rPr>
              <w:t>%</w:t>
            </w:r>
          </w:p>
        </w:tc>
      </w:tr>
      <w:tr w:rsidR="009F3756" w:rsidRPr="001510AF" w14:paraId="58EC93A5" w14:textId="77777777" w:rsidTr="00114D13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5E68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WBE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8955" w14:textId="53C61F85" w:rsidR="009F3756" w:rsidRPr="001510AF" w:rsidRDefault="009F3756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</w:t>
            </w:r>
            <w:r w:rsidR="008743AB">
              <w:rPr>
                <w:color w:val="000000"/>
                <w:szCs w:val="26"/>
              </w:rPr>
              <w:t>32,880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45BA5" w14:textId="3505FDB4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="009F3756" w:rsidRPr="001510AF">
              <w:rPr>
                <w:color w:val="000000"/>
                <w:szCs w:val="26"/>
              </w:rPr>
              <w:t>%</w:t>
            </w:r>
          </w:p>
        </w:tc>
      </w:tr>
      <w:tr w:rsidR="009F3756" w:rsidRPr="001510AF" w14:paraId="3119BB71" w14:textId="77777777" w:rsidTr="00114D13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FE75" w14:textId="77777777" w:rsidR="009F3756" w:rsidRPr="001510AF" w:rsidRDefault="009F3756" w:rsidP="001A08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Diversity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75FE" w14:textId="5F5582E4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$417,485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9608C" w14:textId="60C6297F" w:rsidR="009F3756" w:rsidRPr="001510AF" w:rsidRDefault="008743AB" w:rsidP="001A08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37</w:t>
            </w:r>
            <w:r w:rsidR="009F3756" w:rsidRPr="001510AF">
              <w:rPr>
                <w:color w:val="000000"/>
                <w:szCs w:val="26"/>
              </w:rPr>
              <w:t>%</w:t>
            </w:r>
          </w:p>
        </w:tc>
      </w:tr>
    </w:tbl>
    <w:p w14:paraId="6E50F1A5" w14:textId="63467E26" w:rsidR="009F3756" w:rsidRPr="00F23F60" w:rsidRDefault="009F3756" w:rsidP="001A0834">
      <w:pPr>
        <w:pStyle w:val="bdstyle2"/>
        <w:spacing w:line="240" w:lineRule="auto"/>
        <w:ind w:firstLine="0"/>
      </w:pPr>
    </w:p>
    <w:sectPr w:rsidR="009F3756" w:rsidRPr="00F23F60" w:rsidSect="001A0834">
      <w:headerReference w:type="even" r:id="rId7"/>
      <w:headerReference w:type="default" r:id="rId8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2552" w14:textId="77777777" w:rsidR="00CF6C34" w:rsidRDefault="00CF6C34">
      <w:r>
        <w:separator/>
      </w:r>
    </w:p>
  </w:endnote>
  <w:endnote w:type="continuationSeparator" w:id="0">
    <w:p w14:paraId="07B59D55" w14:textId="77777777" w:rsidR="00CF6C34" w:rsidRDefault="00CF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5166" w14:textId="77777777" w:rsidR="00CF6C34" w:rsidRDefault="00CF6C34">
      <w:r>
        <w:separator/>
      </w:r>
    </w:p>
  </w:footnote>
  <w:footnote w:type="continuationSeparator" w:id="0">
    <w:p w14:paraId="2DD8CA3A" w14:textId="77777777" w:rsidR="00CF6C34" w:rsidRDefault="00CF6C34">
      <w:r>
        <w:continuationSeparator/>
      </w:r>
    </w:p>
  </w:footnote>
  <w:footnote w:id="1">
    <w:p w14:paraId="6808F89F" w14:textId="2709F749" w:rsidR="00084E51" w:rsidRDefault="00084E51" w:rsidP="00EB0417">
      <w:pPr>
        <w:pStyle w:val="bdfootnote"/>
      </w:pPr>
      <w:r w:rsidRPr="00644F88">
        <w:rPr>
          <w:rStyle w:val="FootnoteReference"/>
          <w:sz w:val="20"/>
          <w:szCs w:val="14"/>
        </w:rPr>
        <w:footnoteRef/>
      </w:r>
      <w:r w:rsidRPr="00644F88">
        <w:rPr>
          <w:sz w:val="20"/>
          <w:szCs w:val="14"/>
        </w:rPr>
        <w:t xml:space="preserve"> A selection committee consisting of </w:t>
      </w:r>
      <w:r w:rsidR="007D47A5" w:rsidRPr="00644F88">
        <w:rPr>
          <w:sz w:val="20"/>
          <w:szCs w:val="14"/>
        </w:rPr>
        <w:t>Kevin Price</w:t>
      </w:r>
      <w:r w:rsidRPr="00644F88">
        <w:rPr>
          <w:sz w:val="20"/>
          <w:szCs w:val="14"/>
        </w:rPr>
        <w:t xml:space="preserve"> (Facilities </w:t>
      </w:r>
      <w:r w:rsidR="001E2492">
        <w:rPr>
          <w:sz w:val="20"/>
          <w:szCs w:val="14"/>
        </w:rPr>
        <w:t>and</w:t>
      </w:r>
      <w:r w:rsidRPr="00644F88">
        <w:rPr>
          <w:sz w:val="20"/>
          <w:szCs w:val="14"/>
        </w:rPr>
        <w:t xml:space="preserve"> Services</w:t>
      </w:r>
      <w:r w:rsidR="00AC27FF" w:rsidRPr="00644F88">
        <w:rPr>
          <w:sz w:val="20"/>
          <w:szCs w:val="14"/>
        </w:rPr>
        <w:t>, Capital Programs</w:t>
      </w:r>
      <w:r w:rsidRPr="00644F88">
        <w:rPr>
          <w:sz w:val="20"/>
          <w:szCs w:val="14"/>
        </w:rPr>
        <w:t xml:space="preserve">), </w:t>
      </w:r>
      <w:r w:rsidR="00772C55" w:rsidRPr="00644F88">
        <w:rPr>
          <w:sz w:val="20"/>
          <w:szCs w:val="14"/>
        </w:rPr>
        <w:t xml:space="preserve">James Sims (Facilities </w:t>
      </w:r>
      <w:r w:rsidR="00410741">
        <w:rPr>
          <w:sz w:val="20"/>
          <w:szCs w:val="14"/>
        </w:rPr>
        <w:t xml:space="preserve">and </w:t>
      </w:r>
      <w:r w:rsidR="00772C55" w:rsidRPr="00644F88">
        <w:rPr>
          <w:sz w:val="20"/>
          <w:szCs w:val="14"/>
        </w:rPr>
        <w:t xml:space="preserve">Services, Director of Engineering </w:t>
      </w:r>
      <w:r w:rsidR="001E2492">
        <w:rPr>
          <w:sz w:val="20"/>
          <w:szCs w:val="14"/>
        </w:rPr>
        <w:t>and</w:t>
      </w:r>
      <w:r w:rsidR="00772C55" w:rsidRPr="00644F88">
        <w:rPr>
          <w:sz w:val="20"/>
          <w:szCs w:val="14"/>
        </w:rPr>
        <w:t xml:space="preserve"> Small Constr</w:t>
      </w:r>
      <w:r w:rsidR="001E2492">
        <w:rPr>
          <w:sz w:val="20"/>
          <w:szCs w:val="14"/>
        </w:rPr>
        <w:t>uction</w:t>
      </w:r>
      <w:r w:rsidR="00772C55" w:rsidRPr="00644F88">
        <w:rPr>
          <w:sz w:val="20"/>
          <w:szCs w:val="14"/>
        </w:rPr>
        <w:t xml:space="preserve"> Services), </w:t>
      </w:r>
      <w:r w:rsidR="007D47A5" w:rsidRPr="00644F88">
        <w:rPr>
          <w:sz w:val="20"/>
          <w:szCs w:val="14"/>
        </w:rPr>
        <w:t>Dr. Julia Whittington</w:t>
      </w:r>
      <w:r w:rsidR="00AC27FF" w:rsidRPr="00644F88">
        <w:rPr>
          <w:sz w:val="20"/>
          <w:szCs w:val="14"/>
        </w:rPr>
        <w:t xml:space="preserve"> (</w:t>
      </w:r>
      <w:r w:rsidR="00772C55" w:rsidRPr="00644F88">
        <w:rPr>
          <w:sz w:val="20"/>
          <w:szCs w:val="14"/>
        </w:rPr>
        <w:t xml:space="preserve">Director of </w:t>
      </w:r>
      <w:r w:rsidR="007D47A5" w:rsidRPr="00644F88">
        <w:rPr>
          <w:sz w:val="20"/>
          <w:szCs w:val="14"/>
        </w:rPr>
        <w:t>Veterinary Teaching Hospital</w:t>
      </w:r>
      <w:r w:rsidR="00AC27FF" w:rsidRPr="00644F88">
        <w:rPr>
          <w:sz w:val="20"/>
          <w:szCs w:val="14"/>
        </w:rPr>
        <w:t xml:space="preserve">), </w:t>
      </w:r>
      <w:r w:rsidR="00772C55" w:rsidRPr="00644F88">
        <w:rPr>
          <w:sz w:val="20"/>
          <w:szCs w:val="14"/>
        </w:rPr>
        <w:t xml:space="preserve">Dale Morrison </w:t>
      </w:r>
      <w:r w:rsidRPr="00644F88">
        <w:rPr>
          <w:sz w:val="20"/>
          <w:szCs w:val="14"/>
        </w:rPr>
        <w:t>(</w:t>
      </w:r>
      <w:r w:rsidR="00772C55" w:rsidRPr="00644F88">
        <w:rPr>
          <w:sz w:val="20"/>
          <w:szCs w:val="14"/>
        </w:rPr>
        <w:t>Assistant Director of Procurement Diversity, University Administration</w:t>
      </w:r>
      <w:r w:rsidRPr="00644F88">
        <w:rPr>
          <w:sz w:val="20"/>
          <w:szCs w:val="14"/>
        </w:rPr>
        <w:t xml:space="preserve">), and </w:t>
      </w:r>
      <w:r w:rsidR="00772C55" w:rsidRPr="00644F88">
        <w:rPr>
          <w:sz w:val="20"/>
          <w:szCs w:val="14"/>
        </w:rPr>
        <w:t>Chris Rogan</w:t>
      </w:r>
      <w:r w:rsidRPr="00644F88">
        <w:rPr>
          <w:sz w:val="20"/>
          <w:szCs w:val="14"/>
        </w:rPr>
        <w:t xml:space="preserve"> (</w:t>
      </w:r>
      <w:r w:rsidR="00AC27FF" w:rsidRPr="00644F88">
        <w:rPr>
          <w:sz w:val="20"/>
          <w:szCs w:val="14"/>
        </w:rPr>
        <w:t>Director</w:t>
      </w:r>
      <w:r w:rsidR="00A061E8" w:rsidRPr="00644F88">
        <w:rPr>
          <w:sz w:val="20"/>
          <w:szCs w:val="14"/>
        </w:rPr>
        <w:t xml:space="preserve"> of Capital Programs, Capital Programs and</w:t>
      </w:r>
      <w:r w:rsidR="001E2492">
        <w:rPr>
          <w:sz w:val="20"/>
          <w:szCs w:val="14"/>
        </w:rPr>
        <w:t xml:space="preserve"> </w:t>
      </w:r>
      <w:r w:rsidR="00A061E8" w:rsidRPr="00644F88">
        <w:rPr>
          <w:sz w:val="20"/>
          <w:szCs w:val="14"/>
        </w:rPr>
        <w:t>Real Estate Services, University</w:t>
      </w:r>
      <w:r w:rsidR="00AC27FF" w:rsidRPr="00644F88">
        <w:rPr>
          <w:sz w:val="20"/>
          <w:szCs w:val="14"/>
        </w:rPr>
        <w:t xml:space="preserve"> Administration</w:t>
      </w:r>
      <w:r w:rsidRPr="00644F88">
        <w:rPr>
          <w:sz w:val="20"/>
          <w:szCs w:val="14"/>
        </w:rPr>
        <w:t>), interviewed the following firms</w:t>
      </w:r>
      <w:r w:rsidR="00E37EF8" w:rsidRPr="00644F88">
        <w:rPr>
          <w:sz w:val="20"/>
          <w:szCs w:val="14"/>
        </w:rPr>
        <w:t>:</w:t>
      </w:r>
      <w:r w:rsidR="00703551" w:rsidRPr="00644F88">
        <w:rPr>
          <w:sz w:val="20"/>
          <w:szCs w:val="14"/>
        </w:rPr>
        <w:t xml:space="preserve"> </w:t>
      </w:r>
      <w:r w:rsidR="00A061E8" w:rsidRPr="00644F88">
        <w:rPr>
          <w:sz w:val="20"/>
          <w:szCs w:val="14"/>
        </w:rPr>
        <w:t>Architrave Ltd.</w:t>
      </w:r>
      <w:r w:rsidR="00703551" w:rsidRPr="00644F88">
        <w:rPr>
          <w:sz w:val="20"/>
          <w:szCs w:val="14"/>
        </w:rPr>
        <w:t xml:space="preserve">, Chicago, IL; </w:t>
      </w:r>
      <w:r w:rsidR="00A061E8" w:rsidRPr="00644F88">
        <w:rPr>
          <w:sz w:val="20"/>
          <w:szCs w:val="14"/>
        </w:rPr>
        <w:t>Stantec Architecture</w:t>
      </w:r>
      <w:r w:rsidR="00703551" w:rsidRPr="00644F88">
        <w:rPr>
          <w:sz w:val="20"/>
          <w:szCs w:val="14"/>
        </w:rPr>
        <w:t xml:space="preserve">, Chicago, IL; and </w:t>
      </w:r>
      <w:r w:rsidR="00A061E8" w:rsidRPr="00644F88">
        <w:rPr>
          <w:sz w:val="20"/>
          <w:szCs w:val="14"/>
        </w:rPr>
        <w:t>R</w:t>
      </w:r>
      <w:r w:rsidR="00814782" w:rsidRPr="00644F88">
        <w:rPr>
          <w:sz w:val="20"/>
          <w:szCs w:val="14"/>
        </w:rPr>
        <w:t>ei</w:t>
      </w:r>
      <w:r w:rsidR="00A061E8" w:rsidRPr="00644F88">
        <w:rPr>
          <w:sz w:val="20"/>
          <w:szCs w:val="14"/>
        </w:rPr>
        <w:t>fsteck Reid &amp; Company Architects</w:t>
      </w:r>
      <w:r w:rsidRPr="00644F88">
        <w:rPr>
          <w:sz w:val="20"/>
          <w:szCs w:val="14"/>
        </w:rPr>
        <w:t>, Ch</w:t>
      </w:r>
      <w:r w:rsidR="00A061E8" w:rsidRPr="00644F88">
        <w:rPr>
          <w:sz w:val="20"/>
          <w:szCs w:val="14"/>
        </w:rPr>
        <w:t>ampaign</w:t>
      </w:r>
      <w:r w:rsidRPr="00644F88">
        <w:rPr>
          <w:sz w:val="20"/>
          <w:szCs w:val="14"/>
        </w:rPr>
        <w:t xml:space="preserve">, IL.  The committee recommends </w:t>
      </w:r>
      <w:r w:rsidR="00A061E8" w:rsidRPr="00644F88">
        <w:rPr>
          <w:sz w:val="20"/>
          <w:szCs w:val="14"/>
        </w:rPr>
        <w:t>Reifsteck Reid &amp; Company Architects, Champaign, IL</w:t>
      </w:r>
      <w:r w:rsidRPr="00644F88">
        <w:rPr>
          <w:sz w:val="20"/>
          <w:szCs w:val="14"/>
        </w:rPr>
        <w:t>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1107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29788A" w14:textId="72323260" w:rsidR="00410741" w:rsidRDefault="00410741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54756B" w14:textId="77777777" w:rsidR="00410741" w:rsidRDefault="00410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31523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B8EE5D" w14:textId="25FA1625" w:rsidR="00410741" w:rsidRDefault="00410741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8523BE" w14:textId="31D03046" w:rsidR="00410741" w:rsidRDefault="00410741">
    <w:pPr>
      <w:pStyle w:val="Header"/>
    </w:pPr>
  </w:p>
  <w:p w14:paraId="1AD8CE8A" w14:textId="77777777" w:rsidR="00410741" w:rsidRDefault="00410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C7B"/>
    <w:multiLevelType w:val="hybridMultilevel"/>
    <w:tmpl w:val="08D0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78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B4"/>
    <w:rsid w:val="00002F55"/>
    <w:rsid w:val="00004FA6"/>
    <w:rsid w:val="0001629F"/>
    <w:rsid w:val="000231DC"/>
    <w:rsid w:val="0003698B"/>
    <w:rsid w:val="00044BC8"/>
    <w:rsid w:val="000574BA"/>
    <w:rsid w:val="00084E51"/>
    <w:rsid w:val="000B1FF1"/>
    <w:rsid w:val="000C63B2"/>
    <w:rsid w:val="000C7B55"/>
    <w:rsid w:val="000D7C60"/>
    <w:rsid w:val="000E3D9A"/>
    <w:rsid w:val="0013413E"/>
    <w:rsid w:val="00160BC6"/>
    <w:rsid w:val="001A0834"/>
    <w:rsid w:val="001B060C"/>
    <w:rsid w:val="001E2492"/>
    <w:rsid w:val="0020472F"/>
    <w:rsid w:val="00204ED2"/>
    <w:rsid w:val="002223C4"/>
    <w:rsid w:val="00266F06"/>
    <w:rsid w:val="00291580"/>
    <w:rsid w:val="00295D7F"/>
    <w:rsid w:val="002C1EAF"/>
    <w:rsid w:val="002C7B9E"/>
    <w:rsid w:val="0030794F"/>
    <w:rsid w:val="00317881"/>
    <w:rsid w:val="00327CED"/>
    <w:rsid w:val="00341C05"/>
    <w:rsid w:val="003431EB"/>
    <w:rsid w:val="0035013E"/>
    <w:rsid w:val="00361A1D"/>
    <w:rsid w:val="00366B57"/>
    <w:rsid w:val="00373410"/>
    <w:rsid w:val="00382B84"/>
    <w:rsid w:val="003E0E55"/>
    <w:rsid w:val="003E38F1"/>
    <w:rsid w:val="0040106E"/>
    <w:rsid w:val="00410741"/>
    <w:rsid w:val="00477EF3"/>
    <w:rsid w:val="00493B83"/>
    <w:rsid w:val="004B1E32"/>
    <w:rsid w:val="004E2CC1"/>
    <w:rsid w:val="00505B3F"/>
    <w:rsid w:val="005140EB"/>
    <w:rsid w:val="0052027F"/>
    <w:rsid w:val="005246DC"/>
    <w:rsid w:val="0057507D"/>
    <w:rsid w:val="005A05A7"/>
    <w:rsid w:val="005C35FF"/>
    <w:rsid w:val="005D221A"/>
    <w:rsid w:val="005D4844"/>
    <w:rsid w:val="005E79CC"/>
    <w:rsid w:val="00620245"/>
    <w:rsid w:val="00633A37"/>
    <w:rsid w:val="00644F88"/>
    <w:rsid w:val="006646A0"/>
    <w:rsid w:val="00696B5E"/>
    <w:rsid w:val="00697F75"/>
    <w:rsid w:val="006B29E7"/>
    <w:rsid w:val="006C41C8"/>
    <w:rsid w:val="006C5810"/>
    <w:rsid w:val="006D2746"/>
    <w:rsid w:val="006F05F1"/>
    <w:rsid w:val="006F13BB"/>
    <w:rsid w:val="006F264E"/>
    <w:rsid w:val="00703551"/>
    <w:rsid w:val="00714A54"/>
    <w:rsid w:val="0072473B"/>
    <w:rsid w:val="007329C8"/>
    <w:rsid w:val="00740E80"/>
    <w:rsid w:val="00756196"/>
    <w:rsid w:val="00772C55"/>
    <w:rsid w:val="00774646"/>
    <w:rsid w:val="00777D0B"/>
    <w:rsid w:val="00792842"/>
    <w:rsid w:val="00792DFB"/>
    <w:rsid w:val="007A16E4"/>
    <w:rsid w:val="007A6372"/>
    <w:rsid w:val="007C1C46"/>
    <w:rsid w:val="007D47A5"/>
    <w:rsid w:val="007F7680"/>
    <w:rsid w:val="00813421"/>
    <w:rsid w:val="00814782"/>
    <w:rsid w:val="0082203D"/>
    <w:rsid w:val="00843AAD"/>
    <w:rsid w:val="0085372C"/>
    <w:rsid w:val="00871A5E"/>
    <w:rsid w:val="00873CB4"/>
    <w:rsid w:val="008743AB"/>
    <w:rsid w:val="008B50D5"/>
    <w:rsid w:val="008D1F59"/>
    <w:rsid w:val="008E6F24"/>
    <w:rsid w:val="008F5501"/>
    <w:rsid w:val="00924FAA"/>
    <w:rsid w:val="0093106D"/>
    <w:rsid w:val="009A279D"/>
    <w:rsid w:val="009B6A47"/>
    <w:rsid w:val="009C2994"/>
    <w:rsid w:val="009D3F4F"/>
    <w:rsid w:val="009D4413"/>
    <w:rsid w:val="009D47AF"/>
    <w:rsid w:val="009D49DD"/>
    <w:rsid w:val="009F3756"/>
    <w:rsid w:val="009F45F7"/>
    <w:rsid w:val="00A061E8"/>
    <w:rsid w:val="00A1797B"/>
    <w:rsid w:val="00A41439"/>
    <w:rsid w:val="00A4286E"/>
    <w:rsid w:val="00A521FC"/>
    <w:rsid w:val="00A522AF"/>
    <w:rsid w:val="00A551C7"/>
    <w:rsid w:val="00A61E7F"/>
    <w:rsid w:val="00A76DC4"/>
    <w:rsid w:val="00A95689"/>
    <w:rsid w:val="00AB5235"/>
    <w:rsid w:val="00AC27FF"/>
    <w:rsid w:val="00AD14D8"/>
    <w:rsid w:val="00AF2072"/>
    <w:rsid w:val="00B0441E"/>
    <w:rsid w:val="00B327B4"/>
    <w:rsid w:val="00B42165"/>
    <w:rsid w:val="00B830F0"/>
    <w:rsid w:val="00B92FA5"/>
    <w:rsid w:val="00BB6BCB"/>
    <w:rsid w:val="00BE70DB"/>
    <w:rsid w:val="00C02A0F"/>
    <w:rsid w:val="00C20582"/>
    <w:rsid w:val="00C24FFF"/>
    <w:rsid w:val="00C42423"/>
    <w:rsid w:val="00C505F8"/>
    <w:rsid w:val="00C665C6"/>
    <w:rsid w:val="00C82433"/>
    <w:rsid w:val="00CF3CC5"/>
    <w:rsid w:val="00CF4AA4"/>
    <w:rsid w:val="00CF5C15"/>
    <w:rsid w:val="00CF6C34"/>
    <w:rsid w:val="00D13821"/>
    <w:rsid w:val="00D26BD9"/>
    <w:rsid w:val="00D46DC8"/>
    <w:rsid w:val="00D53C53"/>
    <w:rsid w:val="00D807C1"/>
    <w:rsid w:val="00D85C06"/>
    <w:rsid w:val="00D86FD6"/>
    <w:rsid w:val="00D87C7E"/>
    <w:rsid w:val="00DB4038"/>
    <w:rsid w:val="00DE1C35"/>
    <w:rsid w:val="00E03F59"/>
    <w:rsid w:val="00E37EF8"/>
    <w:rsid w:val="00E646E8"/>
    <w:rsid w:val="00EA623D"/>
    <w:rsid w:val="00EA7E3F"/>
    <w:rsid w:val="00EB0417"/>
    <w:rsid w:val="00EB16AD"/>
    <w:rsid w:val="00EE6DF9"/>
    <w:rsid w:val="00EF7D64"/>
    <w:rsid w:val="00F151FA"/>
    <w:rsid w:val="00F160EF"/>
    <w:rsid w:val="00F22929"/>
    <w:rsid w:val="00F23F60"/>
    <w:rsid w:val="00F30E77"/>
    <w:rsid w:val="00F75DB0"/>
    <w:rsid w:val="00F76AB1"/>
    <w:rsid w:val="00F83AD3"/>
    <w:rsid w:val="00F93302"/>
    <w:rsid w:val="00F9654B"/>
    <w:rsid w:val="00FA177B"/>
    <w:rsid w:val="00FD3EF0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3226E"/>
  <w15:chartTrackingRefBased/>
  <w15:docId w15:val="{CC1D7EA2-0229-4669-9119-1D2A1CB9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DE1C3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FootnoteText">
    <w:name w:val="footnote text"/>
    <w:basedOn w:val="Normal"/>
    <w:semiHidden/>
    <w:rsid w:val="00F76AB1"/>
    <w:rPr>
      <w:sz w:val="20"/>
    </w:rPr>
  </w:style>
  <w:style w:type="character" w:styleId="FootnoteReference">
    <w:name w:val="footnote reference"/>
    <w:semiHidden/>
    <w:rsid w:val="00F76AB1"/>
    <w:rPr>
      <w:vertAlign w:val="superscript"/>
    </w:rPr>
  </w:style>
  <w:style w:type="paragraph" w:styleId="BalloonText">
    <w:name w:val="Balloon Text"/>
    <w:basedOn w:val="Normal"/>
    <w:semiHidden/>
    <w:rsid w:val="0082203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4844"/>
    <w:rPr>
      <w:sz w:val="26"/>
    </w:rPr>
  </w:style>
  <w:style w:type="character" w:styleId="CommentReference">
    <w:name w:val="annotation reference"/>
    <w:basedOn w:val="DefaultParagraphFont"/>
    <w:rsid w:val="009F37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7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37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756"/>
    <w:rPr>
      <w:b/>
      <w:bCs/>
    </w:rPr>
  </w:style>
  <w:style w:type="paragraph" w:styleId="Header">
    <w:name w:val="header"/>
    <w:basedOn w:val="Normal"/>
    <w:link w:val="HeaderChar"/>
    <w:rsid w:val="0041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0741"/>
    <w:rPr>
      <w:sz w:val="26"/>
    </w:rPr>
  </w:style>
  <w:style w:type="character" w:styleId="PageNumber">
    <w:name w:val="page number"/>
    <w:basedOn w:val="DefaultParagraphFont"/>
    <w:rsid w:val="00410741"/>
  </w:style>
  <w:style w:type="paragraph" w:styleId="Footer">
    <w:name w:val="footer"/>
    <w:basedOn w:val="Normal"/>
    <w:link w:val="FooterChar"/>
    <w:rsid w:val="0041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0741"/>
    <w:rPr>
      <w:sz w:val="26"/>
    </w:rPr>
  </w:style>
  <w:style w:type="character" w:customStyle="1" w:styleId="Heading1Char">
    <w:name w:val="Heading 1 Char"/>
    <w:basedOn w:val="DefaultParagraphFont"/>
    <w:link w:val="Heading1"/>
    <w:rsid w:val="00DE1C3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White, Morgan</dc:creator>
  <cp:keywords/>
  <dc:description/>
  <cp:lastModifiedBy>Williams, Aubrie Lee</cp:lastModifiedBy>
  <cp:revision>8</cp:revision>
  <cp:lastPrinted>2017-07-21T15:11:00Z</cp:lastPrinted>
  <dcterms:created xsi:type="dcterms:W3CDTF">2022-06-23T23:09:00Z</dcterms:created>
  <dcterms:modified xsi:type="dcterms:W3CDTF">2022-07-21T14:13:00Z</dcterms:modified>
</cp:coreProperties>
</file>