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863E" w14:textId="77777777" w:rsidR="00885AF1" w:rsidRPr="006629BC" w:rsidRDefault="00885AF1" w:rsidP="00885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4F81BD" w:themeColor="accent1"/>
        </w:rPr>
      </w:pPr>
      <w:bookmarkStart w:id="0" w:name="_Hlk77839959"/>
      <w:bookmarkStart w:id="1" w:name="_Hlk93577479"/>
      <w:r w:rsidRPr="006629BC">
        <w:rPr>
          <w:color w:val="4F81BD" w:themeColor="accent1"/>
        </w:rPr>
        <w:t>Reported to the Board of Trustees</w:t>
      </w:r>
    </w:p>
    <w:bookmarkEnd w:id="0"/>
    <w:p w14:paraId="27CDB0F2" w14:textId="77777777" w:rsidR="00885AF1" w:rsidRPr="006629BC" w:rsidRDefault="00885AF1" w:rsidP="00885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4F81BD" w:themeColor="accent1"/>
        </w:rPr>
      </w:pPr>
      <w:r w:rsidRPr="006629BC">
        <w:rPr>
          <w:color w:val="4F81BD" w:themeColor="accent1"/>
        </w:rPr>
        <w:t>March 17, 2022</w:t>
      </w:r>
      <w:bookmarkEnd w:id="1"/>
    </w:p>
    <w:p w14:paraId="42025E71" w14:textId="77777777" w:rsidR="00885AF1" w:rsidRDefault="00885AF1" w:rsidP="00885AF1"/>
    <w:p w14:paraId="4E6A1E47" w14:textId="537170D4" w:rsidR="001728F5" w:rsidRPr="00F27BD4" w:rsidRDefault="001728F5" w:rsidP="00885AF1">
      <w:pPr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 xml:space="preserve">The Freedom of Information Act (FOIA) is an Illinois statute that provides the public access </w:t>
      </w:r>
      <w:r w:rsidR="004878B9" w:rsidRPr="00F27BD4">
        <w:rPr>
          <w:rFonts w:ascii="Calibri" w:hAnsi="Calibri" w:cs="Calibri"/>
          <w:szCs w:val="22"/>
        </w:rPr>
        <w:t xml:space="preserve">to </w:t>
      </w:r>
      <w:r w:rsidRPr="00F27BD4">
        <w:rPr>
          <w:rFonts w:ascii="Calibri" w:hAnsi="Calibri" w:cs="Calibri"/>
          <w:szCs w:val="22"/>
        </w:rPr>
        <w:t>the documents and records of public bodies, including the University</w:t>
      </w:r>
      <w:r w:rsidR="009264CB" w:rsidRPr="00F27BD4">
        <w:rPr>
          <w:rFonts w:ascii="Calibri" w:hAnsi="Calibri" w:cs="Calibri"/>
          <w:szCs w:val="22"/>
        </w:rPr>
        <w:t xml:space="preserve"> of Illinois System</w:t>
      </w:r>
      <w:r w:rsidRPr="00F27BD4">
        <w:rPr>
          <w:rFonts w:ascii="Calibri" w:hAnsi="Calibri" w:cs="Calibri"/>
          <w:szCs w:val="22"/>
        </w:rPr>
        <w:t>.</w:t>
      </w:r>
      <w:r w:rsidR="004F083B" w:rsidRPr="00F27BD4">
        <w:rPr>
          <w:rFonts w:ascii="Calibri" w:hAnsi="Calibri" w:cs="Calibri"/>
          <w:szCs w:val="22"/>
        </w:rPr>
        <w:t xml:space="preserve"> The Illinois FOIA was enacted in 1984 and is modeled </w:t>
      </w:r>
      <w:r w:rsidR="00664755" w:rsidRPr="00F27BD4">
        <w:rPr>
          <w:rFonts w:ascii="Calibri" w:hAnsi="Calibri" w:cs="Calibri"/>
          <w:szCs w:val="22"/>
        </w:rPr>
        <w:t>from</w:t>
      </w:r>
      <w:r w:rsidR="004F083B" w:rsidRPr="00F27BD4">
        <w:rPr>
          <w:rFonts w:ascii="Calibri" w:hAnsi="Calibri" w:cs="Calibri"/>
          <w:szCs w:val="22"/>
        </w:rPr>
        <w:t xml:space="preserve"> the federal FOIA</w:t>
      </w:r>
      <w:r w:rsidR="00631B16" w:rsidRPr="00F27BD4">
        <w:rPr>
          <w:rFonts w:ascii="Calibri" w:hAnsi="Calibri" w:cs="Calibri"/>
          <w:szCs w:val="22"/>
        </w:rPr>
        <w:t>,</w:t>
      </w:r>
      <w:r w:rsidR="004F083B" w:rsidRPr="00F27BD4">
        <w:rPr>
          <w:rFonts w:ascii="Calibri" w:hAnsi="Calibri" w:cs="Calibri"/>
          <w:szCs w:val="22"/>
        </w:rPr>
        <w:t xml:space="preserve"> which was enacted in 1965.</w:t>
      </w:r>
      <w:r w:rsidRPr="00F27BD4">
        <w:rPr>
          <w:rFonts w:ascii="Calibri" w:hAnsi="Calibri" w:cs="Calibri"/>
          <w:szCs w:val="22"/>
        </w:rPr>
        <w:t xml:space="preserve"> Under this statute, the </w:t>
      </w:r>
      <w:r w:rsidR="004878B9" w:rsidRPr="00F27BD4">
        <w:rPr>
          <w:rFonts w:ascii="Calibri" w:hAnsi="Calibri" w:cs="Calibri"/>
          <w:szCs w:val="22"/>
        </w:rPr>
        <w:t xml:space="preserve">U of I </w:t>
      </w:r>
      <w:r w:rsidR="009264CB" w:rsidRPr="00F27BD4">
        <w:rPr>
          <w:rFonts w:ascii="Calibri" w:hAnsi="Calibri" w:cs="Calibri"/>
          <w:szCs w:val="22"/>
        </w:rPr>
        <w:t>System</w:t>
      </w:r>
      <w:r w:rsidRPr="00F27BD4">
        <w:rPr>
          <w:rFonts w:ascii="Calibri" w:hAnsi="Calibri" w:cs="Calibri"/>
          <w:szCs w:val="22"/>
        </w:rPr>
        <w:t xml:space="preserve"> </w:t>
      </w:r>
      <w:r w:rsidR="00777E27" w:rsidRPr="00F27BD4">
        <w:rPr>
          <w:rFonts w:ascii="Calibri" w:hAnsi="Calibri" w:cs="Calibri"/>
          <w:szCs w:val="22"/>
        </w:rPr>
        <w:t>i</w:t>
      </w:r>
      <w:r w:rsidR="004E7CA1" w:rsidRPr="00F27BD4">
        <w:rPr>
          <w:rFonts w:ascii="Calibri" w:hAnsi="Calibri" w:cs="Calibri"/>
          <w:szCs w:val="22"/>
        </w:rPr>
        <w:t>s a public body</w:t>
      </w:r>
      <w:r w:rsidR="00777E27" w:rsidRPr="00F27BD4">
        <w:rPr>
          <w:rFonts w:ascii="Calibri" w:hAnsi="Calibri" w:cs="Calibri"/>
          <w:szCs w:val="22"/>
        </w:rPr>
        <w:t xml:space="preserve"> that</w:t>
      </w:r>
      <w:r w:rsidR="004E7CA1" w:rsidRPr="00F27BD4">
        <w:rPr>
          <w:rFonts w:ascii="Calibri" w:hAnsi="Calibri" w:cs="Calibri"/>
          <w:szCs w:val="22"/>
        </w:rPr>
        <w:t xml:space="preserve"> </w:t>
      </w:r>
      <w:r w:rsidRPr="00F27BD4">
        <w:rPr>
          <w:rFonts w:ascii="Calibri" w:hAnsi="Calibri" w:cs="Calibri"/>
          <w:szCs w:val="22"/>
        </w:rPr>
        <w:t>must respond to most requests within a five</w:t>
      </w:r>
      <w:r w:rsidR="00631B16" w:rsidRPr="00F27BD4">
        <w:rPr>
          <w:rFonts w:ascii="Calibri" w:hAnsi="Calibri" w:cs="Calibri"/>
          <w:szCs w:val="22"/>
        </w:rPr>
        <w:t>-</w:t>
      </w:r>
      <w:r w:rsidRPr="00F27BD4">
        <w:rPr>
          <w:rFonts w:ascii="Calibri" w:hAnsi="Calibri" w:cs="Calibri"/>
          <w:szCs w:val="22"/>
        </w:rPr>
        <w:t>day period, though an extension may be taken that provides an additional five days to respond.</w:t>
      </w:r>
      <w:r w:rsidR="00D769C2" w:rsidRPr="00F27BD4">
        <w:rPr>
          <w:rFonts w:ascii="Calibri" w:hAnsi="Calibri" w:cs="Calibri"/>
          <w:szCs w:val="22"/>
        </w:rPr>
        <w:t xml:space="preserve"> </w:t>
      </w:r>
      <w:r w:rsidR="004F083B" w:rsidRPr="00F27BD4">
        <w:rPr>
          <w:rFonts w:ascii="Calibri" w:hAnsi="Calibri" w:cs="Calibri"/>
          <w:szCs w:val="22"/>
        </w:rPr>
        <w:t>After the five</w:t>
      </w:r>
      <w:r w:rsidR="00631B16" w:rsidRPr="00F27BD4">
        <w:rPr>
          <w:rFonts w:ascii="Calibri" w:hAnsi="Calibri" w:cs="Calibri"/>
          <w:szCs w:val="22"/>
        </w:rPr>
        <w:t>-</w:t>
      </w:r>
      <w:r w:rsidR="004F083B" w:rsidRPr="00F27BD4">
        <w:rPr>
          <w:rFonts w:ascii="Calibri" w:hAnsi="Calibri" w:cs="Calibri"/>
          <w:szCs w:val="22"/>
        </w:rPr>
        <w:t xml:space="preserve"> or ten</w:t>
      </w:r>
      <w:r w:rsidR="00631B16" w:rsidRPr="00F27BD4">
        <w:rPr>
          <w:rFonts w:ascii="Calibri" w:hAnsi="Calibri" w:cs="Calibri"/>
          <w:szCs w:val="22"/>
        </w:rPr>
        <w:t>-</w:t>
      </w:r>
      <w:r w:rsidR="00ED0F91" w:rsidRPr="00F27BD4">
        <w:rPr>
          <w:rFonts w:ascii="Calibri" w:hAnsi="Calibri" w:cs="Calibri"/>
          <w:szCs w:val="22"/>
        </w:rPr>
        <w:t>day period, the s</w:t>
      </w:r>
      <w:r w:rsidR="004F083B" w:rsidRPr="00F27BD4">
        <w:rPr>
          <w:rFonts w:ascii="Calibri" w:hAnsi="Calibri" w:cs="Calibri"/>
          <w:szCs w:val="22"/>
        </w:rPr>
        <w:t>ystem will provide the records (with possible redactions</w:t>
      </w:r>
      <w:proofErr w:type="gramStart"/>
      <w:r w:rsidR="004F083B" w:rsidRPr="00F27BD4">
        <w:rPr>
          <w:rFonts w:ascii="Calibri" w:hAnsi="Calibri" w:cs="Calibri"/>
          <w:szCs w:val="22"/>
        </w:rPr>
        <w:t>)</w:t>
      </w:r>
      <w:r w:rsidR="004878B9" w:rsidRPr="00F27BD4">
        <w:rPr>
          <w:rFonts w:ascii="Calibri" w:hAnsi="Calibri" w:cs="Calibri"/>
          <w:szCs w:val="22"/>
        </w:rPr>
        <w:t>,</w:t>
      </w:r>
      <w:r w:rsidR="004F083B" w:rsidRPr="00F27BD4">
        <w:rPr>
          <w:rFonts w:ascii="Calibri" w:hAnsi="Calibri" w:cs="Calibri"/>
          <w:szCs w:val="22"/>
        </w:rPr>
        <w:t xml:space="preserve"> or</w:t>
      </w:r>
      <w:proofErr w:type="gramEnd"/>
      <w:r w:rsidR="004F083B" w:rsidRPr="00F27BD4">
        <w:rPr>
          <w:rFonts w:ascii="Calibri" w:hAnsi="Calibri" w:cs="Calibri"/>
          <w:szCs w:val="22"/>
        </w:rPr>
        <w:t xml:space="preserve"> withhold the records and provide a detailed basis </w:t>
      </w:r>
      <w:r w:rsidR="003433B7" w:rsidRPr="00F27BD4">
        <w:rPr>
          <w:rFonts w:ascii="Calibri" w:hAnsi="Calibri" w:cs="Calibri"/>
          <w:szCs w:val="22"/>
        </w:rPr>
        <w:t xml:space="preserve">for the </w:t>
      </w:r>
      <w:r w:rsidR="004F083B" w:rsidRPr="00F27BD4">
        <w:rPr>
          <w:rFonts w:ascii="Calibri" w:hAnsi="Calibri" w:cs="Calibri"/>
          <w:szCs w:val="22"/>
        </w:rPr>
        <w:t xml:space="preserve">exemption. A minimum of 26 exemptions </w:t>
      </w:r>
      <w:proofErr w:type="gramStart"/>
      <w:r w:rsidR="004F083B" w:rsidRPr="00F27BD4">
        <w:rPr>
          <w:rFonts w:ascii="Calibri" w:hAnsi="Calibri" w:cs="Calibri"/>
          <w:szCs w:val="22"/>
        </w:rPr>
        <w:t>exist</w:t>
      </w:r>
      <w:proofErr w:type="gramEnd"/>
      <w:r w:rsidR="004F083B" w:rsidRPr="00F27BD4">
        <w:rPr>
          <w:rFonts w:ascii="Calibri" w:hAnsi="Calibri" w:cs="Calibri"/>
          <w:szCs w:val="22"/>
        </w:rPr>
        <w:t xml:space="preserve"> in the statute that serve to withhold records on the basis of </w:t>
      </w:r>
      <w:r w:rsidR="002B1CCD" w:rsidRPr="00F27BD4">
        <w:rPr>
          <w:rFonts w:ascii="Calibri" w:hAnsi="Calibri" w:cs="Calibri"/>
          <w:szCs w:val="22"/>
        </w:rPr>
        <w:t>such thing</w:t>
      </w:r>
      <w:r w:rsidR="00CA36A8" w:rsidRPr="00F27BD4">
        <w:rPr>
          <w:rFonts w:ascii="Calibri" w:hAnsi="Calibri" w:cs="Calibri"/>
          <w:szCs w:val="22"/>
        </w:rPr>
        <w:t xml:space="preserve">s as </w:t>
      </w:r>
      <w:r w:rsidR="004F083B" w:rsidRPr="00F27BD4">
        <w:rPr>
          <w:rFonts w:ascii="Calibri" w:hAnsi="Calibri" w:cs="Calibri"/>
          <w:szCs w:val="22"/>
        </w:rPr>
        <w:t>personal privacy, pending law enforcement investigation</w:t>
      </w:r>
      <w:r w:rsidR="00AB6DCF" w:rsidRPr="00F27BD4">
        <w:rPr>
          <w:rFonts w:ascii="Calibri" w:hAnsi="Calibri" w:cs="Calibri"/>
          <w:szCs w:val="22"/>
        </w:rPr>
        <w:t>s</w:t>
      </w:r>
      <w:r w:rsidR="004F083B" w:rsidRPr="00F27BD4">
        <w:rPr>
          <w:rFonts w:ascii="Calibri" w:hAnsi="Calibri" w:cs="Calibri"/>
          <w:szCs w:val="22"/>
        </w:rPr>
        <w:t>, trade secrets and other statutes.</w:t>
      </w:r>
    </w:p>
    <w:p w14:paraId="5818686D" w14:textId="77777777" w:rsidR="00694065" w:rsidRPr="00F27BD4" w:rsidRDefault="00694065" w:rsidP="008B049A">
      <w:pPr>
        <w:rPr>
          <w:rFonts w:ascii="Calibri" w:hAnsi="Calibri" w:cs="Calibri"/>
          <w:szCs w:val="22"/>
        </w:rPr>
      </w:pPr>
    </w:p>
    <w:p w14:paraId="3B6B073F" w14:textId="77777777" w:rsidR="00694065" w:rsidRPr="00F27BD4" w:rsidRDefault="004F083B" w:rsidP="008B049A">
      <w:pPr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 xml:space="preserve">As specified below, the requesters range from media outlets to former and current students. </w:t>
      </w:r>
    </w:p>
    <w:p w14:paraId="1401DA13" w14:textId="77777777" w:rsidR="001728F5" w:rsidRPr="00F27BD4" w:rsidRDefault="001728F5" w:rsidP="008B049A">
      <w:pPr>
        <w:rPr>
          <w:rFonts w:ascii="Calibri" w:hAnsi="Calibri" w:cs="Calibri"/>
          <w:szCs w:val="22"/>
        </w:rPr>
      </w:pPr>
    </w:p>
    <w:p w14:paraId="2617CABE" w14:textId="3ADA513A" w:rsidR="00694065" w:rsidRPr="00F27BD4" w:rsidRDefault="00E90046" w:rsidP="008B049A">
      <w:pPr>
        <w:rPr>
          <w:rFonts w:asciiTheme="minorHAnsi" w:hAnsiTheme="minorHAnsi" w:cstheme="minorHAnsi"/>
          <w:szCs w:val="22"/>
        </w:rPr>
      </w:pPr>
      <w:r w:rsidRPr="00F27BD4">
        <w:rPr>
          <w:rFonts w:asciiTheme="minorHAnsi" w:hAnsiTheme="minorHAnsi" w:cstheme="minorHAnsi"/>
          <w:szCs w:val="22"/>
        </w:rPr>
        <w:t>In 2011</w:t>
      </w:r>
      <w:r w:rsidR="007C057D" w:rsidRPr="00F27BD4">
        <w:rPr>
          <w:rFonts w:asciiTheme="minorHAnsi" w:hAnsiTheme="minorHAnsi" w:cstheme="minorHAnsi"/>
          <w:szCs w:val="22"/>
        </w:rPr>
        <w:t>,</w:t>
      </w:r>
      <w:r w:rsidR="00777E27" w:rsidRPr="00F27BD4">
        <w:rPr>
          <w:rFonts w:asciiTheme="minorHAnsi" w:hAnsiTheme="minorHAnsi" w:cstheme="minorHAnsi"/>
          <w:szCs w:val="22"/>
        </w:rPr>
        <w:t xml:space="preserve"> after the statute was subject to several substantial amendments</w:t>
      </w:r>
      <w:r w:rsidRPr="00F27BD4">
        <w:rPr>
          <w:rFonts w:asciiTheme="minorHAnsi" w:hAnsiTheme="minorHAnsi" w:cstheme="minorHAnsi"/>
          <w:szCs w:val="22"/>
        </w:rPr>
        <w:t xml:space="preserve">, </w:t>
      </w:r>
      <w:r w:rsidR="004878B9" w:rsidRPr="00F27BD4">
        <w:rPr>
          <w:rFonts w:asciiTheme="minorHAnsi" w:hAnsiTheme="minorHAnsi" w:cstheme="minorHAnsi"/>
          <w:szCs w:val="22"/>
        </w:rPr>
        <w:t xml:space="preserve">the process for responding to </w:t>
      </w:r>
      <w:r w:rsidR="001E079D" w:rsidRPr="00F27BD4">
        <w:rPr>
          <w:rFonts w:asciiTheme="minorHAnsi" w:hAnsiTheme="minorHAnsi" w:cstheme="minorHAnsi"/>
          <w:szCs w:val="22"/>
        </w:rPr>
        <w:t xml:space="preserve">FOIA </w:t>
      </w:r>
      <w:r w:rsidR="004878B9" w:rsidRPr="00F27BD4">
        <w:rPr>
          <w:rFonts w:asciiTheme="minorHAnsi" w:hAnsiTheme="minorHAnsi" w:cstheme="minorHAnsi"/>
          <w:szCs w:val="22"/>
        </w:rPr>
        <w:t xml:space="preserve">requests </w:t>
      </w:r>
      <w:r w:rsidR="001E079D" w:rsidRPr="00F27BD4">
        <w:rPr>
          <w:rFonts w:asciiTheme="minorHAnsi" w:hAnsiTheme="minorHAnsi" w:cstheme="minorHAnsi"/>
          <w:szCs w:val="22"/>
        </w:rPr>
        <w:t xml:space="preserve">was </w:t>
      </w:r>
      <w:r w:rsidRPr="00F27BD4">
        <w:rPr>
          <w:rFonts w:asciiTheme="minorHAnsi" w:hAnsiTheme="minorHAnsi" w:cstheme="minorHAnsi"/>
          <w:szCs w:val="22"/>
        </w:rPr>
        <w:t xml:space="preserve">centralized </w:t>
      </w:r>
      <w:r w:rsidR="001E079D" w:rsidRPr="00F27BD4">
        <w:rPr>
          <w:rFonts w:asciiTheme="minorHAnsi" w:hAnsiTheme="minorHAnsi" w:cstheme="minorHAnsi"/>
          <w:szCs w:val="22"/>
        </w:rPr>
        <w:t xml:space="preserve">so the </w:t>
      </w:r>
      <w:r w:rsidR="00631B16" w:rsidRPr="00F27BD4">
        <w:rPr>
          <w:rFonts w:asciiTheme="minorHAnsi" w:hAnsiTheme="minorHAnsi" w:cstheme="minorHAnsi"/>
          <w:szCs w:val="22"/>
        </w:rPr>
        <w:t>System Offices</w:t>
      </w:r>
      <w:r w:rsidR="001E079D" w:rsidRPr="00F27BD4">
        <w:rPr>
          <w:rFonts w:asciiTheme="minorHAnsi" w:hAnsiTheme="minorHAnsi" w:cstheme="minorHAnsi"/>
          <w:szCs w:val="22"/>
        </w:rPr>
        <w:t xml:space="preserve"> could </w:t>
      </w:r>
      <w:r w:rsidRPr="00F27BD4">
        <w:rPr>
          <w:rFonts w:asciiTheme="minorHAnsi" w:hAnsiTheme="minorHAnsi" w:cstheme="minorHAnsi"/>
          <w:szCs w:val="22"/>
        </w:rPr>
        <w:t xml:space="preserve">coordinate all three </w:t>
      </w:r>
      <w:r w:rsidR="00631B16" w:rsidRPr="00F27BD4">
        <w:rPr>
          <w:rFonts w:asciiTheme="minorHAnsi" w:hAnsiTheme="minorHAnsi" w:cstheme="minorHAnsi"/>
          <w:szCs w:val="22"/>
        </w:rPr>
        <w:t>universities</w:t>
      </w:r>
      <w:r w:rsidRPr="00F27BD4">
        <w:rPr>
          <w:rFonts w:asciiTheme="minorHAnsi" w:hAnsiTheme="minorHAnsi" w:cstheme="minorHAnsi"/>
          <w:szCs w:val="22"/>
        </w:rPr>
        <w:t xml:space="preserve"> </w:t>
      </w:r>
      <w:r w:rsidR="001E079D" w:rsidRPr="00F27BD4">
        <w:rPr>
          <w:rFonts w:asciiTheme="minorHAnsi" w:hAnsiTheme="minorHAnsi" w:cstheme="minorHAnsi"/>
          <w:szCs w:val="22"/>
        </w:rPr>
        <w:t>(Urbana</w:t>
      </w:r>
      <w:r w:rsidR="00FC74E8" w:rsidRPr="00F27BD4">
        <w:rPr>
          <w:rFonts w:asciiTheme="minorHAnsi" w:hAnsiTheme="minorHAnsi" w:cstheme="minorHAnsi"/>
          <w:szCs w:val="22"/>
        </w:rPr>
        <w:t>-Champaign</w:t>
      </w:r>
      <w:r w:rsidR="001E079D" w:rsidRPr="00F27BD4">
        <w:rPr>
          <w:rFonts w:asciiTheme="minorHAnsi" w:hAnsiTheme="minorHAnsi" w:cstheme="minorHAnsi"/>
          <w:szCs w:val="22"/>
        </w:rPr>
        <w:t xml:space="preserve">, </w:t>
      </w:r>
      <w:r w:rsidR="00FC74E8" w:rsidRPr="00F27BD4">
        <w:rPr>
          <w:rFonts w:asciiTheme="minorHAnsi" w:hAnsiTheme="minorHAnsi" w:cstheme="minorHAnsi"/>
          <w:szCs w:val="22"/>
        </w:rPr>
        <w:t>Chic</w:t>
      </w:r>
      <w:r w:rsidR="001E079D" w:rsidRPr="00F27BD4">
        <w:rPr>
          <w:rFonts w:asciiTheme="minorHAnsi" w:hAnsiTheme="minorHAnsi" w:cstheme="minorHAnsi"/>
          <w:szCs w:val="22"/>
        </w:rPr>
        <w:t>ago</w:t>
      </w:r>
      <w:r w:rsidR="00FC74E8" w:rsidRPr="00F27BD4">
        <w:rPr>
          <w:rFonts w:asciiTheme="minorHAnsi" w:hAnsiTheme="minorHAnsi" w:cstheme="minorHAnsi"/>
          <w:szCs w:val="22"/>
        </w:rPr>
        <w:t xml:space="preserve"> and Springfield</w:t>
      </w:r>
      <w:r w:rsidR="001E079D" w:rsidRPr="00F27BD4">
        <w:rPr>
          <w:rFonts w:asciiTheme="minorHAnsi" w:hAnsiTheme="minorHAnsi" w:cstheme="minorHAnsi"/>
          <w:szCs w:val="22"/>
        </w:rPr>
        <w:t xml:space="preserve">) </w:t>
      </w:r>
      <w:r w:rsidRPr="00F27BD4">
        <w:rPr>
          <w:rFonts w:asciiTheme="minorHAnsi" w:hAnsiTheme="minorHAnsi" w:cstheme="minorHAnsi"/>
          <w:szCs w:val="22"/>
        </w:rPr>
        <w:t xml:space="preserve">and provide </w:t>
      </w:r>
      <w:r w:rsidR="00ED0F91" w:rsidRPr="00F27BD4">
        <w:rPr>
          <w:rFonts w:asciiTheme="minorHAnsi" w:hAnsiTheme="minorHAnsi" w:cstheme="minorHAnsi"/>
          <w:szCs w:val="22"/>
        </w:rPr>
        <w:t>s</w:t>
      </w:r>
      <w:r w:rsidR="004878B9" w:rsidRPr="00F27BD4">
        <w:rPr>
          <w:rFonts w:asciiTheme="minorHAnsi" w:hAnsiTheme="minorHAnsi" w:cstheme="minorHAnsi"/>
          <w:szCs w:val="22"/>
        </w:rPr>
        <w:t xml:space="preserve">ystem-wide </w:t>
      </w:r>
      <w:r w:rsidRPr="00F27BD4">
        <w:rPr>
          <w:rFonts w:asciiTheme="minorHAnsi" w:hAnsiTheme="minorHAnsi" w:cstheme="minorHAnsi"/>
          <w:szCs w:val="22"/>
        </w:rPr>
        <w:t xml:space="preserve">consistency </w:t>
      </w:r>
      <w:r w:rsidR="004878B9" w:rsidRPr="00F27BD4">
        <w:rPr>
          <w:rFonts w:asciiTheme="minorHAnsi" w:hAnsiTheme="minorHAnsi" w:cstheme="minorHAnsi"/>
          <w:szCs w:val="22"/>
        </w:rPr>
        <w:t xml:space="preserve">in </w:t>
      </w:r>
      <w:r w:rsidR="00664755" w:rsidRPr="00F27BD4">
        <w:rPr>
          <w:rFonts w:asciiTheme="minorHAnsi" w:hAnsiTheme="minorHAnsi" w:cstheme="minorHAnsi"/>
          <w:szCs w:val="22"/>
        </w:rPr>
        <w:t>complying</w:t>
      </w:r>
      <w:r w:rsidR="004878B9" w:rsidRPr="00F27BD4">
        <w:rPr>
          <w:rFonts w:asciiTheme="minorHAnsi" w:hAnsiTheme="minorHAnsi" w:cstheme="minorHAnsi"/>
          <w:szCs w:val="22"/>
        </w:rPr>
        <w:t xml:space="preserve"> with</w:t>
      </w:r>
      <w:r w:rsidRPr="00F27BD4">
        <w:rPr>
          <w:rFonts w:asciiTheme="minorHAnsi" w:hAnsiTheme="minorHAnsi" w:cstheme="minorHAnsi"/>
          <w:szCs w:val="22"/>
        </w:rPr>
        <w:t xml:space="preserve"> FOIA. </w:t>
      </w:r>
      <w:r w:rsidR="00777E27" w:rsidRPr="00F27BD4">
        <w:rPr>
          <w:rFonts w:asciiTheme="minorHAnsi" w:hAnsiTheme="minorHAnsi" w:cstheme="minorHAnsi"/>
          <w:szCs w:val="22"/>
        </w:rPr>
        <w:t>Presently, t</w:t>
      </w:r>
      <w:r w:rsidR="001E079D" w:rsidRPr="00F27BD4">
        <w:rPr>
          <w:rFonts w:asciiTheme="minorHAnsi" w:hAnsiTheme="minorHAnsi" w:cstheme="minorHAnsi"/>
          <w:szCs w:val="22"/>
        </w:rPr>
        <w:t xml:space="preserve">he Office </w:t>
      </w:r>
      <w:r w:rsidR="00631B16" w:rsidRPr="00F27BD4">
        <w:rPr>
          <w:rFonts w:asciiTheme="minorHAnsi" w:hAnsiTheme="minorHAnsi" w:cstheme="minorHAnsi"/>
          <w:szCs w:val="22"/>
        </w:rPr>
        <w:t>for</w:t>
      </w:r>
      <w:r w:rsidR="001E079D" w:rsidRPr="00F27BD4">
        <w:rPr>
          <w:rFonts w:asciiTheme="minorHAnsi" w:hAnsiTheme="minorHAnsi" w:cstheme="minorHAnsi"/>
          <w:szCs w:val="22"/>
        </w:rPr>
        <w:t xml:space="preserve"> University Relations (OUR)</w:t>
      </w:r>
      <w:r w:rsidR="004E7CA1" w:rsidRPr="00F27BD4">
        <w:rPr>
          <w:rFonts w:asciiTheme="minorHAnsi" w:hAnsiTheme="minorHAnsi" w:cstheme="minorHAnsi"/>
          <w:szCs w:val="22"/>
        </w:rPr>
        <w:t xml:space="preserve"> </w:t>
      </w:r>
      <w:r w:rsidR="00F94463" w:rsidRPr="00F27BD4">
        <w:rPr>
          <w:rFonts w:asciiTheme="minorHAnsi" w:hAnsiTheme="minorHAnsi" w:cstheme="minorHAnsi"/>
          <w:szCs w:val="22"/>
        </w:rPr>
        <w:t xml:space="preserve">processes FOIA requests </w:t>
      </w:r>
      <w:r w:rsidR="004878B9" w:rsidRPr="00F27BD4">
        <w:rPr>
          <w:rFonts w:asciiTheme="minorHAnsi" w:hAnsiTheme="minorHAnsi" w:cstheme="minorHAnsi"/>
          <w:szCs w:val="22"/>
        </w:rPr>
        <w:t xml:space="preserve">made </w:t>
      </w:r>
      <w:r w:rsidR="003652FA" w:rsidRPr="00F27BD4">
        <w:rPr>
          <w:rFonts w:asciiTheme="minorHAnsi" w:hAnsiTheme="minorHAnsi" w:cstheme="minorHAnsi"/>
          <w:szCs w:val="22"/>
        </w:rPr>
        <w:t xml:space="preserve">to </w:t>
      </w:r>
      <w:r w:rsidR="00F94463" w:rsidRPr="00F27BD4">
        <w:rPr>
          <w:rFonts w:asciiTheme="minorHAnsi" w:hAnsiTheme="minorHAnsi" w:cstheme="minorHAnsi"/>
          <w:szCs w:val="22"/>
        </w:rPr>
        <w:t xml:space="preserve">all three </w:t>
      </w:r>
      <w:r w:rsidR="009264CB" w:rsidRPr="00F27BD4">
        <w:rPr>
          <w:rFonts w:asciiTheme="minorHAnsi" w:hAnsiTheme="minorHAnsi" w:cstheme="minorHAnsi"/>
          <w:szCs w:val="22"/>
        </w:rPr>
        <w:t>universities</w:t>
      </w:r>
      <w:r w:rsidR="00F94463" w:rsidRPr="00F27BD4">
        <w:rPr>
          <w:rFonts w:asciiTheme="minorHAnsi" w:hAnsiTheme="minorHAnsi" w:cstheme="minorHAnsi"/>
          <w:szCs w:val="22"/>
        </w:rPr>
        <w:t xml:space="preserve"> </w:t>
      </w:r>
      <w:r w:rsidR="001E079D" w:rsidRPr="00F27BD4">
        <w:rPr>
          <w:rFonts w:asciiTheme="minorHAnsi" w:hAnsiTheme="minorHAnsi" w:cstheme="minorHAnsi"/>
          <w:szCs w:val="22"/>
        </w:rPr>
        <w:t>and</w:t>
      </w:r>
      <w:r w:rsidR="00F94463" w:rsidRPr="00F27BD4">
        <w:rPr>
          <w:rFonts w:asciiTheme="minorHAnsi" w:hAnsiTheme="minorHAnsi" w:cstheme="minorHAnsi"/>
          <w:szCs w:val="22"/>
        </w:rPr>
        <w:t xml:space="preserve"> </w:t>
      </w:r>
      <w:r w:rsidR="00ED0F91" w:rsidRPr="00F27BD4">
        <w:rPr>
          <w:rFonts w:asciiTheme="minorHAnsi" w:hAnsiTheme="minorHAnsi" w:cstheme="minorHAnsi"/>
          <w:szCs w:val="22"/>
        </w:rPr>
        <w:t>System O</w:t>
      </w:r>
      <w:r w:rsidR="009264CB" w:rsidRPr="00F27BD4">
        <w:rPr>
          <w:rFonts w:asciiTheme="minorHAnsi" w:hAnsiTheme="minorHAnsi" w:cstheme="minorHAnsi"/>
          <w:szCs w:val="22"/>
        </w:rPr>
        <w:t>ffices</w:t>
      </w:r>
      <w:r w:rsidR="00F94463" w:rsidRPr="00F27BD4">
        <w:rPr>
          <w:rFonts w:asciiTheme="minorHAnsi" w:hAnsiTheme="minorHAnsi" w:cstheme="minorHAnsi"/>
          <w:szCs w:val="22"/>
        </w:rPr>
        <w:t>.</w:t>
      </w:r>
      <w:r w:rsidR="00F43977" w:rsidRPr="00F27BD4">
        <w:rPr>
          <w:rFonts w:asciiTheme="minorHAnsi" w:hAnsiTheme="minorHAnsi" w:cstheme="minorHAnsi"/>
          <w:szCs w:val="22"/>
        </w:rPr>
        <w:t xml:space="preserve"> </w:t>
      </w:r>
      <w:r w:rsidR="00F27BD4" w:rsidRPr="00F27BD4">
        <w:rPr>
          <w:rFonts w:asciiTheme="minorHAnsi" w:hAnsiTheme="minorHAnsi" w:cstheme="minorHAnsi"/>
          <w:szCs w:val="22"/>
        </w:rPr>
        <w:t xml:space="preserve">Interim </w:t>
      </w:r>
      <w:r w:rsidR="00664755" w:rsidRPr="00F27BD4">
        <w:rPr>
          <w:rFonts w:asciiTheme="minorHAnsi" w:hAnsiTheme="minorHAnsi" w:cstheme="minorHAnsi"/>
          <w:szCs w:val="22"/>
        </w:rPr>
        <w:t>Director of External Relations and Communications Kirsten Ruby</w:t>
      </w:r>
      <w:r w:rsidR="00B50A51" w:rsidRPr="00F27BD4">
        <w:rPr>
          <w:rFonts w:asciiTheme="minorHAnsi" w:hAnsiTheme="minorHAnsi" w:cstheme="minorHAnsi"/>
          <w:szCs w:val="22"/>
        </w:rPr>
        <w:t xml:space="preserve"> </w:t>
      </w:r>
      <w:r w:rsidR="00EC4A78" w:rsidRPr="00F27BD4">
        <w:rPr>
          <w:rFonts w:asciiTheme="minorHAnsi" w:hAnsiTheme="minorHAnsi" w:cstheme="minorHAnsi"/>
          <w:szCs w:val="22"/>
        </w:rPr>
        <w:t xml:space="preserve">and </w:t>
      </w:r>
      <w:r w:rsidR="00664755" w:rsidRPr="00F27BD4">
        <w:rPr>
          <w:rFonts w:asciiTheme="minorHAnsi" w:hAnsiTheme="minorHAnsi" w:cstheme="minorHAnsi"/>
          <w:szCs w:val="22"/>
        </w:rPr>
        <w:t xml:space="preserve">Interim </w:t>
      </w:r>
      <w:r w:rsidR="007E7980" w:rsidRPr="00F27BD4">
        <w:rPr>
          <w:rFonts w:asciiTheme="minorHAnsi" w:hAnsiTheme="minorHAnsi" w:cstheme="minorHAnsi"/>
          <w:szCs w:val="22"/>
        </w:rPr>
        <w:t>Assistant</w:t>
      </w:r>
      <w:r w:rsidR="009B4625" w:rsidRPr="00F27BD4">
        <w:rPr>
          <w:rFonts w:asciiTheme="minorHAnsi" w:hAnsiTheme="minorHAnsi" w:cstheme="minorHAnsi"/>
          <w:szCs w:val="22"/>
        </w:rPr>
        <w:t xml:space="preserve"> </w:t>
      </w:r>
      <w:r w:rsidR="00F94463" w:rsidRPr="00F27BD4">
        <w:rPr>
          <w:rFonts w:asciiTheme="minorHAnsi" w:hAnsiTheme="minorHAnsi" w:cstheme="minorHAnsi"/>
          <w:szCs w:val="22"/>
        </w:rPr>
        <w:t>Director</w:t>
      </w:r>
      <w:r w:rsidRPr="00F27BD4">
        <w:rPr>
          <w:rFonts w:asciiTheme="minorHAnsi" w:hAnsiTheme="minorHAnsi" w:cstheme="minorHAnsi"/>
          <w:szCs w:val="22"/>
        </w:rPr>
        <w:t xml:space="preserve"> </w:t>
      </w:r>
      <w:r w:rsidR="00664755" w:rsidRPr="00F27BD4">
        <w:rPr>
          <w:rFonts w:asciiTheme="minorHAnsi" w:hAnsiTheme="minorHAnsi" w:cstheme="minorHAnsi"/>
          <w:szCs w:val="22"/>
        </w:rPr>
        <w:t xml:space="preserve">Jill Weathers </w:t>
      </w:r>
      <w:r w:rsidR="00F94463" w:rsidRPr="00F27BD4">
        <w:rPr>
          <w:rFonts w:asciiTheme="minorHAnsi" w:hAnsiTheme="minorHAnsi" w:cstheme="minorHAnsi"/>
          <w:szCs w:val="22"/>
        </w:rPr>
        <w:t>coordinate this centralized</w:t>
      </w:r>
      <w:r w:rsidR="00BB1118" w:rsidRPr="00F27BD4">
        <w:rPr>
          <w:rFonts w:asciiTheme="minorHAnsi" w:hAnsiTheme="minorHAnsi" w:cstheme="minorHAnsi"/>
          <w:szCs w:val="22"/>
        </w:rPr>
        <w:t xml:space="preserve"> process</w:t>
      </w:r>
      <w:r w:rsidR="00F94463" w:rsidRPr="00F27BD4">
        <w:rPr>
          <w:rFonts w:asciiTheme="minorHAnsi" w:hAnsiTheme="minorHAnsi" w:cstheme="minorHAnsi"/>
          <w:szCs w:val="22"/>
        </w:rPr>
        <w:t>, manage the distributed FOIA processing staff,</w:t>
      </w:r>
      <w:r w:rsidR="001E079D" w:rsidRPr="00F27BD4">
        <w:rPr>
          <w:rFonts w:asciiTheme="minorHAnsi" w:hAnsiTheme="minorHAnsi" w:cstheme="minorHAnsi"/>
          <w:szCs w:val="22"/>
        </w:rPr>
        <w:t xml:space="preserve"> and </w:t>
      </w:r>
      <w:r w:rsidR="00F94463" w:rsidRPr="00F27BD4">
        <w:rPr>
          <w:rFonts w:asciiTheme="minorHAnsi" w:hAnsiTheme="minorHAnsi" w:cstheme="minorHAnsi"/>
          <w:szCs w:val="22"/>
        </w:rPr>
        <w:t xml:space="preserve">serve as liaison to requestors and to the </w:t>
      </w:r>
      <w:r w:rsidR="00162A61" w:rsidRPr="00F27BD4">
        <w:rPr>
          <w:rFonts w:asciiTheme="minorHAnsi" w:hAnsiTheme="minorHAnsi" w:cstheme="minorHAnsi"/>
          <w:szCs w:val="22"/>
        </w:rPr>
        <w:t xml:space="preserve">Illinois Attorney General’s </w:t>
      </w:r>
      <w:r w:rsidR="00F94463" w:rsidRPr="00F27BD4">
        <w:rPr>
          <w:rFonts w:asciiTheme="minorHAnsi" w:hAnsiTheme="minorHAnsi" w:cstheme="minorHAnsi"/>
          <w:szCs w:val="22"/>
        </w:rPr>
        <w:t>Public Access Counselor</w:t>
      </w:r>
      <w:r w:rsidR="001E079D" w:rsidRPr="00F27BD4">
        <w:rPr>
          <w:rFonts w:asciiTheme="minorHAnsi" w:hAnsiTheme="minorHAnsi" w:cstheme="minorHAnsi"/>
          <w:szCs w:val="22"/>
        </w:rPr>
        <w:t>.</w:t>
      </w:r>
      <w:r w:rsidR="00D77822" w:rsidRPr="00F27BD4">
        <w:rPr>
          <w:rFonts w:asciiTheme="minorHAnsi" w:hAnsiTheme="minorHAnsi" w:cstheme="minorHAnsi"/>
          <w:szCs w:val="22"/>
        </w:rPr>
        <w:t xml:space="preserve"> </w:t>
      </w:r>
      <w:r w:rsidR="00D77822" w:rsidRPr="00F27BD4">
        <w:rPr>
          <w:rFonts w:asciiTheme="minorHAnsi" w:hAnsiTheme="minorHAnsi" w:cstheme="minorHAnsi"/>
        </w:rPr>
        <w:t xml:space="preserve">On complex and sensitive FOIA matters, OUR staff consult with </w:t>
      </w:r>
      <w:r w:rsidR="007F469E" w:rsidRPr="00F27BD4">
        <w:rPr>
          <w:rFonts w:asciiTheme="minorHAnsi" w:hAnsiTheme="minorHAnsi" w:cstheme="minorHAnsi"/>
        </w:rPr>
        <w:t>the Office of University Counsel</w:t>
      </w:r>
      <w:r w:rsidR="00D77822" w:rsidRPr="00F27BD4">
        <w:rPr>
          <w:rFonts w:asciiTheme="minorHAnsi" w:hAnsiTheme="minorHAnsi" w:cstheme="minorHAnsi"/>
        </w:rPr>
        <w:t xml:space="preserve"> and finalize all response letters</w:t>
      </w:r>
      <w:r w:rsidR="00E34E80" w:rsidRPr="00F27BD4">
        <w:rPr>
          <w:rFonts w:asciiTheme="minorHAnsi" w:hAnsiTheme="minorHAnsi" w:cstheme="minorHAnsi"/>
          <w:szCs w:val="22"/>
        </w:rPr>
        <w:t xml:space="preserve">. </w:t>
      </w:r>
      <w:r w:rsidR="00664755" w:rsidRPr="00F27BD4">
        <w:rPr>
          <w:rFonts w:asciiTheme="minorHAnsi" w:hAnsiTheme="minorHAnsi" w:cstheme="minorHAnsi"/>
          <w:szCs w:val="22"/>
        </w:rPr>
        <w:t>Jill Weathers</w:t>
      </w:r>
      <w:r w:rsidR="00631B16" w:rsidRPr="00F27BD4">
        <w:rPr>
          <w:rFonts w:asciiTheme="minorHAnsi" w:hAnsiTheme="minorHAnsi" w:cstheme="minorHAnsi"/>
          <w:szCs w:val="22"/>
        </w:rPr>
        <w:t xml:space="preserve"> </w:t>
      </w:r>
      <w:r w:rsidR="007D6FFC" w:rsidRPr="00F27BD4">
        <w:rPr>
          <w:rFonts w:asciiTheme="minorHAnsi" w:hAnsiTheme="minorHAnsi" w:cstheme="minorHAnsi"/>
          <w:szCs w:val="22"/>
        </w:rPr>
        <w:t xml:space="preserve">works </w:t>
      </w:r>
      <w:r w:rsidR="003652FA" w:rsidRPr="00F27BD4">
        <w:rPr>
          <w:rFonts w:asciiTheme="minorHAnsi" w:hAnsiTheme="minorHAnsi" w:cstheme="minorHAnsi"/>
          <w:szCs w:val="22"/>
        </w:rPr>
        <w:t xml:space="preserve">with </w:t>
      </w:r>
      <w:r w:rsidR="007D6FFC" w:rsidRPr="00F27BD4">
        <w:rPr>
          <w:rFonts w:asciiTheme="minorHAnsi" w:hAnsiTheme="minorHAnsi" w:cstheme="minorHAnsi"/>
          <w:szCs w:val="22"/>
        </w:rPr>
        <w:t xml:space="preserve">a team </w:t>
      </w:r>
      <w:r w:rsidR="00162A61" w:rsidRPr="00F27BD4">
        <w:rPr>
          <w:rFonts w:asciiTheme="minorHAnsi" w:hAnsiTheme="minorHAnsi" w:cstheme="minorHAnsi"/>
          <w:szCs w:val="22"/>
        </w:rPr>
        <w:t xml:space="preserve">of </w:t>
      </w:r>
      <w:r w:rsidR="007D6FFC" w:rsidRPr="00F27BD4">
        <w:rPr>
          <w:rFonts w:asciiTheme="minorHAnsi" w:hAnsiTheme="minorHAnsi" w:cstheme="minorHAnsi"/>
          <w:szCs w:val="22"/>
        </w:rPr>
        <w:t xml:space="preserve">communications and administrative staff throughout the </w:t>
      </w:r>
      <w:r w:rsidR="00ED0F91" w:rsidRPr="00F27BD4">
        <w:rPr>
          <w:rFonts w:asciiTheme="minorHAnsi" w:hAnsiTheme="minorHAnsi" w:cstheme="minorHAnsi"/>
          <w:szCs w:val="22"/>
        </w:rPr>
        <w:t>s</w:t>
      </w:r>
      <w:r w:rsidR="00F42493" w:rsidRPr="00F27BD4">
        <w:rPr>
          <w:rFonts w:asciiTheme="minorHAnsi" w:hAnsiTheme="minorHAnsi" w:cstheme="minorHAnsi"/>
          <w:szCs w:val="22"/>
        </w:rPr>
        <w:t>ystem</w:t>
      </w:r>
      <w:r w:rsidR="004E7CA1" w:rsidRPr="00F27BD4">
        <w:rPr>
          <w:rFonts w:asciiTheme="minorHAnsi" w:hAnsiTheme="minorHAnsi" w:cstheme="minorHAnsi"/>
          <w:szCs w:val="22"/>
        </w:rPr>
        <w:t>, including</w:t>
      </w:r>
      <w:r w:rsidR="00664755" w:rsidRPr="00F27BD4">
        <w:rPr>
          <w:rFonts w:asciiTheme="minorHAnsi" w:hAnsiTheme="minorHAnsi" w:cstheme="minorHAnsi"/>
          <w:szCs w:val="22"/>
        </w:rPr>
        <w:t xml:space="preserve"> each university’s respective Public Affairs office</w:t>
      </w:r>
      <w:r w:rsidR="004E7CA1" w:rsidRPr="00F27BD4">
        <w:rPr>
          <w:rFonts w:asciiTheme="minorHAnsi" w:hAnsiTheme="minorHAnsi" w:cstheme="minorHAnsi"/>
          <w:szCs w:val="22"/>
        </w:rPr>
        <w:t>,</w:t>
      </w:r>
      <w:r w:rsidR="007D6FFC" w:rsidRPr="00F27BD4">
        <w:rPr>
          <w:rFonts w:asciiTheme="minorHAnsi" w:hAnsiTheme="minorHAnsi" w:cstheme="minorHAnsi"/>
          <w:szCs w:val="22"/>
        </w:rPr>
        <w:t xml:space="preserve"> to ensure proper and timely sharing of information.</w:t>
      </w:r>
    </w:p>
    <w:p w14:paraId="2541129B" w14:textId="03D921BD" w:rsidR="00664755" w:rsidRPr="00F27BD4" w:rsidRDefault="00664755" w:rsidP="008B049A">
      <w:pPr>
        <w:rPr>
          <w:rFonts w:asciiTheme="minorHAnsi" w:hAnsiTheme="minorHAnsi" w:cstheme="minorHAnsi"/>
          <w:szCs w:val="22"/>
        </w:rPr>
      </w:pPr>
    </w:p>
    <w:p w14:paraId="3BF00084" w14:textId="1037F96B" w:rsidR="00664755" w:rsidRPr="00F27BD4" w:rsidRDefault="00664755" w:rsidP="008B049A">
      <w:pPr>
        <w:rPr>
          <w:rFonts w:asciiTheme="minorHAnsi" w:hAnsiTheme="minorHAnsi" w:cstheme="minorHAnsi"/>
          <w:color w:val="1F497D"/>
          <w:szCs w:val="22"/>
        </w:rPr>
      </w:pPr>
      <w:r w:rsidRPr="00F27BD4">
        <w:rPr>
          <w:rFonts w:asciiTheme="minorHAnsi" w:hAnsiTheme="minorHAnsi" w:cstheme="minorHAnsi"/>
          <w:szCs w:val="22"/>
        </w:rPr>
        <w:t>Former Assistant Director Matt Rogina recently left the U of I System in January of 2022.</w:t>
      </w:r>
    </w:p>
    <w:p w14:paraId="79C9AB91" w14:textId="77777777" w:rsidR="001B14D4" w:rsidRPr="00F27BD4" w:rsidRDefault="001B14D4" w:rsidP="008B049A">
      <w:pPr>
        <w:rPr>
          <w:rFonts w:ascii="Calibri" w:hAnsi="Calibri" w:cs="Calibri"/>
          <w:szCs w:val="22"/>
        </w:rPr>
      </w:pPr>
    </w:p>
    <w:p w14:paraId="48C7E3FE" w14:textId="77777777" w:rsidR="001412A2" w:rsidRPr="00F27BD4" w:rsidRDefault="00F94463" w:rsidP="008B049A">
      <w:pPr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 xml:space="preserve">Request processing is assigned based on the </w:t>
      </w:r>
      <w:proofErr w:type="gramStart"/>
      <w:r w:rsidRPr="00F27BD4">
        <w:rPr>
          <w:rFonts w:ascii="Calibri" w:hAnsi="Calibri" w:cs="Calibri"/>
          <w:szCs w:val="22"/>
        </w:rPr>
        <w:t>particular streng</w:t>
      </w:r>
      <w:r w:rsidR="00BB1118" w:rsidRPr="00F27BD4">
        <w:rPr>
          <w:rFonts w:ascii="Calibri" w:hAnsi="Calibri" w:cs="Calibri"/>
          <w:szCs w:val="22"/>
        </w:rPr>
        <w:t>ths</w:t>
      </w:r>
      <w:proofErr w:type="gramEnd"/>
      <w:r w:rsidR="00BB1118" w:rsidRPr="00F27BD4">
        <w:rPr>
          <w:rFonts w:ascii="Calibri" w:hAnsi="Calibri" w:cs="Calibri"/>
          <w:szCs w:val="22"/>
        </w:rPr>
        <w:t xml:space="preserve"> and subject matter expertise – i</w:t>
      </w:r>
      <w:r w:rsidR="004723FF" w:rsidRPr="00F27BD4">
        <w:rPr>
          <w:rFonts w:ascii="Calibri" w:hAnsi="Calibri" w:cs="Calibri"/>
          <w:szCs w:val="22"/>
        </w:rPr>
        <w:t xml:space="preserve">ncluding intimate knowledge of each </w:t>
      </w:r>
      <w:r w:rsidR="00BB1118" w:rsidRPr="00F27BD4">
        <w:rPr>
          <w:rFonts w:ascii="Calibri" w:hAnsi="Calibri" w:cs="Calibri"/>
          <w:szCs w:val="22"/>
        </w:rPr>
        <w:t>university – o</w:t>
      </w:r>
      <w:r w:rsidRPr="00F27BD4">
        <w:rPr>
          <w:rFonts w:ascii="Calibri" w:hAnsi="Calibri" w:cs="Calibri"/>
          <w:szCs w:val="22"/>
        </w:rPr>
        <w:t xml:space="preserve">f </w:t>
      </w:r>
      <w:r w:rsidR="009264CB" w:rsidRPr="00F27BD4">
        <w:rPr>
          <w:rFonts w:ascii="Calibri" w:hAnsi="Calibri" w:cs="Calibri"/>
          <w:szCs w:val="22"/>
        </w:rPr>
        <w:t xml:space="preserve">a </w:t>
      </w:r>
      <w:r w:rsidRPr="00F27BD4">
        <w:rPr>
          <w:rFonts w:ascii="Calibri" w:hAnsi="Calibri" w:cs="Calibri"/>
          <w:szCs w:val="22"/>
        </w:rPr>
        <w:t>FOIA coordinator</w:t>
      </w:r>
      <w:r w:rsidR="00E708D2" w:rsidRPr="00F27BD4">
        <w:rPr>
          <w:rFonts w:ascii="Calibri" w:hAnsi="Calibri" w:cs="Calibri"/>
          <w:szCs w:val="22"/>
        </w:rPr>
        <w:t xml:space="preserve"> (all of whom have other responsibilities)</w:t>
      </w:r>
      <w:r w:rsidR="00FC74E8" w:rsidRPr="00F27BD4">
        <w:rPr>
          <w:rFonts w:ascii="Calibri" w:hAnsi="Calibri" w:cs="Calibri"/>
          <w:szCs w:val="22"/>
        </w:rPr>
        <w:t>:</w:t>
      </w:r>
    </w:p>
    <w:p w14:paraId="37826D1A" w14:textId="77777777" w:rsidR="00694065" w:rsidRPr="00F27BD4" w:rsidRDefault="00694065" w:rsidP="008B049A">
      <w:pPr>
        <w:rPr>
          <w:rFonts w:ascii="Calibri" w:hAnsi="Calibri" w:cs="Calibri"/>
          <w:szCs w:val="22"/>
        </w:rPr>
      </w:pPr>
    </w:p>
    <w:p w14:paraId="21A05284" w14:textId="77777777" w:rsidR="001412A2" w:rsidRPr="00F27BD4" w:rsidRDefault="001412A2" w:rsidP="008B049A">
      <w:pPr>
        <w:pStyle w:val="ListParagraph"/>
        <w:numPr>
          <w:ilvl w:val="1"/>
          <w:numId w:val="2"/>
        </w:numPr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Jaclyn Banister – Urbana requests</w:t>
      </w:r>
    </w:p>
    <w:p w14:paraId="1E8A6427" w14:textId="77777777" w:rsidR="00631B16" w:rsidRPr="00F27BD4" w:rsidRDefault="001412A2" w:rsidP="008B049A">
      <w:pPr>
        <w:pStyle w:val="ListParagraph"/>
        <w:numPr>
          <w:ilvl w:val="1"/>
          <w:numId w:val="2"/>
        </w:numPr>
        <w:jc w:val="both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Jenny Fontaine – Chicago requests</w:t>
      </w:r>
    </w:p>
    <w:p w14:paraId="3E30E99C" w14:textId="77777777" w:rsidR="001412A2" w:rsidRPr="00F27BD4" w:rsidRDefault="00B932A1" w:rsidP="008B049A">
      <w:pPr>
        <w:pStyle w:val="ListParagraph"/>
        <w:numPr>
          <w:ilvl w:val="1"/>
          <w:numId w:val="2"/>
        </w:numPr>
        <w:jc w:val="both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 xml:space="preserve">Andrew Helregel </w:t>
      </w:r>
      <w:r w:rsidR="00631B16" w:rsidRPr="00F27BD4">
        <w:rPr>
          <w:rFonts w:ascii="Calibri" w:hAnsi="Calibri" w:cs="Calibri"/>
          <w:szCs w:val="22"/>
        </w:rPr>
        <w:t>– Urbana and commercial requests</w:t>
      </w:r>
    </w:p>
    <w:p w14:paraId="757EDD69" w14:textId="77777777" w:rsidR="001412A2" w:rsidRPr="00F27BD4" w:rsidRDefault="001E5E4A" w:rsidP="008B049A">
      <w:pPr>
        <w:pStyle w:val="ListParagraph"/>
        <w:numPr>
          <w:ilvl w:val="1"/>
          <w:numId w:val="2"/>
        </w:numPr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 xml:space="preserve">Jill Weathers – Multi-campus, Springfield </w:t>
      </w:r>
      <w:r w:rsidR="00D769C2" w:rsidRPr="00F27BD4">
        <w:rPr>
          <w:rFonts w:ascii="Calibri" w:hAnsi="Calibri" w:cs="Calibri"/>
          <w:szCs w:val="22"/>
        </w:rPr>
        <w:t xml:space="preserve">and System Offices </w:t>
      </w:r>
      <w:r w:rsidR="001412A2" w:rsidRPr="00F27BD4">
        <w:rPr>
          <w:rFonts w:ascii="Calibri" w:hAnsi="Calibri" w:cs="Calibri"/>
          <w:szCs w:val="22"/>
        </w:rPr>
        <w:t>requests</w:t>
      </w:r>
    </w:p>
    <w:p w14:paraId="1F00F9E3" w14:textId="77777777" w:rsidR="001728F5" w:rsidRPr="00F27BD4" w:rsidRDefault="001728F5" w:rsidP="008B049A">
      <w:pPr>
        <w:ind w:left="1080"/>
        <w:rPr>
          <w:rFonts w:ascii="Calibri" w:hAnsi="Calibri" w:cs="Calibri"/>
          <w:szCs w:val="22"/>
        </w:rPr>
      </w:pPr>
    </w:p>
    <w:p w14:paraId="037F2CF2" w14:textId="590483CA" w:rsidR="00631B16" w:rsidRPr="00F27BD4" w:rsidRDefault="00664755" w:rsidP="008B049A">
      <w:pPr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Kirsten Ruby</w:t>
      </w:r>
      <w:r w:rsidR="00F94463" w:rsidRPr="00F27BD4">
        <w:rPr>
          <w:rFonts w:ascii="Calibri" w:hAnsi="Calibri" w:cs="Calibri"/>
          <w:szCs w:val="22"/>
        </w:rPr>
        <w:t xml:space="preserve"> is the signatory of </w:t>
      </w:r>
      <w:r w:rsidR="003B5E75" w:rsidRPr="00F27BD4">
        <w:rPr>
          <w:rFonts w:ascii="Calibri" w:hAnsi="Calibri" w:cs="Calibri"/>
          <w:szCs w:val="22"/>
        </w:rPr>
        <w:t>response</w:t>
      </w:r>
      <w:r w:rsidR="00F94463" w:rsidRPr="00F27BD4">
        <w:rPr>
          <w:rFonts w:ascii="Calibri" w:hAnsi="Calibri" w:cs="Calibri"/>
          <w:szCs w:val="22"/>
        </w:rPr>
        <w:t xml:space="preserve"> letters as chief records officer for the </w:t>
      </w:r>
      <w:r w:rsidR="00ED0F91" w:rsidRPr="00F27BD4">
        <w:rPr>
          <w:rFonts w:ascii="Calibri" w:hAnsi="Calibri" w:cs="Calibri"/>
          <w:szCs w:val="22"/>
        </w:rPr>
        <w:t>s</w:t>
      </w:r>
      <w:r w:rsidR="009264CB" w:rsidRPr="00F27BD4">
        <w:rPr>
          <w:rFonts w:ascii="Calibri" w:hAnsi="Calibri" w:cs="Calibri"/>
          <w:szCs w:val="22"/>
        </w:rPr>
        <w:t>ystem</w:t>
      </w:r>
      <w:r w:rsidR="00F94463" w:rsidRPr="00F27BD4">
        <w:rPr>
          <w:rFonts w:ascii="Calibri" w:hAnsi="Calibri" w:cs="Calibri"/>
          <w:szCs w:val="22"/>
        </w:rPr>
        <w:t>.</w:t>
      </w:r>
      <w:r w:rsidR="00631B16" w:rsidRPr="00F27BD4">
        <w:rPr>
          <w:rFonts w:ascii="Calibri" w:hAnsi="Calibri" w:cs="Calibri"/>
          <w:szCs w:val="22"/>
        </w:rPr>
        <w:br w:type="page"/>
      </w:r>
    </w:p>
    <w:p w14:paraId="40EBEB39" w14:textId="2EC2FF9B" w:rsidR="004723FF" w:rsidRPr="00F27BD4" w:rsidRDefault="00664755" w:rsidP="008B049A">
      <w:pPr>
        <w:rPr>
          <w:rFonts w:ascii="Calibri" w:hAnsi="Calibri" w:cs="Calibri"/>
          <w:b/>
          <w:smallCaps/>
          <w:szCs w:val="22"/>
        </w:rPr>
      </w:pPr>
      <w:r w:rsidRPr="00F27BD4">
        <w:rPr>
          <w:rFonts w:ascii="Calibri" w:hAnsi="Calibri" w:cs="Calibri"/>
          <w:b/>
          <w:smallCaps/>
          <w:szCs w:val="22"/>
        </w:rPr>
        <w:lastRenderedPageBreak/>
        <w:t>2021</w:t>
      </w:r>
      <w:r w:rsidR="00D27C55" w:rsidRPr="00F27BD4">
        <w:rPr>
          <w:rFonts w:ascii="Calibri" w:hAnsi="Calibri" w:cs="Calibri"/>
          <w:b/>
          <w:smallCaps/>
          <w:szCs w:val="22"/>
        </w:rPr>
        <w:t xml:space="preserve"> </w:t>
      </w:r>
      <w:r w:rsidR="004723FF" w:rsidRPr="00F27BD4">
        <w:rPr>
          <w:rFonts w:ascii="Calibri" w:hAnsi="Calibri" w:cs="Calibri"/>
          <w:b/>
          <w:smallCaps/>
          <w:szCs w:val="22"/>
        </w:rPr>
        <w:t>Summary</w:t>
      </w:r>
    </w:p>
    <w:p w14:paraId="35ABC319" w14:textId="21D2930D" w:rsidR="0073576A" w:rsidRPr="00F27BD4" w:rsidRDefault="008965CB" w:rsidP="00FA7FC1">
      <w:pPr>
        <w:pStyle w:val="ListParagraph"/>
        <w:numPr>
          <w:ilvl w:val="0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 xml:space="preserve">In calendar </w:t>
      </w:r>
      <w:r w:rsidR="00664755" w:rsidRPr="00F27BD4">
        <w:rPr>
          <w:rFonts w:ascii="Calibri" w:hAnsi="Calibri" w:cs="Calibri"/>
          <w:szCs w:val="22"/>
        </w:rPr>
        <w:t>year 2021</w:t>
      </w:r>
      <w:r w:rsidR="00E708D2" w:rsidRPr="00F27BD4">
        <w:rPr>
          <w:rFonts w:ascii="Calibri" w:hAnsi="Calibri" w:cs="Calibri"/>
          <w:szCs w:val="22"/>
        </w:rPr>
        <w:t xml:space="preserve">, </w:t>
      </w:r>
      <w:r w:rsidR="00992803" w:rsidRPr="00F27BD4">
        <w:rPr>
          <w:rFonts w:ascii="Calibri" w:hAnsi="Calibri" w:cs="Calibri"/>
          <w:szCs w:val="22"/>
        </w:rPr>
        <w:t xml:space="preserve">the U of I System </w:t>
      </w:r>
      <w:r w:rsidR="00E2191E" w:rsidRPr="00F27BD4">
        <w:rPr>
          <w:rFonts w:ascii="Calibri" w:hAnsi="Calibri" w:cs="Calibri"/>
          <w:szCs w:val="22"/>
        </w:rPr>
        <w:t>received</w:t>
      </w:r>
      <w:r w:rsidR="00992803" w:rsidRPr="00F27BD4">
        <w:rPr>
          <w:rFonts w:ascii="Calibri" w:hAnsi="Calibri" w:cs="Calibri"/>
          <w:szCs w:val="22"/>
        </w:rPr>
        <w:t xml:space="preserve"> 1,143 requests</w:t>
      </w:r>
      <w:r w:rsidR="006B6B15" w:rsidRPr="00F27BD4">
        <w:rPr>
          <w:rFonts w:ascii="Calibri" w:hAnsi="Calibri" w:cs="Calibri"/>
          <w:szCs w:val="22"/>
        </w:rPr>
        <w:t>.</w:t>
      </w:r>
      <w:r w:rsidR="00E2191E" w:rsidRPr="00F27BD4">
        <w:rPr>
          <w:rFonts w:ascii="Calibri" w:hAnsi="Calibri" w:cs="Calibri"/>
          <w:szCs w:val="22"/>
        </w:rPr>
        <w:t xml:space="preserve"> </w:t>
      </w:r>
      <w:r w:rsidR="00C3299F" w:rsidRPr="00F27BD4">
        <w:rPr>
          <w:rFonts w:ascii="Calibri" w:hAnsi="Calibri" w:cs="Calibri"/>
          <w:szCs w:val="22"/>
        </w:rPr>
        <w:t>This represents</w:t>
      </w:r>
      <w:r w:rsidR="00B932A1" w:rsidRPr="00F27BD4">
        <w:rPr>
          <w:rFonts w:ascii="Calibri" w:hAnsi="Calibri" w:cs="Calibri"/>
          <w:szCs w:val="22"/>
        </w:rPr>
        <w:t xml:space="preserve"> </w:t>
      </w:r>
      <w:r w:rsidR="00992803" w:rsidRPr="00F27BD4">
        <w:rPr>
          <w:rFonts w:ascii="Calibri" w:hAnsi="Calibri" w:cs="Calibri"/>
          <w:szCs w:val="22"/>
        </w:rPr>
        <w:t>113</w:t>
      </w:r>
      <w:r w:rsidR="006F6EA3" w:rsidRPr="00F27BD4">
        <w:rPr>
          <w:rFonts w:ascii="Calibri" w:hAnsi="Calibri" w:cs="Calibri"/>
          <w:szCs w:val="22"/>
        </w:rPr>
        <w:t xml:space="preserve"> </w:t>
      </w:r>
      <w:r w:rsidR="00992803" w:rsidRPr="00F27BD4">
        <w:rPr>
          <w:rFonts w:ascii="Calibri" w:hAnsi="Calibri" w:cs="Calibri"/>
          <w:szCs w:val="22"/>
        </w:rPr>
        <w:t>more</w:t>
      </w:r>
      <w:r w:rsidR="00C3299F" w:rsidRPr="00F27BD4">
        <w:rPr>
          <w:rFonts w:ascii="Calibri" w:hAnsi="Calibri" w:cs="Calibri"/>
          <w:szCs w:val="22"/>
        </w:rPr>
        <w:t xml:space="preserve"> </w:t>
      </w:r>
      <w:r w:rsidR="00E90046" w:rsidRPr="00F27BD4">
        <w:rPr>
          <w:rFonts w:ascii="Calibri" w:hAnsi="Calibri" w:cs="Calibri"/>
          <w:szCs w:val="22"/>
        </w:rPr>
        <w:t>requests</w:t>
      </w:r>
      <w:r w:rsidR="00B71E94" w:rsidRPr="00F27BD4">
        <w:rPr>
          <w:rFonts w:ascii="Calibri" w:hAnsi="Calibri" w:cs="Calibri"/>
          <w:szCs w:val="22"/>
        </w:rPr>
        <w:t xml:space="preserve"> than</w:t>
      </w:r>
      <w:r w:rsidR="006B6B15" w:rsidRPr="00F27BD4">
        <w:rPr>
          <w:rFonts w:ascii="Calibri" w:hAnsi="Calibri" w:cs="Calibri"/>
          <w:szCs w:val="22"/>
        </w:rPr>
        <w:t xml:space="preserve"> </w:t>
      </w:r>
      <w:r w:rsidR="00992803" w:rsidRPr="00F27BD4">
        <w:rPr>
          <w:rFonts w:ascii="Calibri" w:hAnsi="Calibri" w:cs="Calibri"/>
          <w:szCs w:val="22"/>
        </w:rPr>
        <w:t>in 2020</w:t>
      </w:r>
      <w:r w:rsidR="0002057D" w:rsidRPr="00F27BD4">
        <w:rPr>
          <w:rFonts w:ascii="Calibri" w:hAnsi="Calibri" w:cs="Calibri"/>
          <w:szCs w:val="22"/>
        </w:rPr>
        <w:t>.</w:t>
      </w:r>
      <w:r w:rsidR="00992803" w:rsidRPr="00F27BD4">
        <w:rPr>
          <w:rFonts w:ascii="Calibri" w:hAnsi="Calibri" w:cs="Calibri"/>
          <w:szCs w:val="22"/>
        </w:rPr>
        <w:t xml:space="preserve"> R</w:t>
      </w:r>
      <w:r w:rsidR="00FA7FC1" w:rsidRPr="00F27BD4">
        <w:rPr>
          <w:rFonts w:ascii="Calibri" w:hAnsi="Calibri" w:cs="Calibri"/>
          <w:szCs w:val="22"/>
        </w:rPr>
        <w:t>equests</w:t>
      </w:r>
      <w:r w:rsidR="00DA5ED3" w:rsidRPr="00F27BD4">
        <w:rPr>
          <w:rFonts w:ascii="Calibri" w:hAnsi="Calibri" w:cs="Calibri"/>
          <w:szCs w:val="22"/>
        </w:rPr>
        <w:t xml:space="preserve"> received</w:t>
      </w:r>
      <w:r w:rsidR="00FA7FC1" w:rsidRPr="00F27BD4">
        <w:rPr>
          <w:rFonts w:ascii="Calibri" w:hAnsi="Calibri" w:cs="Calibri"/>
          <w:szCs w:val="22"/>
        </w:rPr>
        <w:t xml:space="preserve"> totaled more than</w:t>
      </w:r>
      <w:r w:rsidR="00992803" w:rsidRPr="00F27BD4">
        <w:rPr>
          <w:rFonts w:ascii="Calibri" w:hAnsi="Calibri" w:cs="Calibri"/>
          <w:szCs w:val="22"/>
        </w:rPr>
        <w:t xml:space="preserve"> 100 in six separate months with another month reaching 97 total requests.</w:t>
      </w:r>
    </w:p>
    <w:p w14:paraId="1968644F" w14:textId="77777777" w:rsidR="00C37B3F" w:rsidRPr="00F27BD4" w:rsidRDefault="00C37B3F" w:rsidP="00C37B3F">
      <w:pPr>
        <w:pStyle w:val="ListParagraph"/>
        <w:contextualSpacing w:val="0"/>
        <w:rPr>
          <w:rFonts w:ascii="Calibri" w:hAnsi="Calibri" w:cs="Calibri"/>
          <w:szCs w:val="22"/>
        </w:rPr>
      </w:pPr>
    </w:p>
    <w:p w14:paraId="54DCF673" w14:textId="791801DE" w:rsidR="00477D65" w:rsidRPr="00F27BD4" w:rsidRDefault="00DB6693" w:rsidP="008B049A">
      <w:pPr>
        <w:pStyle w:val="ListParagraph"/>
        <w:numPr>
          <w:ilvl w:val="0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 xml:space="preserve">The FOIA requests for </w:t>
      </w:r>
      <w:r w:rsidR="00664755" w:rsidRPr="00F27BD4">
        <w:rPr>
          <w:rFonts w:ascii="Calibri" w:hAnsi="Calibri" w:cs="Calibri"/>
          <w:szCs w:val="22"/>
        </w:rPr>
        <w:t>2021</w:t>
      </w:r>
      <w:r w:rsidR="009561F3" w:rsidRPr="00F27BD4">
        <w:rPr>
          <w:rFonts w:ascii="Calibri" w:hAnsi="Calibri" w:cs="Calibri"/>
          <w:szCs w:val="22"/>
        </w:rPr>
        <w:t xml:space="preserve"> include information for:</w:t>
      </w:r>
    </w:p>
    <w:p w14:paraId="3BE78C1E" w14:textId="77777777" w:rsidR="00477D65" w:rsidRPr="00F27BD4" w:rsidRDefault="00477D65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Police reports</w:t>
      </w:r>
    </w:p>
    <w:p w14:paraId="3CF73BC8" w14:textId="77777777" w:rsidR="00477D65" w:rsidRPr="00F27BD4" w:rsidRDefault="00477D65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Bid information</w:t>
      </w:r>
    </w:p>
    <w:p w14:paraId="73BD3C2C" w14:textId="77777777" w:rsidR="00477D65" w:rsidRPr="00F27BD4" w:rsidRDefault="00477D65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Athletic contracts</w:t>
      </w:r>
    </w:p>
    <w:p w14:paraId="3DBA5FFE" w14:textId="77777777" w:rsidR="00C2476E" w:rsidRPr="00F27BD4" w:rsidRDefault="00FC74E8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Donor i</w:t>
      </w:r>
      <w:r w:rsidR="00C2476E" w:rsidRPr="00F27BD4">
        <w:rPr>
          <w:rFonts w:ascii="Calibri" w:hAnsi="Calibri" w:cs="Calibri"/>
          <w:szCs w:val="22"/>
        </w:rPr>
        <w:t>nformation</w:t>
      </w:r>
    </w:p>
    <w:p w14:paraId="32015E6D" w14:textId="77777777" w:rsidR="00477D65" w:rsidRPr="00F27BD4" w:rsidRDefault="00BB3C9E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E</w:t>
      </w:r>
      <w:r w:rsidR="00477D65" w:rsidRPr="00F27BD4">
        <w:rPr>
          <w:rFonts w:ascii="Calibri" w:hAnsi="Calibri" w:cs="Calibri"/>
          <w:szCs w:val="22"/>
        </w:rPr>
        <w:t>mails</w:t>
      </w:r>
    </w:p>
    <w:p w14:paraId="79905C8D" w14:textId="77777777" w:rsidR="00477D65" w:rsidRPr="00F27BD4" w:rsidRDefault="00477D65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Disciplinary records</w:t>
      </w:r>
    </w:p>
    <w:p w14:paraId="323B8F13" w14:textId="77777777" w:rsidR="00477D65" w:rsidRPr="00F27BD4" w:rsidRDefault="00477D65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 xml:space="preserve">Grade </w:t>
      </w:r>
      <w:r w:rsidR="00CA624D" w:rsidRPr="00F27BD4">
        <w:rPr>
          <w:rFonts w:ascii="Calibri" w:hAnsi="Calibri" w:cs="Calibri"/>
          <w:szCs w:val="22"/>
        </w:rPr>
        <w:t>d</w:t>
      </w:r>
      <w:r w:rsidRPr="00F27BD4">
        <w:rPr>
          <w:rFonts w:ascii="Calibri" w:hAnsi="Calibri" w:cs="Calibri"/>
          <w:szCs w:val="22"/>
        </w:rPr>
        <w:t>istributions</w:t>
      </w:r>
    </w:p>
    <w:p w14:paraId="31EC9D80" w14:textId="77777777" w:rsidR="00477D65" w:rsidRPr="00F27BD4" w:rsidRDefault="00477D65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Board of Trustee</w:t>
      </w:r>
      <w:r w:rsidR="00CA624D" w:rsidRPr="00F27BD4">
        <w:rPr>
          <w:rFonts w:ascii="Calibri" w:hAnsi="Calibri" w:cs="Calibri"/>
          <w:szCs w:val="22"/>
        </w:rPr>
        <w:t>s</w:t>
      </w:r>
      <w:r w:rsidRPr="00F27BD4">
        <w:rPr>
          <w:rFonts w:ascii="Calibri" w:hAnsi="Calibri" w:cs="Calibri"/>
          <w:szCs w:val="22"/>
        </w:rPr>
        <w:t xml:space="preserve"> information</w:t>
      </w:r>
    </w:p>
    <w:p w14:paraId="5D6309EB" w14:textId="77777777" w:rsidR="00B932A1" w:rsidRPr="00F27BD4" w:rsidRDefault="00477D65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Course syllabi</w:t>
      </w:r>
    </w:p>
    <w:p w14:paraId="3B807515" w14:textId="77777777" w:rsidR="00B932A1" w:rsidRPr="00F27BD4" w:rsidRDefault="00FC74E8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Water w</w:t>
      </w:r>
      <w:r w:rsidR="00B932A1" w:rsidRPr="00F27BD4">
        <w:rPr>
          <w:rFonts w:ascii="Calibri" w:hAnsi="Calibri" w:cs="Calibri"/>
          <w:szCs w:val="22"/>
        </w:rPr>
        <w:t>ell records</w:t>
      </w:r>
    </w:p>
    <w:p w14:paraId="4A187202" w14:textId="77777777" w:rsidR="00477D65" w:rsidRPr="00F27BD4" w:rsidRDefault="00477D65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Salary information</w:t>
      </w:r>
    </w:p>
    <w:p w14:paraId="26DA863A" w14:textId="77777777" w:rsidR="00477D65" w:rsidRPr="00F27BD4" w:rsidRDefault="00477D65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Settlement agreements</w:t>
      </w:r>
    </w:p>
    <w:p w14:paraId="285C2E32" w14:textId="77777777" w:rsidR="009561F3" w:rsidRPr="00F27BD4" w:rsidRDefault="009561F3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Student directory information</w:t>
      </w:r>
    </w:p>
    <w:p w14:paraId="736506CF" w14:textId="77777777" w:rsidR="00EF3D5E" w:rsidRPr="00F27BD4" w:rsidRDefault="00EF3D5E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Title IX Information</w:t>
      </w:r>
    </w:p>
    <w:p w14:paraId="05C31A74" w14:textId="77777777" w:rsidR="00EF3D5E" w:rsidRPr="00F27BD4" w:rsidRDefault="00EF3D5E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Sexual misconduct reports</w:t>
      </w:r>
    </w:p>
    <w:p w14:paraId="28DA934F" w14:textId="77777777" w:rsidR="00286C0F" w:rsidRPr="00F27BD4" w:rsidRDefault="00286C0F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Purcha</w:t>
      </w:r>
      <w:r w:rsidR="00FC74E8" w:rsidRPr="00F27BD4">
        <w:rPr>
          <w:rFonts w:ascii="Calibri" w:hAnsi="Calibri" w:cs="Calibri"/>
          <w:szCs w:val="22"/>
        </w:rPr>
        <w:t>s</w:t>
      </w:r>
      <w:r w:rsidRPr="00F27BD4">
        <w:rPr>
          <w:rFonts w:ascii="Calibri" w:hAnsi="Calibri" w:cs="Calibri"/>
          <w:szCs w:val="22"/>
        </w:rPr>
        <w:t>ing contracts</w:t>
      </w:r>
    </w:p>
    <w:p w14:paraId="6451F5E5" w14:textId="77777777" w:rsidR="00F4303C" w:rsidRPr="00F27BD4" w:rsidRDefault="00F4303C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Animal research records</w:t>
      </w:r>
    </w:p>
    <w:p w14:paraId="375334DF" w14:textId="77777777" w:rsidR="00F4303C" w:rsidRPr="00F27BD4" w:rsidRDefault="00F4303C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Uncashed checks</w:t>
      </w:r>
    </w:p>
    <w:p w14:paraId="0E203152" w14:textId="77777777" w:rsidR="00F4303C" w:rsidRPr="00F27BD4" w:rsidRDefault="00F4303C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Investment information</w:t>
      </w:r>
    </w:p>
    <w:p w14:paraId="0410D642" w14:textId="77777777" w:rsidR="00B25F34" w:rsidRPr="00F27BD4" w:rsidRDefault="00B25F34" w:rsidP="008B049A">
      <w:pPr>
        <w:pStyle w:val="ListParagraph"/>
        <w:ind w:left="1440"/>
        <w:contextualSpacing w:val="0"/>
        <w:rPr>
          <w:rFonts w:ascii="Calibri" w:hAnsi="Calibri" w:cs="Calibri"/>
          <w:szCs w:val="22"/>
        </w:rPr>
      </w:pPr>
    </w:p>
    <w:p w14:paraId="14F84FB0" w14:textId="77777777" w:rsidR="00477D65" w:rsidRPr="00F27BD4" w:rsidRDefault="00B71E94" w:rsidP="008B049A">
      <w:pPr>
        <w:pStyle w:val="ListParagraph"/>
        <w:numPr>
          <w:ilvl w:val="0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Types of r</w:t>
      </w:r>
      <w:r w:rsidR="00477D65" w:rsidRPr="00F27BD4">
        <w:rPr>
          <w:rFonts w:ascii="Calibri" w:hAnsi="Calibri" w:cs="Calibri"/>
          <w:szCs w:val="22"/>
        </w:rPr>
        <w:t>equesters</w:t>
      </w:r>
      <w:r w:rsidRPr="00F27BD4">
        <w:rPr>
          <w:rFonts w:ascii="Calibri" w:hAnsi="Calibri" w:cs="Calibri"/>
          <w:szCs w:val="22"/>
        </w:rPr>
        <w:t>:</w:t>
      </w:r>
    </w:p>
    <w:p w14:paraId="1515BEC6" w14:textId="77777777" w:rsidR="00477D65" w:rsidRPr="00F27BD4" w:rsidRDefault="00C3299F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News m</w:t>
      </w:r>
      <w:r w:rsidR="00477D65" w:rsidRPr="00F27BD4">
        <w:rPr>
          <w:rFonts w:ascii="Calibri" w:hAnsi="Calibri" w:cs="Calibri"/>
          <w:szCs w:val="22"/>
        </w:rPr>
        <w:t>edia</w:t>
      </w:r>
    </w:p>
    <w:p w14:paraId="7E446F5E" w14:textId="77777777" w:rsidR="00477D65" w:rsidRPr="00F27BD4" w:rsidRDefault="00477D65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Students and former students</w:t>
      </w:r>
    </w:p>
    <w:p w14:paraId="22716741" w14:textId="77777777" w:rsidR="00477D65" w:rsidRPr="00F27BD4" w:rsidRDefault="00477D65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Former employees</w:t>
      </w:r>
    </w:p>
    <w:p w14:paraId="7392F70F" w14:textId="77777777" w:rsidR="00477D65" w:rsidRPr="00F27BD4" w:rsidRDefault="00477D65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Vendors</w:t>
      </w:r>
    </w:p>
    <w:p w14:paraId="681D0178" w14:textId="77777777" w:rsidR="004F083B" w:rsidRPr="00F27BD4" w:rsidRDefault="004F083B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Data research companies</w:t>
      </w:r>
    </w:p>
    <w:p w14:paraId="3BCE3EB9" w14:textId="77777777" w:rsidR="00477D65" w:rsidRPr="00F27BD4" w:rsidRDefault="00477D65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 xml:space="preserve">Law </w:t>
      </w:r>
      <w:r w:rsidR="00CA624D" w:rsidRPr="00F27BD4">
        <w:rPr>
          <w:rFonts w:ascii="Calibri" w:hAnsi="Calibri" w:cs="Calibri"/>
          <w:szCs w:val="22"/>
        </w:rPr>
        <w:t>f</w:t>
      </w:r>
      <w:r w:rsidRPr="00F27BD4">
        <w:rPr>
          <w:rFonts w:ascii="Calibri" w:hAnsi="Calibri" w:cs="Calibri"/>
          <w:szCs w:val="22"/>
        </w:rPr>
        <w:t>irms</w:t>
      </w:r>
    </w:p>
    <w:p w14:paraId="724908C9" w14:textId="77777777" w:rsidR="00477D65" w:rsidRPr="00F27BD4" w:rsidRDefault="00477D65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 xml:space="preserve">Other </w:t>
      </w:r>
      <w:r w:rsidR="00CA624D" w:rsidRPr="00F27BD4">
        <w:rPr>
          <w:rFonts w:ascii="Calibri" w:hAnsi="Calibri" w:cs="Calibri"/>
          <w:szCs w:val="22"/>
        </w:rPr>
        <w:t>u</w:t>
      </w:r>
      <w:r w:rsidRPr="00F27BD4">
        <w:rPr>
          <w:rFonts w:ascii="Calibri" w:hAnsi="Calibri" w:cs="Calibri"/>
          <w:szCs w:val="22"/>
        </w:rPr>
        <w:t>niversities</w:t>
      </w:r>
    </w:p>
    <w:p w14:paraId="76E2EF18" w14:textId="77777777" w:rsidR="001E5E4A" w:rsidRPr="00F27BD4" w:rsidRDefault="001E5E4A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Not for profits</w:t>
      </w:r>
    </w:p>
    <w:p w14:paraId="7AFB5118" w14:textId="77777777" w:rsidR="00B25F34" w:rsidRPr="00F27BD4" w:rsidRDefault="00B25F34" w:rsidP="008B049A">
      <w:pPr>
        <w:pStyle w:val="ListParagraph"/>
        <w:ind w:left="1440"/>
        <w:contextualSpacing w:val="0"/>
        <w:rPr>
          <w:rFonts w:ascii="Calibri" w:hAnsi="Calibri" w:cs="Calibri"/>
          <w:szCs w:val="22"/>
        </w:rPr>
      </w:pPr>
    </w:p>
    <w:p w14:paraId="1662FCC8" w14:textId="77777777" w:rsidR="004F083B" w:rsidRPr="00F27BD4" w:rsidRDefault="004F083B" w:rsidP="008B049A">
      <w:pPr>
        <w:pStyle w:val="ListParagraph"/>
        <w:numPr>
          <w:ilvl w:val="0"/>
          <w:numId w:val="2"/>
        </w:numPr>
        <w:contextualSpacing w:val="0"/>
        <w:rPr>
          <w:rFonts w:ascii="Calibri" w:hAnsi="Calibri" w:cs="Calibri"/>
          <w:szCs w:val="22"/>
        </w:rPr>
      </w:pPr>
      <w:proofErr w:type="gramStart"/>
      <w:r w:rsidRPr="00F27BD4">
        <w:rPr>
          <w:rFonts w:ascii="Calibri" w:hAnsi="Calibri" w:cs="Calibri"/>
          <w:szCs w:val="22"/>
        </w:rPr>
        <w:t>Most commonly cited</w:t>
      </w:r>
      <w:proofErr w:type="gramEnd"/>
      <w:r w:rsidRPr="00F27BD4">
        <w:rPr>
          <w:rFonts w:ascii="Calibri" w:hAnsi="Calibri" w:cs="Calibri"/>
          <w:szCs w:val="22"/>
        </w:rPr>
        <w:t xml:space="preserve"> exemptions</w:t>
      </w:r>
      <w:r w:rsidR="004D1F33" w:rsidRPr="00F27BD4">
        <w:rPr>
          <w:rFonts w:ascii="Calibri" w:hAnsi="Calibri" w:cs="Calibri"/>
          <w:szCs w:val="22"/>
        </w:rPr>
        <w:t>:</w:t>
      </w:r>
    </w:p>
    <w:p w14:paraId="6E885042" w14:textId="77777777" w:rsidR="00B25F34" w:rsidRPr="00F27BD4" w:rsidRDefault="004F083B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 xml:space="preserve">Section 7(1)(a) </w:t>
      </w:r>
      <w:r w:rsidR="00A16B0F" w:rsidRPr="00F27BD4">
        <w:rPr>
          <w:rFonts w:ascii="Calibri" w:hAnsi="Calibri" w:cs="Calibri"/>
          <w:szCs w:val="22"/>
        </w:rPr>
        <w:t>–</w:t>
      </w:r>
      <w:r w:rsidRPr="00F27BD4">
        <w:rPr>
          <w:rFonts w:ascii="Calibri" w:hAnsi="Calibri" w:cs="Calibri"/>
          <w:szCs w:val="22"/>
        </w:rPr>
        <w:t xml:space="preserve"> </w:t>
      </w:r>
      <w:r w:rsidR="00FC74E8" w:rsidRPr="00F27BD4">
        <w:rPr>
          <w:rFonts w:ascii="Calibri" w:hAnsi="Calibri" w:cs="Calibri"/>
          <w:szCs w:val="22"/>
        </w:rPr>
        <w:t>i</w:t>
      </w:r>
      <w:r w:rsidR="00A16B0F" w:rsidRPr="00F27BD4">
        <w:rPr>
          <w:rFonts w:ascii="Calibri" w:hAnsi="Calibri" w:cs="Calibri"/>
          <w:szCs w:val="22"/>
        </w:rPr>
        <w:t>nformation prohibited by disclosure from a federal or state statute such as t</w:t>
      </w:r>
      <w:r w:rsidRPr="00F27BD4">
        <w:rPr>
          <w:rFonts w:ascii="Calibri" w:hAnsi="Calibri" w:cs="Calibri"/>
          <w:szCs w:val="22"/>
        </w:rPr>
        <w:t>he Federal Ed</w:t>
      </w:r>
      <w:r w:rsidR="006B5691" w:rsidRPr="00F27BD4">
        <w:rPr>
          <w:rFonts w:ascii="Calibri" w:hAnsi="Calibri" w:cs="Calibri"/>
          <w:szCs w:val="22"/>
        </w:rPr>
        <w:t>ucation Rights and Privacy Act, the Personnel Records Review Act and the Illinois Medical Studies Act. These exemptions covered student names, employee evaluations and research information</w:t>
      </w:r>
      <w:r w:rsidR="00CA624D" w:rsidRPr="00F27BD4">
        <w:rPr>
          <w:rFonts w:ascii="Calibri" w:hAnsi="Calibri" w:cs="Calibri"/>
          <w:szCs w:val="22"/>
        </w:rPr>
        <w:t>.</w:t>
      </w:r>
    </w:p>
    <w:p w14:paraId="7E7BD861" w14:textId="77777777" w:rsidR="004F083B" w:rsidRPr="00F27BD4" w:rsidRDefault="004F083B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Section 7(1)(b) – private information. This includes student email addresses</w:t>
      </w:r>
      <w:r w:rsidR="007F136A" w:rsidRPr="00F27BD4">
        <w:rPr>
          <w:rFonts w:ascii="Calibri" w:hAnsi="Calibri" w:cs="Calibri"/>
          <w:szCs w:val="22"/>
        </w:rPr>
        <w:t xml:space="preserve"> and employee home addresses</w:t>
      </w:r>
      <w:r w:rsidR="00CA624D" w:rsidRPr="00F27BD4">
        <w:rPr>
          <w:rFonts w:ascii="Calibri" w:hAnsi="Calibri" w:cs="Calibri"/>
          <w:szCs w:val="22"/>
        </w:rPr>
        <w:t>.</w:t>
      </w:r>
    </w:p>
    <w:p w14:paraId="7028EA5C" w14:textId="77777777" w:rsidR="00C77CBA" w:rsidRPr="00F27BD4" w:rsidRDefault="004F083B" w:rsidP="00440102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lastRenderedPageBreak/>
        <w:t>Section 7</w:t>
      </w:r>
      <w:r w:rsidR="001412A2" w:rsidRPr="00F27BD4">
        <w:rPr>
          <w:rFonts w:ascii="Calibri" w:hAnsi="Calibri" w:cs="Calibri"/>
          <w:szCs w:val="22"/>
        </w:rPr>
        <w:t>(1)(c) – personal information. This includes dates of birth, private citizen names</w:t>
      </w:r>
      <w:r w:rsidR="007F136A" w:rsidRPr="00F27BD4">
        <w:rPr>
          <w:rFonts w:ascii="Calibri" w:hAnsi="Calibri" w:cs="Calibri"/>
          <w:szCs w:val="22"/>
        </w:rPr>
        <w:t xml:space="preserve"> and other highly personal information about </w:t>
      </w:r>
      <w:proofErr w:type="gramStart"/>
      <w:r w:rsidR="007F136A" w:rsidRPr="00F27BD4">
        <w:rPr>
          <w:rFonts w:ascii="Calibri" w:hAnsi="Calibri" w:cs="Calibri"/>
          <w:szCs w:val="22"/>
        </w:rPr>
        <w:t>University</w:t>
      </w:r>
      <w:proofErr w:type="gramEnd"/>
      <w:r w:rsidR="007F136A" w:rsidRPr="00F27BD4">
        <w:rPr>
          <w:rFonts w:ascii="Calibri" w:hAnsi="Calibri" w:cs="Calibri"/>
          <w:szCs w:val="22"/>
        </w:rPr>
        <w:t xml:space="preserve"> employees or third parties</w:t>
      </w:r>
      <w:r w:rsidR="001412A2" w:rsidRPr="00F27BD4">
        <w:rPr>
          <w:rFonts w:ascii="Calibri" w:hAnsi="Calibri" w:cs="Calibri"/>
          <w:szCs w:val="22"/>
        </w:rPr>
        <w:t xml:space="preserve">. </w:t>
      </w:r>
    </w:p>
    <w:p w14:paraId="6CB3C5A1" w14:textId="77777777" w:rsidR="00B932A1" w:rsidRPr="00F27BD4" w:rsidRDefault="00B932A1" w:rsidP="00FA7FC1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Section 7(1)(d)(ii) – information that would interfere with administrative hearings. This includes record</w:t>
      </w:r>
      <w:r w:rsidR="00934050" w:rsidRPr="00F27BD4">
        <w:rPr>
          <w:rFonts w:ascii="Calibri" w:hAnsi="Calibri" w:cs="Calibri"/>
          <w:szCs w:val="22"/>
        </w:rPr>
        <w:t>s</w:t>
      </w:r>
      <w:r w:rsidRPr="00F27BD4">
        <w:rPr>
          <w:rFonts w:ascii="Calibri" w:hAnsi="Calibri" w:cs="Calibri"/>
          <w:szCs w:val="22"/>
        </w:rPr>
        <w:t xml:space="preserve"> relating to investigations into sexual misconduct allegations of employees during the pendency of the investigation.</w:t>
      </w:r>
    </w:p>
    <w:p w14:paraId="47B19538" w14:textId="77777777" w:rsidR="00A16B0F" w:rsidRPr="00F27BD4" w:rsidRDefault="00A16B0F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Section 7(1)(d)(iv)</w:t>
      </w:r>
      <w:r w:rsidR="00C327E9" w:rsidRPr="00F27BD4">
        <w:rPr>
          <w:rFonts w:ascii="Calibri" w:hAnsi="Calibri" w:cs="Calibri"/>
          <w:szCs w:val="22"/>
        </w:rPr>
        <w:t xml:space="preserve"> -</w:t>
      </w:r>
      <w:r w:rsidR="00F43977" w:rsidRPr="00F27BD4">
        <w:rPr>
          <w:rFonts w:ascii="Calibri" w:hAnsi="Calibri" w:cs="Calibri"/>
          <w:szCs w:val="22"/>
        </w:rPr>
        <w:t xml:space="preserve"> </w:t>
      </w:r>
      <w:r w:rsidRPr="00F27BD4">
        <w:rPr>
          <w:rFonts w:ascii="Calibri" w:hAnsi="Calibri" w:cs="Calibri"/>
          <w:szCs w:val="22"/>
        </w:rPr>
        <w:t>witness information. This includes people who provide information to University of Illinois Police.</w:t>
      </w:r>
    </w:p>
    <w:p w14:paraId="02B65632" w14:textId="77777777" w:rsidR="001412A2" w:rsidRPr="00F27BD4" w:rsidRDefault="001412A2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 xml:space="preserve">Section 7(1)(f) – deliberative communication. </w:t>
      </w:r>
      <w:r w:rsidR="00CA624D" w:rsidRPr="00F27BD4">
        <w:rPr>
          <w:rFonts w:ascii="Calibri" w:hAnsi="Calibri" w:cs="Calibri"/>
          <w:szCs w:val="22"/>
        </w:rPr>
        <w:t xml:space="preserve">This includes </w:t>
      </w:r>
      <w:proofErr w:type="spellStart"/>
      <w:r w:rsidR="00CA624D" w:rsidRPr="00F27BD4">
        <w:rPr>
          <w:rFonts w:ascii="Calibri" w:hAnsi="Calibri" w:cs="Calibri"/>
          <w:szCs w:val="22"/>
        </w:rPr>
        <w:t>p</w:t>
      </w:r>
      <w:r w:rsidRPr="00F27BD4">
        <w:rPr>
          <w:rFonts w:ascii="Calibri" w:hAnsi="Calibri" w:cs="Calibri"/>
          <w:szCs w:val="22"/>
        </w:rPr>
        <w:t>redecisional</w:t>
      </w:r>
      <w:proofErr w:type="spellEnd"/>
      <w:r w:rsidRPr="00F27BD4">
        <w:rPr>
          <w:rFonts w:ascii="Calibri" w:hAnsi="Calibri" w:cs="Calibri"/>
          <w:szCs w:val="22"/>
        </w:rPr>
        <w:t xml:space="preserve"> opinions in email</w:t>
      </w:r>
      <w:r w:rsidR="004878D1" w:rsidRPr="00F27BD4">
        <w:rPr>
          <w:rFonts w:ascii="Calibri" w:hAnsi="Calibri" w:cs="Calibri"/>
          <w:szCs w:val="22"/>
        </w:rPr>
        <w:t>s expressing a course of action.</w:t>
      </w:r>
    </w:p>
    <w:p w14:paraId="28156F44" w14:textId="77777777" w:rsidR="001412A2" w:rsidRPr="00F27BD4" w:rsidRDefault="001412A2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Section 7(1)(g) – trade secrets. This includes proprietary information given to the University usually as part of a bid proposal.</w:t>
      </w:r>
      <w:r w:rsidR="00D769C2" w:rsidRPr="00F27BD4">
        <w:rPr>
          <w:rFonts w:ascii="Calibri" w:hAnsi="Calibri" w:cs="Calibri"/>
          <w:szCs w:val="22"/>
        </w:rPr>
        <w:t xml:space="preserve"> </w:t>
      </w:r>
    </w:p>
    <w:p w14:paraId="595A58E6" w14:textId="77777777" w:rsidR="00440102" w:rsidRPr="00F27BD4" w:rsidRDefault="00440102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Section 7(1)(</w:t>
      </w:r>
      <w:proofErr w:type="spellStart"/>
      <w:r w:rsidRPr="00F27BD4">
        <w:rPr>
          <w:rFonts w:ascii="Calibri" w:hAnsi="Calibri" w:cs="Calibri"/>
          <w:szCs w:val="22"/>
        </w:rPr>
        <w:t>i</w:t>
      </w:r>
      <w:proofErr w:type="spellEnd"/>
      <w:r w:rsidRPr="00F27BD4">
        <w:rPr>
          <w:rFonts w:ascii="Calibri" w:hAnsi="Calibri" w:cs="Calibri"/>
          <w:szCs w:val="22"/>
        </w:rPr>
        <w:t>) – valuable formulate. This includes proprietary and valuable information generated by the University</w:t>
      </w:r>
      <w:r w:rsidR="00FC74E8" w:rsidRPr="00F27BD4">
        <w:rPr>
          <w:rFonts w:ascii="Calibri" w:hAnsi="Calibri" w:cs="Calibri"/>
          <w:szCs w:val="22"/>
        </w:rPr>
        <w:t>.</w:t>
      </w:r>
    </w:p>
    <w:p w14:paraId="7A114E30" w14:textId="77777777" w:rsidR="00440102" w:rsidRPr="00F27BD4" w:rsidRDefault="00440102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proofErr w:type="spellStart"/>
      <w:r w:rsidRPr="00F27BD4">
        <w:rPr>
          <w:rFonts w:ascii="Calibri" w:hAnsi="Calibri" w:cs="Calibri"/>
          <w:szCs w:val="22"/>
        </w:rPr>
        <w:t>Sectin</w:t>
      </w:r>
      <w:proofErr w:type="spellEnd"/>
      <w:r w:rsidRPr="00F27BD4">
        <w:rPr>
          <w:rFonts w:ascii="Calibri" w:hAnsi="Calibri" w:cs="Calibri"/>
          <w:szCs w:val="22"/>
        </w:rPr>
        <w:t xml:space="preserve"> 7(1)(j)(ii) – student misconduct cases</w:t>
      </w:r>
      <w:r w:rsidR="00FC74E8" w:rsidRPr="00F27BD4">
        <w:rPr>
          <w:rFonts w:ascii="Calibri" w:hAnsi="Calibri" w:cs="Calibri"/>
          <w:szCs w:val="22"/>
        </w:rPr>
        <w:t>.</w:t>
      </w:r>
    </w:p>
    <w:p w14:paraId="04F17117" w14:textId="77777777" w:rsidR="00DB6693" w:rsidRPr="00F27BD4" w:rsidRDefault="00DB6693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Section 7(1)(j)(iv) – faculty research</w:t>
      </w:r>
      <w:r w:rsidR="00C3299F" w:rsidRPr="00F27BD4">
        <w:rPr>
          <w:rFonts w:ascii="Calibri" w:hAnsi="Calibri" w:cs="Calibri"/>
          <w:szCs w:val="22"/>
        </w:rPr>
        <w:t>.</w:t>
      </w:r>
      <w:r w:rsidRPr="00F27BD4">
        <w:rPr>
          <w:rFonts w:ascii="Calibri" w:hAnsi="Calibri" w:cs="Calibri"/>
          <w:szCs w:val="22"/>
        </w:rPr>
        <w:t xml:space="preserve"> </w:t>
      </w:r>
    </w:p>
    <w:p w14:paraId="3D8C3754" w14:textId="77777777" w:rsidR="001412A2" w:rsidRPr="00F27BD4" w:rsidRDefault="001412A2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Section 7(1)(m) – attorney/client information. This includes legal advice by the Office of the University Counsel to University staff</w:t>
      </w:r>
      <w:r w:rsidR="00CA624D" w:rsidRPr="00F27BD4">
        <w:rPr>
          <w:rFonts w:ascii="Calibri" w:hAnsi="Calibri" w:cs="Calibri"/>
          <w:szCs w:val="22"/>
        </w:rPr>
        <w:t>.</w:t>
      </w:r>
    </w:p>
    <w:p w14:paraId="47335F4B" w14:textId="77777777" w:rsidR="00DB6693" w:rsidRPr="00F27BD4" w:rsidRDefault="00DB6693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 xml:space="preserve">Section 7(1)(n) – </w:t>
      </w:r>
      <w:r w:rsidR="00B25F34" w:rsidRPr="00F27BD4">
        <w:rPr>
          <w:rFonts w:ascii="Calibri" w:hAnsi="Calibri" w:cs="Calibri"/>
          <w:szCs w:val="22"/>
        </w:rPr>
        <w:t>disciplinary reports</w:t>
      </w:r>
      <w:r w:rsidR="00A16B0F" w:rsidRPr="00F27BD4">
        <w:rPr>
          <w:rFonts w:ascii="Calibri" w:hAnsi="Calibri" w:cs="Calibri"/>
          <w:szCs w:val="22"/>
        </w:rPr>
        <w:t>. This includes reports regarding employee misconduct determined unfounded or when discipline was not imposed.</w:t>
      </w:r>
    </w:p>
    <w:p w14:paraId="18DB888E" w14:textId="77777777" w:rsidR="005170C4" w:rsidRPr="00F27BD4" w:rsidRDefault="005170C4" w:rsidP="008B049A">
      <w:pPr>
        <w:pStyle w:val="ListParagraph"/>
        <w:ind w:left="1440"/>
        <w:contextualSpacing w:val="0"/>
        <w:rPr>
          <w:rFonts w:ascii="Calibri" w:hAnsi="Calibri" w:cs="Calibri"/>
          <w:szCs w:val="22"/>
        </w:rPr>
      </w:pPr>
    </w:p>
    <w:p w14:paraId="39126DED" w14:textId="35E6D23C" w:rsidR="006E1005" w:rsidRPr="00F27BD4" w:rsidRDefault="00B85E76" w:rsidP="000840F2">
      <w:pPr>
        <w:pStyle w:val="ListParagraph"/>
        <w:numPr>
          <w:ilvl w:val="0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 xml:space="preserve">Several </w:t>
      </w:r>
      <w:r w:rsidR="00763CC8" w:rsidRPr="00F27BD4">
        <w:rPr>
          <w:rFonts w:ascii="Calibri" w:hAnsi="Calibri" w:cs="Calibri"/>
          <w:szCs w:val="22"/>
        </w:rPr>
        <w:t>2021</w:t>
      </w:r>
      <w:r w:rsidRPr="00F27BD4">
        <w:rPr>
          <w:rFonts w:ascii="Calibri" w:hAnsi="Calibri" w:cs="Calibri"/>
          <w:szCs w:val="22"/>
        </w:rPr>
        <w:t xml:space="preserve"> requests were related to matters that were of significant media interest</w:t>
      </w:r>
      <w:r w:rsidR="00FC74E8" w:rsidRPr="00F27BD4">
        <w:rPr>
          <w:rFonts w:ascii="Calibri" w:hAnsi="Calibri" w:cs="Calibri"/>
          <w:szCs w:val="22"/>
        </w:rPr>
        <w:t>,</w:t>
      </w:r>
      <w:r w:rsidRPr="00F27BD4">
        <w:rPr>
          <w:rFonts w:ascii="Calibri" w:hAnsi="Calibri" w:cs="Calibri"/>
          <w:szCs w:val="22"/>
        </w:rPr>
        <w:t xml:space="preserve"> such as: </w:t>
      </w:r>
    </w:p>
    <w:p w14:paraId="130FFBBC" w14:textId="77777777" w:rsidR="00C77CBA" w:rsidRPr="00F27BD4" w:rsidRDefault="00C77CBA" w:rsidP="00C77CBA">
      <w:pPr>
        <w:pStyle w:val="ListParagraph"/>
        <w:contextualSpacing w:val="0"/>
        <w:rPr>
          <w:rFonts w:ascii="Calibri" w:hAnsi="Calibri" w:cs="Calibri"/>
          <w:szCs w:val="22"/>
        </w:rPr>
      </w:pPr>
    </w:p>
    <w:p w14:paraId="15571851" w14:textId="77777777" w:rsidR="006C3187" w:rsidRPr="00F27BD4" w:rsidRDefault="00845B27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NCAA Financial Reports</w:t>
      </w:r>
    </w:p>
    <w:p w14:paraId="494C9B44" w14:textId="77777777" w:rsidR="00B932A1" w:rsidRPr="00F27BD4" w:rsidRDefault="006C3187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Athletic contracts</w:t>
      </w:r>
      <w:r w:rsidR="00286C0F" w:rsidRPr="00F27BD4">
        <w:rPr>
          <w:rFonts w:ascii="Calibri" w:hAnsi="Calibri" w:cs="Calibri"/>
          <w:szCs w:val="22"/>
        </w:rPr>
        <w:t xml:space="preserve"> </w:t>
      </w:r>
    </w:p>
    <w:p w14:paraId="1AED5041" w14:textId="77777777" w:rsidR="00440102" w:rsidRPr="00F27BD4" w:rsidRDefault="00440102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Title IX investigations</w:t>
      </w:r>
    </w:p>
    <w:p w14:paraId="1D2C8B35" w14:textId="3C3BBBD2" w:rsidR="005C6BF2" w:rsidRPr="00F27BD4" w:rsidRDefault="00763CC8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SHIELD Illinois and Shield T3 information and communications</w:t>
      </w:r>
    </w:p>
    <w:p w14:paraId="50E52F91" w14:textId="77777777" w:rsidR="00B932A1" w:rsidRPr="00F27BD4" w:rsidRDefault="00B932A1" w:rsidP="008B049A">
      <w:pPr>
        <w:pStyle w:val="ListParagraph"/>
        <w:ind w:left="1440"/>
        <w:contextualSpacing w:val="0"/>
        <w:rPr>
          <w:rFonts w:ascii="Calibri" w:hAnsi="Calibri" w:cs="Calibri"/>
          <w:szCs w:val="22"/>
        </w:rPr>
      </w:pPr>
    </w:p>
    <w:p w14:paraId="035EBA2D" w14:textId="3F9CB22E" w:rsidR="000840F2" w:rsidRPr="00F27BD4" w:rsidRDefault="00024044" w:rsidP="000840F2">
      <w:pPr>
        <w:pStyle w:val="ListParagraph"/>
        <w:numPr>
          <w:ilvl w:val="0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 xml:space="preserve">In </w:t>
      </w:r>
      <w:r w:rsidR="00763CC8" w:rsidRPr="00F27BD4">
        <w:rPr>
          <w:rFonts w:ascii="Calibri" w:hAnsi="Calibri" w:cs="Calibri"/>
          <w:szCs w:val="22"/>
        </w:rPr>
        <w:t>2021</w:t>
      </w:r>
      <w:r w:rsidR="000840F2" w:rsidRPr="00F27BD4">
        <w:rPr>
          <w:rFonts w:ascii="Calibri" w:hAnsi="Calibri" w:cs="Calibri"/>
          <w:szCs w:val="22"/>
        </w:rPr>
        <w:t xml:space="preserve">, the </w:t>
      </w:r>
      <w:r w:rsidR="00C448CB" w:rsidRPr="00F27BD4">
        <w:rPr>
          <w:rFonts w:ascii="Calibri" w:hAnsi="Calibri" w:cs="Calibri"/>
          <w:szCs w:val="22"/>
        </w:rPr>
        <w:t xml:space="preserve">U of I </w:t>
      </w:r>
      <w:r w:rsidR="00655064" w:rsidRPr="00F27BD4">
        <w:rPr>
          <w:rFonts w:ascii="Calibri" w:hAnsi="Calibri" w:cs="Calibri"/>
          <w:szCs w:val="22"/>
        </w:rPr>
        <w:t>System</w:t>
      </w:r>
      <w:r w:rsidR="000840F2" w:rsidRPr="00F27BD4">
        <w:rPr>
          <w:rFonts w:ascii="Calibri" w:hAnsi="Calibri" w:cs="Calibri"/>
          <w:szCs w:val="22"/>
        </w:rPr>
        <w:t xml:space="preserve"> received </w:t>
      </w:r>
      <w:r w:rsidR="007317C9" w:rsidRPr="00F27BD4">
        <w:rPr>
          <w:rFonts w:ascii="Calibri" w:hAnsi="Calibri" w:cs="Calibri"/>
          <w:szCs w:val="22"/>
        </w:rPr>
        <w:t>roughly 60</w:t>
      </w:r>
      <w:r w:rsidR="000B312F" w:rsidRPr="00F27BD4">
        <w:rPr>
          <w:rFonts w:ascii="Calibri" w:hAnsi="Calibri" w:cs="Calibri"/>
          <w:szCs w:val="22"/>
        </w:rPr>
        <w:t xml:space="preserve"> </w:t>
      </w:r>
      <w:r w:rsidR="00440102" w:rsidRPr="00F27BD4">
        <w:rPr>
          <w:rFonts w:ascii="Calibri" w:hAnsi="Calibri" w:cs="Calibri"/>
          <w:szCs w:val="22"/>
        </w:rPr>
        <w:t xml:space="preserve">requests </w:t>
      </w:r>
      <w:r w:rsidR="000840F2" w:rsidRPr="00F27BD4">
        <w:rPr>
          <w:rFonts w:ascii="Calibri" w:hAnsi="Calibri" w:cs="Calibri"/>
          <w:szCs w:val="22"/>
        </w:rPr>
        <w:t xml:space="preserve">related to the COVID-19 pandemic. Those </w:t>
      </w:r>
      <w:r w:rsidR="00FC74E8" w:rsidRPr="00F27BD4">
        <w:rPr>
          <w:rFonts w:ascii="Calibri" w:hAnsi="Calibri" w:cs="Calibri"/>
          <w:szCs w:val="22"/>
        </w:rPr>
        <w:t>requests</w:t>
      </w:r>
      <w:r w:rsidR="009843EA" w:rsidRPr="00F27BD4">
        <w:rPr>
          <w:rFonts w:ascii="Calibri" w:hAnsi="Calibri" w:cs="Calibri"/>
          <w:szCs w:val="22"/>
        </w:rPr>
        <w:t xml:space="preserve"> were for:</w:t>
      </w:r>
    </w:p>
    <w:p w14:paraId="6419046C" w14:textId="77777777" w:rsidR="009843EA" w:rsidRPr="00F27BD4" w:rsidRDefault="009843EA" w:rsidP="009843EA">
      <w:pPr>
        <w:pStyle w:val="ListParagraph"/>
        <w:contextualSpacing w:val="0"/>
        <w:rPr>
          <w:rFonts w:ascii="Calibri" w:hAnsi="Calibri" w:cs="Calibri"/>
          <w:szCs w:val="22"/>
        </w:rPr>
      </w:pPr>
    </w:p>
    <w:p w14:paraId="2ECB864A" w14:textId="55CA4D11" w:rsidR="000840F2" w:rsidRPr="00F27BD4" w:rsidRDefault="007317C9" w:rsidP="000840F2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COVID-19 student discipline</w:t>
      </w:r>
    </w:p>
    <w:p w14:paraId="7AF2A857" w14:textId="653C82A0" w:rsidR="000840F2" w:rsidRPr="00F27BD4" w:rsidRDefault="007317C9" w:rsidP="007317C9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SHIELD meeting minutes</w:t>
      </w:r>
    </w:p>
    <w:p w14:paraId="4A310DE9" w14:textId="16663B3F" w:rsidR="00BE6574" w:rsidRPr="00F27BD4" w:rsidRDefault="00BE6574" w:rsidP="000840F2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 xml:space="preserve">Emails of UIUC </w:t>
      </w:r>
      <w:proofErr w:type="spellStart"/>
      <w:r w:rsidRPr="00F27BD4">
        <w:rPr>
          <w:rFonts w:ascii="Calibri" w:hAnsi="Calibri" w:cs="Calibri"/>
          <w:szCs w:val="22"/>
        </w:rPr>
        <w:t>reserachers</w:t>
      </w:r>
      <w:proofErr w:type="spellEnd"/>
      <w:r w:rsidRPr="00F27BD4">
        <w:rPr>
          <w:rFonts w:ascii="Calibri" w:hAnsi="Calibri" w:cs="Calibri"/>
          <w:szCs w:val="22"/>
        </w:rPr>
        <w:t xml:space="preserve"> Sergei Maslov and Nigel Goldenfeld</w:t>
      </w:r>
    </w:p>
    <w:p w14:paraId="6AFB8F2A" w14:textId="0D168514" w:rsidR="007317C9" w:rsidRPr="00F27BD4" w:rsidRDefault="007317C9" w:rsidP="000840F2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Emails of UIUC Chancellor Jones and UIUC Provost Cangellaris</w:t>
      </w:r>
    </w:p>
    <w:p w14:paraId="3EA7B8F5" w14:textId="3C0AD682" w:rsidR="00E0119D" w:rsidRPr="00F27BD4" w:rsidRDefault="000840F2" w:rsidP="007317C9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Emails related to the postponement of the football season</w:t>
      </w:r>
      <w:r w:rsidR="00E0119D" w:rsidRPr="00F27BD4">
        <w:rPr>
          <w:rFonts w:ascii="Calibri" w:hAnsi="Calibri" w:cs="Calibri"/>
          <w:szCs w:val="22"/>
        </w:rPr>
        <w:t xml:space="preserve"> </w:t>
      </w:r>
    </w:p>
    <w:p w14:paraId="436F6BFD" w14:textId="77777777" w:rsidR="000840F2" w:rsidRPr="00F27BD4" w:rsidRDefault="000840F2" w:rsidP="00FA7FC1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 xml:space="preserve">Emails between the Office </w:t>
      </w:r>
      <w:r w:rsidR="00A56356" w:rsidRPr="00F27BD4">
        <w:rPr>
          <w:rFonts w:ascii="Calibri" w:hAnsi="Calibri" w:cs="Calibri"/>
          <w:szCs w:val="22"/>
        </w:rPr>
        <w:t>of the University President and</w:t>
      </w:r>
      <w:r w:rsidRPr="00F27BD4">
        <w:rPr>
          <w:rFonts w:ascii="Calibri" w:hAnsi="Calibri" w:cs="Calibri"/>
          <w:szCs w:val="22"/>
        </w:rPr>
        <w:t xml:space="preserve"> the Office of the Governor</w:t>
      </w:r>
    </w:p>
    <w:p w14:paraId="248EB2B6" w14:textId="59D8DA40" w:rsidR="00E0119D" w:rsidRPr="00F27BD4" w:rsidRDefault="007317C9" w:rsidP="00FA7FC1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Winnebago inmate and officer testing data</w:t>
      </w:r>
    </w:p>
    <w:p w14:paraId="116AB5E1" w14:textId="77777777" w:rsidR="000840F2" w:rsidRPr="00F27BD4" w:rsidRDefault="000840F2" w:rsidP="00FA7FC1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COVID complaints</w:t>
      </w:r>
    </w:p>
    <w:p w14:paraId="45D03056" w14:textId="36A9325D" w:rsidR="000840F2" w:rsidRPr="00F27BD4" w:rsidRDefault="00FE22E3" w:rsidP="00FA7FC1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CARES Act spending information</w:t>
      </w:r>
    </w:p>
    <w:p w14:paraId="1800CDE6" w14:textId="77777777" w:rsidR="006F6EA3" w:rsidRPr="00F27BD4" w:rsidRDefault="000B312F" w:rsidP="006F6EA3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SHIELD contracts</w:t>
      </w:r>
    </w:p>
    <w:p w14:paraId="71E7A7C6" w14:textId="143C1824" w:rsidR="000B312F" w:rsidRPr="00F27BD4" w:rsidRDefault="007317C9" w:rsidP="006F6EA3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Shield T3</w:t>
      </w:r>
      <w:r w:rsidR="00C519F0" w:rsidRPr="00F27BD4">
        <w:rPr>
          <w:rFonts w:ascii="Calibri" w:hAnsi="Calibri" w:cs="Calibri"/>
          <w:szCs w:val="22"/>
        </w:rPr>
        <w:t xml:space="preserve"> with Claremont College</w:t>
      </w:r>
    </w:p>
    <w:p w14:paraId="5F1C521C" w14:textId="1C44932C" w:rsidR="00E0119D" w:rsidRPr="00F27BD4" w:rsidRDefault="007317C9" w:rsidP="00794906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Vaccination</w:t>
      </w:r>
      <w:r w:rsidR="00E0119D" w:rsidRPr="00F27BD4">
        <w:rPr>
          <w:rFonts w:ascii="Calibri" w:hAnsi="Calibri" w:cs="Calibri"/>
          <w:szCs w:val="22"/>
        </w:rPr>
        <w:t xml:space="preserve"> </w:t>
      </w:r>
      <w:r w:rsidRPr="00F27BD4">
        <w:rPr>
          <w:rFonts w:ascii="Calibri" w:hAnsi="Calibri" w:cs="Calibri"/>
          <w:szCs w:val="22"/>
        </w:rPr>
        <w:t xml:space="preserve">and testing </w:t>
      </w:r>
      <w:r w:rsidR="00E0119D" w:rsidRPr="00F27BD4">
        <w:rPr>
          <w:rFonts w:ascii="Calibri" w:hAnsi="Calibri" w:cs="Calibri"/>
          <w:szCs w:val="22"/>
        </w:rPr>
        <w:t>data</w:t>
      </w:r>
    </w:p>
    <w:p w14:paraId="5C86EDB0" w14:textId="77777777" w:rsidR="000840F2" w:rsidRPr="00F27BD4" w:rsidRDefault="000840F2" w:rsidP="00EB07B3">
      <w:pPr>
        <w:pStyle w:val="ListParagraph"/>
        <w:ind w:left="1440"/>
        <w:contextualSpacing w:val="0"/>
        <w:rPr>
          <w:rFonts w:ascii="Calibri" w:hAnsi="Calibri" w:cs="Calibri"/>
          <w:szCs w:val="22"/>
        </w:rPr>
      </w:pPr>
    </w:p>
    <w:p w14:paraId="3F5959E5" w14:textId="77777777" w:rsidR="00BF4891" w:rsidRPr="00F27BD4" w:rsidRDefault="00B85E76" w:rsidP="008B049A">
      <w:pPr>
        <w:ind w:left="108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 xml:space="preserve">The </w:t>
      </w:r>
      <w:r w:rsidR="00762AA3" w:rsidRPr="00F27BD4">
        <w:rPr>
          <w:rFonts w:ascii="Calibri" w:hAnsi="Calibri" w:cs="Calibri"/>
          <w:szCs w:val="22"/>
        </w:rPr>
        <w:t>Office for University Relations</w:t>
      </w:r>
      <w:r w:rsidRPr="00F27BD4">
        <w:rPr>
          <w:rFonts w:ascii="Calibri" w:hAnsi="Calibri" w:cs="Calibri"/>
          <w:szCs w:val="22"/>
        </w:rPr>
        <w:t xml:space="preserve"> </w:t>
      </w:r>
      <w:r w:rsidR="00934050" w:rsidRPr="00F27BD4">
        <w:rPr>
          <w:rFonts w:ascii="Calibri" w:hAnsi="Calibri" w:cs="Calibri"/>
          <w:szCs w:val="22"/>
        </w:rPr>
        <w:t xml:space="preserve">responded to </w:t>
      </w:r>
      <w:r w:rsidRPr="00F27BD4">
        <w:rPr>
          <w:rFonts w:ascii="Calibri" w:hAnsi="Calibri" w:cs="Calibri"/>
          <w:szCs w:val="22"/>
        </w:rPr>
        <w:t>requests from the following media organizations</w:t>
      </w:r>
      <w:r w:rsidR="00B71E94" w:rsidRPr="00F27BD4">
        <w:rPr>
          <w:rFonts w:ascii="Calibri" w:hAnsi="Calibri" w:cs="Calibri"/>
          <w:szCs w:val="22"/>
        </w:rPr>
        <w:t>:</w:t>
      </w:r>
    </w:p>
    <w:p w14:paraId="61DA81AD" w14:textId="77777777" w:rsidR="007E1322" w:rsidRPr="00F27BD4" w:rsidRDefault="007E1322" w:rsidP="008B049A">
      <w:pPr>
        <w:ind w:left="1080"/>
        <w:rPr>
          <w:rFonts w:ascii="Calibri" w:hAnsi="Calibri" w:cs="Calibri"/>
          <w:szCs w:val="22"/>
        </w:rPr>
      </w:pPr>
    </w:p>
    <w:p w14:paraId="16ADC1BC" w14:textId="75E6A662" w:rsidR="00B85E76" w:rsidRPr="00F27BD4" w:rsidRDefault="00814C4F" w:rsidP="008B049A">
      <w:pPr>
        <w:pStyle w:val="ListParagraph"/>
        <w:numPr>
          <w:ilvl w:val="1"/>
          <w:numId w:val="2"/>
        </w:numPr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 xml:space="preserve">ABC </w:t>
      </w:r>
      <w:r w:rsidR="00EE571B" w:rsidRPr="00F27BD4">
        <w:rPr>
          <w:rFonts w:ascii="Calibri" w:hAnsi="Calibri" w:cs="Calibri"/>
          <w:szCs w:val="22"/>
        </w:rPr>
        <w:t>Chicago</w:t>
      </w:r>
    </w:p>
    <w:p w14:paraId="2C89EBC0" w14:textId="6E910B8F" w:rsidR="00EE571B" w:rsidRPr="00F27BD4" w:rsidRDefault="00EE571B" w:rsidP="008B049A">
      <w:pPr>
        <w:pStyle w:val="ListParagraph"/>
        <w:numPr>
          <w:ilvl w:val="1"/>
          <w:numId w:val="2"/>
        </w:numPr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APM Reports</w:t>
      </w:r>
    </w:p>
    <w:p w14:paraId="22EE14C0" w14:textId="77777777" w:rsidR="00B75E73" w:rsidRPr="00F27BD4" w:rsidRDefault="00814C4F" w:rsidP="008B049A">
      <w:pPr>
        <w:pStyle w:val="ListParagraph"/>
        <w:numPr>
          <w:ilvl w:val="1"/>
          <w:numId w:val="2"/>
        </w:numPr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Associated Press</w:t>
      </w:r>
    </w:p>
    <w:p w14:paraId="229EE038" w14:textId="77777777" w:rsidR="00B75E73" w:rsidRPr="00F27BD4" w:rsidRDefault="005F443D" w:rsidP="008B049A">
      <w:pPr>
        <w:pStyle w:val="ListParagraph"/>
        <w:numPr>
          <w:ilvl w:val="1"/>
          <w:numId w:val="2"/>
        </w:numPr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The Athletic</w:t>
      </w:r>
    </w:p>
    <w:p w14:paraId="440C8F59" w14:textId="77777777" w:rsidR="00261858" w:rsidRPr="00F27BD4" w:rsidRDefault="00261858" w:rsidP="008B049A">
      <w:pPr>
        <w:pStyle w:val="ListParagraph"/>
        <w:numPr>
          <w:ilvl w:val="1"/>
          <w:numId w:val="2"/>
        </w:numPr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The Atlantic</w:t>
      </w:r>
    </w:p>
    <w:p w14:paraId="3A208C6D" w14:textId="77777777" w:rsidR="00B75E73" w:rsidRPr="00F27BD4" w:rsidRDefault="00B75E73" w:rsidP="008B049A">
      <w:pPr>
        <w:pStyle w:val="ListParagraph"/>
        <w:numPr>
          <w:ilvl w:val="1"/>
          <w:numId w:val="2"/>
        </w:numPr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Better Government Association</w:t>
      </w:r>
    </w:p>
    <w:p w14:paraId="0DB80260" w14:textId="23A3DF51" w:rsidR="00814C4F" w:rsidRPr="00F27BD4" w:rsidRDefault="00814C4F" w:rsidP="008B049A">
      <w:pPr>
        <w:pStyle w:val="ListParagraph"/>
        <w:numPr>
          <w:ilvl w:val="1"/>
          <w:numId w:val="2"/>
        </w:numPr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Bloomberg</w:t>
      </w:r>
      <w:r w:rsidR="00EE571B" w:rsidRPr="00F27BD4">
        <w:rPr>
          <w:rFonts w:ascii="Calibri" w:hAnsi="Calibri" w:cs="Calibri"/>
          <w:szCs w:val="22"/>
        </w:rPr>
        <w:t xml:space="preserve"> News</w:t>
      </w:r>
    </w:p>
    <w:p w14:paraId="673FC901" w14:textId="11BD6AD2" w:rsidR="00867E15" w:rsidRPr="00F27BD4" w:rsidRDefault="00EE571B" w:rsidP="008B049A">
      <w:pPr>
        <w:pStyle w:val="ListParagraph"/>
        <w:numPr>
          <w:ilvl w:val="1"/>
          <w:numId w:val="2"/>
        </w:numPr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Campus Reform</w:t>
      </w:r>
    </w:p>
    <w:p w14:paraId="150F2B0B" w14:textId="1040C4F4" w:rsidR="005104B5" w:rsidRPr="00F27BD4" w:rsidRDefault="005104B5" w:rsidP="008B049A">
      <w:pPr>
        <w:pStyle w:val="ListParagraph"/>
        <w:numPr>
          <w:ilvl w:val="1"/>
          <w:numId w:val="2"/>
        </w:numPr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Ch</w:t>
      </w:r>
      <w:r w:rsidR="00EE571B" w:rsidRPr="00F27BD4">
        <w:rPr>
          <w:rFonts w:ascii="Calibri" w:hAnsi="Calibri" w:cs="Calibri"/>
          <w:szCs w:val="22"/>
        </w:rPr>
        <w:t>eck CU</w:t>
      </w:r>
    </w:p>
    <w:p w14:paraId="01F30C42" w14:textId="77777777" w:rsidR="00B85E76" w:rsidRPr="00F27BD4" w:rsidRDefault="00B85E76" w:rsidP="008B049A">
      <w:pPr>
        <w:pStyle w:val="ListParagraph"/>
        <w:numPr>
          <w:ilvl w:val="1"/>
          <w:numId w:val="2"/>
        </w:numPr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Chicago Tribune</w:t>
      </w:r>
    </w:p>
    <w:p w14:paraId="769A6A31" w14:textId="3C701E32" w:rsidR="006F6EA3" w:rsidRPr="00F27BD4" w:rsidRDefault="005F443D" w:rsidP="00E44DF0">
      <w:pPr>
        <w:pStyle w:val="ListParagraph"/>
        <w:numPr>
          <w:ilvl w:val="1"/>
          <w:numId w:val="2"/>
        </w:numPr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Chronicle of Higher Education</w:t>
      </w:r>
    </w:p>
    <w:p w14:paraId="761B602E" w14:textId="10C97ED1" w:rsidR="006F6EA3" w:rsidRPr="00F27BD4" w:rsidRDefault="006F6EA3" w:rsidP="006F6EA3">
      <w:pPr>
        <w:pStyle w:val="ListParagraph"/>
        <w:numPr>
          <w:ilvl w:val="1"/>
          <w:numId w:val="2"/>
        </w:numPr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C-U Citizen Access</w:t>
      </w:r>
    </w:p>
    <w:p w14:paraId="1D12CC74" w14:textId="103A56DF" w:rsidR="00EE571B" w:rsidRPr="00F27BD4" w:rsidRDefault="00EE571B" w:rsidP="006F6EA3">
      <w:pPr>
        <w:pStyle w:val="ListParagraph"/>
        <w:numPr>
          <w:ilvl w:val="1"/>
          <w:numId w:val="2"/>
        </w:numPr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D-1 Docket</w:t>
      </w:r>
    </w:p>
    <w:p w14:paraId="1345C152" w14:textId="519A0FC6" w:rsidR="00B85E76" w:rsidRPr="00F27BD4" w:rsidRDefault="00B85E76" w:rsidP="008B049A">
      <w:pPr>
        <w:pStyle w:val="ListParagraph"/>
        <w:numPr>
          <w:ilvl w:val="1"/>
          <w:numId w:val="2"/>
        </w:numPr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Daily Illini</w:t>
      </w:r>
    </w:p>
    <w:p w14:paraId="1E5BF985" w14:textId="70D1EDD8" w:rsidR="00EE571B" w:rsidRPr="00F27BD4" w:rsidRDefault="00EE571B" w:rsidP="008B049A">
      <w:pPr>
        <w:pStyle w:val="ListParagraph"/>
        <w:numPr>
          <w:ilvl w:val="1"/>
          <w:numId w:val="2"/>
        </w:numPr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Dallas Morning News</w:t>
      </w:r>
    </w:p>
    <w:p w14:paraId="76161CF6" w14:textId="08A5B383" w:rsidR="004B3470" w:rsidRPr="00F27BD4" w:rsidRDefault="00EE571B" w:rsidP="008B049A">
      <w:pPr>
        <w:pStyle w:val="ListParagraph"/>
        <w:numPr>
          <w:ilvl w:val="1"/>
          <w:numId w:val="2"/>
        </w:numPr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Defector Media</w:t>
      </w:r>
    </w:p>
    <w:p w14:paraId="4961EFB8" w14:textId="0CCD515D" w:rsidR="00B85E76" w:rsidRPr="00F27BD4" w:rsidRDefault="00EE571B" w:rsidP="008B049A">
      <w:pPr>
        <w:pStyle w:val="ListParagraph"/>
        <w:numPr>
          <w:ilvl w:val="1"/>
          <w:numId w:val="2"/>
        </w:numPr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 xml:space="preserve">The </w:t>
      </w:r>
      <w:proofErr w:type="spellStart"/>
      <w:r w:rsidRPr="00F27BD4">
        <w:rPr>
          <w:rFonts w:ascii="Calibri" w:hAnsi="Calibri" w:cs="Calibri"/>
          <w:szCs w:val="22"/>
        </w:rPr>
        <w:t>Depaulia</w:t>
      </w:r>
      <w:proofErr w:type="spellEnd"/>
    </w:p>
    <w:p w14:paraId="3BB72158" w14:textId="5E6B2287" w:rsidR="00EE571B" w:rsidRPr="00F27BD4" w:rsidRDefault="00EE571B" w:rsidP="008B049A">
      <w:pPr>
        <w:pStyle w:val="ListParagraph"/>
        <w:numPr>
          <w:ilvl w:val="1"/>
          <w:numId w:val="2"/>
        </w:numPr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Detroit Free Press</w:t>
      </w:r>
    </w:p>
    <w:p w14:paraId="4F187EB1" w14:textId="1D8063FA" w:rsidR="00EE571B" w:rsidRPr="00F27BD4" w:rsidRDefault="00EE571B" w:rsidP="008B049A">
      <w:pPr>
        <w:pStyle w:val="ListParagraph"/>
        <w:numPr>
          <w:ilvl w:val="1"/>
          <w:numId w:val="2"/>
        </w:numPr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Edgar County Watchdogs</w:t>
      </w:r>
    </w:p>
    <w:p w14:paraId="74E92DF6" w14:textId="551CB835" w:rsidR="00EE571B" w:rsidRPr="00F27BD4" w:rsidRDefault="00EE571B" w:rsidP="00EE571B">
      <w:pPr>
        <w:pStyle w:val="ListParagraph"/>
        <w:numPr>
          <w:ilvl w:val="1"/>
          <w:numId w:val="2"/>
        </w:numPr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ESPN</w:t>
      </w:r>
    </w:p>
    <w:p w14:paraId="4D36447A" w14:textId="77777777" w:rsidR="006F6EA3" w:rsidRPr="00F27BD4" w:rsidRDefault="006F6EA3" w:rsidP="008B049A">
      <w:pPr>
        <w:pStyle w:val="ListParagraph"/>
        <w:numPr>
          <w:ilvl w:val="1"/>
          <w:numId w:val="2"/>
        </w:numPr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Forbes</w:t>
      </w:r>
    </w:p>
    <w:p w14:paraId="35EDE5F8" w14:textId="7F4B068C" w:rsidR="006F6EA3" w:rsidRPr="00F27BD4" w:rsidRDefault="00EE571B" w:rsidP="008B049A">
      <w:pPr>
        <w:pStyle w:val="ListParagraph"/>
        <w:numPr>
          <w:ilvl w:val="1"/>
          <w:numId w:val="2"/>
        </w:numPr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Fort Worth Star Telegram</w:t>
      </w:r>
    </w:p>
    <w:p w14:paraId="3E4E3EFF" w14:textId="6E783429" w:rsidR="006F6EA3" w:rsidRPr="00F27BD4" w:rsidRDefault="00EE571B" w:rsidP="00EE571B">
      <w:pPr>
        <w:pStyle w:val="ListParagraph"/>
        <w:numPr>
          <w:ilvl w:val="1"/>
          <w:numId w:val="2"/>
        </w:numPr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Fox Illinois</w:t>
      </w:r>
    </w:p>
    <w:p w14:paraId="1475FB9D" w14:textId="5EB4FCBD" w:rsidR="00EE571B" w:rsidRPr="00F27BD4" w:rsidRDefault="00EE571B" w:rsidP="00EE571B">
      <w:pPr>
        <w:pStyle w:val="ListParagraph"/>
        <w:numPr>
          <w:ilvl w:val="1"/>
          <w:numId w:val="2"/>
        </w:numPr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Illini Nation</w:t>
      </w:r>
    </w:p>
    <w:p w14:paraId="6050C622" w14:textId="3ABF0087" w:rsidR="00EE571B" w:rsidRPr="00F27BD4" w:rsidRDefault="00EE571B" w:rsidP="00EE571B">
      <w:pPr>
        <w:pStyle w:val="ListParagraph"/>
        <w:numPr>
          <w:ilvl w:val="1"/>
          <w:numId w:val="2"/>
        </w:numPr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Illini Now</w:t>
      </w:r>
    </w:p>
    <w:p w14:paraId="5AD38D30" w14:textId="77777777" w:rsidR="004B3470" w:rsidRPr="00F27BD4" w:rsidRDefault="004B3470" w:rsidP="008B049A">
      <w:pPr>
        <w:pStyle w:val="ListParagraph"/>
        <w:numPr>
          <w:ilvl w:val="1"/>
          <w:numId w:val="2"/>
        </w:numPr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Illinois Times</w:t>
      </w:r>
    </w:p>
    <w:p w14:paraId="00DC3F09" w14:textId="4290E43A" w:rsidR="006F6EA3" w:rsidRPr="00F27BD4" w:rsidRDefault="006F6EA3" w:rsidP="006F6EA3">
      <w:pPr>
        <w:pStyle w:val="ListParagraph"/>
        <w:numPr>
          <w:ilvl w:val="1"/>
          <w:numId w:val="2"/>
        </w:numPr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In</w:t>
      </w:r>
      <w:r w:rsidR="00EE571B" w:rsidRPr="00F27BD4">
        <w:rPr>
          <w:rFonts w:ascii="Calibri" w:hAnsi="Calibri" w:cs="Calibri"/>
          <w:szCs w:val="22"/>
        </w:rPr>
        <w:t>diana Daily Student</w:t>
      </w:r>
    </w:p>
    <w:p w14:paraId="1C6AF285" w14:textId="4DB4E1D8" w:rsidR="008A7605" w:rsidRPr="00F27BD4" w:rsidRDefault="00816C27" w:rsidP="006F6EA3">
      <w:pPr>
        <w:pStyle w:val="ListParagraph"/>
        <w:numPr>
          <w:ilvl w:val="1"/>
          <w:numId w:val="2"/>
        </w:numPr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The Intercollegiate</w:t>
      </w:r>
    </w:p>
    <w:p w14:paraId="2F48F622" w14:textId="757A0B01" w:rsidR="00EE571B" w:rsidRPr="00F27BD4" w:rsidRDefault="00EE571B" w:rsidP="006F6EA3">
      <w:pPr>
        <w:pStyle w:val="ListParagraph"/>
        <w:numPr>
          <w:ilvl w:val="1"/>
          <w:numId w:val="2"/>
        </w:numPr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Invisible Institute</w:t>
      </w:r>
    </w:p>
    <w:p w14:paraId="66050A71" w14:textId="4E111463" w:rsidR="00EE571B" w:rsidRPr="00F27BD4" w:rsidRDefault="00EE571B" w:rsidP="006F6EA3">
      <w:pPr>
        <w:pStyle w:val="ListParagraph"/>
        <w:numPr>
          <w:ilvl w:val="1"/>
          <w:numId w:val="2"/>
        </w:numPr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Lansing State Journal</w:t>
      </w:r>
    </w:p>
    <w:p w14:paraId="0047F768" w14:textId="7AD1FDBC" w:rsidR="00EE571B" w:rsidRPr="00F27BD4" w:rsidRDefault="00EE571B" w:rsidP="006F6EA3">
      <w:pPr>
        <w:pStyle w:val="ListParagraph"/>
        <w:numPr>
          <w:ilvl w:val="1"/>
          <w:numId w:val="2"/>
        </w:numPr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The Lantern</w:t>
      </w:r>
    </w:p>
    <w:p w14:paraId="4DE69F46" w14:textId="77777777" w:rsidR="006F6EA3" w:rsidRPr="00F27BD4" w:rsidRDefault="006F6EA3" w:rsidP="006F6EA3">
      <w:pPr>
        <w:pStyle w:val="ListParagraph"/>
        <w:numPr>
          <w:ilvl w:val="1"/>
          <w:numId w:val="2"/>
        </w:numPr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Midwest Center for Investigative Reporting</w:t>
      </w:r>
    </w:p>
    <w:p w14:paraId="2379264C" w14:textId="77777777" w:rsidR="007E1322" w:rsidRPr="00F27BD4" w:rsidRDefault="007E1322" w:rsidP="008B049A">
      <w:pPr>
        <w:pStyle w:val="ListParagraph"/>
        <w:numPr>
          <w:ilvl w:val="1"/>
          <w:numId w:val="2"/>
        </w:numPr>
        <w:rPr>
          <w:rFonts w:ascii="Calibri" w:hAnsi="Calibri" w:cs="Calibri"/>
          <w:szCs w:val="22"/>
        </w:rPr>
      </w:pPr>
      <w:proofErr w:type="spellStart"/>
      <w:r w:rsidRPr="00F27BD4">
        <w:rPr>
          <w:rFonts w:ascii="Calibri" w:hAnsi="Calibri" w:cs="Calibri"/>
          <w:szCs w:val="22"/>
        </w:rPr>
        <w:t>Milwaukkee</w:t>
      </w:r>
      <w:proofErr w:type="spellEnd"/>
      <w:r w:rsidRPr="00F27BD4">
        <w:rPr>
          <w:rFonts w:ascii="Calibri" w:hAnsi="Calibri" w:cs="Calibri"/>
          <w:szCs w:val="22"/>
        </w:rPr>
        <w:t xml:space="preserve"> Journal Sentinel</w:t>
      </w:r>
    </w:p>
    <w:p w14:paraId="79BEF5F1" w14:textId="174C20D3" w:rsidR="008A7605" w:rsidRPr="00F27BD4" w:rsidRDefault="008A7605" w:rsidP="008B049A">
      <w:pPr>
        <w:pStyle w:val="ListParagraph"/>
        <w:numPr>
          <w:ilvl w:val="1"/>
          <w:numId w:val="2"/>
        </w:numPr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Muck Rock News</w:t>
      </w:r>
    </w:p>
    <w:p w14:paraId="5E93EC95" w14:textId="305B7928" w:rsidR="00EE571B" w:rsidRPr="00F27BD4" w:rsidRDefault="00EE571B" w:rsidP="008B049A">
      <w:pPr>
        <w:pStyle w:val="ListParagraph"/>
        <w:numPr>
          <w:ilvl w:val="1"/>
          <w:numId w:val="2"/>
        </w:numPr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Naperville Central Times</w:t>
      </w:r>
    </w:p>
    <w:p w14:paraId="2DEE1191" w14:textId="77777777" w:rsidR="006E1005" w:rsidRPr="00F27BD4" w:rsidRDefault="00816C27" w:rsidP="006F6EA3">
      <w:pPr>
        <w:pStyle w:val="ListParagraph"/>
        <w:numPr>
          <w:ilvl w:val="1"/>
          <w:numId w:val="2"/>
        </w:numPr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NCAA.com</w:t>
      </w:r>
    </w:p>
    <w:p w14:paraId="2124BAA0" w14:textId="489642F8" w:rsidR="008A7605" w:rsidRPr="00F27BD4" w:rsidRDefault="00EE571B" w:rsidP="008B049A">
      <w:pPr>
        <w:pStyle w:val="ListParagraph"/>
        <w:numPr>
          <w:ilvl w:val="1"/>
          <w:numId w:val="2"/>
        </w:numPr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New York Post</w:t>
      </w:r>
    </w:p>
    <w:p w14:paraId="19184287" w14:textId="77777777" w:rsidR="00B75E73" w:rsidRPr="00F27BD4" w:rsidRDefault="008A7605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The News-</w:t>
      </w:r>
      <w:r w:rsidR="00B85E76" w:rsidRPr="00F27BD4">
        <w:rPr>
          <w:rFonts w:ascii="Calibri" w:hAnsi="Calibri" w:cs="Calibri"/>
          <w:szCs w:val="22"/>
        </w:rPr>
        <w:t>Gazette</w:t>
      </w:r>
    </w:p>
    <w:p w14:paraId="69E50183" w14:textId="214B4B5B" w:rsidR="006F6EA3" w:rsidRPr="00F27BD4" w:rsidRDefault="00EE571B" w:rsidP="00EE571B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Northern Public Radio</w:t>
      </w:r>
    </w:p>
    <w:p w14:paraId="6096AB56" w14:textId="1575DE00" w:rsidR="00EE571B" w:rsidRPr="00F27BD4" w:rsidRDefault="00EE571B" w:rsidP="00EE571B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Patch</w:t>
      </w:r>
    </w:p>
    <w:p w14:paraId="117800D2" w14:textId="4CE99E91" w:rsidR="00B85E76" w:rsidRPr="00F27BD4" w:rsidRDefault="00B85E76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Pro Publica</w:t>
      </w:r>
    </w:p>
    <w:p w14:paraId="39750DFF" w14:textId="7A3E7270" w:rsidR="00EE571B" w:rsidRPr="00F27BD4" w:rsidRDefault="00EE571B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The Southern</w:t>
      </w:r>
    </w:p>
    <w:p w14:paraId="5609A44F" w14:textId="77777777" w:rsidR="007E1322" w:rsidRPr="00F27BD4" w:rsidRDefault="007E1322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proofErr w:type="spellStart"/>
      <w:r w:rsidRPr="00F27BD4">
        <w:rPr>
          <w:rFonts w:ascii="Calibri" w:hAnsi="Calibri" w:cs="Calibri"/>
          <w:szCs w:val="22"/>
        </w:rPr>
        <w:t>Sportico</w:t>
      </w:r>
      <w:proofErr w:type="spellEnd"/>
    </w:p>
    <w:p w14:paraId="24A5B665" w14:textId="77777777" w:rsidR="006F6EA3" w:rsidRPr="00F27BD4" w:rsidRDefault="006F6EA3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lastRenderedPageBreak/>
        <w:t>Springfield Leaks</w:t>
      </w:r>
    </w:p>
    <w:p w14:paraId="0452F96B" w14:textId="77777777" w:rsidR="006F6EA3" w:rsidRPr="00F27BD4" w:rsidRDefault="006F6EA3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St. Louis Post-Dispatch</w:t>
      </w:r>
    </w:p>
    <w:p w14:paraId="7E371E3D" w14:textId="09B4DEE7" w:rsidR="006E1005" w:rsidRPr="00F27BD4" w:rsidRDefault="00EE571B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proofErr w:type="spellStart"/>
      <w:r w:rsidRPr="00F27BD4">
        <w:rPr>
          <w:rFonts w:ascii="Calibri" w:hAnsi="Calibri" w:cs="Calibri"/>
          <w:szCs w:val="22"/>
        </w:rPr>
        <w:t>Telsudo</w:t>
      </w:r>
      <w:proofErr w:type="spellEnd"/>
      <w:r w:rsidRPr="00F27BD4">
        <w:rPr>
          <w:rFonts w:ascii="Calibri" w:hAnsi="Calibri" w:cs="Calibri"/>
          <w:szCs w:val="22"/>
        </w:rPr>
        <w:t xml:space="preserve"> Times</w:t>
      </w:r>
      <w:r w:rsidR="006E1005" w:rsidRPr="00F27BD4">
        <w:rPr>
          <w:rFonts w:ascii="Calibri" w:hAnsi="Calibri" w:cs="Calibri"/>
          <w:szCs w:val="22"/>
        </w:rPr>
        <w:t xml:space="preserve"> </w:t>
      </w:r>
    </w:p>
    <w:p w14:paraId="238FF5FC" w14:textId="77777777" w:rsidR="00B85E76" w:rsidRPr="00F27BD4" w:rsidRDefault="00B85E76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USA Today</w:t>
      </w:r>
    </w:p>
    <w:p w14:paraId="64DC86B5" w14:textId="77777777" w:rsidR="0054124A" w:rsidRPr="00F27BD4" w:rsidRDefault="0054124A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Wall Street Journal</w:t>
      </w:r>
    </w:p>
    <w:p w14:paraId="7B28B680" w14:textId="7CB37831" w:rsidR="0054124A" w:rsidRPr="00F27BD4" w:rsidRDefault="00EE571B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WAND (NBC Decatur affiliate)</w:t>
      </w:r>
    </w:p>
    <w:p w14:paraId="63EE4A27" w14:textId="2B4A7AFD" w:rsidR="007E1322" w:rsidRPr="00F27BD4" w:rsidRDefault="007E1322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WBBM</w:t>
      </w:r>
      <w:r w:rsidR="00EE571B" w:rsidRPr="00F27BD4">
        <w:rPr>
          <w:rFonts w:ascii="Calibri" w:hAnsi="Calibri" w:cs="Calibri"/>
          <w:szCs w:val="22"/>
        </w:rPr>
        <w:t xml:space="preserve"> (Chicago news affiliate)</w:t>
      </w:r>
    </w:p>
    <w:p w14:paraId="479FAB89" w14:textId="77777777" w:rsidR="00261858" w:rsidRPr="00F27BD4" w:rsidRDefault="00261858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WBEZ (Chicago NPR affiliate)</w:t>
      </w:r>
    </w:p>
    <w:p w14:paraId="538479CA" w14:textId="77777777" w:rsidR="00B85E76" w:rsidRPr="00F27BD4" w:rsidRDefault="00B85E76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WCIA (C</w:t>
      </w:r>
      <w:r w:rsidR="004878D1" w:rsidRPr="00F27BD4">
        <w:rPr>
          <w:rFonts w:ascii="Calibri" w:hAnsi="Calibri" w:cs="Calibri"/>
          <w:szCs w:val="22"/>
        </w:rPr>
        <w:t>BS</w:t>
      </w:r>
      <w:r w:rsidR="00A51966" w:rsidRPr="00F27BD4">
        <w:rPr>
          <w:rFonts w:ascii="Calibri" w:hAnsi="Calibri" w:cs="Calibri"/>
          <w:szCs w:val="22"/>
        </w:rPr>
        <w:t xml:space="preserve"> Champaign affiliate)</w:t>
      </w:r>
    </w:p>
    <w:p w14:paraId="1C411E1D" w14:textId="77777777" w:rsidR="00B75E73" w:rsidRPr="00F27BD4" w:rsidRDefault="0054124A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WICS (ABC Springfield affiliate)</w:t>
      </w:r>
    </w:p>
    <w:p w14:paraId="092D0F50" w14:textId="77777777" w:rsidR="00B75E73" w:rsidRPr="00F27BD4" w:rsidRDefault="005F443D" w:rsidP="008B049A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WILL (University NPR affiliate)</w:t>
      </w:r>
    </w:p>
    <w:p w14:paraId="4727CCF1" w14:textId="19EB77B7" w:rsidR="00CA624D" w:rsidRPr="00F27BD4" w:rsidRDefault="00EE571B" w:rsidP="00EE571B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WKTB (Wisconsin affiliate)</w:t>
      </w:r>
    </w:p>
    <w:p w14:paraId="53AA2826" w14:textId="77777777" w:rsidR="00EE571B" w:rsidRPr="00F27BD4" w:rsidRDefault="00EE571B" w:rsidP="00EE571B">
      <w:pPr>
        <w:pStyle w:val="ListParagraph"/>
        <w:ind w:left="1440"/>
        <w:contextualSpacing w:val="0"/>
        <w:rPr>
          <w:rFonts w:ascii="Calibri" w:hAnsi="Calibri" w:cs="Calibri"/>
          <w:szCs w:val="22"/>
        </w:rPr>
      </w:pPr>
    </w:p>
    <w:p w14:paraId="5CEE096C" w14:textId="1433CEBD" w:rsidR="00934050" w:rsidRPr="00F27BD4" w:rsidRDefault="006F6EA3" w:rsidP="008B049A">
      <w:pPr>
        <w:pStyle w:val="ListParagraph"/>
        <w:numPr>
          <w:ilvl w:val="0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 xml:space="preserve">The </w:t>
      </w:r>
      <w:r w:rsidR="00C86E92" w:rsidRPr="00F27BD4">
        <w:rPr>
          <w:rFonts w:ascii="Calibri" w:hAnsi="Calibri" w:cs="Calibri"/>
          <w:szCs w:val="22"/>
        </w:rPr>
        <w:t>System</w:t>
      </w:r>
      <w:r w:rsidRPr="00F27BD4">
        <w:rPr>
          <w:rFonts w:ascii="Calibri" w:hAnsi="Calibri" w:cs="Calibri"/>
          <w:szCs w:val="22"/>
        </w:rPr>
        <w:t xml:space="preserve"> rec</w:t>
      </w:r>
      <w:r w:rsidR="00A5410A" w:rsidRPr="00F27BD4">
        <w:rPr>
          <w:rFonts w:ascii="Calibri" w:hAnsi="Calibri" w:cs="Calibri"/>
          <w:szCs w:val="22"/>
        </w:rPr>
        <w:t>eived 23</w:t>
      </w:r>
      <w:r w:rsidR="00E81CC9" w:rsidRPr="00F27BD4">
        <w:rPr>
          <w:rFonts w:ascii="Calibri" w:hAnsi="Calibri" w:cs="Calibri"/>
          <w:szCs w:val="22"/>
        </w:rPr>
        <w:t>9</w:t>
      </w:r>
      <w:r w:rsidR="00895606" w:rsidRPr="00F27BD4">
        <w:rPr>
          <w:rFonts w:ascii="Calibri" w:hAnsi="Calibri" w:cs="Calibri"/>
          <w:szCs w:val="22"/>
        </w:rPr>
        <w:t xml:space="preserve"> media requests in 2021</w:t>
      </w:r>
      <w:r w:rsidRPr="00F27BD4">
        <w:rPr>
          <w:rFonts w:ascii="Calibri" w:hAnsi="Calibri" w:cs="Calibri"/>
          <w:szCs w:val="22"/>
        </w:rPr>
        <w:t xml:space="preserve">. </w:t>
      </w:r>
      <w:r w:rsidR="00925BF4" w:rsidRPr="00F27BD4">
        <w:rPr>
          <w:rFonts w:ascii="Calibri" w:hAnsi="Calibri" w:cs="Calibri"/>
          <w:szCs w:val="22"/>
        </w:rPr>
        <w:t>The Wall Street Journal submitted 29 requests</w:t>
      </w:r>
      <w:r w:rsidR="00B23AF7" w:rsidRPr="00F27BD4">
        <w:rPr>
          <w:rFonts w:ascii="Calibri" w:hAnsi="Calibri" w:cs="Calibri"/>
          <w:szCs w:val="22"/>
        </w:rPr>
        <w:t>, most concerning the implementation of SHIELD Illinois,</w:t>
      </w:r>
      <w:r w:rsidR="00925BF4" w:rsidRPr="00F27BD4">
        <w:rPr>
          <w:rFonts w:ascii="Calibri" w:hAnsi="Calibri" w:cs="Calibri"/>
          <w:szCs w:val="22"/>
        </w:rPr>
        <w:t xml:space="preserve"> while NCAA.com submitted 26</w:t>
      </w:r>
      <w:r w:rsidRPr="00F27BD4">
        <w:rPr>
          <w:rFonts w:ascii="Calibri" w:hAnsi="Calibri" w:cs="Calibri"/>
          <w:szCs w:val="22"/>
        </w:rPr>
        <w:t xml:space="preserve"> requests</w:t>
      </w:r>
      <w:r w:rsidR="00B23AF7" w:rsidRPr="00F27BD4">
        <w:rPr>
          <w:rFonts w:ascii="Calibri" w:hAnsi="Calibri" w:cs="Calibri"/>
          <w:szCs w:val="22"/>
        </w:rPr>
        <w:t>, most concerning records from the Division of Intercollegiate Athletics.</w:t>
      </w:r>
    </w:p>
    <w:p w14:paraId="32EC6634" w14:textId="77777777" w:rsidR="00934050" w:rsidRPr="00F27BD4" w:rsidRDefault="00934050" w:rsidP="00934050">
      <w:pPr>
        <w:pStyle w:val="ListParagraph"/>
        <w:contextualSpacing w:val="0"/>
        <w:rPr>
          <w:rFonts w:ascii="Calibri" w:hAnsi="Calibri" w:cs="Calibri"/>
          <w:szCs w:val="22"/>
        </w:rPr>
      </w:pPr>
    </w:p>
    <w:p w14:paraId="321996EF" w14:textId="03AB4F37" w:rsidR="00B62915" w:rsidRPr="00F27BD4" w:rsidRDefault="00A709F1" w:rsidP="008C74A5">
      <w:pPr>
        <w:pStyle w:val="ListParagraph"/>
        <w:numPr>
          <w:ilvl w:val="0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Of the</w:t>
      </w:r>
      <w:r w:rsidR="003F6921" w:rsidRPr="00F27BD4">
        <w:rPr>
          <w:rFonts w:ascii="Calibri" w:hAnsi="Calibri" w:cs="Calibri"/>
          <w:szCs w:val="22"/>
        </w:rPr>
        <w:t xml:space="preserve"> </w:t>
      </w:r>
      <w:r w:rsidR="00F5636B" w:rsidRPr="00F27BD4">
        <w:rPr>
          <w:rFonts w:ascii="Calibri" w:hAnsi="Calibri" w:cs="Calibri"/>
          <w:szCs w:val="22"/>
        </w:rPr>
        <w:t>247</w:t>
      </w:r>
      <w:r w:rsidR="003F6921" w:rsidRPr="00F27BD4">
        <w:rPr>
          <w:rFonts w:ascii="Calibri" w:hAnsi="Calibri" w:cs="Calibri"/>
          <w:szCs w:val="22"/>
        </w:rPr>
        <w:t xml:space="preserve"> commercial </w:t>
      </w:r>
      <w:r w:rsidRPr="00F27BD4">
        <w:rPr>
          <w:rFonts w:ascii="Calibri" w:hAnsi="Calibri" w:cs="Calibri"/>
          <w:szCs w:val="22"/>
        </w:rPr>
        <w:t xml:space="preserve">FOIA </w:t>
      </w:r>
      <w:r w:rsidR="00E6686A" w:rsidRPr="00F27BD4">
        <w:rPr>
          <w:rFonts w:ascii="Calibri" w:hAnsi="Calibri" w:cs="Calibri"/>
          <w:szCs w:val="22"/>
        </w:rPr>
        <w:t>requests received last year, a minimum of 20 requests</w:t>
      </w:r>
      <w:r w:rsidRPr="00F27BD4">
        <w:rPr>
          <w:rFonts w:ascii="Calibri" w:hAnsi="Calibri" w:cs="Calibri"/>
          <w:szCs w:val="22"/>
        </w:rPr>
        <w:t xml:space="preserve"> were fil</w:t>
      </w:r>
      <w:r w:rsidR="00AD27D5" w:rsidRPr="00F27BD4">
        <w:rPr>
          <w:rFonts w:ascii="Calibri" w:hAnsi="Calibri" w:cs="Calibri"/>
          <w:szCs w:val="22"/>
        </w:rPr>
        <w:t>ed by</w:t>
      </w:r>
      <w:r w:rsidR="003F6921" w:rsidRPr="00F27BD4">
        <w:rPr>
          <w:rFonts w:ascii="Calibri" w:hAnsi="Calibri" w:cs="Calibri"/>
          <w:szCs w:val="22"/>
        </w:rPr>
        <w:t xml:space="preserve"> sports information </w:t>
      </w:r>
      <w:r w:rsidR="00AD27D5" w:rsidRPr="00F27BD4">
        <w:rPr>
          <w:rFonts w:ascii="Calibri" w:hAnsi="Calibri" w:cs="Calibri"/>
          <w:szCs w:val="22"/>
        </w:rPr>
        <w:t>companies and</w:t>
      </w:r>
      <w:r w:rsidR="00B67FD8" w:rsidRPr="00F27BD4">
        <w:rPr>
          <w:rFonts w:ascii="Calibri" w:hAnsi="Calibri" w:cs="Calibri"/>
          <w:szCs w:val="22"/>
        </w:rPr>
        <w:t xml:space="preserve"> </w:t>
      </w:r>
      <w:r w:rsidR="004E1AAB" w:rsidRPr="00F27BD4">
        <w:rPr>
          <w:rFonts w:ascii="Calibri" w:hAnsi="Calibri" w:cs="Calibri"/>
          <w:szCs w:val="22"/>
        </w:rPr>
        <w:t xml:space="preserve">at least 30 </w:t>
      </w:r>
      <w:r w:rsidR="00372250" w:rsidRPr="00F27BD4">
        <w:rPr>
          <w:rFonts w:ascii="Calibri" w:hAnsi="Calibri" w:cs="Calibri"/>
          <w:szCs w:val="22"/>
        </w:rPr>
        <w:t xml:space="preserve">requests were submitted </w:t>
      </w:r>
      <w:r w:rsidR="006D76A1" w:rsidRPr="00F27BD4">
        <w:rPr>
          <w:rFonts w:ascii="Calibri" w:hAnsi="Calibri" w:cs="Calibri"/>
          <w:szCs w:val="22"/>
        </w:rPr>
        <w:t xml:space="preserve">by </w:t>
      </w:r>
      <w:r w:rsidR="00372250" w:rsidRPr="00F27BD4">
        <w:rPr>
          <w:rFonts w:ascii="Calibri" w:hAnsi="Calibri" w:cs="Calibri"/>
          <w:szCs w:val="22"/>
        </w:rPr>
        <w:t>commercial vendors seeking procurement and bidding information</w:t>
      </w:r>
      <w:r w:rsidR="003F6921" w:rsidRPr="00F27BD4">
        <w:rPr>
          <w:rFonts w:ascii="Calibri" w:hAnsi="Calibri" w:cs="Calibri"/>
          <w:szCs w:val="22"/>
        </w:rPr>
        <w:t xml:space="preserve">. </w:t>
      </w:r>
    </w:p>
    <w:p w14:paraId="1AC01197" w14:textId="77777777" w:rsidR="00B62915" w:rsidRPr="00F27BD4" w:rsidRDefault="00B62915" w:rsidP="00B62915">
      <w:pPr>
        <w:pStyle w:val="ListParagraph"/>
        <w:rPr>
          <w:rFonts w:ascii="Calibri" w:hAnsi="Calibri" w:cs="Calibri"/>
          <w:szCs w:val="22"/>
        </w:rPr>
      </w:pPr>
    </w:p>
    <w:p w14:paraId="556F7B43" w14:textId="2781B752" w:rsidR="008C74A5" w:rsidRPr="00F27BD4" w:rsidRDefault="00BF5A55" w:rsidP="008C74A5">
      <w:pPr>
        <w:pStyle w:val="ListParagraph"/>
        <w:numPr>
          <w:ilvl w:val="0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In calend</w:t>
      </w:r>
      <w:r w:rsidR="00D10249" w:rsidRPr="00F27BD4">
        <w:rPr>
          <w:rFonts w:ascii="Calibri" w:hAnsi="Calibri" w:cs="Calibri"/>
          <w:szCs w:val="22"/>
        </w:rPr>
        <w:t xml:space="preserve">ar year </w:t>
      </w:r>
      <w:r w:rsidR="00F5636B" w:rsidRPr="00F27BD4">
        <w:rPr>
          <w:rFonts w:ascii="Calibri" w:hAnsi="Calibri" w:cs="Calibri"/>
          <w:szCs w:val="22"/>
        </w:rPr>
        <w:t>2021</w:t>
      </w:r>
      <w:r w:rsidR="00D10249" w:rsidRPr="00F27BD4">
        <w:rPr>
          <w:rFonts w:ascii="Calibri" w:hAnsi="Calibri" w:cs="Calibri"/>
          <w:szCs w:val="22"/>
        </w:rPr>
        <w:t>, the system’s FOIA website had 4,</w:t>
      </w:r>
      <w:r w:rsidR="002C3829" w:rsidRPr="00F27BD4">
        <w:rPr>
          <w:rFonts w:ascii="Calibri" w:hAnsi="Calibri" w:cs="Calibri"/>
          <w:szCs w:val="22"/>
        </w:rPr>
        <w:t>859</w:t>
      </w:r>
      <w:r w:rsidR="00BB4239" w:rsidRPr="00F27BD4">
        <w:rPr>
          <w:rFonts w:ascii="Calibri" w:hAnsi="Calibri" w:cs="Calibri"/>
          <w:szCs w:val="22"/>
        </w:rPr>
        <w:t xml:space="preserve"> pageviews from 1,1</w:t>
      </w:r>
      <w:r w:rsidR="002C3829" w:rsidRPr="00F27BD4">
        <w:rPr>
          <w:rFonts w:ascii="Calibri" w:hAnsi="Calibri" w:cs="Calibri"/>
          <w:szCs w:val="22"/>
        </w:rPr>
        <w:t>25</w:t>
      </w:r>
      <w:r w:rsidR="008C74A5" w:rsidRPr="00F27BD4">
        <w:rPr>
          <w:rFonts w:ascii="Calibri" w:hAnsi="Calibri" w:cs="Calibri"/>
          <w:szCs w:val="22"/>
        </w:rPr>
        <w:t xml:space="preserve"> users who </w:t>
      </w:r>
      <w:r w:rsidR="00B62915" w:rsidRPr="00F27BD4">
        <w:rPr>
          <w:rFonts w:ascii="Calibri" w:hAnsi="Calibri" w:cs="Calibri"/>
          <w:szCs w:val="22"/>
        </w:rPr>
        <w:t>accessed the website.</w:t>
      </w:r>
    </w:p>
    <w:p w14:paraId="30D89607" w14:textId="77777777" w:rsidR="00D77822" w:rsidRPr="00F27BD4" w:rsidRDefault="00D77822" w:rsidP="00D77822">
      <w:pPr>
        <w:pStyle w:val="ListParagraph"/>
        <w:rPr>
          <w:rFonts w:ascii="Calibri" w:hAnsi="Calibri" w:cs="Calibri"/>
          <w:szCs w:val="22"/>
        </w:rPr>
      </w:pPr>
    </w:p>
    <w:p w14:paraId="00005879" w14:textId="56388BE3" w:rsidR="0090119A" w:rsidRPr="00F27BD4" w:rsidRDefault="008168D5" w:rsidP="008C74A5">
      <w:pPr>
        <w:pStyle w:val="ListParagraph"/>
        <w:numPr>
          <w:ilvl w:val="0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 xml:space="preserve">Any requestor </w:t>
      </w:r>
      <w:r w:rsidR="00071FBF" w:rsidRPr="00F27BD4">
        <w:rPr>
          <w:rFonts w:ascii="Calibri" w:hAnsi="Calibri" w:cs="Calibri"/>
          <w:szCs w:val="22"/>
        </w:rPr>
        <w:t>may</w:t>
      </w:r>
      <w:r w:rsidR="00934050" w:rsidRPr="00F27BD4">
        <w:rPr>
          <w:rFonts w:ascii="Calibri" w:hAnsi="Calibri" w:cs="Calibri"/>
          <w:szCs w:val="22"/>
        </w:rPr>
        <w:t xml:space="preserve"> ask for a </w:t>
      </w:r>
      <w:r w:rsidR="001F1ED3" w:rsidRPr="00F27BD4">
        <w:rPr>
          <w:rFonts w:ascii="Calibri" w:hAnsi="Calibri" w:cs="Calibri"/>
          <w:szCs w:val="22"/>
        </w:rPr>
        <w:t>request for review of the system’s response</w:t>
      </w:r>
      <w:r w:rsidRPr="00F27BD4">
        <w:rPr>
          <w:rFonts w:ascii="Calibri" w:hAnsi="Calibri" w:cs="Calibri"/>
          <w:szCs w:val="22"/>
        </w:rPr>
        <w:t xml:space="preserve"> </w:t>
      </w:r>
      <w:r w:rsidR="00C96436" w:rsidRPr="00F27BD4">
        <w:rPr>
          <w:rFonts w:ascii="Calibri" w:hAnsi="Calibri" w:cs="Calibri"/>
          <w:szCs w:val="22"/>
        </w:rPr>
        <w:t>with the Office of the Attorney General</w:t>
      </w:r>
      <w:r w:rsidR="009826C9" w:rsidRPr="00F27BD4">
        <w:rPr>
          <w:rFonts w:ascii="Calibri" w:hAnsi="Calibri" w:cs="Calibri"/>
          <w:szCs w:val="22"/>
        </w:rPr>
        <w:t>’s Public Access Counselor (PAC</w:t>
      </w:r>
      <w:r w:rsidR="001F1ED3" w:rsidRPr="00F27BD4">
        <w:rPr>
          <w:rFonts w:ascii="Calibri" w:hAnsi="Calibri" w:cs="Calibri"/>
          <w:szCs w:val="22"/>
        </w:rPr>
        <w:t>)</w:t>
      </w:r>
      <w:r w:rsidR="00A56356" w:rsidRPr="00F27BD4">
        <w:rPr>
          <w:rFonts w:ascii="Calibri" w:hAnsi="Calibri" w:cs="Calibri"/>
          <w:szCs w:val="22"/>
        </w:rPr>
        <w:t xml:space="preserve"> or file a lawsuit pursuant to S</w:t>
      </w:r>
      <w:r w:rsidR="006F28E6" w:rsidRPr="00F27BD4">
        <w:rPr>
          <w:rFonts w:ascii="Calibri" w:hAnsi="Calibri" w:cs="Calibri"/>
          <w:szCs w:val="22"/>
        </w:rPr>
        <w:t>ection 11 of FOIA</w:t>
      </w:r>
      <w:r w:rsidRPr="00F27BD4">
        <w:rPr>
          <w:rFonts w:ascii="Calibri" w:hAnsi="Calibri" w:cs="Calibri"/>
          <w:szCs w:val="22"/>
        </w:rPr>
        <w:t>.</w:t>
      </w:r>
      <w:r w:rsidR="00F953DF" w:rsidRPr="00F27BD4">
        <w:rPr>
          <w:rFonts w:ascii="Calibri" w:hAnsi="Calibri" w:cs="Calibri"/>
          <w:szCs w:val="22"/>
        </w:rPr>
        <w:t xml:space="preserve"> </w:t>
      </w:r>
      <w:r w:rsidRPr="00F27BD4">
        <w:rPr>
          <w:rFonts w:ascii="Calibri" w:hAnsi="Calibri" w:cs="Calibri"/>
          <w:szCs w:val="22"/>
        </w:rPr>
        <w:t xml:space="preserve">A request for review does not </w:t>
      </w:r>
      <w:r w:rsidR="003C5C34" w:rsidRPr="00F27BD4">
        <w:rPr>
          <w:rFonts w:ascii="Calibri" w:hAnsi="Calibri" w:cs="Calibri"/>
          <w:szCs w:val="22"/>
        </w:rPr>
        <w:t xml:space="preserve">necessarily </w:t>
      </w:r>
      <w:r w:rsidRPr="00F27BD4">
        <w:rPr>
          <w:rFonts w:ascii="Calibri" w:hAnsi="Calibri" w:cs="Calibri"/>
          <w:szCs w:val="22"/>
        </w:rPr>
        <w:t xml:space="preserve">indicate any impropriety or improper handling of a request or responsive documents. </w:t>
      </w:r>
      <w:r w:rsidR="0052592A" w:rsidRPr="00F27BD4">
        <w:rPr>
          <w:rFonts w:ascii="Calibri" w:hAnsi="Calibri" w:cs="Calibri"/>
          <w:szCs w:val="22"/>
        </w:rPr>
        <w:t xml:space="preserve">FOIA responses </w:t>
      </w:r>
      <w:r w:rsidR="003652FA" w:rsidRPr="00F27BD4">
        <w:rPr>
          <w:rFonts w:ascii="Calibri" w:hAnsi="Calibri" w:cs="Calibri"/>
          <w:szCs w:val="22"/>
        </w:rPr>
        <w:t xml:space="preserve">issued by the U of I </w:t>
      </w:r>
      <w:r w:rsidR="00A56356" w:rsidRPr="00F27BD4">
        <w:rPr>
          <w:rFonts w:ascii="Calibri" w:hAnsi="Calibri" w:cs="Calibri"/>
          <w:szCs w:val="22"/>
        </w:rPr>
        <w:t xml:space="preserve">System </w:t>
      </w:r>
      <w:r w:rsidR="0052592A" w:rsidRPr="00F27BD4">
        <w:rPr>
          <w:rFonts w:ascii="Calibri" w:hAnsi="Calibri" w:cs="Calibri"/>
          <w:szCs w:val="22"/>
        </w:rPr>
        <w:t xml:space="preserve">were </w:t>
      </w:r>
      <w:r w:rsidR="004D7AB4" w:rsidRPr="00F27BD4">
        <w:rPr>
          <w:rFonts w:ascii="Calibri" w:hAnsi="Calibri" w:cs="Calibri"/>
          <w:szCs w:val="22"/>
        </w:rPr>
        <w:t xml:space="preserve">appealed to </w:t>
      </w:r>
      <w:r w:rsidR="0052592A" w:rsidRPr="00F27BD4">
        <w:rPr>
          <w:rFonts w:ascii="Calibri" w:hAnsi="Calibri" w:cs="Calibri"/>
          <w:szCs w:val="22"/>
        </w:rPr>
        <w:t>the P</w:t>
      </w:r>
      <w:r w:rsidR="009826C9" w:rsidRPr="00F27BD4">
        <w:rPr>
          <w:rFonts w:ascii="Calibri" w:hAnsi="Calibri" w:cs="Calibri"/>
          <w:szCs w:val="22"/>
        </w:rPr>
        <w:t>AC</w:t>
      </w:r>
      <w:r w:rsidR="0052592A" w:rsidRPr="00F27BD4">
        <w:rPr>
          <w:rFonts w:ascii="Calibri" w:hAnsi="Calibri" w:cs="Calibri"/>
          <w:szCs w:val="22"/>
        </w:rPr>
        <w:t xml:space="preserve"> for review </w:t>
      </w:r>
      <w:r w:rsidR="00F5636B" w:rsidRPr="00F27BD4">
        <w:rPr>
          <w:rFonts w:ascii="Calibri" w:hAnsi="Calibri" w:cs="Calibri"/>
          <w:szCs w:val="22"/>
        </w:rPr>
        <w:t>nine</w:t>
      </w:r>
      <w:r w:rsidR="009561F3" w:rsidRPr="00F27BD4">
        <w:rPr>
          <w:rFonts w:ascii="Calibri" w:hAnsi="Calibri" w:cs="Calibri"/>
          <w:szCs w:val="22"/>
        </w:rPr>
        <w:t xml:space="preserve"> </w:t>
      </w:r>
      <w:r w:rsidR="00546BF6" w:rsidRPr="00F27BD4">
        <w:rPr>
          <w:rFonts w:ascii="Calibri" w:hAnsi="Calibri" w:cs="Calibri"/>
          <w:szCs w:val="22"/>
        </w:rPr>
        <w:t xml:space="preserve">times in </w:t>
      </w:r>
      <w:r w:rsidR="00F5636B" w:rsidRPr="00F27BD4">
        <w:rPr>
          <w:rFonts w:ascii="Calibri" w:hAnsi="Calibri" w:cs="Calibri"/>
          <w:szCs w:val="22"/>
        </w:rPr>
        <w:t>2021, down from 16 in 2020</w:t>
      </w:r>
      <w:r w:rsidR="001F1ED3" w:rsidRPr="00F27BD4">
        <w:rPr>
          <w:rFonts w:ascii="Calibri" w:hAnsi="Calibri" w:cs="Calibri"/>
          <w:szCs w:val="22"/>
        </w:rPr>
        <w:t xml:space="preserve">. </w:t>
      </w:r>
      <w:r w:rsidR="00934050" w:rsidRPr="00F27BD4">
        <w:rPr>
          <w:rFonts w:ascii="Calibri" w:hAnsi="Calibri" w:cs="Calibri"/>
          <w:szCs w:val="22"/>
        </w:rPr>
        <w:t xml:space="preserve">This </w:t>
      </w:r>
      <w:r w:rsidR="00A56356" w:rsidRPr="00F27BD4">
        <w:rPr>
          <w:rFonts w:ascii="Calibri" w:hAnsi="Calibri" w:cs="Calibri"/>
          <w:szCs w:val="22"/>
        </w:rPr>
        <w:t>represents</w:t>
      </w:r>
      <w:r w:rsidR="00934050" w:rsidRPr="00F27BD4">
        <w:rPr>
          <w:rFonts w:ascii="Calibri" w:hAnsi="Calibri" w:cs="Calibri"/>
          <w:szCs w:val="22"/>
        </w:rPr>
        <w:t xml:space="preserve"> le</w:t>
      </w:r>
      <w:r w:rsidR="00F5636B" w:rsidRPr="00F27BD4">
        <w:rPr>
          <w:rFonts w:ascii="Calibri" w:hAnsi="Calibri" w:cs="Calibri"/>
          <w:szCs w:val="22"/>
        </w:rPr>
        <w:t>ss than 1</w:t>
      </w:r>
      <w:r w:rsidR="00B3226C" w:rsidRPr="00F27BD4">
        <w:rPr>
          <w:rFonts w:ascii="Calibri" w:hAnsi="Calibri" w:cs="Calibri"/>
          <w:szCs w:val="22"/>
        </w:rPr>
        <w:t xml:space="preserve"> percent </w:t>
      </w:r>
      <w:r w:rsidR="0078084C" w:rsidRPr="00F27BD4">
        <w:rPr>
          <w:rFonts w:ascii="Calibri" w:hAnsi="Calibri" w:cs="Calibri"/>
          <w:szCs w:val="22"/>
        </w:rPr>
        <w:t xml:space="preserve">of </w:t>
      </w:r>
      <w:r w:rsidR="00F5636B" w:rsidRPr="00F27BD4">
        <w:rPr>
          <w:rFonts w:ascii="Calibri" w:hAnsi="Calibri" w:cs="Calibri"/>
          <w:szCs w:val="22"/>
        </w:rPr>
        <w:t xml:space="preserve">U of I </w:t>
      </w:r>
      <w:r w:rsidR="00C86E92" w:rsidRPr="00F27BD4">
        <w:rPr>
          <w:rFonts w:ascii="Calibri" w:hAnsi="Calibri" w:cs="Calibri"/>
          <w:szCs w:val="22"/>
        </w:rPr>
        <w:t>System</w:t>
      </w:r>
      <w:r w:rsidR="00934050" w:rsidRPr="00F27BD4">
        <w:rPr>
          <w:rFonts w:ascii="Calibri" w:hAnsi="Calibri" w:cs="Calibri"/>
          <w:szCs w:val="22"/>
        </w:rPr>
        <w:t xml:space="preserve"> responses in </w:t>
      </w:r>
      <w:r w:rsidR="00F5636B" w:rsidRPr="00F27BD4">
        <w:rPr>
          <w:rFonts w:ascii="Calibri" w:hAnsi="Calibri" w:cs="Calibri"/>
          <w:szCs w:val="22"/>
        </w:rPr>
        <w:t>2021</w:t>
      </w:r>
      <w:r w:rsidR="00934050" w:rsidRPr="00F27BD4">
        <w:rPr>
          <w:rFonts w:ascii="Calibri" w:hAnsi="Calibri" w:cs="Calibri"/>
          <w:szCs w:val="22"/>
        </w:rPr>
        <w:t xml:space="preserve">. </w:t>
      </w:r>
      <w:r w:rsidR="002A19C5" w:rsidRPr="00F27BD4">
        <w:rPr>
          <w:rFonts w:ascii="Calibri" w:hAnsi="Calibri" w:cs="Calibri"/>
          <w:szCs w:val="22"/>
        </w:rPr>
        <w:t xml:space="preserve">The PAC issued </w:t>
      </w:r>
      <w:r w:rsidR="001A65EC" w:rsidRPr="00F27BD4">
        <w:rPr>
          <w:rFonts w:ascii="Calibri" w:hAnsi="Calibri" w:cs="Calibri"/>
          <w:szCs w:val="22"/>
        </w:rPr>
        <w:t>six</w:t>
      </w:r>
      <w:r w:rsidR="00AA2BBD" w:rsidRPr="00F27BD4">
        <w:rPr>
          <w:rFonts w:ascii="Calibri" w:hAnsi="Calibri" w:cs="Calibri"/>
          <w:szCs w:val="22"/>
        </w:rPr>
        <w:t xml:space="preserve"> </w:t>
      </w:r>
      <w:r w:rsidR="001F1ED3" w:rsidRPr="00F27BD4">
        <w:rPr>
          <w:rFonts w:ascii="Calibri" w:hAnsi="Calibri" w:cs="Calibri"/>
          <w:szCs w:val="22"/>
        </w:rPr>
        <w:t>determination</w:t>
      </w:r>
      <w:r w:rsidR="001A65EC" w:rsidRPr="00F27BD4">
        <w:rPr>
          <w:rFonts w:ascii="Calibri" w:hAnsi="Calibri" w:cs="Calibri"/>
          <w:szCs w:val="22"/>
        </w:rPr>
        <w:t xml:space="preserve"> letters, </w:t>
      </w:r>
      <w:r w:rsidR="007F3A73" w:rsidRPr="00F27BD4">
        <w:rPr>
          <w:rFonts w:ascii="Calibri" w:hAnsi="Calibri" w:cs="Calibri"/>
          <w:szCs w:val="22"/>
        </w:rPr>
        <w:t>four</w:t>
      </w:r>
      <w:r w:rsidR="001A65EC" w:rsidRPr="00F27BD4">
        <w:rPr>
          <w:rFonts w:ascii="Calibri" w:hAnsi="Calibri" w:cs="Calibri"/>
          <w:szCs w:val="22"/>
        </w:rPr>
        <w:t xml:space="preserve"> of which </w:t>
      </w:r>
      <w:r w:rsidR="00CF7E46" w:rsidRPr="00F27BD4">
        <w:rPr>
          <w:rFonts w:ascii="Calibri" w:hAnsi="Calibri" w:cs="Calibri"/>
          <w:szCs w:val="22"/>
        </w:rPr>
        <w:t xml:space="preserve">were fully </w:t>
      </w:r>
      <w:r w:rsidR="00D9034C" w:rsidRPr="00F27BD4">
        <w:rPr>
          <w:rFonts w:ascii="Calibri" w:hAnsi="Calibri" w:cs="Calibri"/>
          <w:szCs w:val="22"/>
        </w:rPr>
        <w:t xml:space="preserve">decided in the </w:t>
      </w:r>
      <w:r w:rsidR="00C86E92" w:rsidRPr="00F27BD4">
        <w:rPr>
          <w:rFonts w:ascii="Calibri" w:hAnsi="Calibri" w:cs="Calibri"/>
          <w:szCs w:val="22"/>
        </w:rPr>
        <w:t>s</w:t>
      </w:r>
      <w:r w:rsidR="00D9034C" w:rsidRPr="00F27BD4">
        <w:rPr>
          <w:rFonts w:ascii="Calibri" w:hAnsi="Calibri" w:cs="Calibri"/>
          <w:szCs w:val="22"/>
        </w:rPr>
        <w:t>ystem</w:t>
      </w:r>
      <w:r w:rsidR="001F1ED3" w:rsidRPr="00F27BD4">
        <w:rPr>
          <w:rFonts w:ascii="Calibri" w:hAnsi="Calibri" w:cs="Calibri"/>
          <w:szCs w:val="22"/>
        </w:rPr>
        <w:t xml:space="preserve">’s favor. </w:t>
      </w:r>
      <w:r w:rsidR="0090119A" w:rsidRPr="00F27BD4">
        <w:rPr>
          <w:rFonts w:ascii="Calibri" w:hAnsi="Calibri" w:cs="Calibri"/>
          <w:szCs w:val="22"/>
        </w:rPr>
        <w:t xml:space="preserve">The remaining </w:t>
      </w:r>
      <w:r w:rsidR="0052313A" w:rsidRPr="00F27BD4">
        <w:rPr>
          <w:rFonts w:ascii="Calibri" w:hAnsi="Calibri" w:cs="Calibri"/>
          <w:szCs w:val="22"/>
        </w:rPr>
        <w:t>2021</w:t>
      </w:r>
      <w:r w:rsidR="0090119A" w:rsidRPr="00F27BD4">
        <w:rPr>
          <w:rFonts w:ascii="Calibri" w:hAnsi="Calibri" w:cs="Calibri"/>
          <w:szCs w:val="22"/>
        </w:rPr>
        <w:t xml:space="preserve"> appeals are pending, were informally resolved, </w:t>
      </w:r>
      <w:r w:rsidR="00FA18DB" w:rsidRPr="00F27BD4">
        <w:rPr>
          <w:rFonts w:ascii="Calibri" w:hAnsi="Calibri" w:cs="Calibri"/>
          <w:szCs w:val="22"/>
        </w:rPr>
        <w:t xml:space="preserve">withdrawn </w:t>
      </w:r>
      <w:r w:rsidR="0090119A" w:rsidRPr="00F27BD4">
        <w:rPr>
          <w:rFonts w:ascii="Calibri" w:hAnsi="Calibri" w:cs="Calibri"/>
          <w:szCs w:val="22"/>
        </w:rPr>
        <w:t xml:space="preserve">or were determined to be unfounded. </w:t>
      </w:r>
    </w:p>
    <w:p w14:paraId="284EC9D7" w14:textId="77777777" w:rsidR="00EB07B3" w:rsidRPr="00F27BD4" w:rsidRDefault="00EB07B3" w:rsidP="00EB07B3">
      <w:pPr>
        <w:rPr>
          <w:rFonts w:ascii="Calibri" w:hAnsi="Calibri" w:cs="Calibri"/>
          <w:szCs w:val="22"/>
        </w:rPr>
      </w:pPr>
    </w:p>
    <w:p w14:paraId="71A1F334" w14:textId="45E9C105" w:rsidR="00D55133" w:rsidRPr="00F27BD4" w:rsidRDefault="00D55133" w:rsidP="008B049A">
      <w:pPr>
        <w:pStyle w:val="ListParagraph"/>
        <w:numPr>
          <w:ilvl w:val="0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 xml:space="preserve">The PAC issued a favorable determination finding </w:t>
      </w:r>
      <w:r w:rsidR="003363B8" w:rsidRPr="00F27BD4">
        <w:rPr>
          <w:rFonts w:ascii="Calibri" w:hAnsi="Calibri" w:cs="Calibri"/>
          <w:szCs w:val="22"/>
        </w:rPr>
        <w:t>that</w:t>
      </w:r>
      <w:r w:rsidR="001A65EC" w:rsidRPr="00F27BD4">
        <w:rPr>
          <w:rFonts w:ascii="Calibri" w:hAnsi="Calibri" w:cs="Calibri"/>
          <w:szCs w:val="22"/>
        </w:rPr>
        <w:t xml:space="preserve"> the System properly redacted</w:t>
      </w:r>
      <w:r w:rsidR="000E3D58" w:rsidRPr="00F27BD4">
        <w:rPr>
          <w:rFonts w:ascii="Calibri" w:hAnsi="Calibri" w:cs="Calibri"/>
          <w:szCs w:val="22"/>
        </w:rPr>
        <w:t xml:space="preserve"> </w:t>
      </w:r>
      <w:r w:rsidR="001A65EC" w:rsidRPr="00F27BD4">
        <w:rPr>
          <w:rFonts w:ascii="Calibri" w:hAnsi="Calibri" w:cs="Calibri"/>
          <w:szCs w:val="22"/>
        </w:rPr>
        <w:t>private, personal and confidential witness information in a police report</w:t>
      </w:r>
      <w:r w:rsidR="007F3A73" w:rsidRPr="00F27BD4">
        <w:rPr>
          <w:rFonts w:ascii="Calibri" w:hAnsi="Calibri" w:cs="Calibri"/>
          <w:szCs w:val="22"/>
        </w:rPr>
        <w:t xml:space="preserve"> that </w:t>
      </w:r>
      <w:r w:rsidR="001A65EC" w:rsidRPr="00F27BD4">
        <w:rPr>
          <w:rFonts w:ascii="Calibri" w:hAnsi="Calibri" w:cs="Calibri"/>
          <w:szCs w:val="22"/>
        </w:rPr>
        <w:t>is</w:t>
      </w:r>
      <w:r w:rsidR="00FA18DB" w:rsidRPr="00F27BD4">
        <w:rPr>
          <w:rFonts w:ascii="Calibri" w:hAnsi="Calibri" w:cs="Calibri"/>
          <w:szCs w:val="22"/>
        </w:rPr>
        <w:t xml:space="preserve"> exempt under section</w:t>
      </w:r>
      <w:r w:rsidR="001A65EC" w:rsidRPr="00F27BD4">
        <w:rPr>
          <w:rFonts w:ascii="Calibri" w:hAnsi="Calibri" w:cs="Calibri"/>
          <w:szCs w:val="22"/>
        </w:rPr>
        <w:t>s 7(1)(b),</w:t>
      </w:r>
      <w:r w:rsidR="00FA18DB" w:rsidRPr="00F27BD4">
        <w:rPr>
          <w:rFonts w:ascii="Calibri" w:hAnsi="Calibri" w:cs="Calibri"/>
          <w:szCs w:val="22"/>
        </w:rPr>
        <w:t xml:space="preserve"> 7(1)(c</w:t>
      </w:r>
      <w:r w:rsidR="000E3D58" w:rsidRPr="00F27BD4">
        <w:rPr>
          <w:rFonts w:ascii="Calibri" w:hAnsi="Calibri" w:cs="Calibri"/>
          <w:szCs w:val="22"/>
        </w:rPr>
        <w:t>)</w:t>
      </w:r>
      <w:r w:rsidR="001A65EC" w:rsidRPr="00F27BD4">
        <w:rPr>
          <w:rFonts w:ascii="Calibri" w:hAnsi="Calibri" w:cs="Calibri"/>
          <w:szCs w:val="22"/>
        </w:rPr>
        <w:t xml:space="preserve"> and 7(1)(d)(iv)</w:t>
      </w:r>
      <w:r w:rsidRPr="00F27BD4">
        <w:rPr>
          <w:rFonts w:ascii="Calibri" w:hAnsi="Calibri" w:cs="Calibri"/>
          <w:szCs w:val="22"/>
        </w:rPr>
        <w:t>.</w:t>
      </w:r>
    </w:p>
    <w:p w14:paraId="6CFBFF0F" w14:textId="77777777" w:rsidR="008B049A" w:rsidRPr="00F27BD4" w:rsidRDefault="008B049A" w:rsidP="008B049A">
      <w:pPr>
        <w:pStyle w:val="ListParagraph"/>
        <w:contextualSpacing w:val="0"/>
        <w:rPr>
          <w:rFonts w:ascii="Calibri" w:hAnsi="Calibri" w:cs="Calibri"/>
          <w:szCs w:val="22"/>
        </w:rPr>
      </w:pPr>
    </w:p>
    <w:p w14:paraId="1A74D551" w14:textId="7630BB70" w:rsidR="00D55133" w:rsidRPr="00F27BD4" w:rsidRDefault="00D55133" w:rsidP="008B049A">
      <w:pPr>
        <w:pStyle w:val="ListParagraph"/>
        <w:numPr>
          <w:ilvl w:val="0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The PAC issued a favorable determination finding</w:t>
      </w:r>
      <w:r w:rsidR="000E3D58" w:rsidRPr="00F27BD4">
        <w:rPr>
          <w:rFonts w:ascii="Calibri" w:hAnsi="Calibri" w:cs="Calibri"/>
          <w:szCs w:val="22"/>
        </w:rPr>
        <w:t xml:space="preserve"> that the </w:t>
      </w:r>
      <w:r w:rsidR="00C86E92" w:rsidRPr="00F27BD4">
        <w:rPr>
          <w:rFonts w:ascii="Calibri" w:hAnsi="Calibri" w:cs="Calibri"/>
          <w:szCs w:val="22"/>
        </w:rPr>
        <w:t>System</w:t>
      </w:r>
      <w:r w:rsidR="000E3D58" w:rsidRPr="00F27BD4">
        <w:rPr>
          <w:rFonts w:ascii="Calibri" w:hAnsi="Calibri" w:cs="Calibri"/>
          <w:szCs w:val="22"/>
        </w:rPr>
        <w:t xml:space="preserve"> properly</w:t>
      </w:r>
      <w:r w:rsidR="00A56356" w:rsidRPr="00F27BD4">
        <w:rPr>
          <w:rFonts w:ascii="Calibri" w:hAnsi="Calibri" w:cs="Calibri"/>
          <w:szCs w:val="22"/>
        </w:rPr>
        <w:t xml:space="preserve"> </w:t>
      </w:r>
      <w:r w:rsidR="007F3A73" w:rsidRPr="00F27BD4">
        <w:rPr>
          <w:rFonts w:ascii="Calibri" w:hAnsi="Calibri" w:cs="Calibri"/>
          <w:szCs w:val="22"/>
        </w:rPr>
        <w:t>asserted that a request for emails related to the 2020 UI Health staff strike was burdensome.</w:t>
      </w:r>
    </w:p>
    <w:p w14:paraId="0F284970" w14:textId="77777777" w:rsidR="00AF4FB8" w:rsidRPr="00F27BD4" w:rsidRDefault="00AF4FB8" w:rsidP="00AF4FB8">
      <w:pPr>
        <w:pStyle w:val="ListParagraph"/>
        <w:rPr>
          <w:rFonts w:ascii="Calibri" w:hAnsi="Calibri" w:cs="Calibri"/>
          <w:szCs w:val="22"/>
        </w:rPr>
      </w:pPr>
    </w:p>
    <w:p w14:paraId="78C91A8E" w14:textId="1EDD5FA5" w:rsidR="00B72537" w:rsidRPr="00F27BD4" w:rsidRDefault="00AF4FB8" w:rsidP="001A65EC">
      <w:pPr>
        <w:pStyle w:val="ListParagraph"/>
        <w:numPr>
          <w:ilvl w:val="0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 xml:space="preserve">The PAC issued a favorable determination finding that the </w:t>
      </w:r>
      <w:r w:rsidR="00C86E92" w:rsidRPr="00F27BD4">
        <w:rPr>
          <w:rFonts w:ascii="Calibri" w:hAnsi="Calibri" w:cs="Calibri"/>
          <w:szCs w:val="22"/>
        </w:rPr>
        <w:t>System</w:t>
      </w:r>
      <w:r w:rsidRPr="00F27BD4">
        <w:rPr>
          <w:rFonts w:ascii="Calibri" w:hAnsi="Calibri" w:cs="Calibri"/>
          <w:szCs w:val="22"/>
        </w:rPr>
        <w:t xml:space="preserve"> conducted a proper search of </w:t>
      </w:r>
      <w:r w:rsidR="007F3A73" w:rsidRPr="00F27BD4">
        <w:rPr>
          <w:rFonts w:ascii="Calibri" w:hAnsi="Calibri" w:cs="Calibri"/>
          <w:szCs w:val="22"/>
        </w:rPr>
        <w:t>budget and email records</w:t>
      </w:r>
      <w:r w:rsidRPr="00F27BD4">
        <w:rPr>
          <w:rFonts w:ascii="Calibri" w:hAnsi="Calibri" w:cs="Calibri"/>
          <w:szCs w:val="22"/>
        </w:rPr>
        <w:t xml:space="preserve"> responsive to a July request submitted by </w:t>
      </w:r>
      <w:r w:rsidR="007F3A73" w:rsidRPr="00F27BD4">
        <w:rPr>
          <w:rFonts w:ascii="Calibri" w:hAnsi="Calibri" w:cs="Calibri"/>
          <w:szCs w:val="22"/>
        </w:rPr>
        <w:t>a former UIS faculty member.</w:t>
      </w:r>
    </w:p>
    <w:p w14:paraId="77CDB66A" w14:textId="77777777" w:rsidR="007F3A73" w:rsidRPr="00F27BD4" w:rsidRDefault="007F3A73" w:rsidP="007F3A73">
      <w:pPr>
        <w:pStyle w:val="ListParagraph"/>
        <w:rPr>
          <w:rFonts w:ascii="Calibri" w:hAnsi="Calibri" w:cs="Calibri"/>
          <w:szCs w:val="22"/>
        </w:rPr>
      </w:pPr>
    </w:p>
    <w:p w14:paraId="666A4D2E" w14:textId="0E7FEC27" w:rsidR="007F3A73" w:rsidRPr="00F27BD4" w:rsidRDefault="007F3A73" w:rsidP="00D87083">
      <w:pPr>
        <w:rPr>
          <w:rFonts w:ascii="Calibri" w:hAnsi="Calibri" w:cs="Calibri"/>
          <w:szCs w:val="22"/>
        </w:rPr>
      </w:pPr>
    </w:p>
    <w:p w14:paraId="08F10781" w14:textId="16A20F1D" w:rsidR="007F3A73" w:rsidRPr="00F27BD4" w:rsidRDefault="007F3A73" w:rsidP="007F3A73">
      <w:pPr>
        <w:pStyle w:val="ListParagraph"/>
        <w:numPr>
          <w:ilvl w:val="0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lastRenderedPageBreak/>
        <w:t>The PAC issued a favorable determination finding that the System conducted a proper search of employment records responsive to a September request submitted by a former UIS faculty member.</w:t>
      </w:r>
    </w:p>
    <w:p w14:paraId="560CBFC8" w14:textId="5A695C11" w:rsidR="008B049A" w:rsidRPr="00F27BD4" w:rsidRDefault="008B049A" w:rsidP="00D87083">
      <w:pPr>
        <w:rPr>
          <w:rFonts w:ascii="Calibri" w:hAnsi="Calibri" w:cs="Calibri"/>
          <w:szCs w:val="22"/>
        </w:rPr>
      </w:pPr>
    </w:p>
    <w:p w14:paraId="2347E056" w14:textId="582EAEE1" w:rsidR="00B72537" w:rsidRPr="00F27BD4" w:rsidRDefault="00F5636B" w:rsidP="00F5636B">
      <w:pPr>
        <w:pStyle w:val="ListParagraph"/>
        <w:numPr>
          <w:ilvl w:val="0"/>
          <w:numId w:val="2"/>
        </w:numPr>
        <w:contextualSpacing w:val="0"/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OUR</w:t>
      </w:r>
      <w:r w:rsidR="00C2476E" w:rsidRPr="00F27BD4">
        <w:rPr>
          <w:rFonts w:ascii="Calibri" w:hAnsi="Calibri" w:cs="Calibri"/>
          <w:szCs w:val="22"/>
        </w:rPr>
        <w:t xml:space="preserve"> conducts </w:t>
      </w:r>
      <w:r w:rsidR="00265ACE" w:rsidRPr="00F27BD4">
        <w:rPr>
          <w:rFonts w:ascii="Calibri" w:hAnsi="Calibri" w:cs="Calibri"/>
          <w:szCs w:val="22"/>
        </w:rPr>
        <w:t xml:space="preserve">FOIA </w:t>
      </w:r>
      <w:r w:rsidR="00C2476E" w:rsidRPr="00F27BD4">
        <w:rPr>
          <w:rFonts w:ascii="Calibri" w:hAnsi="Calibri" w:cs="Calibri"/>
          <w:szCs w:val="22"/>
        </w:rPr>
        <w:t>presentations for the various colleges and dep</w:t>
      </w:r>
      <w:r w:rsidR="00294AFB" w:rsidRPr="00F27BD4">
        <w:rPr>
          <w:rFonts w:ascii="Calibri" w:hAnsi="Calibri" w:cs="Calibri"/>
          <w:szCs w:val="22"/>
        </w:rPr>
        <w:t xml:space="preserve">artments within the </w:t>
      </w:r>
      <w:r w:rsidRPr="00F27BD4">
        <w:rPr>
          <w:rFonts w:ascii="Calibri" w:hAnsi="Calibri" w:cs="Calibri"/>
          <w:szCs w:val="22"/>
        </w:rPr>
        <w:t xml:space="preserve">U of I </w:t>
      </w:r>
      <w:proofErr w:type="gramStart"/>
      <w:r w:rsidR="00C86E92" w:rsidRPr="00F27BD4">
        <w:rPr>
          <w:rFonts w:ascii="Calibri" w:hAnsi="Calibri" w:cs="Calibri"/>
          <w:szCs w:val="22"/>
        </w:rPr>
        <w:t>S</w:t>
      </w:r>
      <w:r w:rsidRPr="00F27BD4">
        <w:rPr>
          <w:rFonts w:ascii="Calibri" w:hAnsi="Calibri" w:cs="Calibri"/>
          <w:szCs w:val="22"/>
        </w:rPr>
        <w:t>ystem, and</w:t>
      </w:r>
      <w:proofErr w:type="gramEnd"/>
      <w:r w:rsidRPr="00F27BD4">
        <w:rPr>
          <w:rFonts w:ascii="Calibri" w:hAnsi="Calibri" w:cs="Calibri"/>
          <w:szCs w:val="22"/>
        </w:rPr>
        <w:t xml:space="preserve"> is presently working with System Human Resources and the three Public Affairs offices on a recorded webinar to potentially be implemented as training for new hires.</w:t>
      </w:r>
    </w:p>
    <w:p w14:paraId="26D99C3D" w14:textId="77777777" w:rsidR="00EB043E" w:rsidRPr="00F27BD4" w:rsidRDefault="00EB043E" w:rsidP="00655064">
      <w:pPr>
        <w:rPr>
          <w:rFonts w:ascii="Calibri" w:hAnsi="Calibri" w:cs="Calibri"/>
          <w:szCs w:val="22"/>
        </w:rPr>
      </w:pPr>
    </w:p>
    <w:p w14:paraId="054B8AFC" w14:textId="6C4E49E5" w:rsidR="000E3D58" w:rsidRPr="00F27BD4" w:rsidRDefault="00FB23D3" w:rsidP="008B049A">
      <w:pPr>
        <w:pStyle w:val="ListParagraph"/>
        <w:numPr>
          <w:ilvl w:val="0"/>
          <w:numId w:val="2"/>
        </w:numPr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 xml:space="preserve">As is our customary practice, </w:t>
      </w:r>
      <w:r w:rsidR="00F27BD4" w:rsidRPr="00F27BD4">
        <w:rPr>
          <w:rFonts w:ascii="Calibri" w:hAnsi="Calibri" w:cs="Calibri"/>
          <w:szCs w:val="22"/>
        </w:rPr>
        <w:t xml:space="preserve">Interim </w:t>
      </w:r>
      <w:r w:rsidRPr="00F27BD4">
        <w:rPr>
          <w:rFonts w:ascii="Calibri" w:hAnsi="Calibri" w:cs="Calibri"/>
          <w:szCs w:val="22"/>
        </w:rPr>
        <w:t>Director</w:t>
      </w:r>
      <w:r w:rsidR="00F5636B" w:rsidRPr="00F27BD4">
        <w:rPr>
          <w:rFonts w:ascii="Calibri" w:hAnsi="Calibri" w:cs="Calibri"/>
          <w:szCs w:val="22"/>
        </w:rPr>
        <w:t xml:space="preserve"> of External Relations and Communications</w:t>
      </w:r>
      <w:r w:rsidRPr="00F27BD4">
        <w:rPr>
          <w:rFonts w:ascii="Calibri" w:hAnsi="Calibri" w:cs="Calibri"/>
          <w:szCs w:val="22"/>
        </w:rPr>
        <w:t xml:space="preserve"> </w:t>
      </w:r>
      <w:r w:rsidR="0069622F" w:rsidRPr="00F27BD4">
        <w:rPr>
          <w:rFonts w:ascii="Calibri" w:hAnsi="Calibri" w:cs="Calibri"/>
          <w:szCs w:val="22"/>
        </w:rPr>
        <w:t>Kirsten Ruby</w:t>
      </w:r>
      <w:r w:rsidRPr="00F27BD4">
        <w:rPr>
          <w:rFonts w:ascii="Calibri" w:hAnsi="Calibri" w:cs="Calibri"/>
          <w:szCs w:val="22"/>
        </w:rPr>
        <w:t xml:space="preserve">, </w:t>
      </w:r>
      <w:r w:rsidR="00F5636B" w:rsidRPr="00F27BD4">
        <w:rPr>
          <w:rFonts w:ascii="Calibri" w:hAnsi="Calibri" w:cs="Calibri"/>
          <w:szCs w:val="22"/>
        </w:rPr>
        <w:t xml:space="preserve">Interim </w:t>
      </w:r>
      <w:r w:rsidR="007E7980" w:rsidRPr="00F27BD4">
        <w:rPr>
          <w:rFonts w:ascii="Calibri" w:hAnsi="Calibri" w:cs="Calibri"/>
          <w:szCs w:val="22"/>
        </w:rPr>
        <w:t>Assistant</w:t>
      </w:r>
      <w:r w:rsidRPr="00F27BD4">
        <w:rPr>
          <w:rFonts w:ascii="Calibri" w:hAnsi="Calibri" w:cs="Calibri"/>
          <w:szCs w:val="22"/>
        </w:rPr>
        <w:t xml:space="preserve"> Director</w:t>
      </w:r>
      <w:r w:rsidR="00F5636B" w:rsidRPr="00F27BD4">
        <w:rPr>
          <w:rFonts w:ascii="Calibri" w:hAnsi="Calibri" w:cs="Calibri"/>
          <w:szCs w:val="22"/>
        </w:rPr>
        <w:t xml:space="preserve"> Jill Weathers</w:t>
      </w:r>
      <w:r w:rsidRPr="00F27BD4">
        <w:rPr>
          <w:rFonts w:ascii="Calibri" w:hAnsi="Calibri" w:cs="Calibri"/>
          <w:szCs w:val="22"/>
        </w:rPr>
        <w:t xml:space="preserve">, and </w:t>
      </w:r>
      <w:r w:rsidR="00C21CB2" w:rsidRPr="00F27BD4">
        <w:rPr>
          <w:rFonts w:ascii="Calibri" w:hAnsi="Calibri" w:cs="Calibri"/>
          <w:szCs w:val="22"/>
        </w:rPr>
        <w:t xml:space="preserve">the </w:t>
      </w:r>
      <w:r w:rsidR="00B5608E" w:rsidRPr="00F27BD4">
        <w:rPr>
          <w:rFonts w:ascii="Calibri" w:hAnsi="Calibri" w:cs="Calibri"/>
          <w:szCs w:val="22"/>
        </w:rPr>
        <w:t>FOIA</w:t>
      </w:r>
      <w:r w:rsidR="00D65A73" w:rsidRPr="00F27BD4">
        <w:rPr>
          <w:rFonts w:ascii="Calibri" w:hAnsi="Calibri" w:cs="Calibri"/>
          <w:szCs w:val="22"/>
        </w:rPr>
        <w:t xml:space="preserve"> </w:t>
      </w:r>
      <w:r w:rsidR="006514A3" w:rsidRPr="00F27BD4">
        <w:rPr>
          <w:rFonts w:ascii="Calibri" w:hAnsi="Calibri" w:cs="Calibri"/>
          <w:szCs w:val="22"/>
        </w:rPr>
        <w:t>coordinators completed</w:t>
      </w:r>
      <w:r w:rsidRPr="00F27BD4">
        <w:rPr>
          <w:rFonts w:ascii="Calibri" w:hAnsi="Calibri" w:cs="Calibri"/>
          <w:szCs w:val="22"/>
        </w:rPr>
        <w:t xml:space="preserve"> the yearly FOIA training </w:t>
      </w:r>
      <w:r w:rsidR="002B6C79" w:rsidRPr="00F27BD4">
        <w:rPr>
          <w:rFonts w:ascii="Calibri" w:hAnsi="Calibri" w:cs="Calibri"/>
          <w:szCs w:val="22"/>
        </w:rPr>
        <w:t>required</w:t>
      </w:r>
      <w:r w:rsidR="00C21CB2" w:rsidRPr="00F27BD4">
        <w:rPr>
          <w:rFonts w:ascii="Calibri" w:hAnsi="Calibri" w:cs="Calibri"/>
          <w:szCs w:val="22"/>
        </w:rPr>
        <w:t xml:space="preserve"> by the Office of the Illinois Attorney General</w:t>
      </w:r>
      <w:r w:rsidRPr="00F27BD4">
        <w:rPr>
          <w:rFonts w:ascii="Calibri" w:hAnsi="Calibri" w:cs="Calibri"/>
          <w:szCs w:val="22"/>
        </w:rPr>
        <w:t>.</w:t>
      </w:r>
      <w:r w:rsidR="00CA624D" w:rsidRPr="00F27BD4">
        <w:rPr>
          <w:rFonts w:ascii="Calibri" w:hAnsi="Calibri" w:cs="Calibri"/>
          <w:szCs w:val="22"/>
        </w:rPr>
        <w:t xml:space="preserve"> </w:t>
      </w:r>
    </w:p>
    <w:p w14:paraId="3E1F8937" w14:textId="77777777" w:rsidR="008B049A" w:rsidRPr="00F27BD4" w:rsidRDefault="008B049A" w:rsidP="008B049A">
      <w:pPr>
        <w:pStyle w:val="ListParagraph"/>
        <w:rPr>
          <w:rFonts w:ascii="Calibri" w:hAnsi="Calibri" w:cs="Calibri"/>
          <w:szCs w:val="22"/>
        </w:rPr>
      </w:pPr>
    </w:p>
    <w:p w14:paraId="5ADFC823" w14:textId="0C0FAC6C" w:rsidR="00BB4239" w:rsidRPr="00F27BD4" w:rsidRDefault="00FB23D3" w:rsidP="00FA7FC1">
      <w:pPr>
        <w:pStyle w:val="ListParagraph"/>
        <w:numPr>
          <w:ilvl w:val="0"/>
          <w:numId w:val="2"/>
        </w:numPr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 xml:space="preserve">Throughout the year, </w:t>
      </w:r>
      <w:r w:rsidR="00EF445B" w:rsidRPr="00F27BD4">
        <w:rPr>
          <w:rFonts w:ascii="Calibri" w:hAnsi="Calibri" w:cs="Calibri"/>
          <w:szCs w:val="22"/>
        </w:rPr>
        <w:t>FOIA staff met weekly</w:t>
      </w:r>
      <w:r w:rsidRPr="00F27BD4">
        <w:rPr>
          <w:rFonts w:ascii="Calibri" w:hAnsi="Calibri" w:cs="Calibri"/>
          <w:szCs w:val="22"/>
        </w:rPr>
        <w:t xml:space="preserve"> </w:t>
      </w:r>
      <w:r w:rsidR="00655064" w:rsidRPr="00F27BD4">
        <w:rPr>
          <w:rFonts w:ascii="Calibri" w:hAnsi="Calibri" w:cs="Calibri"/>
          <w:szCs w:val="22"/>
        </w:rPr>
        <w:t xml:space="preserve">(over Zoom) </w:t>
      </w:r>
      <w:r w:rsidRPr="00F27BD4">
        <w:rPr>
          <w:rFonts w:ascii="Calibri" w:hAnsi="Calibri" w:cs="Calibri"/>
          <w:szCs w:val="22"/>
        </w:rPr>
        <w:t>to discuss issues, processing policies, and new developments with the law.</w:t>
      </w:r>
      <w:r w:rsidR="00F43977" w:rsidRPr="00F27BD4">
        <w:rPr>
          <w:rFonts w:ascii="Calibri" w:hAnsi="Calibri" w:cs="Calibri"/>
          <w:szCs w:val="22"/>
        </w:rPr>
        <w:t xml:space="preserve"> </w:t>
      </w:r>
      <w:r w:rsidR="00E76E97" w:rsidRPr="00F27BD4">
        <w:rPr>
          <w:rFonts w:ascii="Calibri" w:hAnsi="Calibri" w:cs="Calibri"/>
          <w:szCs w:val="22"/>
        </w:rPr>
        <w:t>In prior years</w:t>
      </w:r>
      <w:r w:rsidR="00762AA3" w:rsidRPr="00F27BD4">
        <w:rPr>
          <w:rFonts w:ascii="Calibri" w:hAnsi="Calibri" w:cs="Calibri"/>
          <w:szCs w:val="22"/>
        </w:rPr>
        <w:t>, the Office for</w:t>
      </w:r>
      <w:r w:rsidR="008B77FA" w:rsidRPr="00F27BD4">
        <w:rPr>
          <w:rFonts w:ascii="Calibri" w:hAnsi="Calibri" w:cs="Calibri"/>
          <w:szCs w:val="22"/>
        </w:rPr>
        <w:t xml:space="preserve"> University Relations </w:t>
      </w:r>
      <w:r w:rsidR="00EB043E" w:rsidRPr="00F27BD4">
        <w:rPr>
          <w:rFonts w:ascii="Calibri" w:hAnsi="Calibri" w:cs="Calibri"/>
          <w:szCs w:val="22"/>
        </w:rPr>
        <w:t xml:space="preserve">held </w:t>
      </w:r>
      <w:r w:rsidR="00D9628B" w:rsidRPr="00F27BD4">
        <w:rPr>
          <w:rFonts w:ascii="Calibri" w:hAnsi="Calibri" w:cs="Calibri"/>
          <w:szCs w:val="22"/>
        </w:rPr>
        <w:t xml:space="preserve">internal </w:t>
      </w:r>
      <w:r w:rsidR="008B77FA" w:rsidRPr="00F27BD4">
        <w:rPr>
          <w:rFonts w:ascii="Calibri" w:hAnsi="Calibri" w:cs="Calibri"/>
          <w:szCs w:val="22"/>
        </w:rPr>
        <w:t>retreat</w:t>
      </w:r>
      <w:r w:rsidR="00E76E97" w:rsidRPr="00F27BD4">
        <w:rPr>
          <w:rFonts w:ascii="Calibri" w:hAnsi="Calibri" w:cs="Calibri"/>
          <w:szCs w:val="22"/>
        </w:rPr>
        <w:t>s</w:t>
      </w:r>
      <w:r w:rsidR="008B77FA" w:rsidRPr="00F27BD4">
        <w:rPr>
          <w:rFonts w:ascii="Calibri" w:hAnsi="Calibri" w:cs="Calibri"/>
          <w:szCs w:val="22"/>
        </w:rPr>
        <w:t xml:space="preserve"> in Urbana to discuss future goals.</w:t>
      </w:r>
      <w:r w:rsidR="00F43977" w:rsidRPr="00F27BD4">
        <w:rPr>
          <w:rFonts w:ascii="Calibri" w:hAnsi="Calibri" w:cs="Calibri"/>
          <w:szCs w:val="22"/>
        </w:rPr>
        <w:t xml:space="preserve"> </w:t>
      </w:r>
      <w:r w:rsidR="00E76E97" w:rsidRPr="00F27BD4">
        <w:rPr>
          <w:rFonts w:ascii="Calibri" w:hAnsi="Calibri" w:cs="Calibri"/>
          <w:szCs w:val="22"/>
        </w:rPr>
        <w:t xml:space="preserve">The </w:t>
      </w:r>
      <w:r w:rsidR="00655064" w:rsidRPr="00F27BD4">
        <w:rPr>
          <w:rFonts w:ascii="Calibri" w:hAnsi="Calibri" w:cs="Calibri"/>
          <w:szCs w:val="22"/>
        </w:rPr>
        <w:t>FOIA staff plan</w:t>
      </w:r>
      <w:r w:rsidR="00E76E97" w:rsidRPr="00F27BD4">
        <w:rPr>
          <w:rFonts w:ascii="Calibri" w:hAnsi="Calibri" w:cs="Calibri"/>
          <w:szCs w:val="22"/>
        </w:rPr>
        <w:t xml:space="preserve"> to hav</w:t>
      </w:r>
      <w:r w:rsidR="00F5636B" w:rsidRPr="00F27BD4">
        <w:rPr>
          <w:rFonts w:ascii="Calibri" w:hAnsi="Calibri" w:cs="Calibri"/>
          <w:szCs w:val="22"/>
        </w:rPr>
        <w:t>e a similar retreat some time in 202</w:t>
      </w:r>
      <w:r w:rsidR="00E76E97" w:rsidRPr="00F27BD4">
        <w:rPr>
          <w:rFonts w:ascii="Calibri" w:hAnsi="Calibri" w:cs="Calibri"/>
          <w:szCs w:val="22"/>
        </w:rPr>
        <w:t xml:space="preserve">2. The </w:t>
      </w:r>
      <w:r w:rsidR="00C86E92" w:rsidRPr="00F27BD4">
        <w:rPr>
          <w:rFonts w:ascii="Calibri" w:hAnsi="Calibri" w:cs="Calibri"/>
          <w:szCs w:val="22"/>
        </w:rPr>
        <w:t>FOIA staff</w:t>
      </w:r>
      <w:r w:rsidR="00E76E97" w:rsidRPr="00F27BD4">
        <w:rPr>
          <w:rFonts w:ascii="Calibri" w:hAnsi="Calibri" w:cs="Calibri"/>
          <w:szCs w:val="22"/>
        </w:rPr>
        <w:t xml:space="preserve"> al</w:t>
      </w:r>
      <w:r w:rsidR="00F5636B" w:rsidRPr="00F27BD4">
        <w:rPr>
          <w:rFonts w:ascii="Calibri" w:hAnsi="Calibri" w:cs="Calibri"/>
          <w:szCs w:val="22"/>
        </w:rPr>
        <w:t>so intend</w:t>
      </w:r>
      <w:r w:rsidR="00E76E97" w:rsidRPr="00F27BD4">
        <w:rPr>
          <w:rFonts w:ascii="Calibri" w:hAnsi="Calibri" w:cs="Calibri"/>
          <w:szCs w:val="22"/>
        </w:rPr>
        <w:t xml:space="preserve"> to hold </w:t>
      </w:r>
      <w:r w:rsidR="00C86E92" w:rsidRPr="00F27BD4">
        <w:rPr>
          <w:rFonts w:ascii="Calibri" w:hAnsi="Calibri" w:cs="Calibri"/>
          <w:szCs w:val="22"/>
        </w:rPr>
        <w:t>their</w:t>
      </w:r>
      <w:r w:rsidR="00E76E97" w:rsidRPr="00F27BD4">
        <w:rPr>
          <w:rFonts w:ascii="Calibri" w:hAnsi="Calibri" w:cs="Calibri"/>
          <w:szCs w:val="22"/>
        </w:rPr>
        <w:t xml:space="preserve"> </w:t>
      </w:r>
      <w:r w:rsidR="0088719F" w:rsidRPr="00F27BD4">
        <w:rPr>
          <w:rFonts w:ascii="Calibri" w:hAnsi="Calibri" w:cs="Calibri"/>
          <w:szCs w:val="22"/>
        </w:rPr>
        <w:t xml:space="preserve">semi-annual </w:t>
      </w:r>
      <w:r w:rsidR="006B7740" w:rsidRPr="00F27BD4">
        <w:rPr>
          <w:rFonts w:ascii="Calibri" w:hAnsi="Calibri" w:cs="Calibri"/>
          <w:szCs w:val="22"/>
        </w:rPr>
        <w:t>meeting with the Office of University Legal Counsel to addres</w:t>
      </w:r>
      <w:r w:rsidR="00F775BE" w:rsidRPr="00F27BD4">
        <w:rPr>
          <w:rFonts w:ascii="Calibri" w:hAnsi="Calibri" w:cs="Calibri"/>
          <w:szCs w:val="22"/>
        </w:rPr>
        <w:t>s pending and recurring matters</w:t>
      </w:r>
      <w:r w:rsidR="00EF3D5E" w:rsidRPr="00F27BD4">
        <w:rPr>
          <w:rFonts w:ascii="Calibri" w:hAnsi="Calibri" w:cs="Calibri"/>
          <w:szCs w:val="22"/>
        </w:rPr>
        <w:t xml:space="preserve"> that have legal consequences for the </w:t>
      </w:r>
      <w:r w:rsidR="00F5636B" w:rsidRPr="00F27BD4">
        <w:rPr>
          <w:rFonts w:ascii="Calibri" w:hAnsi="Calibri" w:cs="Calibri"/>
          <w:szCs w:val="22"/>
        </w:rPr>
        <w:t xml:space="preserve">U of I </w:t>
      </w:r>
      <w:r w:rsidR="00C86E92" w:rsidRPr="00F27BD4">
        <w:rPr>
          <w:rFonts w:ascii="Calibri" w:hAnsi="Calibri" w:cs="Calibri"/>
          <w:szCs w:val="22"/>
        </w:rPr>
        <w:t>System</w:t>
      </w:r>
      <w:r w:rsidR="00B13A55" w:rsidRPr="00F27BD4">
        <w:rPr>
          <w:rFonts w:ascii="Calibri" w:hAnsi="Calibri" w:cs="Calibri"/>
          <w:szCs w:val="22"/>
        </w:rPr>
        <w:t>.</w:t>
      </w:r>
    </w:p>
    <w:p w14:paraId="560DD9A7" w14:textId="77777777" w:rsidR="00E76E97" w:rsidRPr="00F27BD4" w:rsidRDefault="00E76E97" w:rsidP="00E76E97">
      <w:pPr>
        <w:rPr>
          <w:rFonts w:ascii="Calibri" w:hAnsi="Calibri" w:cs="Calibri"/>
          <w:szCs w:val="22"/>
        </w:rPr>
      </w:pPr>
    </w:p>
    <w:p w14:paraId="6C63CDEE" w14:textId="20DE1A70" w:rsidR="008B049A" w:rsidRPr="00F27BD4" w:rsidRDefault="005F030C" w:rsidP="00FA7FC1">
      <w:pPr>
        <w:pStyle w:val="ListParagraph"/>
        <w:numPr>
          <w:ilvl w:val="0"/>
          <w:numId w:val="2"/>
        </w:numPr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>In 2021</w:t>
      </w:r>
      <w:r w:rsidR="00BB4239" w:rsidRPr="00F27BD4">
        <w:rPr>
          <w:rFonts w:ascii="Calibri" w:hAnsi="Calibri" w:cs="Calibri"/>
          <w:szCs w:val="22"/>
        </w:rPr>
        <w:t xml:space="preserve">, the Office of University Relations </w:t>
      </w:r>
      <w:r w:rsidRPr="00F27BD4">
        <w:rPr>
          <w:rFonts w:ascii="Calibri" w:hAnsi="Calibri" w:cs="Calibri"/>
          <w:szCs w:val="22"/>
        </w:rPr>
        <w:t>continued to update its website with the latest information, including</w:t>
      </w:r>
      <w:r w:rsidR="00BB4239" w:rsidRPr="00F27BD4">
        <w:rPr>
          <w:rFonts w:ascii="Calibri" w:hAnsi="Calibri" w:cs="Calibri"/>
          <w:szCs w:val="22"/>
        </w:rPr>
        <w:t xml:space="preserve"> all FOIA response letters dating back to 2015.</w:t>
      </w:r>
    </w:p>
    <w:p w14:paraId="4BE023BD" w14:textId="77777777" w:rsidR="00B72537" w:rsidRPr="00F27BD4" w:rsidRDefault="00B72537" w:rsidP="006F28E6">
      <w:pPr>
        <w:rPr>
          <w:rFonts w:ascii="Calibri" w:hAnsi="Calibri" w:cs="Calibri"/>
          <w:szCs w:val="22"/>
        </w:rPr>
      </w:pPr>
    </w:p>
    <w:p w14:paraId="70C7E24C" w14:textId="00A77841" w:rsidR="00EB043E" w:rsidRPr="00F27BD4" w:rsidRDefault="00537224" w:rsidP="008B049A">
      <w:pPr>
        <w:pStyle w:val="ListParagraph"/>
        <w:numPr>
          <w:ilvl w:val="0"/>
          <w:numId w:val="2"/>
        </w:numPr>
        <w:rPr>
          <w:rFonts w:ascii="Calibri" w:hAnsi="Calibri" w:cs="Calibri"/>
          <w:szCs w:val="22"/>
        </w:rPr>
      </w:pPr>
      <w:r w:rsidRPr="00F27BD4">
        <w:rPr>
          <w:rFonts w:ascii="Calibri" w:hAnsi="Calibri" w:cs="Calibri"/>
          <w:szCs w:val="22"/>
        </w:rPr>
        <w:t xml:space="preserve">The </w:t>
      </w:r>
      <w:r w:rsidR="00C86E92" w:rsidRPr="00F27BD4">
        <w:rPr>
          <w:rFonts w:ascii="Calibri" w:hAnsi="Calibri" w:cs="Calibri"/>
          <w:szCs w:val="22"/>
        </w:rPr>
        <w:t>FOIA staff had planned to hold</w:t>
      </w:r>
      <w:r w:rsidR="00EB043E" w:rsidRPr="00F27BD4">
        <w:rPr>
          <w:rFonts w:ascii="Calibri" w:hAnsi="Calibri" w:cs="Calibri"/>
          <w:szCs w:val="22"/>
        </w:rPr>
        <w:t xml:space="preserve"> FOIA </w:t>
      </w:r>
      <w:r w:rsidR="00934050" w:rsidRPr="00F27BD4">
        <w:rPr>
          <w:rFonts w:ascii="Calibri" w:hAnsi="Calibri" w:cs="Calibri"/>
          <w:szCs w:val="22"/>
        </w:rPr>
        <w:t>re</w:t>
      </w:r>
      <w:r w:rsidR="00EB043E" w:rsidRPr="00F27BD4">
        <w:rPr>
          <w:rFonts w:ascii="Calibri" w:hAnsi="Calibri" w:cs="Calibri"/>
          <w:szCs w:val="22"/>
        </w:rPr>
        <w:t xml:space="preserve">treat in June 2020 for FOIA </w:t>
      </w:r>
      <w:r w:rsidR="00C86E92" w:rsidRPr="00F27BD4">
        <w:rPr>
          <w:rFonts w:ascii="Calibri" w:hAnsi="Calibri" w:cs="Calibri"/>
          <w:szCs w:val="22"/>
        </w:rPr>
        <w:t>o</w:t>
      </w:r>
      <w:r w:rsidR="00EB043E" w:rsidRPr="00F27BD4">
        <w:rPr>
          <w:rFonts w:ascii="Calibri" w:hAnsi="Calibri" w:cs="Calibri"/>
          <w:szCs w:val="22"/>
        </w:rPr>
        <w:t xml:space="preserve">fficers at other Illinois higher education institutions. </w:t>
      </w:r>
      <w:r w:rsidRPr="00F27BD4">
        <w:rPr>
          <w:rFonts w:ascii="Calibri" w:hAnsi="Calibri" w:cs="Calibri"/>
          <w:szCs w:val="22"/>
        </w:rPr>
        <w:t xml:space="preserve">This was canceled due to the COVID-19 pandemic. </w:t>
      </w:r>
      <w:r w:rsidR="00EB043E" w:rsidRPr="00F27BD4">
        <w:rPr>
          <w:rFonts w:ascii="Calibri" w:hAnsi="Calibri" w:cs="Calibri"/>
          <w:szCs w:val="22"/>
        </w:rPr>
        <w:t>The retreat will be</w:t>
      </w:r>
      <w:r w:rsidR="00286C0F" w:rsidRPr="00F27BD4">
        <w:rPr>
          <w:rFonts w:ascii="Calibri" w:hAnsi="Calibri" w:cs="Calibri"/>
          <w:szCs w:val="22"/>
        </w:rPr>
        <w:t xml:space="preserve"> re-scheduled </w:t>
      </w:r>
      <w:r w:rsidR="005F030C" w:rsidRPr="00F27BD4">
        <w:rPr>
          <w:rFonts w:ascii="Calibri" w:hAnsi="Calibri" w:cs="Calibri"/>
          <w:szCs w:val="22"/>
        </w:rPr>
        <w:t>for 2023</w:t>
      </w:r>
      <w:r w:rsidRPr="00F27BD4">
        <w:rPr>
          <w:rFonts w:ascii="Calibri" w:hAnsi="Calibri" w:cs="Calibri"/>
          <w:szCs w:val="22"/>
        </w:rPr>
        <w:t xml:space="preserve"> and</w:t>
      </w:r>
      <w:r w:rsidR="00EB043E" w:rsidRPr="00F27BD4">
        <w:rPr>
          <w:rFonts w:ascii="Calibri" w:hAnsi="Calibri" w:cs="Calibri"/>
          <w:szCs w:val="22"/>
        </w:rPr>
        <w:t xml:space="preserve"> feature panel presentations and discussions from University of Illinois System officers and representative</w:t>
      </w:r>
      <w:r w:rsidR="001F1ED3" w:rsidRPr="00F27BD4">
        <w:rPr>
          <w:rFonts w:ascii="Calibri" w:hAnsi="Calibri" w:cs="Calibri"/>
          <w:szCs w:val="22"/>
        </w:rPr>
        <w:t>s</w:t>
      </w:r>
      <w:r w:rsidR="00EB043E" w:rsidRPr="00F27BD4">
        <w:rPr>
          <w:rFonts w:ascii="Calibri" w:hAnsi="Calibri" w:cs="Calibri"/>
          <w:szCs w:val="22"/>
        </w:rPr>
        <w:t xml:space="preserve"> from the Illinois Attorney General Public Access Counselor’s office. </w:t>
      </w:r>
      <w:r w:rsidR="005F030C" w:rsidRPr="00F27BD4">
        <w:rPr>
          <w:rFonts w:ascii="Calibri" w:hAnsi="Calibri" w:cs="Calibri"/>
          <w:szCs w:val="22"/>
        </w:rPr>
        <w:t xml:space="preserve"> In 2022</w:t>
      </w:r>
      <w:r w:rsidR="00BB4239" w:rsidRPr="00F27BD4">
        <w:rPr>
          <w:rFonts w:ascii="Calibri" w:hAnsi="Calibri" w:cs="Calibri"/>
          <w:szCs w:val="22"/>
        </w:rPr>
        <w:t xml:space="preserve">, the Office of University Relations </w:t>
      </w:r>
      <w:r w:rsidR="00C86E92" w:rsidRPr="00F27BD4">
        <w:rPr>
          <w:rFonts w:ascii="Calibri" w:hAnsi="Calibri" w:cs="Calibri"/>
          <w:szCs w:val="22"/>
        </w:rPr>
        <w:t>plans</w:t>
      </w:r>
      <w:r w:rsidR="00BB4239" w:rsidRPr="00F27BD4">
        <w:rPr>
          <w:rFonts w:ascii="Calibri" w:hAnsi="Calibri" w:cs="Calibri"/>
          <w:szCs w:val="22"/>
        </w:rPr>
        <w:t xml:space="preserve"> to hold a semi-annual phone conference with the Office of University Legal Counsel to discuss pressing FOIA matters that are of legal </w:t>
      </w:r>
      <w:proofErr w:type="spellStart"/>
      <w:r w:rsidR="00BB4239" w:rsidRPr="00F27BD4">
        <w:rPr>
          <w:rFonts w:ascii="Calibri" w:hAnsi="Calibri" w:cs="Calibri"/>
          <w:szCs w:val="22"/>
        </w:rPr>
        <w:t>signficiance</w:t>
      </w:r>
      <w:proofErr w:type="spellEnd"/>
      <w:r w:rsidR="00BB4239" w:rsidRPr="00F27BD4">
        <w:rPr>
          <w:rFonts w:ascii="Calibri" w:hAnsi="Calibri" w:cs="Calibri"/>
          <w:szCs w:val="22"/>
        </w:rPr>
        <w:t xml:space="preserve">. </w:t>
      </w:r>
    </w:p>
    <w:p w14:paraId="3F41793E" w14:textId="77777777" w:rsidR="00E80E75" w:rsidRPr="00F27BD4" w:rsidRDefault="00E80E75" w:rsidP="008B049A">
      <w:pPr>
        <w:rPr>
          <w:rFonts w:ascii="Calibri" w:hAnsi="Calibri" w:cs="Calibri"/>
          <w:szCs w:val="22"/>
        </w:rPr>
      </w:pPr>
    </w:p>
    <w:p w14:paraId="4DD50E46" w14:textId="77777777" w:rsidR="0054124A" w:rsidRPr="00F27BD4" w:rsidRDefault="0054124A" w:rsidP="008B049A">
      <w:pPr>
        <w:rPr>
          <w:rFonts w:ascii="Calibri" w:hAnsi="Calibri" w:cs="Calibri"/>
          <w:szCs w:val="22"/>
        </w:rPr>
      </w:pPr>
    </w:p>
    <w:p w14:paraId="0191699A" w14:textId="77777777" w:rsidR="006C3DEA" w:rsidRPr="00F27BD4" w:rsidRDefault="006C3DEA" w:rsidP="008B049A">
      <w:pPr>
        <w:rPr>
          <w:rFonts w:ascii="Calibri" w:hAnsi="Calibri" w:cs="Calibri"/>
          <w:szCs w:val="22"/>
        </w:rPr>
      </w:pPr>
    </w:p>
    <w:p w14:paraId="428CE813" w14:textId="77777777" w:rsidR="006C3DEA" w:rsidRPr="00F27BD4" w:rsidRDefault="006C3DEA" w:rsidP="008B049A">
      <w:pPr>
        <w:rPr>
          <w:rFonts w:ascii="Calibri" w:hAnsi="Calibri" w:cs="Calibri"/>
          <w:szCs w:val="22"/>
        </w:rPr>
      </w:pPr>
    </w:p>
    <w:p w14:paraId="32B00469" w14:textId="77777777" w:rsidR="006C3DEA" w:rsidRPr="00F27BD4" w:rsidRDefault="006C3DEA" w:rsidP="008B049A">
      <w:pPr>
        <w:rPr>
          <w:rFonts w:ascii="Calibri" w:hAnsi="Calibri" w:cs="Calibri"/>
          <w:szCs w:val="22"/>
        </w:rPr>
      </w:pPr>
    </w:p>
    <w:p w14:paraId="25A5F77A" w14:textId="77777777" w:rsidR="006C3DEA" w:rsidRPr="00F27BD4" w:rsidRDefault="006C3DEA" w:rsidP="008B049A">
      <w:pPr>
        <w:rPr>
          <w:rFonts w:ascii="Calibri" w:hAnsi="Calibri" w:cs="Calibri"/>
          <w:szCs w:val="22"/>
        </w:rPr>
      </w:pPr>
    </w:p>
    <w:p w14:paraId="6B13DA29" w14:textId="77777777" w:rsidR="006C3DEA" w:rsidRPr="00F27BD4" w:rsidRDefault="006C3DEA" w:rsidP="008B049A">
      <w:pPr>
        <w:rPr>
          <w:rFonts w:ascii="Calibri" w:hAnsi="Calibri" w:cs="Calibri"/>
          <w:szCs w:val="22"/>
        </w:rPr>
      </w:pPr>
    </w:p>
    <w:p w14:paraId="73A544BD" w14:textId="77777777" w:rsidR="006C3DEA" w:rsidRPr="00F27BD4" w:rsidRDefault="006C3DEA" w:rsidP="008B049A">
      <w:pPr>
        <w:rPr>
          <w:rFonts w:ascii="Calibri" w:hAnsi="Calibri" w:cs="Calibri"/>
          <w:szCs w:val="22"/>
        </w:rPr>
      </w:pPr>
    </w:p>
    <w:p w14:paraId="264AEB97" w14:textId="77777777" w:rsidR="006C3DEA" w:rsidRPr="00F27BD4" w:rsidRDefault="006C3DEA" w:rsidP="008B049A">
      <w:pPr>
        <w:rPr>
          <w:rFonts w:ascii="Calibri" w:hAnsi="Calibri" w:cs="Calibri"/>
          <w:szCs w:val="22"/>
        </w:rPr>
      </w:pPr>
    </w:p>
    <w:p w14:paraId="233CCD1C" w14:textId="77777777" w:rsidR="006C3DEA" w:rsidRPr="00F27BD4" w:rsidRDefault="006C3DEA" w:rsidP="008B049A">
      <w:pPr>
        <w:rPr>
          <w:rFonts w:ascii="Calibri" w:hAnsi="Calibri" w:cs="Calibri"/>
          <w:szCs w:val="22"/>
        </w:rPr>
      </w:pPr>
    </w:p>
    <w:p w14:paraId="6E95690F" w14:textId="37F1BCA4" w:rsidR="006C3DEA" w:rsidRPr="00F27BD4" w:rsidRDefault="006C3DEA" w:rsidP="008B049A">
      <w:pPr>
        <w:rPr>
          <w:rFonts w:ascii="Calibri" w:hAnsi="Calibri" w:cs="Calibri"/>
          <w:szCs w:val="22"/>
        </w:rPr>
      </w:pPr>
    </w:p>
    <w:p w14:paraId="4FDEC302" w14:textId="47A39B45" w:rsidR="005F030C" w:rsidRPr="00F27BD4" w:rsidRDefault="005F030C" w:rsidP="008B049A">
      <w:pPr>
        <w:rPr>
          <w:rFonts w:ascii="Calibri" w:hAnsi="Calibri" w:cs="Calibri"/>
          <w:szCs w:val="22"/>
        </w:rPr>
      </w:pPr>
    </w:p>
    <w:p w14:paraId="6A888706" w14:textId="27B96D01" w:rsidR="005F030C" w:rsidRPr="00F27BD4" w:rsidRDefault="005F030C" w:rsidP="008B049A">
      <w:pPr>
        <w:rPr>
          <w:rFonts w:ascii="Calibri" w:hAnsi="Calibri" w:cs="Calibri"/>
          <w:szCs w:val="22"/>
        </w:rPr>
      </w:pPr>
    </w:p>
    <w:p w14:paraId="0F978187" w14:textId="0C30F477" w:rsidR="005F030C" w:rsidRPr="00F27BD4" w:rsidRDefault="005F030C" w:rsidP="008B049A">
      <w:pPr>
        <w:rPr>
          <w:rFonts w:ascii="Calibri" w:hAnsi="Calibri" w:cs="Calibri"/>
          <w:szCs w:val="22"/>
        </w:rPr>
      </w:pPr>
    </w:p>
    <w:p w14:paraId="4D1F35B2" w14:textId="161630E0" w:rsidR="005F030C" w:rsidRPr="00F27BD4" w:rsidRDefault="005F030C" w:rsidP="008B049A">
      <w:pPr>
        <w:rPr>
          <w:rFonts w:ascii="Calibri" w:hAnsi="Calibri" w:cs="Calibri"/>
          <w:szCs w:val="22"/>
        </w:rPr>
      </w:pPr>
    </w:p>
    <w:p w14:paraId="36DB964D" w14:textId="23778C94" w:rsidR="005F030C" w:rsidRPr="00F27BD4" w:rsidRDefault="005F030C" w:rsidP="008B049A">
      <w:pPr>
        <w:rPr>
          <w:rFonts w:ascii="Calibri" w:hAnsi="Calibri" w:cs="Calibri"/>
          <w:szCs w:val="22"/>
        </w:rPr>
      </w:pPr>
    </w:p>
    <w:p w14:paraId="2C11EA17" w14:textId="49BABBAE" w:rsidR="006C3DEA" w:rsidRPr="00F27BD4" w:rsidRDefault="006C3DEA" w:rsidP="008B049A">
      <w:pPr>
        <w:rPr>
          <w:rFonts w:ascii="Calibri" w:hAnsi="Calibri" w:cs="Calibri"/>
          <w:szCs w:val="22"/>
        </w:rPr>
      </w:pPr>
    </w:p>
    <w:p w14:paraId="464E30F9" w14:textId="77777777" w:rsidR="006C3DEA" w:rsidRPr="00F27BD4" w:rsidRDefault="006C3DEA" w:rsidP="006C3DEA">
      <w:pPr>
        <w:pStyle w:val="BriefingHead1"/>
      </w:pPr>
      <w:r w:rsidRPr="00F27BD4">
        <w:lastRenderedPageBreak/>
        <w:t>Appendix A</w:t>
      </w:r>
    </w:p>
    <w:p w14:paraId="40B99846" w14:textId="77777777" w:rsidR="006C3DEA" w:rsidRPr="00F27BD4" w:rsidRDefault="006C3DEA" w:rsidP="006C3DEA"/>
    <w:p w14:paraId="2B138AC6" w14:textId="1E86226E" w:rsidR="006C3DEA" w:rsidRPr="00F27BD4" w:rsidRDefault="00912B88" w:rsidP="006C3DEA">
      <w:pPr>
        <w:rPr>
          <w:b/>
        </w:rPr>
      </w:pPr>
      <w:r w:rsidRPr="00F27BD4">
        <w:rPr>
          <w:b/>
        </w:rPr>
        <w:t>Received in Calendar 2021</w:t>
      </w:r>
    </w:p>
    <w:p w14:paraId="27BFA380" w14:textId="77777777" w:rsidR="006C3DEA" w:rsidRPr="00F27BD4" w:rsidRDefault="006C3DEA" w:rsidP="006C3DEA">
      <w:pPr>
        <w:rPr>
          <w:sz w:val="12"/>
          <w:szCs w:val="12"/>
        </w:rPr>
      </w:pPr>
      <w:r w:rsidRPr="00F27BD4">
        <w:rPr>
          <w:b/>
        </w:rPr>
        <w:br/>
      </w:r>
    </w:p>
    <w:tbl>
      <w:tblPr>
        <w:tblW w:w="5453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148"/>
        <w:gridCol w:w="1148"/>
        <w:gridCol w:w="1626"/>
      </w:tblGrid>
      <w:tr w:rsidR="006C3DEA" w:rsidRPr="00F27BD4" w14:paraId="57201838" w14:textId="77777777" w:rsidTr="00FA7FC1">
        <w:trPr>
          <w:trHeight w:val="304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DF0299B" w14:textId="77777777" w:rsidR="006C3DEA" w:rsidRPr="00F27BD4" w:rsidRDefault="006C3DEA" w:rsidP="00FA7F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BD4">
              <w:rPr>
                <w:b/>
                <w:bCs/>
                <w:color w:val="000000"/>
                <w:sz w:val="20"/>
                <w:szCs w:val="20"/>
              </w:rPr>
              <w:t>Month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14:paraId="017923C9" w14:textId="77777777" w:rsidR="006C3DEA" w:rsidRPr="00F27BD4" w:rsidRDefault="006C3DEA" w:rsidP="00FA7F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BD4">
              <w:rPr>
                <w:b/>
                <w:bCs/>
                <w:color w:val="000000"/>
                <w:sz w:val="20"/>
                <w:szCs w:val="20"/>
              </w:rPr>
              <w:t>Received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14:paraId="1F5E8EE4" w14:textId="77777777" w:rsidR="006C3DEA" w:rsidRPr="00F27BD4" w:rsidRDefault="006C3DEA" w:rsidP="00FA7F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BD4">
              <w:rPr>
                <w:b/>
                <w:bCs/>
                <w:color w:val="000000"/>
                <w:sz w:val="20"/>
                <w:szCs w:val="20"/>
              </w:rPr>
              <w:t>Closed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099C9580" w14:textId="77777777" w:rsidR="006C3DEA" w:rsidRPr="00F27BD4" w:rsidRDefault="006C3DEA" w:rsidP="00FA7F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BD4">
              <w:rPr>
                <w:b/>
                <w:bCs/>
                <w:color w:val="000000"/>
                <w:sz w:val="20"/>
                <w:szCs w:val="20"/>
              </w:rPr>
              <w:t>Pages Provided</w:t>
            </w:r>
          </w:p>
        </w:tc>
      </w:tr>
      <w:tr w:rsidR="006C3DEA" w:rsidRPr="00F27BD4" w14:paraId="73B33E52" w14:textId="77777777" w:rsidTr="00FA7FC1">
        <w:trPr>
          <w:trHeight w:val="304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54DEDD5" w14:textId="77777777" w:rsidR="006C3DEA" w:rsidRPr="00F27BD4" w:rsidRDefault="006C3DEA" w:rsidP="00FA7FC1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27BD4">
              <w:rPr>
                <w:color w:val="000000"/>
                <w:sz w:val="18"/>
                <w:szCs w:val="18"/>
              </w:rPr>
              <w:t>January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14:paraId="19A9B922" w14:textId="21F596DD" w:rsidR="006C3DEA" w:rsidRPr="00F27BD4" w:rsidRDefault="00912B8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84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14:paraId="1F2FFC09" w14:textId="456D4E4B" w:rsidR="006C3DEA" w:rsidRPr="00F27BD4" w:rsidRDefault="00912B8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51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0EE49EF8" w14:textId="4E7280EE" w:rsidR="006C3DEA" w:rsidRPr="00F27BD4" w:rsidRDefault="00912B8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3,579</w:t>
            </w:r>
          </w:p>
        </w:tc>
      </w:tr>
      <w:tr w:rsidR="006C3DEA" w:rsidRPr="00F27BD4" w14:paraId="53366FB8" w14:textId="77777777" w:rsidTr="00FA7FC1">
        <w:trPr>
          <w:trHeight w:val="304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E6AD2C4" w14:textId="77777777" w:rsidR="006C3DEA" w:rsidRPr="00F27BD4" w:rsidRDefault="006C3DEA" w:rsidP="00FA7FC1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27BD4">
              <w:rPr>
                <w:color w:val="000000"/>
                <w:sz w:val="18"/>
                <w:szCs w:val="18"/>
              </w:rPr>
              <w:t>February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14:paraId="2324702A" w14:textId="5D74735F" w:rsidR="006C3DEA" w:rsidRPr="00F27BD4" w:rsidRDefault="00912B8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76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14:paraId="47EFAF42" w14:textId="35F2DC5D" w:rsidR="006C3DEA" w:rsidRPr="00F27BD4" w:rsidRDefault="00912B8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67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51235310" w14:textId="4F7FC7A7" w:rsidR="006C3DEA" w:rsidRPr="00F27BD4" w:rsidRDefault="00912B8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3,608</w:t>
            </w:r>
          </w:p>
        </w:tc>
      </w:tr>
      <w:tr w:rsidR="006C3DEA" w:rsidRPr="00F27BD4" w14:paraId="3EF3414A" w14:textId="77777777" w:rsidTr="00FA7FC1">
        <w:trPr>
          <w:trHeight w:val="304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A68B6B0" w14:textId="77777777" w:rsidR="006C3DEA" w:rsidRPr="00F27BD4" w:rsidRDefault="006C3DEA" w:rsidP="00FA7FC1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27BD4">
              <w:rPr>
                <w:color w:val="000000"/>
                <w:sz w:val="18"/>
                <w:szCs w:val="18"/>
              </w:rPr>
              <w:t>March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14:paraId="4E357DC4" w14:textId="67BE7BE3" w:rsidR="006C3DEA" w:rsidRPr="00F27BD4" w:rsidRDefault="00912B8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111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14:paraId="75269D65" w14:textId="0F82CB48" w:rsidR="006C3DEA" w:rsidRPr="00F27BD4" w:rsidRDefault="00912B8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95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657119AF" w14:textId="7A9C55D0" w:rsidR="006C3DEA" w:rsidRPr="00F27BD4" w:rsidRDefault="00912B8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12,571</w:t>
            </w:r>
          </w:p>
        </w:tc>
      </w:tr>
      <w:tr w:rsidR="006C3DEA" w:rsidRPr="00F27BD4" w14:paraId="7CD0FC13" w14:textId="77777777" w:rsidTr="00FA7FC1">
        <w:trPr>
          <w:trHeight w:val="304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51C913F" w14:textId="77777777" w:rsidR="006C3DEA" w:rsidRPr="00F27BD4" w:rsidRDefault="006C3DEA" w:rsidP="00FA7FC1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27BD4">
              <w:rPr>
                <w:color w:val="000000"/>
                <w:sz w:val="18"/>
                <w:szCs w:val="18"/>
              </w:rPr>
              <w:t>April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14:paraId="03FCDDCE" w14:textId="33F63321" w:rsidR="006C3DEA" w:rsidRPr="00F27BD4" w:rsidRDefault="00912B8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97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14:paraId="16D5D8FE" w14:textId="63F111C4" w:rsidR="006C3DEA" w:rsidRPr="00F27BD4" w:rsidRDefault="00912B8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102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24F241BF" w14:textId="1166B4AB" w:rsidR="006C3DEA" w:rsidRPr="00F27BD4" w:rsidRDefault="00912B8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13,717</w:t>
            </w:r>
          </w:p>
        </w:tc>
      </w:tr>
      <w:tr w:rsidR="006C3DEA" w:rsidRPr="00F27BD4" w14:paraId="0AD5A473" w14:textId="77777777" w:rsidTr="00FA7FC1">
        <w:trPr>
          <w:trHeight w:val="304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8634DE0" w14:textId="77777777" w:rsidR="006C3DEA" w:rsidRPr="00F27BD4" w:rsidRDefault="006C3DEA" w:rsidP="00FA7FC1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27BD4">
              <w:rPr>
                <w:color w:val="000000"/>
                <w:sz w:val="18"/>
                <w:szCs w:val="18"/>
              </w:rPr>
              <w:t>May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14:paraId="14AF76A6" w14:textId="077D7E98" w:rsidR="006C3DEA" w:rsidRPr="00F27BD4" w:rsidRDefault="00912B8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101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14:paraId="2A6783EA" w14:textId="017DC366" w:rsidR="006C3DEA" w:rsidRPr="00F27BD4" w:rsidRDefault="00912B8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75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603C7808" w14:textId="4B94AB4D" w:rsidR="006C3DEA" w:rsidRPr="00F27BD4" w:rsidRDefault="00912B8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11,557</w:t>
            </w:r>
          </w:p>
        </w:tc>
      </w:tr>
      <w:tr w:rsidR="006C3DEA" w:rsidRPr="00F27BD4" w14:paraId="215AB235" w14:textId="77777777" w:rsidTr="00FA7FC1">
        <w:trPr>
          <w:trHeight w:val="304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1128593" w14:textId="77777777" w:rsidR="006C3DEA" w:rsidRPr="00F27BD4" w:rsidRDefault="006C3DEA" w:rsidP="00FA7FC1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27BD4">
              <w:rPr>
                <w:color w:val="000000"/>
                <w:sz w:val="18"/>
                <w:szCs w:val="18"/>
              </w:rPr>
              <w:t>June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14:paraId="7E9B4246" w14:textId="1839A822" w:rsidR="006C3DEA" w:rsidRPr="00F27BD4" w:rsidRDefault="00912B8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107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14:paraId="254A6A86" w14:textId="48EBEFC0" w:rsidR="006C3DEA" w:rsidRPr="00F27BD4" w:rsidRDefault="00912B8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89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32E54A28" w14:textId="6FF8FE42" w:rsidR="006C3DEA" w:rsidRPr="00F27BD4" w:rsidRDefault="00912B8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13,435</w:t>
            </w:r>
          </w:p>
        </w:tc>
      </w:tr>
      <w:tr w:rsidR="006C3DEA" w:rsidRPr="00F27BD4" w14:paraId="5742A605" w14:textId="77777777" w:rsidTr="00FA7FC1">
        <w:trPr>
          <w:trHeight w:val="304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F734E48" w14:textId="77777777" w:rsidR="006C3DEA" w:rsidRPr="00F27BD4" w:rsidRDefault="006C3DEA" w:rsidP="00FA7FC1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27BD4">
              <w:rPr>
                <w:color w:val="000000"/>
                <w:sz w:val="18"/>
                <w:szCs w:val="18"/>
              </w:rPr>
              <w:t>July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14:paraId="758EEE61" w14:textId="5DF0FCA9" w:rsidR="006C3DEA" w:rsidRPr="00F27BD4" w:rsidRDefault="00912B8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142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14:paraId="075BF15C" w14:textId="11C60C6A" w:rsidR="006C3DEA" w:rsidRPr="00F27BD4" w:rsidRDefault="00912B8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121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6D46FC1C" w14:textId="1E4686EE" w:rsidR="006C3DEA" w:rsidRPr="00F27BD4" w:rsidRDefault="00912B8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15,070</w:t>
            </w:r>
          </w:p>
        </w:tc>
      </w:tr>
      <w:tr w:rsidR="006C3DEA" w:rsidRPr="00F27BD4" w14:paraId="12A37207" w14:textId="77777777" w:rsidTr="00FA7FC1">
        <w:trPr>
          <w:trHeight w:val="304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2E804BB" w14:textId="77777777" w:rsidR="006C3DEA" w:rsidRPr="00F27BD4" w:rsidRDefault="006C3DEA" w:rsidP="00FA7FC1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27BD4">
              <w:rPr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14:paraId="0A0A3787" w14:textId="402DC89C" w:rsidR="006C3DEA" w:rsidRPr="00F27BD4" w:rsidRDefault="00912B8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76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14:paraId="4500F55B" w14:textId="53670418" w:rsidR="006C3DEA" w:rsidRPr="00F27BD4" w:rsidRDefault="00912B8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87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50D1908E" w14:textId="12072DFE" w:rsidR="006C3DEA" w:rsidRPr="00F27BD4" w:rsidRDefault="00912B8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20,437</w:t>
            </w:r>
          </w:p>
        </w:tc>
      </w:tr>
      <w:tr w:rsidR="006C3DEA" w:rsidRPr="00F27BD4" w14:paraId="2E401A2B" w14:textId="77777777" w:rsidTr="00FA7FC1">
        <w:trPr>
          <w:trHeight w:val="304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35A333D" w14:textId="77777777" w:rsidR="006C3DEA" w:rsidRPr="00F27BD4" w:rsidRDefault="006C3DEA" w:rsidP="00FA7FC1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27BD4">
              <w:rPr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14:paraId="566C6395" w14:textId="3F9C395E" w:rsidR="006C3DEA" w:rsidRPr="00F27BD4" w:rsidRDefault="00912B8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78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14:paraId="17351C5B" w14:textId="236E89C1" w:rsidR="006C3DEA" w:rsidRPr="00F27BD4" w:rsidRDefault="00912B8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69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6B8D7EA3" w14:textId="121DABF0" w:rsidR="006C3DEA" w:rsidRPr="00F27BD4" w:rsidRDefault="00912B8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5,202</w:t>
            </w:r>
          </w:p>
        </w:tc>
      </w:tr>
      <w:tr w:rsidR="006C3DEA" w:rsidRPr="00F27BD4" w14:paraId="0D78921E" w14:textId="77777777" w:rsidTr="00FA7FC1">
        <w:trPr>
          <w:trHeight w:val="304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C38AD46" w14:textId="77777777" w:rsidR="006C3DEA" w:rsidRPr="00F27BD4" w:rsidRDefault="006C3DEA" w:rsidP="00FA7FC1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27BD4">
              <w:rPr>
                <w:color w:val="000000"/>
                <w:sz w:val="18"/>
                <w:szCs w:val="18"/>
              </w:rPr>
              <w:t>October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14:paraId="555C4579" w14:textId="21BE03AA" w:rsidR="006C3DEA" w:rsidRPr="00F27BD4" w:rsidRDefault="00912B8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101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14:paraId="4FE2144A" w14:textId="364C0698" w:rsidR="006C3DEA" w:rsidRPr="00F27BD4" w:rsidRDefault="00912B8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89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2F3132DA" w14:textId="352FE272" w:rsidR="006C3DEA" w:rsidRPr="00F27BD4" w:rsidRDefault="00912B8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10,846</w:t>
            </w:r>
          </w:p>
        </w:tc>
      </w:tr>
      <w:tr w:rsidR="006C3DEA" w:rsidRPr="00F27BD4" w14:paraId="0D8DC5F5" w14:textId="77777777" w:rsidTr="00FA7FC1">
        <w:trPr>
          <w:trHeight w:val="304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58A2FDC" w14:textId="77777777" w:rsidR="006C3DEA" w:rsidRPr="00F27BD4" w:rsidRDefault="006C3DEA" w:rsidP="00FA7FC1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27BD4">
              <w:rPr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14:paraId="015AF626" w14:textId="4B9ED79C" w:rsidR="006C3DEA" w:rsidRPr="00F27BD4" w:rsidRDefault="00912B8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116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14:paraId="19A1C083" w14:textId="4615AAE6" w:rsidR="006C3DEA" w:rsidRPr="00F27BD4" w:rsidRDefault="00912B8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98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6D63179D" w14:textId="3934C4FE" w:rsidR="006C3DEA" w:rsidRPr="00F27BD4" w:rsidRDefault="00912B8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5,527</w:t>
            </w:r>
          </w:p>
        </w:tc>
      </w:tr>
      <w:tr w:rsidR="006C3DEA" w:rsidRPr="00F27BD4" w14:paraId="1ED5F5FC" w14:textId="77777777" w:rsidTr="00FA7FC1">
        <w:trPr>
          <w:trHeight w:val="304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2EFF0B1" w14:textId="77777777" w:rsidR="006C3DEA" w:rsidRPr="00F27BD4" w:rsidRDefault="006C3DEA" w:rsidP="00FA7FC1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27BD4">
              <w:rPr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14:paraId="19F181FB" w14:textId="3B9FA544" w:rsidR="006C3DEA" w:rsidRPr="00F27BD4" w:rsidRDefault="00912B8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54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14:paraId="61143F31" w14:textId="15254C28" w:rsidR="006C3DEA" w:rsidRPr="00F27BD4" w:rsidRDefault="00912B8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53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60C91FCD" w14:textId="0178EF59" w:rsidR="006C3DEA" w:rsidRPr="00F27BD4" w:rsidRDefault="00912B8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2,054</w:t>
            </w:r>
          </w:p>
        </w:tc>
      </w:tr>
      <w:tr w:rsidR="006C3DEA" w:rsidRPr="00F27BD4" w14:paraId="0C832347" w14:textId="77777777" w:rsidTr="00FA7FC1">
        <w:trPr>
          <w:trHeight w:val="304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14A775A" w14:textId="77777777" w:rsidR="006C3DEA" w:rsidRPr="00F27BD4" w:rsidRDefault="006C3DEA" w:rsidP="00FA7FC1">
            <w:pPr>
              <w:ind w:firstLineChars="100" w:firstLine="180"/>
              <w:rPr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14:paraId="70D17103" w14:textId="77777777" w:rsidR="006C3DEA" w:rsidRPr="00F27BD4" w:rsidRDefault="006C3DEA" w:rsidP="00FA7FC1">
            <w:pPr>
              <w:tabs>
                <w:tab w:val="decimal" w:pos="522"/>
              </w:tabs>
              <w:rPr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14:paraId="2DE97E92" w14:textId="77777777" w:rsidR="006C3DEA" w:rsidRPr="00F27BD4" w:rsidRDefault="006C3DEA" w:rsidP="00FA7FC1">
            <w:pPr>
              <w:tabs>
                <w:tab w:val="decimal" w:pos="532"/>
              </w:tabs>
              <w:rPr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71A971E4" w14:textId="77777777" w:rsidR="006C3DEA" w:rsidRPr="00F27BD4" w:rsidRDefault="006C3DEA" w:rsidP="00FA7FC1">
            <w:pPr>
              <w:tabs>
                <w:tab w:val="decimal" w:pos="882"/>
              </w:tabs>
              <w:rPr>
                <w:sz w:val="18"/>
                <w:szCs w:val="18"/>
              </w:rPr>
            </w:pPr>
          </w:p>
        </w:tc>
      </w:tr>
      <w:tr w:rsidR="006C3DEA" w:rsidRPr="00F27BD4" w14:paraId="2407FE11" w14:textId="77777777" w:rsidTr="00FA7FC1">
        <w:trPr>
          <w:trHeight w:val="304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DED208E" w14:textId="77777777" w:rsidR="006C3DEA" w:rsidRPr="00F27BD4" w:rsidRDefault="006C3DEA" w:rsidP="00FA7FC1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27BD4">
              <w:rPr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14:paraId="2D069F2F" w14:textId="78B7D4D5" w:rsidR="006C3DEA" w:rsidRPr="00F27BD4" w:rsidRDefault="00912B88" w:rsidP="00FA7FC1">
            <w:pPr>
              <w:tabs>
                <w:tab w:val="decimal" w:pos="522"/>
              </w:tabs>
              <w:jc w:val="right"/>
              <w:rPr>
                <w:color w:val="000000"/>
                <w:sz w:val="18"/>
                <w:szCs w:val="18"/>
              </w:rPr>
            </w:pPr>
            <w:r w:rsidRPr="00F27BD4">
              <w:rPr>
                <w:color w:val="000000"/>
                <w:sz w:val="18"/>
                <w:szCs w:val="18"/>
              </w:rPr>
              <w:t>1,143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14:paraId="72159F5E" w14:textId="31716A51" w:rsidR="006C3DEA" w:rsidRPr="00F27BD4" w:rsidRDefault="00912B88" w:rsidP="00FA7FC1">
            <w:pPr>
              <w:tabs>
                <w:tab w:val="decimal" w:pos="532"/>
              </w:tabs>
              <w:jc w:val="right"/>
              <w:rPr>
                <w:color w:val="000000"/>
                <w:sz w:val="18"/>
                <w:szCs w:val="18"/>
              </w:rPr>
            </w:pPr>
            <w:r w:rsidRPr="00F27BD4">
              <w:rPr>
                <w:color w:val="000000"/>
                <w:sz w:val="18"/>
                <w:szCs w:val="18"/>
              </w:rPr>
              <w:t>996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428FDC6C" w14:textId="7FA3A015" w:rsidR="006C3DEA" w:rsidRPr="00F27BD4" w:rsidRDefault="00912B88" w:rsidP="00FA7FC1">
            <w:pPr>
              <w:tabs>
                <w:tab w:val="decimal" w:pos="882"/>
              </w:tabs>
              <w:jc w:val="right"/>
              <w:rPr>
                <w:color w:val="000000"/>
                <w:sz w:val="18"/>
                <w:szCs w:val="18"/>
              </w:rPr>
            </w:pPr>
            <w:r w:rsidRPr="00F27BD4">
              <w:rPr>
                <w:color w:val="000000"/>
                <w:sz w:val="18"/>
                <w:szCs w:val="18"/>
              </w:rPr>
              <w:t>117,603</w:t>
            </w:r>
          </w:p>
        </w:tc>
      </w:tr>
      <w:tr w:rsidR="006C3DEA" w:rsidRPr="00F27BD4" w14:paraId="668D285E" w14:textId="77777777" w:rsidTr="00FA7FC1">
        <w:trPr>
          <w:trHeight w:val="304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1AA9C0E" w14:textId="77777777" w:rsidR="006C3DEA" w:rsidRPr="00F27BD4" w:rsidRDefault="006C3DEA" w:rsidP="00FA7FC1">
            <w:pPr>
              <w:ind w:firstLineChars="100" w:firstLine="180"/>
              <w:rPr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14:paraId="6931A2AB" w14:textId="77777777" w:rsidR="006C3DEA" w:rsidRPr="00F27BD4" w:rsidRDefault="006C3DEA" w:rsidP="00FA7FC1">
            <w:pPr>
              <w:tabs>
                <w:tab w:val="decimal" w:pos="522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14:paraId="303A754E" w14:textId="77777777" w:rsidR="006C3DEA" w:rsidRPr="00F27BD4" w:rsidRDefault="006C3DEA" w:rsidP="00FA7FC1">
            <w:pPr>
              <w:tabs>
                <w:tab w:val="decimal" w:pos="532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4DB2FC7D" w14:textId="77777777" w:rsidR="006C3DEA" w:rsidRPr="00F27BD4" w:rsidRDefault="006C3DEA" w:rsidP="00FA7FC1">
            <w:pPr>
              <w:tabs>
                <w:tab w:val="decimal" w:pos="882"/>
              </w:tabs>
              <w:jc w:val="right"/>
              <w:rPr>
                <w:sz w:val="18"/>
                <w:szCs w:val="18"/>
              </w:rPr>
            </w:pPr>
          </w:p>
        </w:tc>
      </w:tr>
      <w:tr w:rsidR="006C3DEA" w:rsidRPr="00F27BD4" w14:paraId="29E1915E" w14:textId="77777777" w:rsidTr="00FA7FC1">
        <w:trPr>
          <w:trHeight w:val="304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05279A3" w14:textId="77777777" w:rsidR="006C3DEA" w:rsidRPr="00F27BD4" w:rsidRDefault="006C3DEA" w:rsidP="00FA7FC1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27BD4">
              <w:rPr>
                <w:color w:val="000000"/>
                <w:sz w:val="18"/>
                <w:szCs w:val="18"/>
              </w:rPr>
              <w:t>Average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14:paraId="071133BE" w14:textId="779D634F" w:rsidR="006C3DEA" w:rsidRPr="00F27BD4" w:rsidRDefault="00912B88" w:rsidP="00FA7FC1">
            <w:pPr>
              <w:tabs>
                <w:tab w:val="decimal" w:pos="522"/>
              </w:tabs>
              <w:jc w:val="right"/>
              <w:rPr>
                <w:color w:val="000000"/>
                <w:sz w:val="18"/>
                <w:szCs w:val="18"/>
              </w:rPr>
            </w:pPr>
            <w:r w:rsidRPr="00F27BD4">
              <w:rPr>
                <w:color w:val="000000"/>
                <w:sz w:val="18"/>
                <w:szCs w:val="18"/>
              </w:rPr>
              <w:t>95.25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14:paraId="39FAA51D" w14:textId="72D04733" w:rsidR="006C3DEA" w:rsidRPr="00F27BD4" w:rsidRDefault="00912B88" w:rsidP="00FA7FC1">
            <w:pPr>
              <w:tabs>
                <w:tab w:val="decimal" w:pos="532"/>
              </w:tabs>
              <w:jc w:val="right"/>
              <w:rPr>
                <w:color w:val="000000"/>
                <w:sz w:val="18"/>
                <w:szCs w:val="18"/>
              </w:rPr>
            </w:pPr>
            <w:r w:rsidRPr="00F27BD4">
              <w:rPr>
                <w:color w:val="000000"/>
                <w:sz w:val="18"/>
                <w:szCs w:val="18"/>
              </w:rPr>
              <w:t>83.00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5F9D2000" w14:textId="7DDE0836" w:rsidR="006C3DEA" w:rsidRPr="00F27BD4" w:rsidRDefault="00912B88" w:rsidP="00FA7FC1">
            <w:pPr>
              <w:tabs>
                <w:tab w:val="decimal" w:pos="882"/>
              </w:tabs>
              <w:jc w:val="right"/>
              <w:rPr>
                <w:color w:val="000000"/>
                <w:sz w:val="18"/>
                <w:szCs w:val="18"/>
              </w:rPr>
            </w:pPr>
            <w:r w:rsidRPr="00F27BD4">
              <w:rPr>
                <w:color w:val="000000"/>
                <w:sz w:val="18"/>
                <w:szCs w:val="18"/>
              </w:rPr>
              <w:t>9,800.25</w:t>
            </w:r>
          </w:p>
        </w:tc>
      </w:tr>
    </w:tbl>
    <w:p w14:paraId="4D92962B" w14:textId="77777777" w:rsidR="006C3DEA" w:rsidRPr="00F27BD4" w:rsidRDefault="006C3DEA" w:rsidP="006C3DEA"/>
    <w:p w14:paraId="0B97D35B" w14:textId="77777777" w:rsidR="006C3DEA" w:rsidRPr="00F27BD4" w:rsidRDefault="006C3DEA" w:rsidP="006C3DEA">
      <w:pPr>
        <w:ind w:left="360" w:hanging="360"/>
        <w:rPr>
          <w:sz w:val="18"/>
          <w:szCs w:val="18"/>
        </w:rPr>
      </w:pPr>
      <w:r w:rsidRPr="00F27BD4">
        <w:rPr>
          <w:sz w:val="18"/>
          <w:szCs w:val="18"/>
        </w:rPr>
        <w:t>*</w:t>
      </w:r>
      <w:r w:rsidRPr="00F27BD4">
        <w:rPr>
          <w:sz w:val="18"/>
          <w:szCs w:val="18"/>
        </w:rPr>
        <w:tab/>
        <w:t>The term “closed” means (1) our office issued a final response approving or denying the request; (2) our office issued a request to narrow letter, to which the requestor did not respond; or (3) the request was withdrawn.</w:t>
      </w:r>
    </w:p>
    <w:p w14:paraId="5A93F477" w14:textId="77777777" w:rsidR="006C3DEA" w:rsidRPr="00F27BD4" w:rsidRDefault="006C3DEA" w:rsidP="006C3DEA">
      <w:pPr>
        <w:ind w:left="360" w:hanging="360"/>
        <w:rPr>
          <w:sz w:val="18"/>
          <w:szCs w:val="18"/>
        </w:rPr>
      </w:pPr>
    </w:p>
    <w:p w14:paraId="79167216" w14:textId="77777777" w:rsidR="006C3DEA" w:rsidRPr="00F27BD4" w:rsidRDefault="006C3DEA" w:rsidP="006C3DEA"/>
    <w:p w14:paraId="6D23B5AB" w14:textId="77777777" w:rsidR="006C3DEA" w:rsidRPr="00F27BD4" w:rsidRDefault="006C3DEA" w:rsidP="006C3DEA">
      <w:pPr>
        <w:spacing w:after="160" w:line="259" w:lineRule="auto"/>
      </w:pPr>
      <w:r w:rsidRPr="00F27BD4">
        <w:br w:type="page"/>
      </w:r>
    </w:p>
    <w:p w14:paraId="0DFD4EBF" w14:textId="29D62FF3" w:rsidR="006C3DEA" w:rsidRPr="00F27BD4" w:rsidRDefault="00686D5D" w:rsidP="006C3DEA">
      <w:pPr>
        <w:rPr>
          <w:b/>
          <w:sz w:val="24"/>
        </w:rPr>
      </w:pPr>
      <w:r w:rsidRPr="00F27BD4">
        <w:rPr>
          <w:b/>
          <w:sz w:val="24"/>
        </w:rPr>
        <w:lastRenderedPageBreak/>
        <w:t>Open and Closed in Calendar 2021</w:t>
      </w:r>
    </w:p>
    <w:p w14:paraId="49C29EF9" w14:textId="77777777" w:rsidR="006C3DEA" w:rsidRPr="00F27BD4" w:rsidRDefault="006C3DEA" w:rsidP="006C3DEA">
      <w:pPr>
        <w:rPr>
          <w:b/>
          <w:sz w:val="24"/>
        </w:rPr>
      </w:pPr>
    </w:p>
    <w:p w14:paraId="4A598907" w14:textId="4A4B60A8" w:rsidR="006C3DEA" w:rsidRPr="00F27BD4" w:rsidRDefault="00FA430F" w:rsidP="006C3DEA">
      <w:pPr>
        <w:rPr>
          <w:b/>
          <w:sz w:val="24"/>
        </w:rPr>
      </w:pPr>
      <w:r w:rsidRPr="00F27BD4">
        <w:rPr>
          <w:noProof/>
        </w:rPr>
        <w:drawing>
          <wp:inline distT="0" distB="0" distL="0" distR="0" wp14:anchorId="48C7F16F" wp14:editId="2DBD053D">
            <wp:extent cx="5218127" cy="2777566"/>
            <wp:effectExtent l="0" t="0" r="1905" b="381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7EAB1D3" w14:textId="77777777" w:rsidR="006C3DEA" w:rsidRPr="00F27BD4" w:rsidRDefault="006C3DEA" w:rsidP="006C3DEA">
      <w:pPr>
        <w:rPr>
          <w:b/>
          <w:sz w:val="24"/>
        </w:rPr>
      </w:pPr>
    </w:p>
    <w:p w14:paraId="31B4D527" w14:textId="77777777" w:rsidR="006C3DEA" w:rsidRPr="00F27BD4" w:rsidRDefault="006C3DEA" w:rsidP="006C3DEA"/>
    <w:p w14:paraId="0162096C" w14:textId="77777777" w:rsidR="006C3DEA" w:rsidRPr="00F27BD4" w:rsidRDefault="006C3DEA" w:rsidP="006C3DEA">
      <w:pPr>
        <w:rPr>
          <w:b/>
        </w:rPr>
      </w:pPr>
      <w:r w:rsidRPr="00F27BD4">
        <w:rPr>
          <w:b/>
        </w:rPr>
        <w:t>Type of Request Received</w:t>
      </w:r>
    </w:p>
    <w:p w14:paraId="291015F4" w14:textId="77777777" w:rsidR="006C3DEA" w:rsidRPr="00F27BD4" w:rsidRDefault="006C3DEA" w:rsidP="006C3DEA">
      <w:pPr>
        <w:rPr>
          <w:b/>
        </w:rPr>
      </w:pPr>
    </w:p>
    <w:tbl>
      <w:tblPr>
        <w:tblW w:w="504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1035"/>
        <w:gridCol w:w="1350"/>
        <w:gridCol w:w="900"/>
      </w:tblGrid>
      <w:tr w:rsidR="006C3DEA" w:rsidRPr="00F27BD4" w14:paraId="6EA151EC" w14:textId="77777777" w:rsidTr="00505618">
        <w:trPr>
          <w:trHeight w:val="300"/>
        </w:trPr>
        <w:tc>
          <w:tcPr>
            <w:tcW w:w="1755" w:type="dxa"/>
            <w:shd w:val="clear" w:color="auto" w:fill="auto"/>
            <w:noWrap/>
            <w:vAlign w:val="center"/>
            <w:hideMark/>
          </w:tcPr>
          <w:p w14:paraId="69270170" w14:textId="77777777" w:rsidR="006C3DEA" w:rsidRPr="00F27BD4" w:rsidRDefault="006C3DEA" w:rsidP="00FA7F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BD4">
              <w:rPr>
                <w:b/>
                <w:bCs/>
                <w:color w:val="000000"/>
                <w:sz w:val="20"/>
                <w:szCs w:val="20"/>
              </w:rPr>
              <w:t>Month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186F1C30" w14:textId="77777777" w:rsidR="006C3DEA" w:rsidRPr="00F27BD4" w:rsidRDefault="006C3DEA" w:rsidP="00FA7F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BD4">
              <w:rPr>
                <w:b/>
                <w:bCs/>
                <w:color w:val="000000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9992E35" w14:textId="77777777" w:rsidR="006C3DEA" w:rsidRPr="00F27BD4" w:rsidRDefault="006C3DEA" w:rsidP="00FA7FC1">
            <w:pPr>
              <w:tabs>
                <w:tab w:val="decimal" w:pos="582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BD4">
              <w:rPr>
                <w:b/>
                <w:bCs/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48EA01E" w14:textId="67776C40" w:rsidR="006C3DEA" w:rsidRPr="00F27BD4" w:rsidRDefault="00505618" w:rsidP="00FA7FC1">
            <w:pPr>
              <w:tabs>
                <w:tab w:val="decimal" w:pos="402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BD4">
              <w:rPr>
                <w:b/>
                <w:bCs/>
                <w:color w:val="000000"/>
                <w:sz w:val="20"/>
                <w:szCs w:val="20"/>
              </w:rPr>
              <w:t>All Else</w:t>
            </w:r>
          </w:p>
        </w:tc>
      </w:tr>
      <w:tr w:rsidR="006C3DEA" w:rsidRPr="00F27BD4" w14:paraId="6C0E2670" w14:textId="77777777" w:rsidTr="00505618">
        <w:trPr>
          <w:trHeight w:val="300"/>
        </w:trPr>
        <w:tc>
          <w:tcPr>
            <w:tcW w:w="1755" w:type="dxa"/>
            <w:shd w:val="clear" w:color="auto" w:fill="auto"/>
            <w:noWrap/>
            <w:vAlign w:val="center"/>
            <w:hideMark/>
          </w:tcPr>
          <w:p w14:paraId="3DD0BF53" w14:textId="77777777" w:rsidR="006C3DEA" w:rsidRPr="00F27BD4" w:rsidRDefault="006C3DEA" w:rsidP="00FA7FC1">
            <w:pPr>
              <w:ind w:firstLineChars="140" w:firstLine="252"/>
              <w:rPr>
                <w:color w:val="000000"/>
                <w:sz w:val="18"/>
                <w:szCs w:val="18"/>
              </w:rPr>
            </w:pPr>
            <w:r w:rsidRPr="00F27BD4">
              <w:rPr>
                <w:color w:val="000000"/>
                <w:sz w:val="18"/>
                <w:szCs w:val="18"/>
              </w:rPr>
              <w:t>January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0C489EE9" w14:textId="17722065" w:rsidR="006C3DEA" w:rsidRPr="00F27BD4" w:rsidRDefault="0050561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26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904F642" w14:textId="3154739A" w:rsidR="006C3DEA" w:rsidRPr="00F27BD4" w:rsidRDefault="0050561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E6822DC" w14:textId="563DF59F" w:rsidR="006C3DEA" w:rsidRPr="00F27BD4" w:rsidRDefault="0050561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43</w:t>
            </w:r>
          </w:p>
        </w:tc>
      </w:tr>
      <w:tr w:rsidR="006C3DEA" w:rsidRPr="00F27BD4" w14:paraId="6D5DEF45" w14:textId="77777777" w:rsidTr="00505618">
        <w:trPr>
          <w:trHeight w:val="300"/>
        </w:trPr>
        <w:tc>
          <w:tcPr>
            <w:tcW w:w="1755" w:type="dxa"/>
            <w:shd w:val="clear" w:color="auto" w:fill="auto"/>
            <w:noWrap/>
            <w:vAlign w:val="center"/>
            <w:hideMark/>
          </w:tcPr>
          <w:p w14:paraId="75E592B1" w14:textId="77777777" w:rsidR="006C3DEA" w:rsidRPr="00F27BD4" w:rsidRDefault="006C3DEA" w:rsidP="00FA7FC1">
            <w:pPr>
              <w:ind w:firstLineChars="140" w:firstLine="252"/>
              <w:rPr>
                <w:color w:val="000000"/>
                <w:sz w:val="18"/>
                <w:szCs w:val="18"/>
              </w:rPr>
            </w:pPr>
            <w:r w:rsidRPr="00F27BD4">
              <w:rPr>
                <w:color w:val="000000"/>
                <w:sz w:val="18"/>
                <w:szCs w:val="18"/>
              </w:rPr>
              <w:t>February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033981D2" w14:textId="0FB105BE" w:rsidR="006C3DEA" w:rsidRPr="00F27BD4" w:rsidRDefault="00A232AB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17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0360FF5" w14:textId="7D3D2AEE" w:rsidR="006C3DEA" w:rsidRPr="00F27BD4" w:rsidRDefault="0050561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50F0C76" w14:textId="26B887E6" w:rsidR="006C3DEA" w:rsidRPr="00F27BD4" w:rsidRDefault="0050561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33</w:t>
            </w:r>
          </w:p>
        </w:tc>
      </w:tr>
      <w:tr w:rsidR="006C3DEA" w:rsidRPr="00F27BD4" w14:paraId="5CE88652" w14:textId="77777777" w:rsidTr="00505618">
        <w:trPr>
          <w:trHeight w:val="300"/>
        </w:trPr>
        <w:tc>
          <w:tcPr>
            <w:tcW w:w="1755" w:type="dxa"/>
            <w:shd w:val="clear" w:color="auto" w:fill="auto"/>
            <w:noWrap/>
            <w:vAlign w:val="center"/>
            <w:hideMark/>
          </w:tcPr>
          <w:p w14:paraId="47B11331" w14:textId="77777777" w:rsidR="006C3DEA" w:rsidRPr="00F27BD4" w:rsidRDefault="006C3DEA" w:rsidP="00FA7FC1">
            <w:pPr>
              <w:ind w:firstLineChars="140" w:firstLine="252"/>
              <w:rPr>
                <w:color w:val="000000"/>
                <w:sz w:val="18"/>
                <w:szCs w:val="18"/>
              </w:rPr>
            </w:pPr>
            <w:r w:rsidRPr="00F27BD4">
              <w:rPr>
                <w:color w:val="000000"/>
                <w:sz w:val="18"/>
                <w:szCs w:val="18"/>
              </w:rPr>
              <w:t>March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6F3A12A5" w14:textId="757686F0" w:rsidR="006C3DEA" w:rsidRPr="00F27BD4" w:rsidRDefault="00A232AB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18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1EA2799" w14:textId="61BA4FC0" w:rsidR="006C3DEA" w:rsidRPr="00F27BD4" w:rsidRDefault="0050561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EFDE28A" w14:textId="4A1C9A18" w:rsidR="006C3DEA" w:rsidRPr="00F27BD4" w:rsidRDefault="0050561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74</w:t>
            </w:r>
          </w:p>
        </w:tc>
      </w:tr>
      <w:tr w:rsidR="006C3DEA" w:rsidRPr="00F27BD4" w14:paraId="2C84540D" w14:textId="77777777" w:rsidTr="00505618">
        <w:trPr>
          <w:trHeight w:val="300"/>
        </w:trPr>
        <w:tc>
          <w:tcPr>
            <w:tcW w:w="1755" w:type="dxa"/>
            <w:shd w:val="clear" w:color="auto" w:fill="auto"/>
            <w:noWrap/>
            <w:vAlign w:val="center"/>
            <w:hideMark/>
          </w:tcPr>
          <w:p w14:paraId="5F75EED9" w14:textId="77777777" w:rsidR="006C3DEA" w:rsidRPr="00F27BD4" w:rsidRDefault="006C3DEA" w:rsidP="00FA7FC1">
            <w:pPr>
              <w:ind w:firstLineChars="140" w:firstLine="252"/>
              <w:rPr>
                <w:color w:val="000000"/>
                <w:sz w:val="18"/>
                <w:szCs w:val="18"/>
              </w:rPr>
            </w:pPr>
            <w:r w:rsidRPr="00F27BD4">
              <w:rPr>
                <w:color w:val="000000"/>
                <w:sz w:val="18"/>
                <w:szCs w:val="18"/>
              </w:rPr>
              <w:t>April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4A58ECB9" w14:textId="1A6910E0" w:rsidR="006C3DEA" w:rsidRPr="00F27BD4" w:rsidRDefault="0050561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24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07E52A4" w14:textId="063E6181" w:rsidR="006C3DEA" w:rsidRPr="00F27BD4" w:rsidRDefault="0050561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9354AD4" w14:textId="181189C2" w:rsidR="006C3DEA" w:rsidRPr="00F27BD4" w:rsidRDefault="0050561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63</w:t>
            </w:r>
          </w:p>
        </w:tc>
      </w:tr>
      <w:tr w:rsidR="006C3DEA" w:rsidRPr="00F27BD4" w14:paraId="61EB1389" w14:textId="77777777" w:rsidTr="00505618">
        <w:trPr>
          <w:trHeight w:val="300"/>
        </w:trPr>
        <w:tc>
          <w:tcPr>
            <w:tcW w:w="1755" w:type="dxa"/>
            <w:shd w:val="clear" w:color="auto" w:fill="auto"/>
            <w:noWrap/>
            <w:vAlign w:val="center"/>
            <w:hideMark/>
          </w:tcPr>
          <w:p w14:paraId="6B993091" w14:textId="77777777" w:rsidR="006C3DEA" w:rsidRPr="00F27BD4" w:rsidRDefault="006C3DEA" w:rsidP="00FA7FC1">
            <w:pPr>
              <w:ind w:firstLineChars="140" w:firstLine="252"/>
              <w:rPr>
                <w:color w:val="000000"/>
                <w:sz w:val="18"/>
                <w:szCs w:val="18"/>
              </w:rPr>
            </w:pPr>
            <w:r w:rsidRPr="00F27BD4">
              <w:rPr>
                <w:color w:val="000000"/>
                <w:sz w:val="18"/>
                <w:szCs w:val="18"/>
              </w:rPr>
              <w:t>May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6EE90D34" w14:textId="717E3626" w:rsidR="006C3DEA" w:rsidRPr="00F27BD4" w:rsidRDefault="0050561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31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DAC7EB2" w14:textId="70A9F87F" w:rsidR="006C3DEA" w:rsidRPr="00F27BD4" w:rsidRDefault="0050561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D8567C7" w14:textId="3993C2DF" w:rsidR="006C3DEA" w:rsidRPr="00F27BD4" w:rsidRDefault="0050561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48</w:t>
            </w:r>
          </w:p>
        </w:tc>
      </w:tr>
      <w:tr w:rsidR="006C3DEA" w:rsidRPr="00F27BD4" w14:paraId="70ECCC0B" w14:textId="77777777" w:rsidTr="00505618">
        <w:trPr>
          <w:trHeight w:val="300"/>
        </w:trPr>
        <w:tc>
          <w:tcPr>
            <w:tcW w:w="1755" w:type="dxa"/>
            <w:shd w:val="clear" w:color="auto" w:fill="auto"/>
            <w:noWrap/>
            <w:vAlign w:val="center"/>
            <w:hideMark/>
          </w:tcPr>
          <w:p w14:paraId="12594B3C" w14:textId="77777777" w:rsidR="006C3DEA" w:rsidRPr="00F27BD4" w:rsidRDefault="006C3DEA" w:rsidP="00FA7FC1">
            <w:pPr>
              <w:ind w:firstLineChars="140" w:firstLine="252"/>
              <w:rPr>
                <w:color w:val="000000"/>
                <w:sz w:val="18"/>
                <w:szCs w:val="18"/>
              </w:rPr>
            </w:pPr>
            <w:r w:rsidRPr="00F27BD4">
              <w:rPr>
                <w:color w:val="000000"/>
                <w:sz w:val="18"/>
                <w:szCs w:val="18"/>
              </w:rPr>
              <w:t>June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06A7F5D2" w14:textId="73033387" w:rsidR="006C3DEA" w:rsidRPr="00F27BD4" w:rsidRDefault="0050561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19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48E3587" w14:textId="2866B5B5" w:rsidR="006C3DEA" w:rsidRPr="00F27BD4" w:rsidRDefault="0050561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EA87DBF" w14:textId="1C3B1087" w:rsidR="006C3DEA" w:rsidRPr="00F27BD4" w:rsidRDefault="0050561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66</w:t>
            </w:r>
          </w:p>
        </w:tc>
      </w:tr>
      <w:tr w:rsidR="006C3DEA" w:rsidRPr="00F27BD4" w14:paraId="2C9340E0" w14:textId="77777777" w:rsidTr="00505618">
        <w:trPr>
          <w:trHeight w:val="300"/>
        </w:trPr>
        <w:tc>
          <w:tcPr>
            <w:tcW w:w="1755" w:type="dxa"/>
            <w:shd w:val="clear" w:color="auto" w:fill="auto"/>
            <w:noWrap/>
            <w:vAlign w:val="center"/>
            <w:hideMark/>
          </w:tcPr>
          <w:p w14:paraId="475CC306" w14:textId="77777777" w:rsidR="006C3DEA" w:rsidRPr="00F27BD4" w:rsidRDefault="006C3DEA" w:rsidP="00FA7FC1">
            <w:pPr>
              <w:ind w:firstLineChars="140" w:firstLine="252"/>
              <w:rPr>
                <w:color w:val="000000"/>
                <w:sz w:val="18"/>
                <w:szCs w:val="18"/>
              </w:rPr>
            </w:pPr>
            <w:r w:rsidRPr="00F27BD4">
              <w:rPr>
                <w:color w:val="000000"/>
                <w:sz w:val="18"/>
                <w:szCs w:val="18"/>
              </w:rPr>
              <w:t>July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4CB28EED" w14:textId="053A89FA" w:rsidR="006C3DEA" w:rsidRPr="00F27BD4" w:rsidRDefault="00A232AB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22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921FA74" w14:textId="57B431DA" w:rsidR="006C3DEA" w:rsidRPr="00F27BD4" w:rsidRDefault="0050561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792249C" w14:textId="197BD1EE" w:rsidR="006C3DEA" w:rsidRPr="00F27BD4" w:rsidRDefault="0050561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83</w:t>
            </w:r>
          </w:p>
        </w:tc>
      </w:tr>
      <w:tr w:rsidR="006C3DEA" w:rsidRPr="00F27BD4" w14:paraId="76BA474F" w14:textId="77777777" w:rsidTr="00505618">
        <w:trPr>
          <w:trHeight w:val="300"/>
        </w:trPr>
        <w:tc>
          <w:tcPr>
            <w:tcW w:w="1755" w:type="dxa"/>
            <w:shd w:val="clear" w:color="auto" w:fill="auto"/>
            <w:noWrap/>
            <w:vAlign w:val="center"/>
            <w:hideMark/>
          </w:tcPr>
          <w:p w14:paraId="282CA0CD" w14:textId="77777777" w:rsidR="006C3DEA" w:rsidRPr="00F27BD4" w:rsidRDefault="006C3DEA" w:rsidP="00FA7FC1">
            <w:pPr>
              <w:ind w:firstLineChars="140" w:firstLine="252"/>
              <w:rPr>
                <w:color w:val="000000"/>
                <w:sz w:val="18"/>
                <w:szCs w:val="18"/>
              </w:rPr>
            </w:pPr>
            <w:r w:rsidRPr="00F27BD4">
              <w:rPr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5321A0A1" w14:textId="44053093" w:rsidR="006C3DEA" w:rsidRPr="00F27BD4" w:rsidRDefault="00A232AB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13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C1C1741" w14:textId="5F040233" w:rsidR="006C3DEA" w:rsidRPr="00F27BD4" w:rsidRDefault="0050561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CB4FF7D" w14:textId="4A644C57" w:rsidR="006C3DEA" w:rsidRPr="00F27BD4" w:rsidRDefault="0050561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44</w:t>
            </w:r>
          </w:p>
        </w:tc>
      </w:tr>
      <w:tr w:rsidR="006C3DEA" w:rsidRPr="00F27BD4" w14:paraId="6027E0A6" w14:textId="77777777" w:rsidTr="00505618">
        <w:trPr>
          <w:trHeight w:val="300"/>
        </w:trPr>
        <w:tc>
          <w:tcPr>
            <w:tcW w:w="1755" w:type="dxa"/>
            <w:shd w:val="clear" w:color="auto" w:fill="auto"/>
            <w:noWrap/>
            <w:vAlign w:val="center"/>
            <w:hideMark/>
          </w:tcPr>
          <w:p w14:paraId="634E86ED" w14:textId="77777777" w:rsidR="006C3DEA" w:rsidRPr="00F27BD4" w:rsidRDefault="006C3DEA" w:rsidP="00FA7FC1">
            <w:pPr>
              <w:ind w:firstLineChars="140" w:firstLine="252"/>
              <w:rPr>
                <w:color w:val="000000"/>
                <w:sz w:val="18"/>
                <w:szCs w:val="18"/>
              </w:rPr>
            </w:pPr>
            <w:r w:rsidRPr="00F27BD4">
              <w:rPr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569B1B39" w14:textId="72E7257E" w:rsidR="006C3DEA" w:rsidRPr="00F27BD4" w:rsidRDefault="0050561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7702D7B" w14:textId="3C43DEC7" w:rsidR="006C3DEA" w:rsidRPr="00F27BD4" w:rsidRDefault="0050561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58D7E02" w14:textId="5FBFD5C6" w:rsidR="006C3DEA" w:rsidRPr="00F27BD4" w:rsidRDefault="0050561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54</w:t>
            </w:r>
          </w:p>
        </w:tc>
      </w:tr>
      <w:tr w:rsidR="006C3DEA" w:rsidRPr="00F27BD4" w14:paraId="34A3B8E7" w14:textId="77777777" w:rsidTr="00505618">
        <w:trPr>
          <w:trHeight w:val="300"/>
        </w:trPr>
        <w:tc>
          <w:tcPr>
            <w:tcW w:w="1755" w:type="dxa"/>
            <w:shd w:val="clear" w:color="auto" w:fill="auto"/>
            <w:noWrap/>
            <w:vAlign w:val="center"/>
            <w:hideMark/>
          </w:tcPr>
          <w:p w14:paraId="74E23CE8" w14:textId="77777777" w:rsidR="006C3DEA" w:rsidRPr="00F27BD4" w:rsidRDefault="006C3DEA" w:rsidP="00FA7FC1">
            <w:pPr>
              <w:ind w:firstLineChars="140" w:firstLine="252"/>
              <w:rPr>
                <w:color w:val="000000"/>
                <w:sz w:val="18"/>
                <w:szCs w:val="18"/>
              </w:rPr>
            </w:pPr>
            <w:r w:rsidRPr="00F27BD4">
              <w:rPr>
                <w:color w:val="000000"/>
                <w:sz w:val="18"/>
                <w:szCs w:val="18"/>
              </w:rPr>
              <w:t>October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2647931C" w14:textId="1BFD2AEA" w:rsidR="006C3DEA" w:rsidRPr="00F27BD4" w:rsidRDefault="0050561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19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2E35258" w14:textId="7154356C" w:rsidR="006C3DEA" w:rsidRPr="00F27BD4" w:rsidRDefault="0050561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5DAC427" w14:textId="51DD5BAD" w:rsidR="006C3DEA" w:rsidRPr="00F27BD4" w:rsidRDefault="0050561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63</w:t>
            </w:r>
          </w:p>
        </w:tc>
      </w:tr>
      <w:tr w:rsidR="006C3DEA" w:rsidRPr="00F27BD4" w14:paraId="0CE9C6EC" w14:textId="77777777" w:rsidTr="00505618">
        <w:trPr>
          <w:trHeight w:val="300"/>
        </w:trPr>
        <w:tc>
          <w:tcPr>
            <w:tcW w:w="1755" w:type="dxa"/>
            <w:shd w:val="clear" w:color="auto" w:fill="auto"/>
            <w:noWrap/>
            <w:vAlign w:val="center"/>
            <w:hideMark/>
          </w:tcPr>
          <w:p w14:paraId="07F93A42" w14:textId="77777777" w:rsidR="006C3DEA" w:rsidRPr="00F27BD4" w:rsidRDefault="006C3DEA" w:rsidP="00FA7FC1">
            <w:pPr>
              <w:ind w:firstLineChars="140" w:firstLine="252"/>
              <w:rPr>
                <w:color w:val="000000"/>
                <w:sz w:val="18"/>
                <w:szCs w:val="18"/>
              </w:rPr>
            </w:pPr>
            <w:r w:rsidRPr="00F27BD4">
              <w:rPr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7F3C9C43" w14:textId="76BACCA9" w:rsidR="006C3DEA" w:rsidRPr="00F27BD4" w:rsidRDefault="0050561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25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343AF93" w14:textId="08706A87" w:rsidR="006C3DEA" w:rsidRPr="00F27BD4" w:rsidRDefault="0050561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6B37058" w14:textId="1BCCFD11" w:rsidR="006C3DEA" w:rsidRPr="00F27BD4" w:rsidRDefault="0050561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62</w:t>
            </w:r>
          </w:p>
        </w:tc>
      </w:tr>
      <w:tr w:rsidR="006C3DEA" w:rsidRPr="00F27BD4" w14:paraId="4DCABA45" w14:textId="77777777" w:rsidTr="00505618">
        <w:trPr>
          <w:trHeight w:val="300"/>
        </w:trPr>
        <w:tc>
          <w:tcPr>
            <w:tcW w:w="1755" w:type="dxa"/>
            <w:shd w:val="clear" w:color="auto" w:fill="auto"/>
            <w:noWrap/>
            <w:vAlign w:val="center"/>
            <w:hideMark/>
          </w:tcPr>
          <w:p w14:paraId="7F81153C" w14:textId="77777777" w:rsidR="006C3DEA" w:rsidRPr="00F27BD4" w:rsidRDefault="006C3DEA" w:rsidP="00FA7FC1">
            <w:pPr>
              <w:ind w:firstLineChars="140" w:firstLine="252"/>
              <w:rPr>
                <w:color w:val="000000"/>
                <w:sz w:val="18"/>
                <w:szCs w:val="18"/>
              </w:rPr>
            </w:pPr>
            <w:r w:rsidRPr="00F27BD4">
              <w:rPr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1618A645" w14:textId="14EC651F" w:rsidR="006C3DEA" w:rsidRPr="00F27BD4" w:rsidRDefault="00A232AB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10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AAF6820" w14:textId="3F6C2ACB" w:rsidR="006C3DEA" w:rsidRPr="00F27BD4" w:rsidRDefault="00B80E7C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63A8345" w14:textId="79573B68" w:rsidR="006C3DEA" w:rsidRPr="00F27BD4" w:rsidRDefault="0050561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31</w:t>
            </w:r>
          </w:p>
        </w:tc>
      </w:tr>
      <w:tr w:rsidR="006C3DEA" w:rsidRPr="00F27BD4" w14:paraId="0A283FB5" w14:textId="77777777" w:rsidTr="00505618">
        <w:trPr>
          <w:trHeight w:val="300"/>
        </w:trPr>
        <w:tc>
          <w:tcPr>
            <w:tcW w:w="1755" w:type="dxa"/>
            <w:shd w:val="clear" w:color="auto" w:fill="auto"/>
            <w:noWrap/>
            <w:vAlign w:val="center"/>
            <w:hideMark/>
          </w:tcPr>
          <w:p w14:paraId="7558B87D" w14:textId="77777777" w:rsidR="006C3DEA" w:rsidRPr="00F27BD4" w:rsidRDefault="006C3DEA" w:rsidP="00FA7FC1">
            <w:pPr>
              <w:ind w:firstLineChars="140" w:firstLine="252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67AA81ED" w14:textId="77777777" w:rsidR="006C3DEA" w:rsidRPr="00F27BD4" w:rsidRDefault="006C3DEA" w:rsidP="00FA7FC1">
            <w:pPr>
              <w:tabs>
                <w:tab w:val="decimal" w:pos="477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3475E4E" w14:textId="77777777" w:rsidR="006C3DEA" w:rsidRPr="00F27BD4" w:rsidRDefault="006C3DEA" w:rsidP="00FA7FC1">
            <w:pPr>
              <w:tabs>
                <w:tab w:val="decimal" w:pos="582"/>
              </w:tabs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3F99DD2" w14:textId="77777777" w:rsidR="006C3DEA" w:rsidRPr="00F27BD4" w:rsidRDefault="006C3DEA" w:rsidP="00FA7FC1">
            <w:pPr>
              <w:tabs>
                <w:tab w:val="decimal" w:pos="402"/>
              </w:tabs>
              <w:ind w:firstLineChars="100" w:firstLine="180"/>
              <w:rPr>
                <w:sz w:val="18"/>
                <w:szCs w:val="18"/>
              </w:rPr>
            </w:pPr>
          </w:p>
        </w:tc>
      </w:tr>
      <w:tr w:rsidR="006C3DEA" w:rsidRPr="00F27BD4" w14:paraId="36DEE6CD" w14:textId="77777777" w:rsidTr="00505618">
        <w:trPr>
          <w:trHeight w:val="300"/>
        </w:trPr>
        <w:tc>
          <w:tcPr>
            <w:tcW w:w="1755" w:type="dxa"/>
            <w:shd w:val="clear" w:color="auto" w:fill="auto"/>
            <w:noWrap/>
            <w:vAlign w:val="center"/>
            <w:hideMark/>
          </w:tcPr>
          <w:p w14:paraId="4520C1FE" w14:textId="77777777" w:rsidR="006C3DEA" w:rsidRPr="00F27BD4" w:rsidRDefault="006C3DEA" w:rsidP="00FA7FC1">
            <w:pPr>
              <w:ind w:firstLineChars="140" w:firstLine="252"/>
              <w:rPr>
                <w:color w:val="000000"/>
                <w:sz w:val="18"/>
                <w:szCs w:val="18"/>
              </w:rPr>
            </w:pPr>
            <w:r w:rsidRPr="00F27BD4">
              <w:rPr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14BF12CE" w14:textId="4DC394BE" w:rsidR="006C3DEA" w:rsidRPr="00F27BD4" w:rsidRDefault="00830C1D" w:rsidP="00FA7FC1">
            <w:pPr>
              <w:jc w:val="right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232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1412109" w14:textId="2C58B2B1" w:rsidR="006C3DEA" w:rsidRPr="00F27BD4" w:rsidRDefault="00505618" w:rsidP="00FA7FC1">
            <w:pPr>
              <w:jc w:val="right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247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A9D1296" w14:textId="1B51BC74" w:rsidR="006C3DEA" w:rsidRPr="00F27BD4" w:rsidRDefault="00505618" w:rsidP="00FA7FC1">
            <w:pPr>
              <w:jc w:val="right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664</w:t>
            </w:r>
          </w:p>
        </w:tc>
      </w:tr>
      <w:tr w:rsidR="006C3DEA" w:rsidRPr="00F27BD4" w14:paraId="73007594" w14:textId="77777777" w:rsidTr="00505618">
        <w:trPr>
          <w:trHeight w:val="300"/>
        </w:trPr>
        <w:tc>
          <w:tcPr>
            <w:tcW w:w="1755" w:type="dxa"/>
            <w:shd w:val="clear" w:color="auto" w:fill="auto"/>
            <w:noWrap/>
            <w:vAlign w:val="center"/>
            <w:hideMark/>
          </w:tcPr>
          <w:p w14:paraId="20491167" w14:textId="77777777" w:rsidR="006C3DEA" w:rsidRPr="00F27BD4" w:rsidRDefault="006C3DEA" w:rsidP="00FA7FC1">
            <w:pPr>
              <w:ind w:firstLineChars="140" w:firstLine="280"/>
              <w:rPr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2E2D6879" w14:textId="77777777" w:rsidR="006C3DEA" w:rsidRPr="00F27BD4" w:rsidRDefault="006C3DEA" w:rsidP="00FA7FC1">
            <w:pPr>
              <w:tabs>
                <w:tab w:val="decimal" w:pos="47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F0DAB72" w14:textId="77777777" w:rsidR="006C3DEA" w:rsidRPr="00F27BD4" w:rsidRDefault="006C3DEA" w:rsidP="00FA7FC1">
            <w:pPr>
              <w:tabs>
                <w:tab w:val="decimal" w:pos="582"/>
              </w:tabs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A7704CF" w14:textId="77777777" w:rsidR="006C3DEA" w:rsidRPr="00F27BD4" w:rsidRDefault="006C3DEA" w:rsidP="00FA7FC1">
            <w:pPr>
              <w:tabs>
                <w:tab w:val="decimal" w:pos="402"/>
              </w:tabs>
              <w:ind w:firstLineChars="100" w:firstLine="200"/>
              <w:jc w:val="right"/>
              <w:rPr>
                <w:sz w:val="20"/>
                <w:szCs w:val="20"/>
              </w:rPr>
            </w:pPr>
          </w:p>
        </w:tc>
      </w:tr>
      <w:tr w:rsidR="006C3DEA" w:rsidRPr="00F27BD4" w14:paraId="5E296339" w14:textId="77777777" w:rsidTr="00505618">
        <w:trPr>
          <w:trHeight w:val="300"/>
        </w:trPr>
        <w:tc>
          <w:tcPr>
            <w:tcW w:w="1755" w:type="dxa"/>
            <w:shd w:val="clear" w:color="auto" w:fill="auto"/>
            <w:noWrap/>
            <w:vAlign w:val="center"/>
            <w:hideMark/>
          </w:tcPr>
          <w:p w14:paraId="73AB9CAF" w14:textId="77777777" w:rsidR="006C3DEA" w:rsidRPr="00F27BD4" w:rsidRDefault="006C3DEA" w:rsidP="00FA7FC1">
            <w:pPr>
              <w:ind w:firstLineChars="140" w:firstLine="252"/>
              <w:rPr>
                <w:color w:val="000000"/>
                <w:sz w:val="18"/>
                <w:szCs w:val="18"/>
              </w:rPr>
            </w:pPr>
            <w:r w:rsidRPr="00F27BD4">
              <w:rPr>
                <w:color w:val="000000"/>
                <w:sz w:val="18"/>
                <w:szCs w:val="18"/>
              </w:rPr>
              <w:t>Average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19A6D166" w14:textId="35189A65" w:rsidR="006C3DEA" w:rsidRPr="00F27BD4" w:rsidRDefault="00830C1D" w:rsidP="00FA7FC1">
            <w:pPr>
              <w:tabs>
                <w:tab w:val="decimal" w:pos="477"/>
              </w:tabs>
              <w:jc w:val="right"/>
              <w:rPr>
                <w:color w:val="000000"/>
                <w:sz w:val="18"/>
                <w:szCs w:val="18"/>
              </w:rPr>
            </w:pPr>
            <w:r w:rsidRPr="00F27BD4">
              <w:rPr>
                <w:color w:val="000000"/>
                <w:sz w:val="18"/>
                <w:szCs w:val="18"/>
              </w:rPr>
              <w:t>19.33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FBBF838" w14:textId="46304641" w:rsidR="006C3DEA" w:rsidRPr="00F27BD4" w:rsidRDefault="00505618" w:rsidP="00FA7FC1">
            <w:pPr>
              <w:tabs>
                <w:tab w:val="decimal" w:pos="582"/>
              </w:tabs>
              <w:ind w:firstLineChars="100" w:firstLine="180"/>
              <w:jc w:val="right"/>
              <w:rPr>
                <w:color w:val="000000"/>
                <w:sz w:val="18"/>
                <w:szCs w:val="18"/>
              </w:rPr>
            </w:pPr>
            <w:r w:rsidRPr="00F27BD4">
              <w:rPr>
                <w:color w:val="000000"/>
                <w:sz w:val="18"/>
                <w:szCs w:val="18"/>
              </w:rPr>
              <w:t>20.58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92E3EBB" w14:textId="0A21AF28" w:rsidR="006C3DEA" w:rsidRPr="00F27BD4" w:rsidRDefault="00505618" w:rsidP="00FA7FC1">
            <w:pPr>
              <w:tabs>
                <w:tab w:val="decimal" w:pos="402"/>
              </w:tabs>
              <w:ind w:firstLineChars="100" w:firstLine="180"/>
              <w:jc w:val="right"/>
              <w:rPr>
                <w:color w:val="000000"/>
                <w:sz w:val="18"/>
                <w:szCs w:val="18"/>
              </w:rPr>
            </w:pPr>
            <w:r w:rsidRPr="00F27BD4">
              <w:rPr>
                <w:color w:val="000000"/>
                <w:sz w:val="18"/>
                <w:szCs w:val="18"/>
              </w:rPr>
              <w:t>55.33</w:t>
            </w:r>
          </w:p>
        </w:tc>
      </w:tr>
    </w:tbl>
    <w:p w14:paraId="74D072FF" w14:textId="77777777" w:rsidR="006C3DEA" w:rsidRPr="00F27BD4" w:rsidRDefault="006C3DEA" w:rsidP="006C3DEA"/>
    <w:p w14:paraId="7BD8930D" w14:textId="77777777" w:rsidR="006C3DEA" w:rsidRPr="00F27BD4" w:rsidRDefault="006C3DEA" w:rsidP="006C3DEA">
      <w:pPr>
        <w:spacing w:after="160" w:line="259" w:lineRule="auto"/>
        <w:rPr>
          <w:sz w:val="18"/>
          <w:szCs w:val="18"/>
        </w:rPr>
      </w:pPr>
      <w:r w:rsidRPr="00F27BD4">
        <w:rPr>
          <w:b/>
          <w:sz w:val="24"/>
        </w:rPr>
        <w:br w:type="page"/>
      </w:r>
      <w:r w:rsidRPr="00F27BD4">
        <w:rPr>
          <w:b/>
        </w:rPr>
        <w:lastRenderedPageBreak/>
        <w:t>Campus of Interest Statistics</w:t>
      </w:r>
    </w:p>
    <w:p w14:paraId="3E8E41A6" w14:textId="77777777" w:rsidR="006C3DEA" w:rsidRPr="00F27BD4" w:rsidRDefault="006C3DEA" w:rsidP="006C3DEA"/>
    <w:tbl>
      <w:tblPr>
        <w:tblW w:w="5850" w:type="dxa"/>
        <w:tblInd w:w="445" w:type="dxa"/>
        <w:tblLayout w:type="fixed"/>
        <w:tblLook w:val="04A0" w:firstRow="1" w:lastRow="0" w:firstColumn="1" w:lastColumn="0" w:noHBand="0" w:noVBand="1"/>
      </w:tblPr>
      <w:tblGrid>
        <w:gridCol w:w="1409"/>
        <w:gridCol w:w="1471"/>
        <w:gridCol w:w="1530"/>
        <w:gridCol w:w="1440"/>
      </w:tblGrid>
      <w:tr w:rsidR="006C3DEA" w:rsidRPr="00F27BD4" w14:paraId="5F063EE0" w14:textId="77777777" w:rsidTr="00FA7FC1">
        <w:trPr>
          <w:trHeight w:val="557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54BE" w14:textId="77777777" w:rsidR="006C3DEA" w:rsidRPr="00F27BD4" w:rsidRDefault="006C3DEA" w:rsidP="00FA7FC1">
            <w:pPr>
              <w:ind w:left="144"/>
              <w:rPr>
                <w:b/>
                <w:color w:val="000000"/>
                <w:sz w:val="20"/>
                <w:szCs w:val="20"/>
              </w:rPr>
            </w:pPr>
            <w:r w:rsidRPr="00F27BD4">
              <w:rPr>
                <w:b/>
                <w:color w:val="000000"/>
                <w:sz w:val="20"/>
                <w:szCs w:val="20"/>
              </w:rPr>
              <w:t>Campus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FC41" w14:textId="77777777" w:rsidR="006C3DEA" w:rsidRPr="00F27BD4" w:rsidRDefault="006C3DEA" w:rsidP="00FA7FC1">
            <w:pPr>
              <w:ind w:left="144"/>
              <w:rPr>
                <w:b/>
                <w:color w:val="000000"/>
                <w:sz w:val="20"/>
                <w:szCs w:val="20"/>
              </w:rPr>
            </w:pPr>
            <w:r w:rsidRPr="00F27BD4">
              <w:rPr>
                <w:b/>
                <w:color w:val="000000"/>
                <w:sz w:val="20"/>
                <w:szCs w:val="20"/>
              </w:rPr>
              <w:t>Number of Requests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0D93" w14:textId="77777777" w:rsidR="006C3DEA" w:rsidRPr="00F27BD4" w:rsidRDefault="006C3DEA" w:rsidP="00FA7FC1">
            <w:pPr>
              <w:ind w:left="144"/>
              <w:rPr>
                <w:b/>
                <w:color w:val="000000"/>
                <w:sz w:val="20"/>
                <w:szCs w:val="20"/>
              </w:rPr>
            </w:pPr>
            <w:r w:rsidRPr="00F27BD4">
              <w:rPr>
                <w:b/>
                <w:color w:val="000000"/>
                <w:sz w:val="20"/>
                <w:szCs w:val="20"/>
              </w:rPr>
              <w:t>Percentage of Requests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9094" w14:textId="77777777" w:rsidR="006C3DEA" w:rsidRPr="00F27BD4" w:rsidRDefault="006C3DEA" w:rsidP="00FA7FC1">
            <w:pPr>
              <w:ind w:left="144"/>
              <w:rPr>
                <w:b/>
                <w:color w:val="000000"/>
                <w:sz w:val="20"/>
                <w:szCs w:val="20"/>
              </w:rPr>
            </w:pPr>
            <w:r w:rsidRPr="00F27BD4">
              <w:rPr>
                <w:b/>
                <w:color w:val="000000"/>
                <w:sz w:val="20"/>
                <w:szCs w:val="20"/>
              </w:rPr>
              <w:t>Pages Provided</w:t>
            </w:r>
          </w:p>
        </w:tc>
      </w:tr>
      <w:tr w:rsidR="006C3DEA" w:rsidRPr="00F27BD4" w14:paraId="1118A461" w14:textId="77777777" w:rsidTr="00FA7FC1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11A9" w14:textId="77777777" w:rsidR="006C3DEA" w:rsidRPr="00F27BD4" w:rsidRDefault="006C3DEA" w:rsidP="00FA7FC1">
            <w:pPr>
              <w:ind w:left="144"/>
              <w:rPr>
                <w:color w:val="000000"/>
                <w:sz w:val="18"/>
                <w:szCs w:val="18"/>
              </w:rPr>
            </w:pPr>
            <w:r w:rsidRPr="00F27BD4">
              <w:rPr>
                <w:color w:val="000000"/>
                <w:sz w:val="18"/>
                <w:szCs w:val="18"/>
              </w:rPr>
              <w:t>Urbana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44A7" w14:textId="5B55195D" w:rsidR="006C3DEA" w:rsidRPr="00F27BD4" w:rsidRDefault="00860933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705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FA6B7" w14:textId="1A010507" w:rsidR="006C3DEA" w:rsidRPr="00F27BD4" w:rsidRDefault="00860933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61.68</w:t>
            </w:r>
            <w:r w:rsidR="006C3DEA" w:rsidRPr="00F27BD4">
              <w:rPr>
                <w:sz w:val="18"/>
                <w:szCs w:val="18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B9178" w14:textId="6FE5E3ED" w:rsidR="006C3DEA" w:rsidRPr="00F27BD4" w:rsidRDefault="00860933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61,001</w:t>
            </w:r>
          </w:p>
        </w:tc>
      </w:tr>
      <w:tr w:rsidR="006C3DEA" w:rsidRPr="00F27BD4" w14:paraId="00CC520A" w14:textId="77777777" w:rsidTr="00FA7FC1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D369" w14:textId="77777777" w:rsidR="006C3DEA" w:rsidRPr="00F27BD4" w:rsidRDefault="006C3DEA" w:rsidP="00FA7FC1">
            <w:pPr>
              <w:ind w:left="144"/>
              <w:rPr>
                <w:color w:val="000000"/>
                <w:sz w:val="18"/>
                <w:szCs w:val="18"/>
              </w:rPr>
            </w:pPr>
            <w:r w:rsidRPr="00F27BD4">
              <w:rPr>
                <w:color w:val="000000"/>
                <w:sz w:val="18"/>
                <w:szCs w:val="18"/>
              </w:rPr>
              <w:t>Chicago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497E" w14:textId="7C980B21" w:rsidR="006C3DEA" w:rsidRPr="00F27BD4" w:rsidRDefault="00860933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249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56BC5" w14:textId="4EB52905" w:rsidR="006C3DEA" w:rsidRPr="00F27BD4" w:rsidRDefault="00860933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21.78</w:t>
            </w:r>
            <w:r w:rsidR="006C3DEA" w:rsidRPr="00F27BD4">
              <w:rPr>
                <w:sz w:val="18"/>
                <w:szCs w:val="18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44E4B" w14:textId="28D34306" w:rsidR="006C3DEA" w:rsidRPr="00F27BD4" w:rsidRDefault="00860933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24,167</w:t>
            </w:r>
          </w:p>
        </w:tc>
      </w:tr>
      <w:tr w:rsidR="006C3DEA" w:rsidRPr="00F27BD4" w14:paraId="458E0A6B" w14:textId="77777777" w:rsidTr="00FA7FC1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055A" w14:textId="77777777" w:rsidR="006C3DEA" w:rsidRPr="00F27BD4" w:rsidRDefault="006C3DEA" w:rsidP="00FA7FC1">
            <w:pPr>
              <w:ind w:left="144"/>
              <w:rPr>
                <w:color w:val="000000"/>
                <w:sz w:val="18"/>
                <w:szCs w:val="18"/>
              </w:rPr>
            </w:pPr>
            <w:r w:rsidRPr="00F27BD4">
              <w:rPr>
                <w:color w:val="000000"/>
                <w:sz w:val="18"/>
                <w:szCs w:val="18"/>
              </w:rPr>
              <w:t>Springfield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1E9F" w14:textId="01660117" w:rsidR="006C3DEA" w:rsidRPr="00F27BD4" w:rsidRDefault="00860933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97F4B" w14:textId="75F519E8" w:rsidR="006C3DEA" w:rsidRPr="00F27BD4" w:rsidRDefault="00860933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7.79</w:t>
            </w:r>
            <w:r w:rsidR="006C3DEA" w:rsidRPr="00F27BD4">
              <w:rPr>
                <w:sz w:val="18"/>
                <w:szCs w:val="18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54FA9" w14:textId="32B01518" w:rsidR="006C3DEA" w:rsidRPr="00F27BD4" w:rsidRDefault="00860933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12,708</w:t>
            </w:r>
          </w:p>
        </w:tc>
      </w:tr>
      <w:tr w:rsidR="006C3DEA" w:rsidRPr="00F27BD4" w14:paraId="39DC4366" w14:textId="77777777" w:rsidTr="00FA7FC1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86CE" w14:textId="77777777" w:rsidR="006C3DEA" w:rsidRPr="00F27BD4" w:rsidRDefault="006C3DEA" w:rsidP="00FA7FC1">
            <w:pPr>
              <w:ind w:left="144"/>
              <w:rPr>
                <w:color w:val="000000"/>
                <w:sz w:val="18"/>
                <w:szCs w:val="18"/>
              </w:rPr>
            </w:pPr>
            <w:r w:rsidRPr="00F27BD4">
              <w:rPr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882B" w14:textId="285ECCC8" w:rsidR="006C3DEA" w:rsidRPr="00F27BD4" w:rsidRDefault="00860933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6B2DC" w14:textId="0CD505D0" w:rsidR="006C3DEA" w:rsidRPr="00F27BD4" w:rsidRDefault="00860933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6.12</w:t>
            </w:r>
            <w:r w:rsidR="006C3DEA" w:rsidRPr="00F27BD4">
              <w:rPr>
                <w:sz w:val="18"/>
                <w:szCs w:val="18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88892" w14:textId="39897CC0" w:rsidR="006C3DEA" w:rsidRPr="00F27BD4" w:rsidRDefault="00860933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11,289</w:t>
            </w:r>
          </w:p>
        </w:tc>
      </w:tr>
      <w:tr w:rsidR="006C3DEA" w:rsidRPr="00F27BD4" w14:paraId="2B10E8B4" w14:textId="77777777" w:rsidTr="00FA7FC1">
        <w:trPr>
          <w:trHeight w:val="557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6B48" w14:textId="77777777" w:rsidR="006C3DEA" w:rsidRPr="00F27BD4" w:rsidRDefault="006C3DEA" w:rsidP="00FA7FC1">
            <w:pPr>
              <w:ind w:left="144"/>
              <w:rPr>
                <w:color w:val="000000"/>
                <w:sz w:val="18"/>
                <w:szCs w:val="18"/>
              </w:rPr>
            </w:pPr>
            <w:r w:rsidRPr="00F27BD4">
              <w:rPr>
                <w:color w:val="000000"/>
                <w:sz w:val="18"/>
                <w:szCs w:val="18"/>
              </w:rPr>
              <w:t>Multiple universities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9115" w14:textId="77777777" w:rsidR="006C3DEA" w:rsidRPr="00F27BD4" w:rsidRDefault="006C3DEA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CA9FF" w14:textId="59E71CA0" w:rsidR="006C3DEA" w:rsidRPr="00F27BD4" w:rsidRDefault="00860933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2.62</w:t>
            </w:r>
            <w:r w:rsidR="006C3DEA" w:rsidRPr="00F27BD4">
              <w:rPr>
                <w:sz w:val="18"/>
                <w:szCs w:val="18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26D89" w14:textId="7F8CC5F7" w:rsidR="006C3DEA" w:rsidRPr="00F27BD4" w:rsidRDefault="00860933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8,438</w:t>
            </w:r>
          </w:p>
        </w:tc>
      </w:tr>
    </w:tbl>
    <w:p w14:paraId="42BC0341" w14:textId="77777777" w:rsidR="006C3DEA" w:rsidRPr="00F27BD4" w:rsidRDefault="006C3DEA" w:rsidP="006C3DEA"/>
    <w:p w14:paraId="41D5A17D" w14:textId="77777777" w:rsidR="006C3DEA" w:rsidRPr="00F27BD4" w:rsidRDefault="006C3DEA" w:rsidP="006C3DEA"/>
    <w:p w14:paraId="3BA12030" w14:textId="77777777" w:rsidR="006C3DEA" w:rsidRPr="00F27BD4" w:rsidRDefault="006C3DEA" w:rsidP="006C3DEA">
      <w:pPr>
        <w:rPr>
          <w:b/>
        </w:rPr>
      </w:pPr>
      <w:r w:rsidRPr="00F27BD4">
        <w:rPr>
          <w:b/>
        </w:rPr>
        <w:t>Requests by Campus</w:t>
      </w:r>
    </w:p>
    <w:p w14:paraId="2F5C9ADE" w14:textId="77777777" w:rsidR="006C3DEA" w:rsidRPr="00F27BD4" w:rsidRDefault="006C3DEA" w:rsidP="006C3DEA"/>
    <w:tbl>
      <w:tblPr>
        <w:tblW w:w="9488" w:type="dxa"/>
        <w:tblInd w:w="113" w:type="dxa"/>
        <w:tblLook w:val="04A0" w:firstRow="1" w:lastRow="0" w:firstColumn="1" w:lastColumn="0" w:noHBand="0" w:noVBand="1"/>
      </w:tblPr>
      <w:tblGrid>
        <w:gridCol w:w="3662"/>
        <w:gridCol w:w="756"/>
        <w:gridCol w:w="1047"/>
        <w:gridCol w:w="978"/>
        <w:gridCol w:w="1110"/>
        <w:gridCol w:w="967"/>
        <w:gridCol w:w="968"/>
      </w:tblGrid>
      <w:tr w:rsidR="006C3DEA" w:rsidRPr="00F27BD4" w14:paraId="350CCE5A" w14:textId="77777777" w:rsidTr="00FA7FC1">
        <w:trPr>
          <w:trHeight w:val="300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10CA" w14:textId="77777777" w:rsidR="006C3DEA" w:rsidRPr="00F27BD4" w:rsidRDefault="006C3DEA" w:rsidP="00FA7FC1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7BD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6DC91" w14:textId="77777777" w:rsidR="006C3DEA" w:rsidRPr="00F27BD4" w:rsidRDefault="006C3DEA" w:rsidP="00FA7FC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27BD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6F94" w14:textId="77777777" w:rsidR="006C3DEA" w:rsidRPr="00F27BD4" w:rsidRDefault="006C3DEA" w:rsidP="00FA7FC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27BD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Urbana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76DB" w14:textId="77777777" w:rsidR="006C3DEA" w:rsidRPr="00F27BD4" w:rsidRDefault="006C3DEA" w:rsidP="00FA7FC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27BD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Chicago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6D39" w14:textId="77777777" w:rsidR="006C3DEA" w:rsidRPr="00F27BD4" w:rsidRDefault="006C3DEA" w:rsidP="00FA7FC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27BD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Springfield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105A" w14:textId="77777777" w:rsidR="006C3DEA" w:rsidRPr="00F27BD4" w:rsidRDefault="006C3DEA" w:rsidP="00FA7FC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27BD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System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3513" w14:textId="77777777" w:rsidR="006C3DEA" w:rsidRPr="00F27BD4" w:rsidRDefault="006C3DEA" w:rsidP="00FA7FC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27BD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Multi</w:t>
            </w:r>
          </w:p>
        </w:tc>
      </w:tr>
      <w:tr w:rsidR="006C3DEA" w:rsidRPr="00F27BD4" w14:paraId="7AD271CC" w14:textId="77777777" w:rsidTr="00FA7FC1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755323B" w14:textId="77777777" w:rsidR="006C3DEA" w:rsidRPr="00F27BD4" w:rsidRDefault="006C3DEA" w:rsidP="00FA7FC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27BD4">
              <w:rPr>
                <w:rFonts w:ascii="Calibri" w:hAnsi="Calibri"/>
                <w:color w:val="000000"/>
                <w:sz w:val="18"/>
                <w:szCs w:val="18"/>
              </w:rPr>
              <w:t>Number of Media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74CB9D" w14:textId="2A42BD3E" w:rsidR="006C3DEA" w:rsidRPr="00F27BD4" w:rsidRDefault="00C706A8" w:rsidP="00FA7FC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7BD4">
              <w:rPr>
                <w:rFonts w:ascii="Calibri" w:hAnsi="Calibri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DB41921" w14:textId="75C70431" w:rsidR="006C3DEA" w:rsidRPr="00F27BD4" w:rsidRDefault="00C706A8" w:rsidP="00FA7FC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7BD4">
              <w:rPr>
                <w:rFonts w:ascii="Calibri" w:hAnsi="Calibri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34F1AF" w14:textId="019DB449" w:rsidR="006C3DEA" w:rsidRPr="00F27BD4" w:rsidRDefault="00C706A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728B997" w14:textId="61F0429E" w:rsidR="006C3DEA" w:rsidRPr="00F27BD4" w:rsidRDefault="00C706A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064A8BB" w14:textId="29A0AACF" w:rsidR="006C3DEA" w:rsidRPr="00F27BD4" w:rsidRDefault="00C706A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A9BD5D" w14:textId="76D60F37" w:rsidR="006C3DEA" w:rsidRPr="00F27BD4" w:rsidRDefault="00C706A8" w:rsidP="00FA7FC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7BD4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</w:tr>
      <w:tr w:rsidR="006C3DEA" w:rsidRPr="00F27BD4" w14:paraId="79FAAF91" w14:textId="77777777" w:rsidTr="00FA7FC1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664A59A" w14:textId="77777777" w:rsidR="006C3DEA" w:rsidRPr="00F27BD4" w:rsidRDefault="006C3DEA" w:rsidP="00FA7FC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27BD4">
              <w:rPr>
                <w:rFonts w:ascii="Calibri" w:hAnsi="Calibri"/>
                <w:color w:val="000000"/>
                <w:sz w:val="18"/>
                <w:szCs w:val="18"/>
              </w:rPr>
              <w:t>Number of Commercial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E3206F3" w14:textId="4D6DE283" w:rsidR="006C3DEA" w:rsidRPr="00F27BD4" w:rsidRDefault="00C706A8" w:rsidP="00FA7FC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7BD4">
              <w:rPr>
                <w:rFonts w:ascii="Calibri" w:hAnsi="Calibri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0415173" w14:textId="072389A3" w:rsidR="006C3DEA" w:rsidRPr="00F27BD4" w:rsidRDefault="00C706A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82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4DE72F5" w14:textId="0FAF3D08" w:rsidR="006C3DEA" w:rsidRPr="00F27BD4" w:rsidRDefault="00C706A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97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4ECF419" w14:textId="500AB16B" w:rsidR="006C3DEA" w:rsidRPr="00F27BD4" w:rsidRDefault="00C706A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19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15D4DC8" w14:textId="73C73B00" w:rsidR="006C3DEA" w:rsidRPr="00F27BD4" w:rsidRDefault="00C706A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38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37DBE4F" w14:textId="5995E62F" w:rsidR="006C3DEA" w:rsidRPr="00F27BD4" w:rsidRDefault="00C706A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11</w:t>
            </w:r>
          </w:p>
        </w:tc>
      </w:tr>
      <w:tr w:rsidR="006C3DEA" w:rsidRPr="00F27BD4" w14:paraId="7C0B462B" w14:textId="77777777" w:rsidTr="00FA7FC1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12E49D6" w14:textId="77777777" w:rsidR="006C3DEA" w:rsidRPr="00F27BD4" w:rsidRDefault="006C3DEA" w:rsidP="00FA7FC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27BD4">
              <w:rPr>
                <w:rFonts w:ascii="Calibri" w:hAnsi="Calibri"/>
                <w:color w:val="000000"/>
                <w:sz w:val="18"/>
                <w:szCs w:val="18"/>
              </w:rPr>
              <w:t>Number of Private/Other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D34979" w14:textId="1A081BEF" w:rsidR="006C3DEA" w:rsidRPr="00F27BD4" w:rsidRDefault="00C706A8" w:rsidP="00FA7FC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7BD4">
              <w:rPr>
                <w:rFonts w:ascii="Calibri" w:hAnsi="Calibri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B6594F" w14:textId="4FD86509" w:rsidR="006C3DEA" w:rsidRPr="00F27BD4" w:rsidRDefault="00C706A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435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18D07F0" w14:textId="2ACCFC82" w:rsidR="006C3DEA" w:rsidRPr="00F27BD4" w:rsidRDefault="00C706A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132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764CAB" w14:textId="3D69DB04" w:rsidR="006C3DEA" w:rsidRPr="00F27BD4" w:rsidRDefault="00C706A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66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76804B9" w14:textId="3402D6AE" w:rsidR="006C3DEA" w:rsidRPr="00F27BD4" w:rsidRDefault="00C706A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19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C8A2DC9" w14:textId="595DE768" w:rsidR="006C3DEA" w:rsidRPr="00F27BD4" w:rsidRDefault="00C706A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12</w:t>
            </w:r>
          </w:p>
        </w:tc>
      </w:tr>
      <w:tr w:rsidR="006C3DEA" w:rsidRPr="00F27BD4" w14:paraId="35473781" w14:textId="77777777" w:rsidTr="00FA7FC1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78FCAC4" w14:textId="77777777" w:rsidR="006C3DEA" w:rsidRPr="00F27BD4" w:rsidRDefault="006C3DEA" w:rsidP="00FA7FC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27BD4">
              <w:rPr>
                <w:rFonts w:ascii="Calibri" w:hAnsi="Calibr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262B7D1" w14:textId="7ED4E388" w:rsidR="006C3DEA" w:rsidRPr="00F27BD4" w:rsidRDefault="00C706A8" w:rsidP="00FA7FC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7BD4">
              <w:rPr>
                <w:rFonts w:ascii="Calibri" w:hAnsi="Calibri"/>
                <w:color w:val="000000"/>
                <w:sz w:val="18"/>
                <w:szCs w:val="18"/>
              </w:rPr>
              <w:t>1,143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0329501" w14:textId="2EA2F229" w:rsidR="006C3DEA" w:rsidRPr="00F27BD4" w:rsidRDefault="00C706A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705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F8B3D87" w14:textId="16757077" w:rsidR="006C3DEA" w:rsidRPr="00F27BD4" w:rsidRDefault="00C706A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249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BC428AD" w14:textId="769D1E0A" w:rsidR="006C3DEA" w:rsidRPr="00F27BD4" w:rsidRDefault="00C706A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89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F595D5F" w14:textId="684C2F0F" w:rsidR="006C3DEA" w:rsidRPr="00F27BD4" w:rsidRDefault="00C706A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25FEE57" w14:textId="77777777" w:rsidR="006C3DEA" w:rsidRPr="00F27BD4" w:rsidRDefault="006C3DEA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30</w:t>
            </w:r>
          </w:p>
        </w:tc>
      </w:tr>
      <w:tr w:rsidR="006C3DEA" w:rsidRPr="00F27BD4" w14:paraId="07840220" w14:textId="77777777" w:rsidTr="00FA7FC1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16AD" w14:textId="77777777" w:rsidR="006C3DEA" w:rsidRPr="00F27BD4" w:rsidRDefault="006C3DEA" w:rsidP="00FA7FC1">
            <w:pPr>
              <w:ind w:firstLineChars="100" w:firstLine="180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7BD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A7EA" w14:textId="77777777" w:rsidR="006C3DEA" w:rsidRPr="00F27BD4" w:rsidRDefault="006C3DEA" w:rsidP="00FA7FC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9745" w14:textId="77777777" w:rsidR="006C3DEA" w:rsidRPr="00F27BD4" w:rsidRDefault="006C3DEA" w:rsidP="00FA7FC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150B" w14:textId="77777777" w:rsidR="006C3DEA" w:rsidRPr="00F27BD4" w:rsidRDefault="006C3DEA" w:rsidP="00FA7FC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452D" w14:textId="77777777" w:rsidR="006C3DEA" w:rsidRPr="00F27BD4" w:rsidRDefault="006C3DEA" w:rsidP="00FA7FC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A4B1" w14:textId="77777777" w:rsidR="006C3DEA" w:rsidRPr="00F27BD4" w:rsidRDefault="006C3DEA" w:rsidP="00FA7FC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EFDF" w14:textId="77777777" w:rsidR="006C3DEA" w:rsidRPr="00F27BD4" w:rsidRDefault="006C3DEA" w:rsidP="00FA7FC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6C3DEA" w:rsidRPr="00F27BD4" w14:paraId="7C31A622" w14:textId="77777777" w:rsidTr="00FA7FC1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3D5F" w14:textId="77777777" w:rsidR="006C3DEA" w:rsidRPr="00F27BD4" w:rsidRDefault="006C3DEA" w:rsidP="00FA7FC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27BD4">
              <w:rPr>
                <w:rFonts w:ascii="Calibri" w:hAnsi="Calibri"/>
                <w:color w:val="000000"/>
                <w:sz w:val="18"/>
                <w:szCs w:val="18"/>
              </w:rPr>
              <w:t>Percent of Media requests by campus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40944BE" w14:textId="77777777" w:rsidR="006C3DEA" w:rsidRPr="00F27BD4" w:rsidRDefault="006C3DEA" w:rsidP="00FA7FC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29F2821" w14:textId="3F5F2585" w:rsidR="006C3DEA" w:rsidRPr="00F27BD4" w:rsidRDefault="00C706A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81.03</w:t>
            </w:r>
            <w:r w:rsidR="006C3DEA" w:rsidRPr="00F27BD4">
              <w:rPr>
                <w:sz w:val="18"/>
                <w:szCs w:val="18"/>
              </w:rPr>
              <w:t>%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ED36489" w14:textId="39C65F78" w:rsidR="006C3DEA" w:rsidRPr="00F27BD4" w:rsidRDefault="00C706A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8.62</w:t>
            </w:r>
            <w:r w:rsidR="006C3DEA" w:rsidRPr="00F27BD4">
              <w:rPr>
                <w:sz w:val="18"/>
                <w:szCs w:val="18"/>
              </w:rPr>
              <w:t>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EC4C0D9" w14:textId="726045C8" w:rsidR="006C3DEA" w:rsidRPr="00F27BD4" w:rsidRDefault="00C706A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1.72</w:t>
            </w:r>
            <w:r w:rsidR="006C3DEA" w:rsidRPr="00F27BD4">
              <w:rPr>
                <w:sz w:val="18"/>
                <w:szCs w:val="18"/>
              </w:rPr>
              <w:t>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D271FF1" w14:textId="3B9325C3" w:rsidR="006C3DEA" w:rsidRPr="00F27BD4" w:rsidRDefault="00C706A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5.60</w:t>
            </w:r>
            <w:r w:rsidR="006C3DEA" w:rsidRPr="00F27BD4">
              <w:rPr>
                <w:sz w:val="18"/>
                <w:szCs w:val="18"/>
              </w:rPr>
              <w:t>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1015BF6" w14:textId="6323899D" w:rsidR="006C3DEA" w:rsidRPr="00F27BD4" w:rsidRDefault="00C706A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3.02</w:t>
            </w:r>
            <w:r w:rsidR="006C3DEA" w:rsidRPr="00F27BD4">
              <w:rPr>
                <w:sz w:val="18"/>
                <w:szCs w:val="18"/>
              </w:rPr>
              <w:t>%</w:t>
            </w:r>
          </w:p>
        </w:tc>
      </w:tr>
      <w:tr w:rsidR="006C3DEA" w:rsidRPr="00F27BD4" w14:paraId="1A27C2CD" w14:textId="77777777" w:rsidTr="00FA7FC1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6848" w14:textId="77777777" w:rsidR="006C3DEA" w:rsidRPr="00F27BD4" w:rsidRDefault="006C3DEA" w:rsidP="00FA7FC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27BD4">
              <w:rPr>
                <w:rFonts w:ascii="Calibri" w:hAnsi="Calibri"/>
                <w:color w:val="000000"/>
                <w:sz w:val="18"/>
                <w:szCs w:val="18"/>
              </w:rPr>
              <w:t>Percent of Commercial requests by campus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510446F" w14:textId="77777777" w:rsidR="006C3DEA" w:rsidRPr="00F27BD4" w:rsidRDefault="006C3DEA" w:rsidP="00FA7FC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14:paraId="7C1E2B97" w14:textId="49EFE8D8" w:rsidR="006C3DEA" w:rsidRPr="00F27BD4" w:rsidRDefault="00C706A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33.20</w:t>
            </w:r>
            <w:r w:rsidR="006C3DEA" w:rsidRPr="00F27BD4">
              <w:rPr>
                <w:sz w:val="18"/>
                <w:szCs w:val="18"/>
              </w:rPr>
              <w:t>%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14:paraId="2C7B34D2" w14:textId="7091725C" w:rsidR="006C3DEA" w:rsidRPr="00F27BD4" w:rsidRDefault="00C706A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39.27</w:t>
            </w:r>
            <w:r w:rsidR="006C3DEA" w:rsidRPr="00F27BD4">
              <w:rPr>
                <w:sz w:val="18"/>
                <w:szCs w:val="18"/>
              </w:rPr>
              <w:t>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14:paraId="0DA62499" w14:textId="57B3F178" w:rsidR="006C3DEA" w:rsidRPr="00F27BD4" w:rsidRDefault="00C706A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7.69</w:t>
            </w:r>
            <w:r w:rsidR="006C3DEA" w:rsidRPr="00F27BD4">
              <w:rPr>
                <w:sz w:val="18"/>
                <w:szCs w:val="18"/>
              </w:rPr>
              <w:t>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14:paraId="39D6BFEC" w14:textId="3DE5035E" w:rsidR="006C3DEA" w:rsidRPr="00F27BD4" w:rsidRDefault="00C706A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15.38</w:t>
            </w:r>
            <w:r w:rsidR="006C3DEA" w:rsidRPr="00F27BD4">
              <w:rPr>
                <w:sz w:val="18"/>
                <w:szCs w:val="18"/>
              </w:rPr>
              <w:t>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14:paraId="7E8D9F5E" w14:textId="7DE7EB75" w:rsidR="006C3DEA" w:rsidRPr="00F27BD4" w:rsidRDefault="00C706A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4.45</w:t>
            </w:r>
            <w:r w:rsidR="006C3DEA" w:rsidRPr="00F27BD4">
              <w:rPr>
                <w:sz w:val="18"/>
                <w:szCs w:val="18"/>
              </w:rPr>
              <w:t>%</w:t>
            </w:r>
          </w:p>
        </w:tc>
      </w:tr>
      <w:tr w:rsidR="006C3DEA" w:rsidRPr="00F27BD4" w14:paraId="5A8FD502" w14:textId="77777777" w:rsidTr="00FA7FC1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EA73" w14:textId="77777777" w:rsidR="006C3DEA" w:rsidRPr="00F27BD4" w:rsidRDefault="006C3DEA" w:rsidP="00FA7FC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27BD4">
              <w:rPr>
                <w:rFonts w:ascii="Calibri" w:hAnsi="Calibri"/>
                <w:color w:val="000000"/>
                <w:sz w:val="18"/>
                <w:szCs w:val="18"/>
              </w:rPr>
              <w:t>Percent of Private/Other requests by campus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F6E531" w14:textId="77777777" w:rsidR="006C3DEA" w:rsidRPr="00F27BD4" w:rsidRDefault="006C3DEA" w:rsidP="00FA7FC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3C3511C" w14:textId="1D58CB55" w:rsidR="006C3DEA" w:rsidRPr="00F27BD4" w:rsidRDefault="00C706A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65.51</w:t>
            </w:r>
            <w:r w:rsidR="006C3DEA" w:rsidRPr="00F27BD4">
              <w:rPr>
                <w:sz w:val="18"/>
                <w:szCs w:val="18"/>
              </w:rPr>
              <w:t>%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70B7485" w14:textId="616117BA" w:rsidR="006C3DEA" w:rsidRPr="00F27BD4" w:rsidRDefault="00C706A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19.88</w:t>
            </w:r>
            <w:r w:rsidR="006C3DEA" w:rsidRPr="00F27BD4">
              <w:rPr>
                <w:sz w:val="18"/>
                <w:szCs w:val="18"/>
              </w:rPr>
              <w:t>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D81C185" w14:textId="717B2E5F" w:rsidR="006C3DEA" w:rsidRPr="00F27BD4" w:rsidRDefault="00C706A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9.94</w:t>
            </w:r>
            <w:r w:rsidR="006C3DEA" w:rsidRPr="00F27BD4">
              <w:rPr>
                <w:sz w:val="18"/>
                <w:szCs w:val="18"/>
              </w:rPr>
              <w:t>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5E9F5CA" w14:textId="0DD25C93" w:rsidR="006C3DEA" w:rsidRPr="00F27BD4" w:rsidRDefault="00C706A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2.86</w:t>
            </w:r>
            <w:r w:rsidR="006C3DEA" w:rsidRPr="00F27BD4">
              <w:rPr>
                <w:sz w:val="18"/>
                <w:szCs w:val="18"/>
              </w:rPr>
              <w:t>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B87247F" w14:textId="7C55B7FC" w:rsidR="006C3DEA" w:rsidRPr="00F27BD4" w:rsidRDefault="00C706A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1.81</w:t>
            </w:r>
            <w:r w:rsidR="006C3DEA" w:rsidRPr="00F27BD4">
              <w:rPr>
                <w:sz w:val="18"/>
                <w:szCs w:val="18"/>
              </w:rPr>
              <w:t>%</w:t>
            </w:r>
          </w:p>
        </w:tc>
      </w:tr>
    </w:tbl>
    <w:p w14:paraId="5AEB8265" w14:textId="77777777" w:rsidR="006C3DEA" w:rsidRPr="00F27BD4" w:rsidRDefault="006C3DEA" w:rsidP="006C3DEA"/>
    <w:tbl>
      <w:tblPr>
        <w:tblW w:w="4360" w:type="dxa"/>
        <w:tblInd w:w="113" w:type="dxa"/>
        <w:tblLook w:val="04A0" w:firstRow="1" w:lastRow="0" w:firstColumn="1" w:lastColumn="0" w:noHBand="0" w:noVBand="1"/>
      </w:tblPr>
      <w:tblGrid>
        <w:gridCol w:w="3482"/>
        <w:gridCol w:w="878"/>
      </w:tblGrid>
      <w:tr w:rsidR="006C3DEA" w:rsidRPr="00F27BD4" w14:paraId="43A18B71" w14:textId="77777777" w:rsidTr="00FA7FC1">
        <w:trPr>
          <w:trHeight w:val="300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64046" w14:textId="77777777" w:rsidR="006C3DEA" w:rsidRPr="00F27BD4" w:rsidRDefault="006C3DEA" w:rsidP="00FA7FC1">
            <w:pPr>
              <w:ind w:firstLineChars="100" w:firstLine="180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7BD4">
              <w:rPr>
                <w:rFonts w:ascii="Calibri" w:hAnsi="Calibri"/>
                <w:color w:val="000000"/>
                <w:sz w:val="18"/>
                <w:szCs w:val="18"/>
              </w:rPr>
              <w:t>Overall percent of Media requests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8044" w14:textId="0028F66C" w:rsidR="006C3DEA" w:rsidRPr="00F27BD4" w:rsidRDefault="00C706A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20.30</w:t>
            </w:r>
            <w:r w:rsidR="006C3DEA" w:rsidRPr="00F27BD4">
              <w:rPr>
                <w:sz w:val="18"/>
                <w:szCs w:val="18"/>
              </w:rPr>
              <w:t>%</w:t>
            </w:r>
          </w:p>
        </w:tc>
      </w:tr>
      <w:tr w:rsidR="006C3DEA" w:rsidRPr="00F27BD4" w14:paraId="38B64AC0" w14:textId="77777777" w:rsidTr="00FA7FC1">
        <w:trPr>
          <w:trHeight w:val="30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F469E" w14:textId="77777777" w:rsidR="006C3DEA" w:rsidRPr="00F27BD4" w:rsidRDefault="006C3DEA" w:rsidP="00FA7FC1">
            <w:pPr>
              <w:ind w:firstLineChars="100" w:firstLine="180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7BD4">
              <w:rPr>
                <w:rFonts w:ascii="Calibri" w:hAnsi="Calibri"/>
                <w:color w:val="000000"/>
                <w:sz w:val="18"/>
                <w:szCs w:val="18"/>
              </w:rPr>
              <w:t>Overall percent of Commercial requests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E9B2" w14:textId="688D5593" w:rsidR="006C3DEA" w:rsidRPr="00F27BD4" w:rsidRDefault="00C706A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21.61</w:t>
            </w:r>
            <w:r w:rsidR="006C3DEA" w:rsidRPr="00F27BD4">
              <w:rPr>
                <w:sz w:val="18"/>
                <w:szCs w:val="18"/>
              </w:rPr>
              <w:t>%</w:t>
            </w:r>
          </w:p>
        </w:tc>
      </w:tr>
      <w:tr w:rsidR="006C3DEA" w:rsidRPr="00F27BD4" w14:paraId="0A5A81AD" w14:textId="77777777" w:rsidTr="00FA7FC1">
        <w:trPr>
          <w:trHeight w:val="30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E6F9B" w14:textId="77777777" w:rsidR="006C3DEA" w:rsidRPr="00F27BD4" w:rsidRDefault="006C3DEA" w:rsidP="00FA7FC1">
            <w:pPr>
              <w:ind w:firstLineChars="100" w:firstLine="180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7BD4">
              <w:rPr>
                <w:rFonts w:ascii="Calibri" w:hAnsi="Calibri"/>
                <w:color w:val="000000"/>
                <w:sz w:val="18"/>
                <w:szCs w:val="18"/>
              </w:rPr>
              <w:t>Overall percent of Private/Other requests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6E90" w14:textId="23F7F24B" w:rsidR="006C3DEA" w:rsidRPr="00F27BD4" w:rsidRDefault="00C706A8" w:rsidP="00FA7FC1">
            <w:pPr>
              <w:jc w:val="center"/>
              <w:rPr>
                <w:sz w:val="18"/>
                <w:szCs w:val="18"/>
              </w:rPr>
            </w:pPr>
            <w:r w:rsidRPr="00F27BD4">
              <w:rPr>
                <w:sz w:val="18"/>
                <w:szCs w:val="18"/>
              </w:rPr>
              <w:t>58.09</w:t>
            </w:r>
            <w:r w:rsidR="006C3DEA" w:rsidRPr="00F27BD4">
              <w:rPr>
                <w:sz w:val="18"/>
                <w:szCs w:val="18"/>
              </w:rPr>
              <w:t>%</w:t>
            </w:r>
          </w:p>
        </w:tc>
      </w:tr>
    </w:tbl>
    <w:p w14:paraId="4D2D8AF6" w14:textId="77777777" w:rsidR="006C3DEA" w:rsidRPr="00F27BD4" w:rsidRDefault="006C3DEA" w:rsidP="006C3DEA"/>
    <w:p w14:paraId="6738D349" w14:textId="77777777" w:rsidR="006C3DEA" w:rsidRPr="00F27BD4" w:rsidRDefault="006C3DEA" w:rsidP="006C3DEA"/>
    <w:p w14:paraId="0A0E8225" w14:textId="77777777" w:rsidR="006C3DEA" w:rsidRPr="00F27BD4" w:rsidRDefault="006C3DEA" w:rsidP="006C3DEA">
      <w:pPr>
        <w:spacing w:after="160" w:line="259" w:lineRule="auto"/>
        <w:rPr>
          <w:b/>
        </w:rPr>
      </w:pPr>
      <w:r w:rsidRPr="00F27BD4">
        <w:rPr>
          <w:b/>
        </w:rPr>
        <w:br w:type="page"/>
      </w:r>
    </w:p>
    <w:p w14:paraId="69A38B1F" w14:textId="77777777" w:rsidR="006C3DEA" w:rsidRPr="00F27BD4" w:rsidRDefault="006C3DEA" w:rsidP="006C3DEA">
      <w:pPr>
        <w:rPr>
          <w:b/>
        </w:rPr>
      </w:pPr>
      <w:r w:rsidRPr="00F27BD4">
        <w:rPr>
          <w:b/>
        </w:rPr>
        <w:lastRenderedPageBreak/>
        <w:t>Percentage of Requests by Requester Type</w:t>
      </w:r>
    </w:p>
    <w:p w14:paraId="421D219E" w14:textId="77777777" w:rsidR="006C3DEA" w:rsidRPr="00F27BD4" w:rsidRDefault="006C3DEA" w:rsidP="006C3DEA">
      <w:pPr>
        <w:rPr>
          <w:b/>
        </w:rPr>
      </w:pPr>
    </w:p>
    <w:p w14:paraId="729F7FD0" w14:textId="7E538F39" w:rsidR="006C3DEA" w:rsidRPr="00F27BD4" w:rsidRDefault="00666B3A" w:rsidP="006C3DEA">
      <w:pPr>
        <w:rPr>
          <w:b/>
        </w:rPr>
      </w:pPr>
      <w:r w:rsidRPr="00F27BD4">
        <w:rPr>
          <w:noProof/>
        </w:rPr>
        <w:drawing>
          <wp:inline distT="0" distB="0" distL="0" distR="0" wp14:anchorId="66AA86D3" wp14:editId="220E3269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BF75176" w14:textId="77777777" w:rsidR="006C3DEA" w:rsidRPr="00F27BD4" w:rsidRDefault="006C3DEA" w:rsidP="006C3DEA"/>
    <w:p w14:paraId="09FD024C" w14:textId="77777777" w:rsidR="006C3DEA" w:rsidRPr="00F27BD4" w:rsidRDefault="006C3DEA" w:rsidP="006C3DEA"/>
    <w:p w14:paraId="4A4DDCC6" w14:textId="77777777" w:rsidR="006C3DEA" w:rsidRPr="00F27BD4" w:rsidRDefault="006C3DEA" w:rsidP="006C3DEA">
      <w:pPr>
        <w:rPr>
          <w:b/>
        </w:rPr>
      </w:pPr>
      <w:r w:rsidRPr="00F27BD4">
        <w:rPr>
          <w:b/>
        </w:rPr>
        <w:t xml:space="preserve">Requests by Media Outlet </w:t>
      </w:r>
    </w:p>
    <w:p w14:paraId="281B767E" w14:textId="77777777" w:rsidR="006C3DEA" w:rsidRPr="00F27BD4" w:rsidRDefault="006C3DEA" w:rsidP="006C3DEA">
      <w:pPr>
        <w:rPr>
          <w:b/>
        </w:rPr>
      </w:pPr>
    </w:p>
    <w:p w14:paraId="409D7C17" w14:textId="64A804CF" w:rsidR="006C3DEA" w:rsidRPr="00F27BD4" w:rsidRDefault="00A919B7" w:rsidP="006C3DEA">
      <w:r w:rsidRPr="00F27BD4">
        <w:rPr>
          <w:noProof/>
        </w:rPr>
        <w:drawing>
          <wp:inline distT="0" distB="0" distL="0" distR="0" wp14:anchorId="1CCD7668" wp14:editId="1A232ED6">
            <wp:extent cx="4572000" cy="27432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4AE60A9" w14:textId="77777777" w:rsidR="006C3DEA" w:rsidRPr="00F27BD4" w:rsidRDefault="006C3DEA" w:rsidP="006C3DEA">
      <w:pPr>
        <w:rPr>
          <w:sz w:val="16"/>
          <w:szCs w:val="16"/>
        </w:rPr>
      </w:pPr>
    </w:p>
    <w:p w14:paraId="60BF1938" w14:textId="7C7A6D92" w:rsidR="00BB2424" w:rsidRPr="006C3DEA" w:rsidRDefault="00ED20F5" w:rsidP="008B049A">
      <w:pPr>
        <w:rPr>
          <w:rFonts w:ascii="Calibri" w:hAnsi="Calibri" w:cs="Calibri"/>
          <w:szCs w:val="22"/>
        </w:rPr>
      </w:pPr>
      <w:r w:rsidRPr="00F27BD4">
        <w:rPr>
          <w:sz w:val="16"/>
          <w:szCs w:val="16"/>
        </w:rPr>
        <w:t>66</w:t>
      </w:r>
      <w:r w:rsidR="006C3DEA" w:rsidRPr="00F27BD4">
        <w:rPr>
          <w:sz w:val="16"/>
          <w:szCs w:val="16"/>
        </w:rPr>
        <w:t xml:space="preserve"> total outlets. </w:t>
      </w:r>
      <w:r w:rsidR="006C3DEA" w:rsidRPr="00F27BD4">
        <w:rPr>
          <w:sz w:val="16"/>
          <w:szCs w:val="16"/>
        </w:rPr>
        <w:br/>
      </w:r>
      <w:r w:rsidR="006C3DEA" w:rsidRPr="00F27BD4">
        <w:rPr>
          <w:i/>
          <w:iCs/>
          <w:sz w:val="16"/>
          <w:szCs w:val="16"/>
        </w:rPr>
        <w:t>Other</w:t>
      </w:r>
      <w:r w:rsidR="006C3DEA" w:rsidRPr="00F27BD4">
        <w:rPr>
          <w:sz w:val="16"/>
          <w:szCs w:val="16"/>
        </w:rPr>
        <w:t xml:space="preserve"> incl</w:t>
      </w:r>
      <w:r w:rsidRPr="00F27BD4">
        <w:rPr>
          <w:sz w:val="16"/>
          <w:szCs w:val="16"/>
        </w:rPr>
        <w:t>udes outlets filing fewer than 9</w:t>
      </w:r>
      <w:r w:rsidR="006C3DEA" w:rsidRPr="00F27BD4">
        <w:rPr>
          <w:sz w:val="16"/>
          <w:szCs w:val="16"/>
        </w:rPr>
        <w:t xml:space="preserve"> requests.</w:t>
      </w:r>
    </w:p>
    <w:sectPr w:rsidR="00BB2424" w:rsidRPr="006C3DEA" w:rsidSect="005E70DA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87BE3" w14:textId="77777777" w:rsidR="009E7E0D" w:rsidRDefault="009E7E0D" w:rsidP="00F94463">
      <w:r>
        <w:separator/>
      </w:r>
    </w:p>
  </w:endnote>
  <w:endnote w:type="continuationSeparator" w:id="0">
    <w:p w14:paraId="2E11E57C" w14:textId="77777777" w:rsidR="009E7E0D" w:rsidRDefault="009E7E0D" w:rsidP="00F9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B2F5" w14:textId="02478E1A" w:rsidR="00FA7FC1" w:rsidRPr="00AE73DE" w:rsidRDefault="005F030C">
    <w:pPr>
      <w:pStyle w:val="Footer"/>
      <w:rPr>
        <w:rFonts w:asciiTheme="minorHAnsi" w:hAnsiTheme="minorHAnsi"/>
        <w:color w:val="595959" w:themeColor="text1" w:themeTint="A6"/>
        <w:sz w:val="18"/>
        <w:szCs w:val="18"/>
      </w:rPr>
    </w:pPr>
    <w:r>
      <w:rPr>
        <w:rFonts w:asciiTheme="minorHAnsi" w:hAnsiTheme="minorHAnsi"/>
        <w:color w:val="595959" w:themeColor="text1" w:themeTint="A6"/>
        <w:sz w:val="18"/>
        <w:szCs w:val="18"/>
      </w:rPr>
      <w:t>2021</w:t>
    </w:r>
    <w:r w:rsidR="00FA7FC1" w:rsidRPr="00AE73DE">
      <w:rPr>
        <w:rFonts w:asciiTheme="minorHAnsi" w:hAnsiTheme="minorHAnsi"/>
        <w:color w:val="595959" w:themeColor="text1" w:themeTint="A6"/>
        <w:sz w:val="18"/>
        <w:szCs w:val="18"/>
      </w:rPr>
      <w:t xml:space="preserve"> FOIA summary</w:t>
    </w:r>
    <w:r w:rsidR="00FA7FC1" w:rsidRPr="00AE73DE">
      <w:rPr>
        <w:rFonts w:asciiTheme="minorHAnsi" w:hAnsiTheme="minorHAnsi"/>
        <w:color w:val="595959" w:themeColor="text1" w:themeTint="A6"/>
        <w:sz w:val="18"/>
        <w:szCs w:val="18"/>
      </w:rPr>
      <w:tab/>
      <w:t xml:space="preserve">Page | </w:t>
    </w:r>
    <w:r w:rsidR="00FA7FC1" w:rsidRPr="00AE73DE">
      <w:rPr>
        <w:rFonts w:asciiTheme="minorHAnsi" w:hAnsiTheme="minorHAnsi"/>
        <w:color w:val="595959" w:themeColor="text1" w:themeTint="A6"/>
        <w:sz w:val="18"/>
        <w:szCs w:val="18"/>
      </w:rPr>
      <w:fldChar w:fldCharType="begin"/>
    </w:r>
    <w:r w:rsidR="00FA7FC1" w:rsidRPr="00AE73DE">
      <w:rPr>
        <w:rFonts w:asciiTheme="minorHAnsi" w:hAnsiTheme="minorHAnsi"/>
        <w:color w:val="595959" w:themeColor="text1" w:themeTint="A6"/>
        <w:sz w:val="18"/>
        <w:szCs w:val="18"/>
      </w:rPr>
      <w:instrText xml:space="preserve"> PAGE   \* MERGEFORMAT </w:instrText>
    </w:r>
    <w:r w:rsidR="00FA7FC1" w:rsidRPr="00AE73DE">
      <w:rPr>
        <w:rFonts w:asciiTheme="minorHAnsi" w:hAnsiTheme="minorHAnsi"/>
        <w:color w:val="595959" w:themeColor="text1" w:themeTint="A6"/>
        <w:sz w:val="18"/>
        <w:szCs w:val="18"/>
      </w:rPr>
      <w:fldChar w:fldCharType="separate"/>
    </w:r>
    <w:r w:rsidR="002C3829">
      <w:rPr>
        <w:rFonts w:asciiTheme="minorHAnsi" w:hAnsiTheme="minorHAnsi"/>
        <w:noProof/>
        <w:color w:val="595959" w:themeColor="text1" w:themeTint="A6"/>
        <w:sz w:val="18"/>
        <w:szCs w:val="18"/>
      </w:rPr>
      <w:t>10</w:t>
    </w:r>
    <w:r w:rsidR="00FA7FC1" w:rsidRPr="00AE73DE">
      <w:rPr>
        <w:rFonts w:asciiTheme="minorHAnsi" w:hAnsiTheme="minorHAnsi"/>
        <w:noProof/>
        <w:color w:val="595959" w:themeColor="text1" w:themeTint="A6"/>
        <w:sz w:val="18"/>
        <w:szCs w:val="18"/>
      </w:rPr>
      <w:fldChar w:fldCharType="end"/>
    </w:r>
    <w:r w:rsidR="00FA7FC1" w:rsidRPr="00AE73DE">
      <w:rPr>
        <w:rFonts w:asciiTheme="minorHAnsi" w:hAnsiTheme="minorHAnsi"/>
        <w:noProof/>
        <w:color w:val="595959" w:themeColor="text1" w:themeTint="A6"/>
        <w:sz w:val="18"/>
        <w:szCs w:val="18"/>
      </w:rPr>
      <w:tab/>
      <w:t>Office for University Relations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391BE" w14:textId="77777777" w:rsidR="009E7E0D" w:rsidRDefault="009E7E0D" w:rsidP="00F94463">
      <w:r>
        <w:separator/>
      </w:r>
    </w:p>
  </w:footnote>
  <w:footnote w:type="continuationSeparator" w:id="0">
    <w:p w14:paraId="3067A099" w14:textId="77777777" w:rsidR="009E7E0D" w:rsidRDefault="009E7E0D" w:rsidP="00F94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5033" w14:textId="77777777" w:rsidR="00FA7FC1" w:rsidRDefault="00FA7FC1" w:rsidP="00F94463">
    <w:pPr>
      <w:pStyle w:val="Header"/>
      <w:jc w:val="center"/>
    </w:pPr>
    <w:r>
      <w:rPr>
        <w:noProof/>
      </w:rPr>
      <w:drawing>
        <wp:inline distT="0" distB="0" distL="0" distR="0" wp14:anchorId="50606D66" wp14:editId="1E51D539">
          <wp:extent cx="6400800" cy="4629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llinois-System-Logo__Horizontal-Color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462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5B6A54" w14:textId="77777777" w:rsidR="00FA7FC1" w:rsidRPr="00975C4A" w:rsidRDefault="00FA7FC1" w:rsidP="00F94463">
    <w:pPr>
      <w:pStyle w:val="Header"/>
      <w:spacing w:before="120"/>
      <w:jc w:val="center"/>
      <w:rPr>
        <w:rFonts w:ascii="Palatino Linotype" w:hAnsi="Palatino Linotype"/>
        <w:smallCaps/>
        <w:spacing w:val="36"/>
        <w:sz w:val="24"/>
      </w:rPr>
    </w:pPr>
    <w:r w:rsidRPr="00975C4A">
      <w:rPr>
        <w:rFonts w:ascii="Palatino Linotype" w:hAnsi="Palatino Linotype"/>
        <w:smallCaps/>
        <w:spacing w:val="36"/>
        <w:sz w:val="24"/>
      </w:rPr>
      <w:t>Office for University Relations</w:t>
    </w:r>
  </w:p>
  <w:p w14:paraId="340ADC07" w14:textId="36E58059" w:rsidR="00FA7FC1" w:rsidRPr="00975C4A" w:rsidRDefault="00FA7FC1" w:rsidP="00F94463">
    <w:pPr>
      <w:pStyle w:val="Header"/>
      <w:jc w:val="center"/>
      <w:rPr>
        <w:rFonts w:ascii="Palatino Linotype" w:hAnsi="Palatino Linotype"/>
      </w:rPr>
    </w:pPr>
    <w:r>
      <w:rPr>
        <w:rFonts w:ascii="Palatino Linotype" w:hAnsi="Palatino Linotype"/>
      </w:rPr>
      <w:t>Freedom of Information Act 2021 Year-End Review</w:t>
    </w:r>
  </w:p>
  <w:p w14:paraId="1FA7C546" w14:textId="77777777" w:rsidR="00FA7FC1" w:rsidRDefault="00FA7F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75AF4"/>
    <w:multiLevelType w:val="hybridMultilevel"/>
    <w:tmpl w:val="0A5829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7E7E31"/>
    <w:multiLevelType w:val="hybridMultilevel"/>
    <w:tmpl w:val="C234D71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B0242E5"/>
    <w:multiLevelType w:val="hybridMultilevel"/>
    <w:tmpl w:val="2230C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84308"/>
    <w:multiLevelType w:val="hybridMultilevel"/>
    <w:tmpl w:val="9CE81E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186488"/>
    <w:multiLevelType w:val="hybridMultilevel"/>
    <w:tmpl w:val="8E5E5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67D00"/>
    <w:multiLevelType w:val="hybridMultilevel"/>
    <w:tmpl w:val="9910A6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1E87F22"/>
    <w:multiLevelType w:val="hybridMultilevel"/>
    <w:tmpl w:val="00644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463"/>
    <w:rsid w:val="00002A26"/>
    <w:rsid w:val="00002E11"/>
    <w:rsid w:val="00006E0B"/>
    <w:rsid w:val="0002057D"/>
    <w:rsid w:val="00021E33"/>
    <w:rsid w:val="00024044"/>
    <w:rsid w:val="000401EB"/>
    <w:rsid w:val="00047672"/>
    <w:rsid w:val="000541B8"/>
    <w:rsid w:val="00055BAD"/>
    <w:rsid w:val="00057638"/>
    <w:rsid w:val="0006774F"/>
    <w:rsid w:val="00071FBF"/>
    <w:rsid w:val="00074655"/>
    <w:rsid w:val="000813C8"/>
    <w:rsid w:val="000840F2"/>
    <w:rsid w:val="00087470"/>
    <w:rsid w:val="00096184"/>
    <w:rsid w:val="000A1F9D"/>
    <w:rsid w:val="000A4D22"/>
    <w:rsid w:val="000B0AB9"/>
    <w:rsid w:val="000B312F"/>
    <w:rsid w:val="000B3151"/>
    <w:rsid w:val="000D59EB"/>
    <w:rsid w:val="000E3D58"/>
    <w:rsid w:val="000F06FF"/>
    <w:rsid w:val="000F1712"/>
    <w:rsid w:val="001057ED"/>
    <w:rsid w:val="001060EC"/>
    <w:rsid w:val="00117348"/>
    <w:rsid w:val="00117B8E"/>
    <w:rsid w:val="00120530"/>
    <w:rsid w:val="001328BC"/>
    <w:rsid w:val="0013637B"/>
    <w:rsid w:val="00140D75"/>
    <w:rsid w:val="001412A2"/>
    <w:rsid w:val="00147BA4"/>
    <w:rsid w:val="00150BA1"/>
    <w:rsid w:val="00155D1B"/>
    <w:rsid w:val="001575CA"/>
    <w:rsid w:val="00162A61"/>
    <w:rsid w:val="00167875"/>
    <w:rsid w:val="001728F5"/>
    <w:rsid w:val="001770FF"/>
    <w:rsid w:val="00180A70"/>
    <w:rsid w:val="001A65EC"/>
    <w:rsid w:val="001B14D4"/>
    <w:rsid w:val="001B3A1F"/>
    <w:rsid w:val="001D0626"/>
    <w:rsid w:val="001D2490"/>
    <w:rsid w:val="001E079D"/>
    <w:rsid w:val="001E5E4A"/>
    <w:rsid w:val="001E665B"/>
    <w:rsid w:val="001F117E"/>
    <w:rsid w:val="001F1ED3"/>
    <w:rsid w:val="00203773"/>
    <w:rsid w:val="00205003"/>
    <w:rsid w:val="00207436"/>
    <w:rsid w:val="002105F0"/>
    <w:rsid w:val="0021390F"/>
    <w:rsid w:val="002149D3"/>
    <w:rsid w:val="00223F76"/>
    <w:rsid w:val="00226E89"/>
    <w:rsid w:val="00240E76"/>
    <w:rsid w:val="0026155F"/>
    <w:rsid w:val="00261858"/>
    <w:rsid w:val="00264C8E"/>
    <w:rsid w:val="00265ACE"/>
    <w:rsid w:val="0027785E"/>
    <w:rsid w:val="00286C0F"/>
    <w:rsid w:val="00292FAD"/>
    <w:rsid w:val="00294AFB"/>
    <w:rsid w:val="002A19C5"/>
    <w:rsid w:val="002A5838"/>
    <w:rsid w:val="002B1CCD"/>
    <w:rsid w:val="002B6C79"/>
    <w:rsid w:val="002C3829"/>
    <w:rsid w:val="002D71F9"/>
    <w:rsid w:val="002F36A1"/>
    <w:rsid w:val="00310B47"/>
    <w:rsid w:val="00310BFE"/>
    <w:rsid w:val="00314090"/>
    <w:rsid w:val="00321E0B"/>
    <w:rsid w:val="003363B8"/>
    <w:rsid w:val="00336B65"/>
    <w:rsid w:val="003433B7"/>
    <w:rsid w:val="00351564"/>
    <w:rsid w:val="00355F54"/>
    <w:rsid w:val="00364959"/>
    <w:rsid w:val="003652FA"/>
    <w:rsid w:val="00372250"/>
    <w:rsid w:val="00375E6B"/>
    <w:rsid w:val="00376531"/>
    <w:rsid w:val="00394F4F"/>
    <w:rsid w:val="003B5E75"/>
    <w:rsid w:val="003C5C34"/>
    <w:rsid w:val="003D391E"/>
    <w:rsid w:val="003D4B78"/>
    <w:rsid w:val="003E0103"/>
    <w:rsid w:val="003E4033"/>
    <w:rsid w:val="003F6921"/>
    <w:rsid w:val="00407649"/>
    <w:rsid w:val="0041290D"/>
    <w:rsid w:val="00417722"/>
    <w:rsid w:val="00417888"/>
    <w:rsid w:val="00426C49"/>
    <w:rsid w:val="00440102"/>
    <w:rsid w:val="00447EB1"/>
    <w:rsid w:val="004652F7"/>
    <w:rsid w:val="00465351"/>
    <w:rsid w:val="00472383"/>
    <w:rsid w:val="004723FF"/>
    <w:rsid w:val="00477D65"/>
    <w:rsid w:val="0048563E"/>
    <w:rsid w:val="004878B9"/>
    <w:rsid w:val="004878D1"/>
    <w:rsid w:val="00490A01"/>
    <w:rsid w:val="004969E3"/>
    <w:rsid w:val="004A047B"/>
    <w:rsid w:val="004A121B"/>
    <w:rsid w:val="004A1AEB"/>
    <w:rsid w:val="004B3470"/>
    <w:rsid w:val="004B5970"/>
    <w:rsid w:val="004C2F27"/>
    <w:rsid w:val="004C7603"/>
    <w:rsid w:val="004D1F33"/>
    <w:rsid w:val="004D481C"/>
    <w:rsid w:val="004D7AB4"/>
    <w:rsid w:val="004E1AAB"/>
    <w:rsid w:val="004E7CA1"/>
    <w:rsid w:val="004E7FD3"/>
    <w:rsid w:val="004F083B"/>
    <w:rsid w:val="004F243D"/>
    <w:rsid w:val="004F3770"/>
    <w:rsid w:val="00505618"/>
    <w:rsid w:val="005104B5"/>
    <w:rsid w:val="00511CD6"/>
    <w:rsid w:val="005170C4"/>
    <w:rsid w:val="00522D55"/>
    <w:rsid w:val="0052313A"/>
    <w:rsid w:val="00523CCB"/>
    <w:rsid w:val="0052592A"/>
    <w:rsid w:val="00530FBE"/>
    <w:rsid w:val="00533F50"/>
    <w:rsid w:val="00537224"/>
    <w:rsid w:val="0054124A"/>
    <w:rsid w:val="00544699"/>
    <w:rsid w:val="00546BF6"/>
    <w:rsid w:val="00562FB0"/>
    <w:rsid w:val="0056409F"/>
    <w:rsid w:val="00567D9B"/>
    <w:rsid w:val="005715B6"/>
    <w:rsid w:val="00576BF3"/>
    <w:rsid w:val="005776B9"/>
    <w:rsid w:val="0058004C"/>
    <w:rsid w:val="00583F16"/>
    <w:rsid w:val="0059098D"/>
    <w:rsid w:val="0059398B"/>
    <w:rsid w:val="005A117F"/>
    <w:rsid w:val="005B3568"/>
    <w:rsid w:val="005C5E87"/>
    <w:rsid w:val="005C6BF2"/>
    <w:rsid w:val="005E141A"/>
    <w:rsid w:val="005E18E4"/>
    <w:rsid w:val="005E70DA"/>
    <w:rsid w:val="005F030C"/>
    <w:rsid w:val="005F2536"/>
    <w:rsid w:val="005F443D"/>
    <w:rsid w:val="00600522"/>
    <w:rsid w:val="006053BA"/>
    <w:rsid w:val="006067EB"/>
    <w:rsid w:val="00606916"/>
    <w:rsid w:val="00612E5D"/>
    <w:rsid w:val="00620682"/>
    <w:rsid w:val="00631B16"/>
    <w:rsid w:val="00631B74"/>
    <w:rsid w:val="006330B5"/>
    <w:rsid w:val="006331C9"/>
    <w:rsid w:val="006346F6"/>
    <w:rsid w:val="006514A3"/>
    <w:rsid w:val="00655064"/>
    <w:rsid w:val="00661C8F"/>
    <w:rsid w:val="00664755"/>
    <w:rsid w:val="00666B3A"/>
    <w:rsid w:val="00674444"/>
    <w:rsid w:val="00675710"/>
    <w:rsid w:val="00676840"/>
    <w:rsid w:val="00677326"/>
    <w:rsid w:val="0067747D"/>
    <w:rsid w:val="00677AD1"/>
    <w:rsid w:val="00686D5D"/>
    <w:rsid w:val="00691D9F"/>
    <w:rsid w:val="006935C7"/>
    <w:rsid w:val="00694065"/>
    <w:rsid w:val="00694909"/>
    <w:rsid w:val="0069622F"/>
    <w:rsid w:val="00696F15"/>
    <w:rsid w:val="006A4ABE"/>
    <w:rsid w:val="006A570B"/>
    <w:rsid w:val="006A7F54"/>
    <w:rsid w:val="006B517F"/>
    <w:rsid w:val="006B5691"/>
    <w:rsid w:val="006B6B15"/>
    <w:rsid w:val="006B7740"/>
    <w:rsid w:val="006C3187"/>
    <w:rsid w:val="006C3DEA"/>
    <w:rsid w:val="006D3847"/>
    <w:rsid w:val="006D76A1"/>
    <w:rsid w:val="006E1005"/>
    <w:rsid w:val="006E5DAB"/>
    <w:rsid w:val="006F0502"/>
    <w:rsid w:val="006F28E6"/>
    <w:rsid w:val="006F5A80"/>
    <w:rsid w:val="006F65C1"/>
    <w:rsid w:val="006F6EA3"/>
    <w:rsid w:val="00703B4B"/>
    <w:rsid w:val="007317C9"/>
    <w:rsid w:val="0073576A"/>
    <w:rsid w:val="00735F03"/>
    <w:rsid w:val="00754E85"/>
    <w:rsid w:val="00762AA3"/>
    <w:rsid w:val="00763CC8"/>
    <w:rsid w:val="00777E27"/>
    <w:rsid w:val="0078084C"/>
    <w:rsid w:val="007861C0"/>
    <w:rsid w:val="00790E54"/>
    <w:rsid w:val="00792C8D"/>
    <w:rsid w:val="00794906"/>
    <w:rsid w:val="007C057D"/>
    <w:rsid w:val="007C32CD"/>
    <w:rsid w:val="007D16CB"/>
    <w:rsid w:val="007D6FFC"/>
    <w:rsid w:val="007E1322"/>
    <w:rsid w:val="007E7980"/>
    <w:rsid w:val="007F136A"/>
    <w:rsid w:val="007F3A73"/>
    <w:rsid w:val="007F422A"/>
    <w:rsid w:val="007F469E"/>
    <w:rsid w:val="00804CEC"/>
    <w:rsid w:val="00804CF7"/>
    <w:rsid w:val="00814C4F"/>
    <w:rsid w:val="008168D5"/>
    <w:rsid w:val="00816C27"/>
    <w:rsid w:val="00817631"/>
    <w:rsid w:val="0083096C"/>
    <w:rsid w:val="00830C1D"/>
    <w:rsid w:val="0084040F"/>
    <w:rsid w:val="008417A7"/>
    <w:rsid w:val="00845B27"/>
    <w:rsid w:val="00860933"/>
    <w:rsid w:val="0086333E"/>
    <w:rsid w:val="00867E15"/>
    <w:rsid w:val="00885AF1"/>
    <w:rsid w:val="0088719F"/>
    <w:rsid w:val="00895606"/>
    <w:rsid w:val="008965CB"/>
    <w:rsid w:val="008974D4"/>
    <w:rsid w:val="008A7605"/>
    <w:rsid w:val="008B049A"/>
    <w:rsid w:val="008B77FA"/>
    <w:rsid w:val="008C64B7"/>
    <w:rsid w:val="008C74A5"/>
    <w:rsid w:val="008D4076"/>
    <w:rsid w:val="008D77CF"/>
    <w:rsid w:val="008D77E3"/>
    <w:rsid w:val="008E73DC"/>
    <w:rsid w:val="008F5221"/>
    <w:rsid w:val="0090119A"/>
    <w:rsid w:val="00905997"/>
    <w:rsid w:val="00912B88"/>
    <w:rsid w:val="00922EDA"/>
    <w:rsid w:val="009230B8"/>
    <w:rsid w:val="00925BF4"/>
    <w:rsid w:val="009264CB"/>
    <w:rsid w:val="0093138D"/>
    <w:rsid w:val="00934050"/>
    <w:rsid w:val="0094318B"/>
    <w:rsid w:val="00945E14"/>
    <w:rsid w:val="0094763B"/>
    <w:rsid w:val="009505CC"/>
    <w:rsid w:val="00955A7E"/>
    <w:rsid w:val="009561F3"/>
    <w:rsid w:val="00957A45"/>
    <w:rsid w:val="009623FA"/>
    <w:rsid w:val="00962B4D"/>
    <w:rsid w:val="0097226B"/>
    <w:rsid w:val="009826C9"/>
    <w:rsid w:val="009843EA"/>
    <w:rsid w:val="009846E3"/>
    <w:rsid w:val="00987047"/>
    <w:rsid w:val="00992803"/>
    <w:rsid w:val="009952FD"/>
    <w:rsid w:val="00995813"/>
    <w:rsid w:val="009A2220"/>
    <w:rsid w:val="009B2BE4"/>
    <w:rsid w:val="009B4625"/>
    <w:rsid w:val="009D23B7"/>
    <w:rsid w:val="009D47DE"/>
    <w:rsid w:val="009E7E0D"/>
    <w:rsid w:val="00A037B2"/>
    <w:rsid w:val="00A07674"/>
    <w:rsid w:val="00A13D3C"/>
    <w:rsid w:val="00A15051"/>
    <w:rsid w:val="00A16B0F"/>
    <w:rsid w:val="00A232AB"/>
    <w:rsid w:val="00A236C3"/>
    <w:rsid w:val="00A50E4D"/>
    <w:rsid w:val="00A51966"/>
    <w:rsid w:val="00A5410A"/>
    <w:rsid w:val="00A56356"/>
    <w:rsid w:val="00A57549"/>
    <w:rsid w:val="00A61547"/>
    <w:rsid w:val="00A646C7"/>
    <w:rsid w:val="00A709F1"/>
    <w:rsid w:val="00A71C0C"/>
    <w:rsid w:val="00A74925"/>
    <w:rsid w:val="00A770ED"/>
    <w:rsid w:val="00A8091F"/>
    <w:rsid w:val="00A8279E"/>
    <w:rsid w:val="00A90C2B"/>
    <w:rsid w:val="00A919B7"/>
    <w:rsid w:val="00A95E2F"/>
    <w:rsid w:val="00AA2BBD"/>
    <w:rsid w:val="00AB49FB"/>
    <w:rsid w:val="00AB670C"/>
    <w:rsid w:val="00AB6DCF"/>
    <w:rsid w:val="00AD27D5"/>
    <w:rsid w:val="00AD3AEA"/>
    <w:rsid w:val="00AD6DDD"/>
    <w:rsid w:val="00AD7414"/>
    <w:rsid w:val="00AE73DE"/>
    <w:rsid w:val="00AF21D8"/>
    <w:rsid w:val="00AF441D"/>
    <w:rsid w:val="00AF4FB8"/>
    <w:rsid w:val="00B0028E"/>
    <w:rsid w:val="00B13A55"/>
    <w:rsid w:val="00B23AF7"/>
    <w:rsid w:val="00B25F34"/>
    <w:rsid w:val="00B3226C"/>
    <w:rsid w:val="00B50A51"/>
    <w:rsid w:val="00B51398"/>
    <w:rsid w:val="00B52378"/>
    <w:rsid w:val="00B53C68"/>
    <w:rsid w:val="00B5608E"/>
    <w:rsid w:val="00B600AE"/>
    <w:rsid w:val="00B62915"/>
    <w:rsid w:val="00B6540E"/>
    <w:rsid w:val="00B67FD8"/>
    <w:rsid w:val="00B71E94"/>
    <w:rsid w:val="00B72537"/>
    <w:rsid w:val="00B73B16"/>
    <w:rsid w:val="00B75E73"/>
    <w:rsid w:val="00B80E7C"/>
    <w:rsid w:val="00B814E0"/>
    <w:rsid w:val="00B85E76"/>
    <w:rsid w:val="00B932A1"/>
    <w:rsid w:val="00BB1118"/>
    <w:rsid w:val="00BB1A5A"/>
    <w:rsid w:val="00BB2424"/>
    <w:rsid w:val="00BB3127"/>
    <w:rsid w:val="00BB3C9E"/>
    <w:rsid w:val="00BB4239"/>
    <w:rsid w:val="00BC1166"/>
    <w:rsid w:val="00BC3BE3"/>
    <w:rsid w:val="00BD65F5"/>
    <w:rsid w:val="00BD7F92"/>
    <w:rsid w:val="00BE32FF"/>
    <w:rsid w:val="00BE3D92"/>
    <w:rsid w:val="00BE4877"/>
    <w:rsid w:val="00BE6574"/>
    <w:rsid w:val="00BE67DA"/>
    <w:rsid w:val="00BF04A4"/>
    <w:rsid w:val="00BF4891"/>
    <w:rsid w:val="00BF5A55"/>
    <w:rsid w:val="00BF5E3B"/>
    <w:rsid w:val="00BF662C"/>
    <w:rsid w:val="00C10CCD"/>
    <w:rsid w:val="00C17EB8"/>
    <w:rsid w:val="00C21CB2"/>
    <w:rsid w:val="00C2476E"/>
    <w:rsid w:val="00C24DFF"/>
    <w:rsid w:val="00C327E9"/>
    <w:rsid w:val="00C3299F"/>
    <w:rsid w:val="00C33323"/>
    <w:rsid w:val="00C351D2"/>
    <w:rsid w:val="00C37B3F"/>
    <w:rsid w:val="00C448CB"/>
    <w:rsid w:val="00C46FED"/>
    <w:rsid w:val="00C47632"/>
    <w:rsid w:val="00C519F0"/>
    <w:rsid w:val="00C53F7D"/>
    <w:rsid w:val="00C55FF3"/>
    <w:rsid w:val="00C647E0"/>
    <w:rsid w:val="00C648D4"/>
    <w:rsid w:val="00C706A8"/>
    <w:rsid w:val="00C74261"/>
    <w:rsid w:val="00C7563B"/>
    <w:rsid w:val="00C77CBA"/>
    <w:rsid w:val="00C81055"/>
    <w:rsid w:val="00C81945"/>
    <w:rsid w:val="00C826B3"/>
    <w:rsid w:val="00C853D5"/>
    <w:rsid w:val="00C86E92"/>
    <w:rsid w:val="00C90965"/>
    <w:rsid w:val="00C96436"/>
    <w:rsid w:val="00CA36A8"/>
    <w:rsid w:val="00CA624D"/>
    <w:rsid w:val="00CB205C"/>
    <w:rsid w:val="00CC4297"/>
    <w:rsid w:val="00CE31F7"/>
    <w:rsid w:val="00CE7779"/>
    <w:rsid w:val="00CF1767"/>
    <w:rsid w:val="00CF54D5"/>
    <w:rsid w:val="00CF7E46"/>
    <w:rsid w:val="00D024BE"/>
    <w:rsid w:val="00D100DB"/>
    <w:rsid w:val="00D10249"/>
    <w:rsid w:val="00D124E7"/>
    <w:rsid w:val="00D15C36"/>
    <w:rsid w:val="00D27C55"/>
    <w:rsid w:val="00D32443"/>
    <w:rsid w:val="00D40974"/>
    <w:rsid w:val="00D47D95"/>
    <w:rsid w:val="00D55133"/>
    <w:rsid w:val="00D57419"/>
    <w:rsid w:val="00D621E3"/>
    <w:rsid w:val="00D65A73"/>
    <w:rsid w:val="00D7510D"/>
    <w:rsid w:val="00D769C2"/>
    <w:rsid w:val="00D77822"/>
    <w:rsid w:val="00D87083"/>
    <w:rsid w:val="00D9034C"/>
    <w:rsid w:val="00D9628B"/>
    <w:rsid w:val="00DA5ED3"/>
    <w:rsid w:val="00DB6693"/>
    <w:rsid w:val="00DC35AB"/>
    <w:rsid w:val="00DC5249"/>
    <w:rsid w:val="00DD3712"/>
    <w:rsid w:val="00DE35D1"/>
    <w:rsid w:val="00DF2090"/>
    <w:rsid w:val="00DF76A2"/>
    <w:rsid w:val="00E0119D"/>
    <w:rsid w:val="00E04E27"/>
    <w:rsid w:val="00E1554F"/>
    <w:rsid w:val="00E20767"/>
    <w:rsid w:val="00E2191E"/>
    <w:rsid w:val="00E34E80"/>
    <w:rsid w:val="00E42DCF"/>
    <w:rsid w:val="00E4445E"/>
    <w:rsid w:val="00E44DF0"/>
    <w:rsid w:val="00E453A2"/>
    <w:rsid w:val="00E5472B"/>
    <w:rsid w:val="00E6686A"/>
    <w:rsid w:val="00E708D2"/>
    <w:rsid w:val="00E76E97"/>
    <w:rsid w:val="00E80E2F"/>
    <w:rsid w:val="00E80E75"/>
    <w:rsid w:val="00E81CC9"/>
    <w:rsid w:val="00E86ACF"/>
    <w:rsid w:val="00E871C4"/>
    <w:rsid w:val="00E90046"/>
    <w:rsid w:val="00E92A91"/>
    <w:rsid w:val="00E97D89"/>
    <w:rsid w:val="00EB043E"/>
    <w:rsid w:val="00EB07B3"/>
    <w:rsid w:val="00EC4A78"/>
    <w:rsid w:val="00EC6131"/>
    <w:rsid w:val="00ED0F91"/>
    <w:rsid w:val="00ED20F5"/>
    <w:rsid w:val="00ED5617"/>
    <w:rsid w:val="00EE5445"/>
    <w:rsid w:val="00EE571B"/>
    <w:rsid w:val="00EE77F7"/>
    <w:rsid w:val="00EF3D5E"/>
    <w:rsid w:val="00EF445B"/>
    <w:rsid w:val="00F01361"/>
    <w:rsid w:val="00F10831"/>
    <w:rsid w:val="00F17049"/>
    <w:rsid w:val="00F27BD4"/>
    <w:rsid w:val="00F3361C"/>
    <w:rsid w:val="00F36DCC"/>
    <w:rsid w:val="00F42493"/>
    <w:rsid w:val="00F4303C"/>
    <w:rsid w:val="00F43977"/>
    <w:rsid w:val="00F54CDC"/>
    <w:rsid w:val="00F5636B"/>
    <w:rsid w:val="00F775BE"/>
    <w:rsid w:val="00F80443"/>
    <w:rsid w:val="00F810A0"/>
    <w:rsid w:val="00F94463"/>
    <w:rsid w:val="00F953DF"/>
    <w:rsid w:val="00F9730F"/>
    <w:rsid w:val="00FA18DB"/>
    <w:rsid w:val="00FA430F"/>
    <w:rsid w:val="00FA7FC1"/>
    <w:rsid w:val="00FB23D3"/>
    <w:rsid w:val="00FC74E8"/>
    <w:rsid w:val="00FD44F0"/>
    <w:rsid w:val="00FE22E3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E2A32"/>
  <w15:docId w15:val="{9A512E56-6375-4BC0-A36C-3D41B5E3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463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qFormat/>
    <w:rsid w:val="00F94463"/>
    <w:rPr>
      <w:b/>
      <w:bCs/>
      <w:smallCaps/>
      <w:spacing w:val="5"/>
    </w:rPr>
  </w:style>
  <w:style w:type="paragraph" w:customStyle="1" w:styleId="HEADSummaryReport">
    <w:name w:val="HEAD.SummaryReport"/>
    <w:basedOn w:val="Heading3"/>
    <w:qFormat/>
    <w:rsid w:val="00F94463"/>
    <w:pPr>
      <w:keepNext w:val="0"/>
      <w:keepLines w:val="0"/>
      <w:spacing w:after="80" w:line="23" w:lineRule="atLeast"/>
    </w:pPr>
    <w:rPr>
      <w:rFonts w:ascii="Calibri" w:eastAsia="Times New Roman" w:hAnsi="Calibri" w:cs="Calibri"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463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Header">
    <w:name w:val="header"/>
    <w:basedOn w:val="Normal"/>
    <w:link w:val="HeaderChar"/>
    <w:uiPriority w:val="99"/>
    <w:unhideWhenUsed/>
    <w:rsid w:val="00F94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463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94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463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46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07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2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3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3F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3F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53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53D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53D5"/>
    <w:rPr>
      <w:vertAlign w:val="superscript"/>
    </w:rPr>
  </w:style>
  <w:style w:type="paragraph" w:customStyle="1" w:styleId="BriefingHead1">
    <w:name w:val="BriefingHead1"/>
    <w:basedOn w:val="Normal"/>
    <w:next w:val="Normal"/>
    <w:autoRedefine/>
    <w:qFormat/>
    <w:rsid w:val="00BB2424"/>
    <w:pPr>
      <w:spacing w:before="120"/>
      <w:jc w:val="center"/>
    </w:pPr>
    <w:rPr>
      <w:rFonts w:asciiTheme="minorHAnsi" w:eastAsiaTheme="minorHAnsi" w:hAnsiTheme="minorHAnsi" w:cstheme="min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ui.uillinois.edu\our\foia\00%20-%20Open%20FOIAs%20-%20Past%20FOIA%20Logs\2021%20FOIA%20Log%20(Dec.%2024,%202020%20onward)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i\eo\folder\ahelreg2\Desktop\2021%20media%20FOI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ui\eo\folder\ahelreg2\Desktop\2021%20media%20FOI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'2021 Graph'!$AK$4:$AK$5</c:f>
              <c:strCache>
                <c:ptCount val="2"/>
                <c:pt idx="0">
                  <c:v>Closed</c:v>
                </c:pt>
              </c:strCache>
            </c:strRef>
          </c:tx>
          <c:invertIfNegative val="0"/>
          <c:cat>
            <c:strRef>
              <c:f>'2021 Graph'!$AJ$6:$AJ$41</c:f>
              <c:strCache>
                <c:ptCount val="34"/>
                <c:pt idx="0">
                  <c:v>Jan</c:v>
                </c:pt>
                <c:pt idx="3">
                  <c:v>Feb</c:v>
                </c:pt>
                <c:pt idx="6">
                  <c:v>Mar</c:v>
                </c:pt>
                <c:pt idx="9">
                  <c:v>Apr</c:v>
                </c:pt>
                <c:pt idx="12">
                  <c:v>May</c:v>
                </c:pt>
                <c:pt idx="15">
                  <c:v>June</c:v>
                </c:pt>
                <c:pt idx="18">
                  <c:v>July</c:v>
                </c:pt>
                <c:pt idx="21">
                  <c:v>Aug</c:v>
                </c:pt>
                <c:pt idx="24">
                  <c:v>Sept</c:v>
                </c:pt>
                <c:pt idx="27">
                  <c:v>Oct</c:v>
                </c:pt>
                <c:pt idx="30">
                  <c:v>Nov</c:v>
                </c:pt>
                <c:pt idx="33">
                  <c:v>Dec</c:v>
                </c:pt>
              </c:strCache>
            </c:strRef>
          </c:cat>
          <c:val>
            <c:numRef>
              <c:f>'2021 Graph'!$AK$6:$AK$41</c:f>
              <c:numCache>
                <c:formatCode>General</c:formatCode>
                <c:ptCount val="36"/>
                <c:pt idx="1">
                  <c:v>51</c:v>
                </c:pt>
                <c:pt idx="4">
                  <c:v>67</c:v>
                </c:pt>
                <c:pt idx="7">
                  <c:v>95</c:v>
                </c:pt>
                <c:pt idx="10">
                  <c:v>102</c:v>
                </c:pt>
                <c:pt idx="13">
                  <c:v>75</c:v>
                </c:pt>
                <c:pt idx="16">
                  <c:v>89</c:v>
                </c:pt>
                <c:pt idx="19">
                  <c:v>121</c:v>
                </c:pt>
                <c:pt idx="22">
                  <c:v>87</c:v>
                </c:pt>
                <c:pt idx="25">
                  <c:v>69</c:v>
                </c:pt>
                <c:pt idx="28">
                  <c:v>89</c:v>
                </c:pt>
                <c:pt idx="31">
                  <c:v>98</c:v>
                </c:pt>
                <c:pt idx="34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BF-4118-B098-CAE0C5003C62}"/>
            </c:ext>
          </c:extLst>
        </c:ser>
        <c:ser>
          <c:idx val="1"/>
          <c:order val="1"/>
          <c:tx>
            <c:strRef>
              <c:f>'2021 Graph'!$AL$4:$AL$5</c:f>
              <c:strCache>
                <c:ptCount val="2"/>
                <c:pt idx="0">
                  <c:v>Media</c:v>
                </c:pt>
              </c:strCache>
            </c:strRef>
          </c:tx>
          <c:invertIfNegative val="0"/>
          <c:cat>
            <c:strRef>
              <c:f>'2021 Graph'!$AJ$6:$AJ$41</c:f>
              <c:strCache>
                <c:ptCount val="34"/>
                <c:pt idx="0">
                  <c:v>Jan</c:v>
                </c:pt>
                <c:pt idx="3">
                  <c:v>Feb</c:v>
                </c:pt>
                <c:pt idx="6">
                  <c:v>Mar</c:v>
                </c:pt>
                <c:pt idx="9">
                  <c:v>Apr</c:v>
                </c:pt>
                <c:pt idx="12">
                  <c:v>May</c:v>
                </c:pt>
                <c:pt idx="15">
                  <c:v>June</c:v>
                </c:pt>
                <c:pt idx="18">
                  <c:v>July</c:v>
                </c:pt>
                <c:pt idx="21">
                  <c:v>Aug</c:v>
                </c:pt>
                <c:pt idx="24">
                  <c:v>Sept</c:v>
                </c:pt>
                <c:pt idx="27">
                  <c:v>Oct</c:v>
                </c:pt>
                <c:pt idx="30">
                  <c:v>Nov</c:v>
                </c:pt>
                <c:pt idx="33">
                  <c:v>Dec</c:v>
                </c:pt>
              </c:strCache>
            </c:strRef>
          </c:cat>
          <c:val>
            <c:numRef>
              <c:f>'2021 Graph'!$AL$6:$AL$41</c:f>
              <c:numCache>
                <c:formatCode>General</c:formatCode>
                <c:ptCount val="36"/>
                <c:pt idx="0">
                  <c:v>26</c:v>
                </c:pt>
                <c:pt idx="3">
                  <c:v>17</c:v>
                </c:pt>
                <c:pt idx="6">
                  <c:v>18</c:v>
                </c:pt>
                <c:pt idx="9">
                  <c:v>24</c:v>
                </c:pt>
                <c:pt idx="12">
                  <c:v>31</c:v>
                </c:pt>
                <c:pt idx="15">
                  <c:v>19</c:v>
                </c:pt>
                <c:pt idx="18">
                  <c:v>22</c:v>
                </c:pt>
                <c:pt idx="21">
                  <c:v>13</c:v>
                </c:pt>
                <c:pt idx="24">
                  <c:v>8</c:v>
                </c:pt>
                <c:pt idx="27">
                  <c:v>19</c:v>
                </c:pt>
                <c:pt idx="30">
                  <c:v>25</c:v>
                </c:pt>
                <c:pt idx="3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3BF-4118-B098-CAE0C5003C62}"/>
            </c:ext>
          </c:extLst>
        </c:ser>
        <c:ser>
          <c:idx val="2"/>
          <c:order val="2"/>
          <c:tx>
            <c:strRef>
              <c:f>'2021 Graph'!$AM$4:$AM$5</c:f>
              <c:strCache>
                <c:ptCount val="2"/>
                <c:pt idx="0">
                  <c:v>Commercial</c:v>
                </c:pt>
              </c:strCache>
            </c:strRef>
          </c:tx>
          <c:invertIfNegative val="0"/>
          <c:cat>
            <c:strRef>
              <c:f>'2021 Graph'!$AJ$6:$AJ$41</c:f>
              <c:strCache>
                <c:ptCount val="34"/>
                <c:pt idx="0">
                  <c:v>Jan</c:v>
                </c:pt>
                <c:pt idx="3">
                  <c:v>Feb</c:v>
                </c:pt>
                <c:pt idx="6">
                  <c:v>Mar</c:v>
                </c:pt>
                <c:pt idx="9">
                  <c:v>Apr</c:v>
                </c:pt>
                <c:pt idx="12">
                  <c:v>May</c:v>
                </c:pt>
                <c:pt idx="15">
                  <c:v>June</c:v>
                </c:pt>
                <c:pt idx="18">
                  <c:v>July</c:v>
                </c:pt>
                <c:pt idx="21">
                  <c:v>Aug</c:v>
                </c:pt>
                <c:pt idx="24">
                  <c:v>Sept</c:v>
                </c:pt>
                <c:pt idx="27">
                  <c:v>Oct</c:v>
                </c:pt>
                <c:pt idx="30">
                  <c:v>Nov</c:v>
                </c:pt>
                <c:pt idx="33">
                  <c:v>Dec</c:v>
                </c:pt>
              </c:strCache>
            </c:strRef>
          </c:cat>
          <c:val>
            <c:numRef>
              <c:f>'2021 Graph'!$AM$6:$AM$41</c:f>
              <c:numCache>
                <c:formatCode>General</c:formatCode>
                <c:ptCount val="36"/>
                <c:pt idx="0">
                  <c:v>15</c:v>
                </c:pt>
                <c:pt idx="3">
                  <c:v>26</c:v>
                </c:pt>
                <c:pt idx="6">
                  <c:v>19</c:v>
                </c:pt>
                <c:pt idx="9">
                  <c:v>10</c:v>
                </c:pt>
                <c:pt idx="12">
                  <c:v>22</c:v>
                </c:pt>
                <c:pt idx="15">
                  <c:v>22</c:v>
                </c:pt>
                <c:pt idx="18">
                  <c:v>37</c:v>
                </c:pt>
                <c:pt idx="21">
                  <c:v>19</c:v>
                </c:pt>
                <c:pt idx="24">
                  <c:v>16</c:v>
                </c:pt>
                <c:pt idx="27">
                  <c:v>19</c:v>
                </c:pt>
                <c:pt idx="30">
                  <c:v>29</c:v>
                </c:pt>
                <c:pt idx="3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3BF-4118-B098-CAE0C5003C62}"/>
            </c:ext>
          </c:extLst>
        </c:ser>
        <c:ser>
          <c:idx val="3"/>
          <c:order val="3"/>
          <c:tx>
            <c:strRef>
              <c:f>'2021 Graph'!$AN$4:$AN$5</c:f>
              <c:strCache>
                <c:ptCount val="2"/>
                <c:pt idx="0">
                  <c:v>All Else</c:v>
                </c:pt>
              </c:strCache>
            </c:strRef>
          </c:tx>
          <c:invertIfNegative val="0"/>
          <c:cat>
            <c:strRef>
              <c:f>'2021 Graph'!$AJ$6:$AJ$41</c:f>
              <c:strCache>
                <c:ptCount val="34"/>
                <c:pt idx="0">
                  <c:v>Jan</c:v>
                </c:pt>
                <c:pt idx="3">
                  <c:v>Feb</c:v>
                </c:pt>
                <c:pt idx="6">
                  <c:v>Mar</c:v>
                </c:pt>
                <c:pt idx="9">
                  <c:v>Apr</c:v>
                </c:pt>
                <c:pt idx="12">
                  <c:v>May</c:v>
                </c:pt>
                <c:pt idx="15">
                  <c:v>June</c:v>
                </c:pt>
                <c:pt idx="18">
                  <c:v>July</c:v>
                </c:pt>
                <c:pt idx="21">
                  <c:v>Aug</c:v>
                </c:pt>
                <c:pt idx="24">
                  <c:v>Sept</c:v>
                </c:pt>
                <c:pt idx="27">
                  <c:v>Oct</c:v>
                </c:pt>
                <c:pt idx="30">
                  <c:v>Nov</c:v>
                </c:pt>
                <c:pt idx="33">
                  <c:v>Dec</c:v>
                </c:pt>
              </c:strCache>
            </c:strRef>
          </c:cat>
          <c:val>
            <c:numRef>
              <c:f>'2021 Graph'!$AN$6:$AN$41</c:f>
              <c:numCache>
                <c:formatCode>General</c:formatCode>
                <c:ptCount val="36"/>
                <c:pt idx="0">
                  <c:v>43</c:v>
                </c:pt>
                <c:pt idx="3">
                  <c:v>33</c:v>
                </c:pt>
                <c:pt idx="6">
                  <c:v>74</c:v>
                </c:pt>
                <c:pt idx="9">
                  <c:v>63</c:v>
                </c:pt>
                <c:pt idx="12">
                  <c:v>48</c:v>
                </c:pt>
                <c:pt idx="15">
                  <c:v>66</c:v>
                </c:pt>
                <c:pt idx="18">
                  <c:v>83</c:v>
                </c:pt>
                <c:pt idx="21">
                  <c:v>44</c:v>
                </c:pt>
                <c:pt idx="24">
                  <c:v>54</c:v>
                </c:pt>
                <c:pt idx="27">
                  <c:v>63</c:v>
                </c:pt>
                <c:pt idx="30">
                  <c:v>62</c:v>
                </c:pt>
                <c:pt idx="33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3BF-4118-B098-CAE0C5003C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"/>
        <c:overlap val="100"/>
        <c:axId val="248105032"/>
        <c:axId val="248105424"/>
      </c:barChart>
      <c:catAx>
        <c:axId val="248105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8105424"/>
        <c:crosses val="autoZero"/>
        <c:auto val="1"/>
        <c:lblAlgn val="ctr"/>
        <c:lblOffset val="100"/>
        <c:noMultiLvlLbl val="0"/>
      </c:catAx>
      <c:valAx>
        <c:axId val="248105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810503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050"/>
          </a:pPr>
          <a:endParaRPr lang="en-US"/>
        </a:p>
      </c:txPr>
    </c:legend>
    <c:plotVisOnly val="0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Percentage</a:t>
            </a:r>
            <a:r>
              <a:rPr lang="en-US" baseline="0"/>
              <a:t> of Requests by Type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A44-41E3-9707-622D8553FBC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A44-41E3-9707-622D8553FBC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A44-41E3-9707-622D8553FBCD}"/>
              </c:ext>
            </c:extLst>
          </c:dPt>
          <c:dLbls>
            <c:dLbl>
              <c:idx val="0"/>
              <c:layout>
                <c:manualLayout>
                  <c:x val="-0.11395472440944882"/>
                  <c:y val="0.1973607465733449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87D575A-6B85-4121-867F-B8998823AB76}" type="VALUE">
                      <a:rPr lang="en-US" sz="1800"/>
                      <a:pPr>
                        <a:defRPr sz="1200"/>
                      </a:pPr>
                      <a:t>[VALUE]</a:t>
                    </a:fld>
                    <a:r>
                      <a:rPr lang="en-US" baseline="0"/>
                      <a:t> (</a:t>
                    </a:r>
                    <a:fld id="{E2FA8D9D-ECEA-4882-B70D-34F8E03B552D}" type="PERCENTAGE">
                      <a:rPr lang="en-US" sz="1000" baseline="0"/>
                      <a:pPr>
                        <a:defRPr sz="1200"/>
                      </a:pPr>
                      <a:t>[PERCENTAGE]</a:t>
                    </a:fld>
                    <a:r>
                      <a:rPr lang="en-US" sz="1000" baseline="0"/>
                      <a:t>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115288713910762"/>
                      <c:h val="0.1896992563429571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A44-41E3-9707-622D8553FBCD}"/>
                </c:ext>
              </c:extLst>
            </c:dLbl>
            <c:dLbl>
              <c:idx val="1"/>
              <c:layout>
                <c:manualLayout>
                  <c:x val="-0.15004199475065616"/>
                  <c:y val="-8.471420239136782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2985BC9-C067-46C1-9DA0-725075389610}" type="VALUE">
                      <a:rPr lang="en-US" sz="1800"/>
                      <a:pPr>
                        <a:defRPr sz="1200"/>
                      </a:pPr>
                      <a:t>[VALUE]</a:t>
                    </a:fld>
                    <a:r>
                      <a:rPr lang="en-US" baseline="0"/>
                      <a:t> (</a:t>
                    </a:r>
                    <a:fld id="{919B4433-380E-478A-83BC-FEC98C436DE2}" type="PERCENTAGE">
                      <a:rPr lang="en-US" sz="1000" baseline="0"/>
                      <a:pPr>
                        <a:defRPr sz="1200"/>
                      </a:pPr>
                      <a:t>[PERCENTAGE]</a:t>
                    </a:fld>
                    <a:r>
                      <a:rPr lang="en-US" sz="1000" baseline="0"/>
                      <a:t>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359733158355205"/>
                      <c:h val="0.1896992563429571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A44-41E3-9707-622D8553FBCD}"/>
                </c:ext>
              </c:extLst>
            </c:dLbl>
            <c:dLbl>
              <c:idx val="2"/>
              <c:tx>
                <c:rich>
                  <a:bodyPr rot="0" spcFirstLastPara="1" vertOverflow="ellipsis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C35D4EF-11BD-4F21-8868-4183BE9D6836}" type="VALUE">
                      <a:rPr lang="en-US" sz="1800"/>
                      <a:pPr>
                        <a:defRPr sz="1200"/>
                      </a:pPr>
                      <a:t>[VALUE]</a:t>
                    </a:fld>
                    <a:r>
                      <a:rPr lang="en-US" sz="1200" baseline="0"/>
                      <a:t> </a:t>
                    </a:r>
                    <a:r>
                      <a:rPr lang="en-US" sz="1000" baseline="0"/>
                      <a:t>(58%)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9A44-41E3-9707-622D8553FBC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Sheet1!$E$8:$G$8</c:f>
              <c:strCache>
                <c:ptCount val="3"/>
                <c:pt idx="0">
                  <c:v>Media</c:v>
                </c:pt>
                <c:pt idx="1">
                  <c:v>Commercial</c:v>
                </c:pt>
                <c:pt idx="2">
                  <c:v>Private/Other</c:v>
                </c:pt>
              </c:strCache>
            </c:strRef>
          </c:cat>
          <c:val>
            <c:numRef>
              <c:f>Sheet1!$E$9:$G$9</c:f>
              <c:numCache>
                <c:formatCode>General</c:formatCode>
                <c:ptCount val="3"/>
                <c:pt idx="0">
                  <c:v>232</c:v>
                </c:pt>
                <c:pt idx="1">
                  <c:v>247</c:v>
                </c:pt>
                <c:pt idx="2">
                  <c:v>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A44-41E3-9707-622D8553FBC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Requests</a:t>
            </a:r>
            <a:r>
              <a:rPr lang="en-US" baseline="0"/>
              <a:t> by Media Outlet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F9F-4517-8179-660B687A2EC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F9F-4517-8179-660B687A2EC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F9F-4517-8179-660B687A2EC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F9F-4517-8179-660B687A2EC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7F9F-4517-8179-660B687A2EC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7F9F-4517-8179-660B687A2EC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7F9F-4517-8179-660B687A2EC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7F9F-4517-8179-660B687A2ECF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8A17D0F6-2281-49A2-8799-D030BFA13A5D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1-7F9F-4517-8179-660B687A2EC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B88705E1-1329-48A5-9854-188731A25C9E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3-7F9F-4517-8179-660B687A2EC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0934323B-D382-442B-844D-EF3AD362A0CC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5-7F9F-4517-8179-660B687A2ECF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153038FC-44B8-4C93-AF3E-6ADD027C71E3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7-7F9F-4517-8179-660B687A2ECF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0FFD15AE-E508-4907-B2FD-4D0A41287965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9-7F9F-4517-8179-660B687A2ECF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5FB1CAD1-1E20-4A1B-A597-B2B7F76D858E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B-7F9F-4517-8179-660B687A2ECF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153A9EA6-30DA-490F-BF2D-64A535424AFB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D-7F9F-4517-8179-660B687A2ECF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33667013-9589-4E9D-859E-C24596D58DC4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F-7F9F-4517-8179-660B687A2EC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cat>
            <c:strRef>
              <c:f>Sheet1!$L$7:$L$14</c:f>
              <c:strCache>
                <c:ptCount val="8"/>
                <c:pt idx="0">
                  <c:v>Other</c:v>
                </c:pt>
                <c:pt idx="1">
                  <c:v>Wall Street Journal</c:v>
                </c:pt>
                <c:pt idx="2">
                  <c:v>NCAA.com</c:v>
                </c:pt>
                <c:pt idx="3">
                  <c:v>Daily Illini</c:v>
                </c:pt>
                <c:pt idx="4">
                  <c:v>CU-CitizenAccess</c:v>
                </c:pt>
                <c:pt idx="5">
                  <c:v>Invisible Institute</c:v>
                </c:pt>
                <c:pt idx="6">
                  <c:v>USA Today</c:v>
                </c:pt>
                <c:pt idx="7">
                  <c:v>News-Gazette</c:v>
                </c:pt>
              </c:strCache>
            </c:strRef>
          </c:cat>
          <c:val>
            <c:numRef>
              <c:f>Sheet1!$M$7:$M$14</c:f>
              <c:numCache>
                <c:formatCode>General</c:formatCode>
                <c:ptCount val="8"/>
                <c:pt idx="0">
                  <c:v>120</c:v>
                </c:pt>
                <c:pt idx="1">
                  <c:v>29</c:v>
                </c:pt>
                <c:pt idx="2">
                  <c:v>26</c:v>
                </c:pt>
                <c:pt idx="3">
                  <c:v>15</c:v>
                </c:pt>
                <c:pt idx="4">
                  <c:v>14</c:v>
                </c:pt>
                <c:pt idx="5">
                  <c:v>10</c:v>
                </c:pt>
                <c:pt idx="6">
                  <c:v>9</c:v>
                </c:pt>
                <c:pt idx="7">
                  <c:v>9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Sheet1!$M$7:$M$14</c15:f>
                <c15:dlblRangeCache>
                  <c:ptCount val="8"/>
                  <c:pt idx="0">
                    <c:v>120</c:v>
                  </c:pt>
                  <c:pt idx="1">
                    <c:v>29</c:v>
                  </c:pt>
                  <c:pt idx="2">
                    <c:v>26</c:v>
                  </c:pt>
                  <c:pt idx="3">
                    <c:v>15</c:v>
                  </c:pt>
                  <c:pt idx="4">
                    <c:v>14</c:v>
                  </c:pt>
                  <c:pt idx="5">
                    <c:v>10</c:v>
                  </c:pt>
                  <c:pt idx="6">
                    <c:v>9</c:v>
                  </c:pt>
                  <c:pt idx="7">
                    <c:v>9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10-7F9F-4517-8179-660B687A2EC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5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6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7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ayout>
        <c:manualLayout>
          <c:xMode val="edge"/>
          <c:yMode val="edge"/>
          <c:x val="0.65814785651793528"/>
          <c:y val="0.22216207349081366"/>
          <c:w val="0.29185214348206473"/>
          <c:h val="0.712967337416156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5BDD1-E772-4B32-A66D-04AAFF19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Kuehn, Melanie</dc:creator>
  <cp:lastModifiedBy>Williams, Aubrie Lee</cp:lastModifiedBy>
  <cp:revision>4</cp:revision>
  <cp:lastPrinted>2016-01-26T17:43:00Z</cp:lastPrinted>
  <dcterms:created xsi:type="dcterms:W3CDTF">2022-03-09T20:42:00Z</dcterms:created>
  <dcterms:modified xsi:type="dcterms:W3CDTF">2022-03-17T16:22:00Z</dcterms:modified>
</cp:coreProperties>
</file>