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0D88" w14:textId="55B75DDF" w:rsidR="00FA2E43" w:rsidRDefault="00030EDA" w:rsidP="00030EDA">
      <w:pPr>
        <w:keepNext/>
        <w:pBdr>
          <w:bottom w:val="single" w:sz="4" w:space="1" w:color="auto"/>
        </w:pBdr>
        <w:spacing w:before="240" w:after="60" w:line="276" w:lineRule="auto"/>
        <w:jc w:val="center"/>
        <w:outlineLvl w:val="0"/>
        <w:rPr>
          <w:rFonts w:ascii="Cambria" w:eastAsia="Times New Roman" w:hAnsi="Cambria" w:cs="Times New Roman"/>
          <w:b/>
          <w:bCs/>
          <w:kern w:val="32"/>
          <w:sz w:val="32"/>
          <w:szCs w:val="32"/>
        </w:rPr>
      </w:pPr>
      <w:bookmarkStart w:id="0" w:name="_Toc303941981"/>
      <w:bookmarkStart w:id="1" w:name="_Toc306102929"/>
      <w:bookmarkStart w:id="2" w:name="_Toc306178657"/>
      <w:bookmarkStart w:id="3" w:name="_Toc306179923"/>
      <w:bookmarkStart w:id="4" w:name="_Toc303941977"/>
      <w:bookmarkStart w:id="5" w:name="_Toc306102925"/>
      <w:bookmarkStart w:id="6" w:name="_Toc306178653"/>
      <w:bookmarkStart w:id="7" w:name="_Toc306179919"/>
      <w:r w:rsidRPr="005F0986">
        <w:rPr>
          <w:rFonts w:ascii="Cambria" w:eastAsia="Times New Roman" w:hAnsi="Cambria" w:cs="Times New Roman"/>
          <w:i/>
          <w:iCs/>
          <w:color w:val="EE0000"/>
          <w:kern w:val="32"/>
          <w:sz w:val="36"/>
          <w:szCs w:val="36"/>
        </w:rPr>
        <w:t xml:space="preserve">University of Illinois System </w:t>
      </w:r>
      <w:r w:rsidR="007906C1" w:rsidRPr="000278E8">
        <w:rPr>
          <w:rFonts w:ascii="Cambria" w:eastAsia="Times New Roman" w:hAnsi="Cambria" w:cs="Times New Roman"/>
          <w:i/>
          <w:iCs/>
          <w:strike/>
          <w:color w:val="EE0000"/>
          <w:kern w:val="32"/>
          <w:sz w:val="36"/>
          <w:szCs w:val="36"/>
        </w:rPr>
        <w:t>Interim</w:t>
      </w:r>
      <w:r w:rsidR="007906C1">
        <w:rPr>
          <w:rFonts w:ascii="Cambria" w:eastAsia="Times New Roman" w:hAnsi="Cambria" w:cs="Times New Roman"/>
          <w:i/>
          <w:iCs/>
          <w:color w:val="4F81BD"/>
          <w:kern w:val="32"/>
          <w:sz w:val="36"/>
          <w:szCs w:val="36"/>
        </w:rPr>
        <w:t xml:space="preserve"> </w:t>
      </w:r>
      <w:r w:rsidRPr="00FA2E43">
        <w:rPr>
          <w:rFonts w:ascii="Cambria" w:eastAsia="Times New Roman" w:hAnsi="Cambria" w:cs="Times New Roman"/>
          <w:i/>
          <w:iCs/>
          <w:color w:val="4F81BD"/>
          <w:kern w:val="32"/>
          <w:sz w:val="36"/>
          <w:szCs w:val="36"/>
        </w:rPr>
        <w:t>Policy on Acceptance of Transfer Credit for Undergraduate Admission</w:t>
      </w:r>
      <w:r w:rsidRPr="00030EDA">
        <w:rPr>
          <w:rFonts w:ascii="Cambria" w:eastAsia="Times New Roman" w:hAnsi="Cambria" w:cs="Times New Roman"/>
          <w:i/>
          <w:iCs/>
          <w:color w:val="4F81BD"/>
          <w:kern w:val="32"/>
          <w:sz w:val="44"/>
          <w:szCs w:val="32"/>
        </w:rPr>
        <w:t xml:space="preserve"> </w:t>
      </w:r>
    </w:p>
    <w:p w14:paraId="2FB4FA04" w14:textId="6E3A5328" w:rsidR="00EB7EAF" w:rsidRPr="00EB7EAF" w:rsidRDefault="00EB7EAF" w:rsidP="00FA2E43">
      <w:pPr>
        <w:keepNext/>
        <w:pBdr>
          <w:bottom w:val="single" w:sz="4" w:space="1" w:color="auto"/>
        </w:pBdr>
        <w:spacing w:before="240" w:after="60" w:line="276" w:lineRule="auto"/>
        <w:outlineLvl w:val="0"/>
        <w:rPr>
          <w:rFonts w:ascii="Cambria" w:eastAsia="Times New Roman" w:hAnsi="Cambria" w:cs="Times New Roman"/>
          <w:b/>
          <w:bCs/>
          <w:kern w:val="32"/>
          <w:sz w:val="32"/>
          <w:szCs w:val="32"/>
        </w:rPr>
      </w:pPr>
      <w:r w:rsidRPr="00EB7EAF">
        <w:rPr>
          <w:rFonts w:ascii="Cambria" w:eastAsia="Times New Roman" w:hAnsi="Cambria" w:cs="Times New Roman"/>
          <w:b/>
          <w:bCs/>
          <w:kern w:val="32"/>
          <w:sz w:val="32"/>
          <w:szCs w:val="32"/>
        </w:rPr>
        <w:t>Policy Information</w:t>
      </w:r>
      <w:bookmarkEnd w:id="0"/>
      <w:bookmarkEnd w:id="1"/>
      <w:bookmarkEnd w:id="2"/>
      <w:bookmarkEnd w:id="3"/>
    </w:p>
    <w:p w14:paraId="4CE82778" w14:textId="0889600D" w:rsidR="00EB7EAF" w:rsidRPr="00ED0772" w:rsidRDefault="00EB7EAF" w:rsidP="00ED0772">
      <w:pPr>
        <w:spacing w:after="0" w:line="276" w:lineRule="auto"/>
        <w:rPr>
          <w:rFonts w:ascii="Calibri" w:eastAsia="Calibri" w:hAnsi="Calibri" w:cs="Times New Roman"/>
        </w:rPr>
      </w:pPr>
      <w:r>
        <w:rPr>
          <w:rFonts w:ascii="Calibri" w:eastAsia="Calibri" w:hAnsi="Calibri" w:cs="Times New Roman"/>
          <w:b/>
        </w:rPr>
        <w:t xml:space="preserve">Policy </w:t>
      </w:r>
      <w:r w:rsidR="002B69E7">
        <w:rPr>
          <w:rFonts w:ascii="Calibri" w:eastAsia="Calibri" w:hAnsi="Calibri" w:cs="Times New Roman"/>
          <w:b/>
        </w:rPr>
        <w:t>Sponsor</w:t>
      </w:r>
      <w:r w:rsidRPr="00EB7EAF">
        <w:rPr>
          <w:rFonts w:ascii="Calibri" w:eastAsia="Calibri" w:hAnsi="Calibri" w:cs="Times New Roman"/>
          <w:b/>
        </w:rPr>
        <w:t>:</w:t>
      </w:r>
      <w:r w:rsidR="009A5820">
        <w:rPr>
          <w:rFonts w:ascii="Calibri" w:eastAsia="Calibri" w:hAnsi="Calibri" w:cs="Times New Roman"/>
        </w:rPr>
        <w:t xml:space="preserve"> </w:t>
      </w:r>
      <w:r w:rsidR="00D00525">
        <w:rPr>
          <w:rFonts w:ascii="Calibri" w:eastAsia="Calibri" w:hAnsi="Calibri" w:cs="Times New Roman"/>
        </w:rPr>
        <w:t>EVP/VPAA</w:t>
      </w:r>
    </w:p>
    <w:p w14:paraId="013F1365" w14:textId="03303639" w:rsidR="00EB7EAF" w:rsidRDefault="00EB7EAF" w:rsidP="00ED0772">
      <w:pPr>
        <w:spacing w:after="0" w:line="276" w:lineRule="auto"/>
        <w:rPr>
          <w:rFonts w:ascii="Calibri" w:eastAsia="Calibri" w:hAnsi="Calibri" w:cs="Times New Roman"/>
        </w:rPr>
      </w:pPr>
      <w:r>
        <w:rPr>
          <w:rFonts w:ascii="Calibri" w:eastAsia="Calibri" w:hAnsi="Calibri" w:cs="Times New Roman"/>
          <w:b/>
        </w:rPr>
        <w:t>Approved by</w:t>
      </w:r>
      <w:r w:rsidRPr="00EB7EAF">
        <w:rPr>
          <w:rFonts w:ascii="Calibri" w:eastAsia="Calibri" w:hAnsi="Calibri" w:cs="Times New Roman"/>
          <w:b/>
        </w:rPr>
        <w:t>:</w:t>
      </w:r>
      <w:r w:rsidR="009A5820">
        <w:rPr>
          <w:rFonts w:ascii="Calibri" w:eastAsia="Calibri" w:hAnsi="Calibri" w:cs="Times New Roman"/>
          <w:b/>
        </w:rPr>
        <w:t xml:space="preserve"> </w:t>
      </w:r>
      <w:r w:rsidR="002C4460">
        <w:rPr>
          <w:rFonts w:ascii="Calibri" w:eastAsia="Calibri" w:hAnsi="Calibri" w:cs="Times New Roman"/>
        </w:rPr>
        <w:t>TBD</w:t>
      </w:r>
    </w:p>
    <w:p w14:paraId="3F56CC4C" w14:textId="5401B902" w:rsidR="00297874" w:rsidRPr="00C0261B" w:rsidRDefault="00297874" w:rsidP="00ED0772">
      <w:pPr>
        <w:spacing w:after="0" w:line="276" w:lineRule="auto"/>
        <w:rPr>
          <w:rFonts w:ascii="Calibri" w:eastAsia="Calibri" w:hAnsi="Calibri" w:cs="Times New Roman"/>
        </w:rPr>
      </w:pPr>
      <w:r w:rsidRPr="00C0261B">
        <w:rPr>
          <w:rFonts w:ascii="Calibri" w:eastAsia="Calibri" w:hAnsi="Calibri" w:cs="Times New Roman"/>
          <w:b/>
        </w:rPr>
        <w:t>Date Approved:</w:t>
      </w:r>
      <w:r w:rsidRPr="00C0261B">
        <w:rPr>
          <w:rFonts w:ascii="Calibri" w:eastAsia="Calibri" w:hAnsi="Calibri" w:cs="Times New Roman"/>
        </w:rPr>
        <w:t xml:space="preserve"> xx/xx/</w:t>
      </w:r>
      <w:r w:rsidR="006750F8" w:rsidRPr="00C0261B">
        <w:rPr>
          <w:rFonts w:ascii="Calibri" w:eastAsia="Calibri" w:hAnsi="Calibri" w:cs="Times New Roman"/>
        </w:rPr>
        <w:t>2026</w:t>
      </w:r>
    </w:p>
    <w:p w14:paraId="7FE858D8" w14:textId="0272F07E" w:rsidR="00297874" w:rsidRPr="00C0261B" w:rsidRDefault="00297874" w:rsidP="00ED0772">
      <w:pPr>
        <w:spacing w:after="0" w:line="276" w:lineRule="auto"/>
        <w:rPr>
          <w:rFonts w:ascii="Calibri" w:eastAsia="Calibri" w:hAnsi="Calibri" w:cs="Times New Roman"/>
        </w:rPr>
      </w:pPr>
      <w:r w:rsidRPr="00C0261B">
        <w:rPr>
          <w:rFonts w:ascii="Calibri" w:eastAsia="Calibri" w:hAnsi="Calibri" w:cs="Times New Roman"/>
          <w:b/>
        </w:rPr>
        <w:t>Effective Date:</w:t>
      </w:r>
      <w:r w:rsidRPr="00C0261B">
        <w:rPr>
          <w:rFonts w:ascii="Calibri" w:eastAsia="Calibri" w:hAnsi="Calibri" w:cs="Times New Roman"/>
        </w:rPr>
        <w:t xml:space="preserve"> </w:t>
      </w:r>
      <w:r w:rsidR="00783A47" w:rsidRPr="00C0261B">
        <w:rPr>
          <w:rFonts w:ascii="Calibri" w:eastAsia="Calibri" w:hAnsi="Calibri" w:cs="Times New Roman"/>
        </w:rPr>
        <w:t>07</w:t>
      </w:r>
      <w:r w:rsidRPr="00C0261B">
        <w:rPr>
          <w:rFonts w:ascii="Calibri" w:eastAsia="Calibri" w:hAnsi="Calibri" w:cs="Times New Roman"/>
        </w:rPr>
        <w:t>/</w:t>
      </w:r>
      <w:r w:rsidR="00783A47" w:rsidRPr="00C0261B">
        <w:rPr>
          <w:rFonts w:ascii="Calibri" w:eastAsia="Calibri" w:hAnsi="Calibri" w:cs="Times New Roman"/>
        </w:rPr>
        <w:t>01</w:t>
      </w:r>
      <w:r w:rsidRPr="00C0261B">
        <w:rPr>
          <w:rFonts w:ascii="Calibri" w:eastAsia="Calibri" w:hAnsi="Calibri" w:cs="Times New Roman"/>
        </w:rPr>
        <w:t>/</w:t>
      </w:r>
      <w:r w:rsidR="00783A47" w:rsidRPr="00C0261B">
        <w:rPr>
          <w:rFonts w:ascii="Calibri" w:eastAsia="Calibri" w:hAnsi="Calibri" w:cs="Times New Roman"/>
        </w:rPr>
        <w:t>2020</w:t>
      </w:r>
    </w:p>
    <w:p w14:paraId="56E66031" w14:textId="4E6F33BA" w:rsidR="00297874" w:rsidRPr="00C0261B" w:rsidRDefault="00297874" w:rsidP="00ED0772">
      <w:pPr>
        <w:spacing w:after="0" w:line="276" w:lineRule="auto"/>
        <w:rPr>
          <w:rFonts w:ascii="Calibri" w:eastAsia="Calibri" w:hAnsi="Calibri" w:cs="Times New Roman"/>
        </w:rPr>
      </w:pPr>
      <w:r w:rsidRPr="00C0261B">
        <w:rPr>
          <w:rFonts w:ascii="Calibri" w:eastAsia="Calibri" w:hAnsi="Calibri" w:cs="Times New Roman"/>
          <w:b/>
        </w:rPr>
        <w:t>Date Amended (most recent):</w:t>
      </w:r>
      <w:r w:rsidRPr="00C0261B">
        <w:rPr>
          <w:rFonts w:ascii="Calibri" w:eastAsia="Calibri" w:hAnsi="Calibri" w:cs="Times New Roman"/>
        </w:rPr>
        <w:t xml:space="preserve"> </w:t>
      </w:r>
      <w:r w:rsidR="00C81EC0" w:rsidRPr="00C0261B">
        <w:rPr>
          <w:rFonts w:ascii="Calibri" w:eastAsia="Calibri" w:hAnsi="Calibri" w:cs="Times New Roman"/>
        </w:rPr>
        <w:t>01</w:t>
      </w:r>
      <w:r w:rsidRPr="00C0261B">
        <w:rPr>
          <w:rFonts w:ascii="Calibri" w:eastAsia="Calibri" w:hAnsi="Calibri" w:cs="Times New Roman"/>
        </w:rPr>
        <w:t>/</w:t>
      </w:r>
      <w:r w:rsidR="008E30B9" w:rsidRPr="00C0261B">
        <w:rPr>
          <w:rFonts w:ascii="Calibri" w:eastAsia="Calibri" w:hAnsi="Calibri" w:cs="Times New Roman"/>
        </w:rPr>
        <w:t>1</w:t>
      </w:r>
      <w:r w:rsidR="007F29A9" w:rsidRPr="00C0261B">
        <w:rPr>
          <w:rFonts w:ascii="Calibri" w:eastAsia="Calibri" w:hAnsi="Calibri" w:cs="Times New Roman"/>
        </w:rPr>
        <w:t>7</w:t>
      </w:r>
      <w:r w:rsidRPr="00C0261B">
        <w:rPr>
          <w:rFonts w:ascii="Calibri" w:eastAsia="Calibri" w:hAnsi="Calibri" w:cs="Times New Roman"/>
        </w:rPr>
        <w:t>/</w:t>
      </w:r>
      <w:r w:rsidR="00EB4882" w:rsidRPr="00C0261B">
        <w:rPr>
          <w:rFonts w:ascii="Calibri" w:eastAsia="Calibri" w:hAnsi="Calibri" w:cs="Times New Roman"/>
        </w:rPr>
        <w:t xml:space="preserve">2026 </w:t>
      </w:r>
    </w:p>
    <w:p w14:paraId="6BD7B346" w14:textId="21721DE6" w:rsidR="00EB7EAF" w:rsidRPr="00ED0772" w:rsidRDefault="00297874" w:rsidP="00ED0772">
      <w:pPr>
        <w:spacing w:after="0" w:line="276" w:lineRule="auto"/>
        <w:rPr>
          <w:rFonts w:ascii="Calibri" w:eastAsia="Calibri" w:hAnsi="Calibri" w:cs="Times New Roman"/>
        </w:rPr>
      </w:pPr>
      <w:r w:rsidRPr="00C0261B">
        <w:rPr>
          <w:rFonts w:ascii="Calibri" w:eastAsia="Calibri" w:hAnsi="Calibri" w:cs="Times New Roman"/>
          <w:b/>
        </w:rPr>
        <w:t>Targeted Review Date</w:t>
      </w:r>
      <w:r w:rsidR="00EB7EAF" w:rsidRPr="00C0261B">
        <w:rPr>
          <w:rFonts w:ascii="Calibri" w:eastAsia="Calibri" w:hAnsi="Calibri" w:cs="Times New Roman"/>
          <w:b/>
        </w:rPr>
        <w:t>:</w:t>
      </w:r>
      <w:r w:rsidR="00EB7EAF" w:rsidRPr="00C0261B">
        <w:rPr>
          <w:rFonts w:ascii="Calibri" w:eastAsia="Calibri" w:hAnsi="Calibri" w:cs="Times New Roman"/>
        </w:rPr>
        <w:t xml:space="preserve"> </w:t>
      </w:r>
      <w:r w:rsidR="00C81EC0" w:rsidRPr="00C0261B">
        <w:rPr>
          <w:rFonts w:ascii="Calibri" w:eastAsia="Calibri" w:hAnsi="Calibri" w:cs="Times New Roman"/>
        </w:rPr>
        <w:t>01</w:t>
      </w:r>
      <w:r w:rsidR="00EB7EAF" w:rsidRPr="00C0261B">
        <w:rPr>
          <w:rFonts w:ascii="Calibri" w:eastAsia="Calibri" w:hAnsi="Calibri" w:cs="Times New Roman"/>
        </w:rPr>
        <w:t>/xx/</w:t>
      </w:r>
      <w:r w:rsidR="00C81EC0" w:rsidRPr="00C0261B">
        <w:rPr>
          <w:rFonts w:ascii="Calibri" w:eastAsia="Calibri" w:hAnsi="Calibri" w:cs="Times New Roman"/>
        </w:rPr>
        <w:t>2026</w:t>
      </w:r>
    </w:p>
    <w:p w14:paraId="4D057D5D" w14:textId="571F9B32" w:rsidR="00EB7EAF" w:rsidRPr="00EB7EAF" w:rsidRDefault="00EB7EAF" w:rsidP="00EB7EAF">
      <w:pPr>
        <w:spacing w:after="200" w:line="276" w:lineRule="auto"/>
        <w:rPr>
          <w:rFonts w:ascii="Calibri" w:eastAsia="Calibri" w:hAnsi="Calibri" w:cs="Times New Roman"/>
        </w:rPr>
      </w:pPr>
      <w:r w:rsidRPr="00EB7EAF">
        <w:rPr>
          <w:rFonts w:ascii="Calibri" w:eastAsia="Calibri" w:hAnsi="Calibri" w:cs="Times New Roman"/>
          <w:b/>
        </w:rPr>
        <w:t>Contac</w:t>
      </w:r>
      <w:r w:rsidR="000E32F3">
        <w:rPr>
          <w:rFonts w:ascii="Calibri" w:eastAsia="Calibri" w:hAnsi="Calibri" w:cs="Times New Roman"/>
          <w:b/>
        </w:rPr>
        <w:t>t</w:t>
      </w:r>
      <w:r w:rsidRPr="00EB7EAF">
        <w:rPr>
          <w:rFonts w:ascii="Calibri" w:eastAsia="Calibri" w:hAnsi="Calibri" w:cs="Times New Roman"/>
          <w:b/>
        </w:rPr>
        <w:t>:</w:t>
      </w:r>
      <w:r w:rsidRPr="00EB7EAF">
        <w:rPr>
          <w:rFonts w:ascii="Calibri" w:eastAsia="Calibri" w:hAnsi="Calibri" w:cs="Times New Roman"/>
        </w:rPr>
        <w:t xml:space="preserve"> </w:t>
      </w:r>
      <w:r w:rsidR="00EB4882" w:rsidRPr="00F12F82">
        <w:rPr>
          <w:color w:val="EE0000"/>
        </w:rPr>
        <w:t>transfer@</w:t>
      </w:r>
      <w:r w:rsidR="000D0E88" w:rsidRPr="00F12F82">
        <w:rPr>
          <w:color w:val="EE0000"/>
        </w:rPr>
        <w:t>uillinois.edu</w:t>
      </w:r>
    </w:p>
    <w:p w14:paraId="7B836C6D" w14:textId="10FA33D8" w:rsidR="00EB7EAF" w:rsidRPr="008411F6" w:rsidRDefault="00266047" w:rsidP="00EB7EAF">
      <w:pPr>
        <w:keepNext/>
        <w:pBdr>
          <w:bottom w:val="single" w:sz="4" w:space="1" w:color="auto"/>
        </w:pBdr>
        <w:spacing w:before="240" w:after="60" w:line="276" w:lineRule="auto"/>
        <w:outlineLvl w:val="0"/>
        <w:rPr>
          <w:rFonts w:ascii="Cambria" w:eastAsia="Times New Roman" w:hAnsi="Cambria" w:cs="Times New Roman"/>
          <w:b/>
          <w:bCs/>
          <w:color w:val="EE0000"/>
          <w:kern w:val="32"/>
          <w:sz w:val="32"/>
          <w:szCs w:val="32"/>
        </w:rPr>
      </w:pPr>
      <w:r w:rsidRPr="008411F6">
        <w:rPr>
          <w:rFonts w:ascii="Cambria" w:eastAsia="Times New Roman" w:hAnsi="Cambria" w:cs="Times New Roman"/>
          <w:b/>
          <w:bCs/>
          <w:color w:val="EE0000"/>
          <w:kern w:val="32"/>
          <w:sz w:val="32"/>
          <w:szCs w:val="32"/>
        </w:rPr>
        <w:t>Purpose</w:t>
      </w:r>
      <w:bookmarkEnd w:id="4"/>
      <w:bookmarkEnd w:id="5"/>
      <w:bookmarkEnd w:id="6"/>
      <w:bookmarkEnd w:id="7"/>
    </w:p>
    <w:p w14:paraId="5B0CFDE8" w14:textId="77777777" w:rsidR="00D00525" w:rsidRPr="008411F6" w:rsidRDefault="00C02073" w:rsidP="001F1BDC">
      <w:pPr>
        <w:rPr>
          <w:rFonts w:cstheme="minorHAnsi"/>
          <w:color w:val="EE0000"/>
        </w:rPr>
      </w:pPr>
      <w:r w:rsidRPr="008411F6">
        <w:rPr>
          <w:rFonts w:cstheme="minorHAnsi"/>
          <w:color w:val="EE0000"/>
        </w:rPr>
        <w:t xml:space="preserve">The purpose of this policy </w:t>
      </w:r>
      <w:r w:rsidR="001E3C59" w:rsidRPr="008411F6">
        <w:rPr>
          <w:rFonts w:cstheme="minorHAnsi"/>
          <w:color w:val="EE0000"/>
        </w:rPr>
        <w:t xml:space="preserve">is to </w:t>
      </w:r>
      <w:r w:rsidR="00500B93" w:rsidRPr="008411F6">
        <w:rPr>
          <w:rFonts w:cstheme="minorHAnsi"/>
          <w:color w:val="EE0000"/>
        </w:rPr>
        <w:t>establish</w:t>
      </w:r>
      <w:r w:rsidR="001E3C59" w:rsidRPr="008411F6">
        <w:rPr>
          <w:rFonts w:cstheme="minorHAnsi"/>
          <w:color w:val="EE0000"/>
        </w:rPr>
        <w:t xml:space="preserve"> standards </w:t>
      </w:r>
      <w:r w:rsidR="00F04084" w:rsidRPr="008411F6">
        <w:rPr>
          <w:rFonts w:cstheme="minorHAnsi"/>
          <w:color w:val="EE0000"/>
        </w:rPr>
        <w:t>governing the evaluation of transfer work</w:t>
      </w:r>
      <w:r w:rsidR="001F1BDC" w:rsidRPr="008411F6">
        <w:rPr>
          <w:rFonts w:cstheme="minorHAnsi"/>
          <w:color w:val="EE0000"/>
        </w:rPr>
        <w:t>*</w:t>
      </w:r>
      <w:r w:rsidR="00F04084" w:rsidRPr="008411F6">
        <w:rPr>
          <w:rFonts w:cstheme="minorHAnsi"/>
          <w:color w:val="EE0000"/>
        </w:rPr>
        <w:t xml:space="preserve"> for admission and the awarding of credi</w:t>
      </w:r>
      <w:r w:rsidR="001F1BDC" w:rsidRPr="008411F6">
        <w:rPr>
          <w:rFonts w:cstheme="minorHAnsi"/>
          <w:color w:val="EE0000"/>
        </w:rPr>
        <w:t xml:space="preserve">t. </w:t>
      </w:r>
    </w:p>
    <w:p w14:paraId="1F4A8721" w14:textId="31F15C9D" w:rsidR="00D00525" w:rsidRPr="00421D1D" w:rsidRDefault="001F1BDC" w:rsidP="00EB7EAF">
      <w:pPr>
        <w:keepNext/>
        <w:pBdr>
          <w:bottom w:val="single" w:sz="4" w:space="1" w:color="auto"/>
        </w:pBdr>
        <w:spacing w:before="240" w:after="60" w:line="276" w:lineRule="auto"/>
        <w:outlineLvl w:val="0"/>
        <w:rPr>
          <w:rFonts w:eastAsia="Times New Roman" w:cstheme="minorHAnsi"/>
          <w:b/>
          <w:bCs/>
          <w:kern w:val="32"/>
        </w:rPr>
      </w:pPr>
      <w:r w:rsidRPr="00421D1D">
        <w:rPr>
          <w:rFonts w:eastAsiaTheme="minorEastAsia" w:cstheme="minorHAnsi"/>
        </w:rPr>
        <w:t>* "Transfer work" and "transfer courses" are used interchangeably in this policy. Regardless of the term, this policy applies to transfer not in the form of courses, such as credit for military service and credit earned through testing and experiential learning. Transfer work not in the form of courses is evaluated for transfer per the terms of this policy.</w:t>
      </w:r>
    </w:p>
    <w:p w14:paraId="60FEDE04" w14:textId="20E57F1F" w:rsidR="00EB7EAF" w:rsidRPr="008411F6" w:rsidRDefault="00266047" w:rsidP="00EB7EAF">
      <w:pPr>
        <w:keepNext/>
        <w:pBdr>
          <w:bottom w:val="single" w:sz="4" w:space="1" w:color="auto"/>
        </w:pBdr>
        <w:spacing w:before="240" w:after="60" w:line="276" w:lineRule="auto"/>
        <w:outlineLvl w:val="0"/>
        <w:rPr>
          <w:rFonts w:ascii="Cambria" w:eastAsia="Times New Roman" w:hAnsi="Cambria" w:cs="Times New Roman"/>
          <w:b/>
          <w:bCs/>
          <w:color w:val="EE0000"/>
          <w:kern w:val="32"/>
          <w:sz w:val="32"/>
          <w:szCs w:val="32"/>
        </w:rPr>
      </w:pPr>
      <w:r w:rsidRPr="008411F6">
        <w:rPr>
          <w:rFonts w:ascii="Cambria" w:eastAsia="Times New Roman" w:hAnsi="Cambria" w:cs="Times New Roman"/>
          <w:b/>
          <w:bCs/>
          <w:color w:val="EE0000"/>
          <w:kern w:val="32"/>
          <w:sz w:val="32"/>
          <w:szCs w:val="32"/>
        </w:rPr>
        <w:t>Scope</w:t>
      </w:r>
    </w:p>
    <w:p w14:paraId="113403A4" w14:textId="71FA7338" w:rsidR="0004692E" w:rsidRPr="00D00525" w:rsidRDefault="00441AF1" w:rsidP="0004692E">
      <w:pPr>
        <w:rPr>
          <w:rFonts w:cstheme="minorHAnsi"/>
        </w:rPr>
      </w:pPr>
      <w:r w:rsidRPr="008411F6">
        <w:rPr>
          <w:rFonts w:cstheme="minorHAnsi"/>
          <w:color w:val="EE0000"/>
        </w:rPr>
        <w:t xml:space="preserve">This policy applies to </w:t>
      </w:r>
      <w:r w:rsidR="005D2174" w:rsidRPr="008411F6">
        <w:rPr>
          <w:rFonts w:cstheme="minorHAnsi"/>
          <w:color w:val="EE0000"/>
        </w:rPr>
        <w:t>all University of Illinois System universities.</w:t>
      </w:r>
    </w:p>
    <w:p w14:paraId="06893B6F" w14:textId="054FFA44" w:rsidR="00EB7EAF" w:rsidRPr="004E1EC7" w:rsidRDefault="00266047" w:rsidP="00EB7EAF">
      <w:pPr>
        <w:keepNext/>
        <w:pBdr>
          <w:bottom w:val="single" w:sz="4" w:space="1" w:color="auto"/>
        </w:pBdr>
        <w:spacing w:before="240" w:after="60" w:line="276" w:lineRule="auto"/>
        <w:outlineLvl w:val="0"/>
        <w:rPr>
          <w:rFonts w:ascii="Cambria" w:eastAsia="Times New Roman" w:hAnsi="Cambria" w:cs="Times New Roman"/>
          <w:b/>
          <w:bCs/>
          <w:color w:val="EE0000"/>
          <w:kern w:val="32"/>
          <w:sz w:val="32"/>
          <w:szCs w:val="32"/>
        </w:rPr>
      </w:pPr>
      <w:r w:rsidRPr="004E1EC7">
        <w:rPr>
          <w:rFonts w:ascii="Cambria" w:eastAsia="Times New Roman" w:hAnsi="Cambria" w:cs="Times New Roman"/>
          <w:b/>
          <w:bCs/>
          <w:color w:val="EE0000"/>
          <w:kern w:val="32"/>
          <w:sz w:val="32"/>
          <w:szCs w:val="32"/>
        </w:rPr>
        <w:t>Statement of Policy</w:t>
      </w:r>
      <w:r w:rsidR="004E1EC7">
        <w:rPr>
          <w:rFonts w:ascii="Cambria" w:eastAsia="Times New Roman" w:hAnsi="Cambria" w:cs="Times New Roman"/>
          <w:b/>
          <w:bCs/>
          <w:color w:val="EE0000"/>
          <w:kern w:val="32"/>
          <w:sz w:val="32"/>
          <w:szCs w:val="32"/>
        </w:rPr>
        <w:t xml:space="preserve"> </w:t>
      </w:r>
      <w:r w:rsidR="004E1EC7" w:rsidRPr="004E1EC7">
        <w:rPr>
          <w:rFonts w:ascii="Cambria" w:eastAsia="Times New Roman" w:hAnsi="Cambria" w:cs="Times New Roman"/>
          <w:b/>
          <w:bCs/>
          <w:strike/>
          <w:color w:val="EE0000"/>
          <w:kern w:val="32"/>
          <w:sz w:val="32"/>
          <w:szCs w:val="32"/>
        </w:rPr>
        <w:t>Current Policy</w:t>
      </w:r>
    </w:p>
    <w:p w14:paraId="66B65B70" w14:textId="384F192B" w:rsidR="00755462" w:rsidRPr="00921F8F" w:rsidRDefault="00921F8F" w:rsidP="00921F8F">
      <w:pPr>
        <w:rPr>
          <w:rFonts w:eastAsiaTheme="minorEastAsia" w:cstheme="minorHAnsi"/>
        </w:rPr>
      </w:pPr>
      <w:r w:rsidRPr="00CA4A31">
        <w:rPr>
          <w:rFonts w:eastAsiaTheme="minorEastAsia" w:cstheme="minorHAnsi"/>
          <w:strike/>
          <w:color w:val="EE0000"/>
        </w:rPr>
        <w:t xml:space="preserve">1. </w:t>
      </w:r>
      <w:r w:rsidR="006A4955" w:rsidRPr="00921F8F">
        <w:rPr>
          <w:rFonts w:eastAsiaTheme="minorEastAsia" w:cstheme="minorHAnsi"/>
        </w:rPr>
        <w:t xml:space="preserve">Transfer work is evaluated for admission purposes and considered for credit. The University </w:t>
      </w:r>
      <w:r w:rsidR="00D00525" w:rsidRPr="00921F8F">
        <w:rPr>
          <w:rFonts w:eastAsiaTheme="minorEastAsia" w:cstheme="minorHAnsi"/>
          <w:color w:val="EE0000"/>
        </w:rPr>
        <w:t>may consider transfer work for</w:t>
      </w:r>
      <w:r w:rsidR="005C166C" w:rsidRPr="00921F8F">
        <w:rPr>
          <w:rFonts w:eastAsiaTheme="minorEastAsia" w:cstheme="minorHAnsi"/>
          <w:color w:val="EE0000"/>
        </w:rPr>
        <w:t xml:space="preserve"> </w:t>
      </w:r>
      <w:r w:rsidR="005C166C" w:rsidRPr="00921F8F">
        <w:rPr>
          <w:rFonts w:eastAsiaTheme="minorEastAsia" w:cstheme="minorHAnsi"/>
          <w:strike/>
          <w:color w:val="EE0000"/>
        </w:rPr>
        <w:t>evaluates</w:t>
      </w:r>
      <w:r w:rsidR="00D00525" w:rsidRPr="00921F8F">
        <w:rPr>
          <w:rFonts w:eastAsiaTheme="minorEastAsia" w:cstheme="minorHAnsi"/>
          <w:color w:val="EE0000"/>
        </w:rPr>
        <w:t xml:space="preserve"> </w:t>
      </w:r>
      <w:r w:rsidR="00D00525" w:rsidRPr="00921F8F">
        <w:rPr>
          <w:rFonts w:eastAsia="Aptos" w:cstheme="minorHAnsi"/>
          <w:color w:val="EE0000"/>
          <w:kern w:val="2"/>
        </w:rPr>
        <w:t xml:space="preserve">evaluation </w:t>
      </w:r>
      <w:r w:rsidR="00861015" w:rsidRPr="00921F8F">
        <w:rPr>
          <w:rFonts w:eastAsia="Aptos" w:cstheme="minorHAnsi"/>
          <w:strike/>
          <w:color w:val="EE0000"/>
          <w:kern w:val="2"/>
        </w:rPr>
        <w:t>transfer work</w:t>
      </w:r>
      <w:r w:rsidR="00861015" w:rsidRPr="00921F8F">
        <w:rPr>
          <w:rFonts w:eastAsia="Aptos" w:cstheme="minorHAnsi"/>
          <w:color w:val="EE0000"/>
          <w:kern w:val="2"/>
        </w:rPr>
        <w:t xml:space="preserve"> </w:t>
      </w:r>
      <w:r w:rsidR="00D00525" w:rsidRPr="00921F8F">
        <w:rPr>
          <w:rFonts w:eastAsia="Aptos" w:cstheme="minorHAnsi"/>
          <w:kern w:val="2"/>
        </w:rPr>
        <w:t xml:space="preserve">completed at institutions accredited by </w:t>
      </w:r>
      <w:r w:rsidR="00D00525" w:rsidRPr="00921F8F">
        <w:rPr>
          <w:rFonts w:eastAsia="Aptos" w:cstheme="minorHAnsi"/>
          <w:color w:val="EE0000"/>
          <w:kern w:val="2"/>
        </w:rPr>
        <w:t xml:space="preserve">an </w:t>
      </w:r>
      <w:r w:rsidR="00D00525" w:rsidRPr="00921F8F">
        <w:rPr>
          <w:rFonts w:eastAsiaTheme="minorEastAsia" w:cstheme="minorHAnsi"/>
          <w:color w:val="EE0000"/>
        </w:rPr>
        <w:t>institutional accrediting agency (formerly known as “regional accreditor”) recognized by the U.S. Department of Education</w:t>
      </w:r>
      <w:r w:rsidR="00D00525" w:rsidRPr="00921F8F">
        <w:rPr>
          <w:rFonts w:eastAsiaTheme="minorEastAsia" w:cstheme="minorHAnsi"/>
        </w:rPr>
        <w:t>,</w:t>
      </w:r>
      <w:r w:rsidR="00DA6E86" w:rsidRPr="00921F8F">
        <w:rPr>
          <w:rFonts w:eastAsiaTheme="minorEastAsia" w:cstheme="minorHAnsi"/>
        </w:rPr>
        <w:t xml:space="preserve"> </w:t>
      </w:r>
      <w:r w:rsidR="00DA6E86" w:rsidRPr="00921F8F">
        <w:rPr>
          <w:rFonts w:eastAsiaTheme="minorEastAsia" w:cstheme="minorHAnsi"/>
          <w:strike/>
          <w:color w:val="EE0000"/>
        </w:rPr>
        <w:t xml:space="preserve">regional </w:t>
      </w:r>
      <w:r w:rsidR="00D00525" w:rsidRPr="00921F8F">
        <w:rPr>
          <w:rFonts w:eastAsia="Aptos" w:cstheme="minorHAnsi"/>
          <w:kern w:val="2"/>
        </w:rPr>
        <w:t>or</w:t>
      </w:r>
      <w:r w:rsidR="00D00525" w:rsidRPr="00921F8F">
        <w:rPr>
          <w:rFonts w:eastAsia="Aptos" w:cstheme="minorHAnsi"/>
          <w:strike/>
          <w:color w:val="EE0000"/>
          <w:kern w:val="2"/>
        </w:rPr>
        <w:t xml:space="preserve"> </w:t>
      </w:r>
      <w:r w:rsidR="00DA6E86" w:rsidRPr="00921F8F">
        <w:rPr>
          <w:rFonts w:eastAsia="Aptos" w:cstheme="minorHAnsi"/>
          <w:strike/>
          <w:color w:val="EE0000"/>
          <w:kern w:val="2"/>
        </w:rPr>
        <w:t xml:space="preserve">national </w:t>
      </w:r>
      <w:r w:rsidR="00D00525" w:rsidRPr="00921F8F">
        <w:rPr>
          <w:rFonts w:eastAsia="Aptos" w:cstheme="minorHAnsi"/>
          <w:color w:val="EE0000"/>
          <w:kern w:val="2"/>
        </w:rPr>
        <w:t>an</w:t>
      </w:r>
      <w:r w:rsidR="00D00525" w:rsidRPr="00921F8F">
        <w:rPr>
          <w:rFonts w:eastAsia="Aptos" w:cstheme="minorHAnsi"/>
          <w:kern w:val="2"/>
        </w:rPr>
        <w:t xml:space="preserve"> accrediting organization recognized by the Council for Higher Education Accreditation (CHEA), including institutions under candidacy status. </w:t>
      </w:r>
      <w:r w:rsidR="006A4955" w:rsidRPr="00921F8F">
        <w:rPr>
          <w:rFonts w:eastAsiaTheme="minorEastAsia" w:cstheme="minorHAnsi"/>
        </w:rPr>
        <w:t>Foreign institutions must be recognized by the ministry of education in the home country or an equivalent government authority.</w:t>
      </w:r>
    </w:p>
    <w:p w14:paraId="550740ED" w14:textId="033B9D7E" w:rsidR="006A4955" w:rsidRDefault="00CA4A31" w:rsidP="008520CC">
      <w:pPr>
        <w:rPr>
          <w:rFonts w:eastAsiaTheme="minorEastAsia" w:cstheme="minorHAnsi"/>
        </w:rPr>
      </w:pPr>
      <w:r w:rsidRPr="00D977B8">
        <w:rPr>
          <w:rFonts w:eastAsiaTheme="minorEastAsia" w:cstheme="minorHAnsi"/>
          <w:strike/>
          <w:color w:val="EE0000"/>
        </w:rPr>
        <w:t>2.</w:t>
      </w:r>
      <w:r w:rsidRPr="00CA4A31">
        <w:rPr>
          <w:rFonts w:eastAsiaTheme="minorEastAsia" w:cstheme="minorHAnsi"/>
          <w:color w:val="EE0000"/>
        </w:rPr>
        <w:t xml:space="preserve"> </w:t>
      </w:r>
      <w:r w:rsidR="006A4955" w:rsidRPr="00D00525">
        <w:rPr>
          <w:rFonts w:eastAsiaTheme="minorEastAsia" w:cstheme="minorHAnsi"/>
        </w:rPr>
        <w:t>To be eligible for admission and credit, transfer work must be similar in nature, level, and content to courses in the undergraduate curriculum and/or applicable to an undergraduate academic program. Other transfer work that is deemed nontransferable (such as continuing education courses, graduate-level courses, and courses that are remedial, technical, vocational, or doctrinal in nature as determined by the campus) are not used in admission decisions regardless of the institution's accreditation.</w:t>
      </w:r>
    </w:p>
    <w:p w14:paraId="17C103B7" w14:textId="56097427" w:rsidR="007D4F71" w:rsidRPr="007D4F71" w:rsidRDefault="00EA27E7" w:rsidP="007D4F71">
      <w:pPr>
        <w:rPr>
          <w:rFonts w:eastAsiaTheme="minorEastAsia" w:cstheme="minorHAnsi"/>
          <w:strike/>
          <w:color w:val="EE0000"/>
        </w:rPr>
      </w:pPr>
      <w:r>
        <w:rPr>
          <w:rFonts w:eastAsiaTheme="minorEastAsia" w:cstheme="minorHAnsi"/>
          <w:strike/>
          <w:color w:val="EE0000"/>
        </w:rPr>
        <w:lastRenderedPageBreak/>
        <w:t xml:space="preserve">3. </w:t>
      </w:r>
      <w:r w:rsidR="007D4F71" w:rsidRPr="007D4F71">
        <w:rPr>
          <w:rFonts w:eastAsiaTheme="minorEastAsia" w:cstheme="minorHAnsi"/>
          <w:strike/>
          <w:color w:val="EE0000"/>
        </w:rPr>
        <w:t>Credit for transfer courses is either applied as direct equivalents with University courses or applied to a degree in a manner determined by the department and college. Determining how transfer credit is applied varies by campus depending on the process established to implement University policy.</w:t>
      </w:r>
    </w:p>
    <w:p w14:paraId="62B83EAC" w14:textId="6EAB7F40" w:rsidR="007D4F71" w:rsidRPr="007D4F71" w:rsidRDefault="00EA27E7" w:rsidP="007D4F71">
      <w:pPr>
        <w:rPr>
          <w:rFonts w:eastAsiaTheme="minorEastAsia" w:cstheme="minorHAnsi"/>
          <w:strike/>
          <w:color w:val="EE0000"/>
        </w:rPr>
      </w:pPr>
      <w:r>
        <w:rPr>
          <w:rFonts w:eastAsiaTheme="minorEastAsia" w:cstheme="minorHAnsi"/>
          <w:strike/>
          <w:color w:val="EE0000"/>
        </w:rPr>
        <w:t xml:space="preserve">4. </w:t>
      </w:r>
      <w:r w:rsidR="007D4F71" w:rsidRPr="007D4F71">
        <w:rPr>
          <w:rFonts w:eastAsiaTheme="minorEastAsia" w:cstheme="minorHAnsi"/>
          <w:strike/>
          <w:color w:val="EE0000"/>
        </w:rPr>
        <w:t>The precise amount of transfer credit awarded and that is applicable toward a particular degree is determined by or in consultation with the University college and department concerned.</w:t>
      </w:r>
    </w:p>
    <w:p w14:paraId="68026BBC" w14:textId="37D1BFB9" w:rsidR="007D4F71" w:rsidRPr="006C4C88" w:rsidRDefault="006C4C88" w:rsidP="006C4C88">
      <w:pPr>
        <w:keepNext/>
        <w:pBdr>
          <w:bottom w:val="single" w:sz="4" w:space="1" w:color="auto"/>
        </w:pBdr>
        <w:spacing w:before="240" w:after="60" w:line="276" w:lineRule="auto"/>
        <w:outlineLvl w:val="0"/>
        <w:rPr>
          <w:rFonts w:eastAsia="Times New Roman" w:cstheme="minorHAnsi"/>
          <w:b/>
          <w:bCs/>
          <w:strike/>
          <w:color w:val="EE0000"/>
          <w:kern w:val="32"/>
        </w:rPr>
      </w:pPr>
      <w:r w:rsidRPr="006C4C88">
        <w:rPr>
          <w:rFonts w:eastAsiaTheme="minorEastAsia" w:cstheme="minorHAnsi"/>
          <w:strike/>
          <w:color w:val="EE0000"/>
        </w:rPr>
        <w:t>* "Transfer work" and "transfer courses" are used interchangeably in this policy. Regardless of the term, this policy applies to transfer not in the form of courses, such as credit for military service and credit earned through testing and experiential learning. Transfer work not in the form of courses is evaluated for transfer per the terms of this policy.</w:t>
      </w:r>
    </w:p>
    <w:p w14:paraId="4BA6A553" w14:textId="3BA5F2CA" w:rsidR="00EB7EAF" w:rsidRPr="008411F6" w:rsidRDefault="00266047" w:rsidP="00EB7EAF">
      <w:pPr>
        <w:keepNext/>
        <w:pBdr>
          <w:bottom w:val="single" w:sz="4" w:space="1" w:color="auto"/>
        </w:pBdr>
        <w:spacing w:before="240" w:after="60" w:line="276" w:lineRule="auto"/>
        <w:outlineLvl w:val="0"/>
        <w:rPr>
          <w:rFonts w:ascii="Cambria" w:eastAsia="Times New Roman" w:hAnsi="Cambria" w:cs="Times New Roman"/>
          <w:b/>
          <w:bCs/>
          <w:color w:val="EE0000"/>
          <w:kern w:val="32"/>
          <w:sz w:val="32"/>
          <w:szCs w:val="32"/>
        </w:rPr>
      </w:pPr>
      <w:bookmarkStart w:id="8" w:name="_Toc303941983"/>
      <w:bookmarkStart w:id="9" w:name="_Toc306102931"/>
      <w:bookmarkStart w:id="10" w:name="_Toc306178659"/>
      <w:bookmarkStart w:id="11" w:name="_Toc306179925"/>
      <w:r w:rsidRPr="008411F6">
        <w:rPr>
          <w:rFonts w:ascii="Cambria" w:eastAsia="Times New Roman" w:hAnsi="Cambria" w:cs="Times New Roman"/>
          <w:b/>
          <w:bCs/>
          <w:color w:val="EE0000"/>
          <w:kern w:val="32"/>
          <w:sz w:val="32"/>
          <w:szCs w:val="32"/>
        </w:rPr>
        <w:t>Procedures</w:t>
      </w:r>
      <w:bookmarkEnd w:id="8"/>
      <w:bookmarkEnd w:id="9"/>
      <w:bookmarkEnd w:id="10"/>
      <w:bookmarkEnd w:id="11"/>
    </w:p>
    <w:p w14:paraId="006EFB2C" w14:textId="77777777" w:rsidR="007906C1" w:rsidRPr="00421D1D" w:rsidRDefault="007906C1" w:rsidP="008520CC">
      <w:pPr>
        <w:rPr>
          <w:rFonts w:eastAsiaTheme="minorEastAsia" w:cstheme="minorHAnsi"/>
        </w:rPr>
      </w:pPr>
      <w:r w:rsidRPr="00421D1D">
        <w:rPr>
          <w:rFonts w:eastAsiaTheme="minorEastAsia" w:cstheme="minorHAnsi"/>
        </w:rPr>
        <w:t>Credit for transfer courses is either applied as direct equivalents with University courses or applied to a degree in a manner determined by the department and college. Determining how transfer credit is applied varies by campus depending on the process established to implement University policy.</w:t>
      </w:r>
    </w:p>
    <w:p w14:paraId="3CA66B7A" w14:textId="77777777" w:rsidR="007906C1" w:rsidRPr="00421D1D" w:rsidRDefault="007906C1" w:rsidP="008520CC">
      <w:pPr>
        <w:rPr>
          <w:rFonts w:eastAsiaTheme="minorEastAsia" w:cstheme="minorHAnsi"/>
        </w:rPr>
      </w:pPr>
      <w:r w:rsidRPr="00421D1D">
        <w:rPr>
          <w:rFonts w:eastAsiaTheme="minorEastAsia" w:cstheme="minorHAnsi"/>
        </w:rPr>
        <w:t>The precise amount of transfer credit awarded and that is applicable toward a particular degree is determined by or in consultation with the University college and department concerned.</w:t>
      </w:r>
    </w:p>
    <w:p w14:paraId="2EDDF72B" w14:textId="25BE6122" w:rsidR="00266047" w:rsidRPr="008411F6" w:rsidRDefault="00406ECB" w:rsidP="00266047">
      <w:pPr>
        <w:keepNext/>
        <w:pBdr>
          <w:bottom w:val="single" w:sz="4" w:space="1" w:color="auto"/>
        </w:pBdr>
        <w:spacing w:before="240" w:after="60" w:line="276" w:lineRule="auto"/>
        <w:outlineLvl w:val="0"/>
        <w:rPr>
          <w:rFonts w:ascii="Cambria" w:eastAsia="Times New Roman" w:hAnsi="Cambria" w:cs="Times New Roman"/>
          <w:b/>
          <w:bCs/>
          <w:color w:val="EE0000"/>
          <w:kern w:val="32"/>
          <w:sz w:val="32"/>
          <w:szCs w:val="32"/>
        </w:rPr>
      </w:pPr>
      <w:bookmarkStart w:id="12" w:name="_Toc303941986"/>
      <w:bookmarkStart w:id="13" w:name="_Toc306102934"/>
      <w:bookmarkStart w:id="14" w:name="_Toc306178662"/>
      <w:bookmarkStart w:id="15" w:name="_Toc306179928"/>
      <w:r w:rsidRPr="008411F6">
        <w:rPr>
          <w:rFonts w:ascii="Cambria" w:eastAsia="Times New Roman" w:hAnsi="Cambria" w:cs="Times New Roman"/>
          <w:b/>
          <w:bCs/>
          <w:color w:val="EE0000"/>
          <w:kern w:val="32"/>
          <w:sz w:val="32"/>
          <w:szCs w:val="32"/>
        </w:rPr>
        <w:t>Forms, Tools and Additional Resources</w:t>
      </w:r>
    </w:p>
    <w:p w14:paraId="0655F9C9" w14:textId="5E397C7F" w:rsidR="00C25E20" w:rsidRPr="008411F6" w:rsidRDefault="00C25E20" w:rsidP="00B02E56">
      <w:pPr>
        <w:rPr>
          <w:rFonts w:cstheme="minorHAnsi"/>
          <w:color w:val="EE0000"/>
        </w:rPr>
      </w:pPr>
      <w:hyperlink r:id="rId8" w:anchor="RegionalInstitutional" w:history="1">
        <w:r w:rsidRPr="008411F6">
          <w:rPr>
            <w:rStyle w:val="Hyperlink"/>
            <w:rFonts w:cstheme="minorHAnsi"/>
            <w:color w:val="EE0000"/>
          </w:rPr>
          <w:t>Link</w:t>
        </w:r>
      </w:hyperlink>
      <w:r w:rsidRPr="008411F6">
        <w:rPr>
          <w:rFonts w:cstheme="minorHAnsi"/>
          <w:color w:val="EE0000"/>
        </w:rPr>
        <w:t xml:space="preserve"> to U.S. Department of Education </w:t>
      </w:r>
      <w:r w:rsidR="00C90262" w:rsidRPr="008411F6">
        <w:rPr>
          <w:rFonts w:cstheme="minorHAnsi"/>
          <w:color w:val="EE0000"/>
        </w:rPr>
        <w:t>list of approved Institutional Accrediting Agencies</w:t>
      </w:r>
    </w:p>
    <w:p w14:paraId="05342581" w14:textId="66E89471" w:rsidR="00C90262" w:rsidRPr="008411F6" w:rsidRDefault="00E80A9D" w:rsidP="00B02E56">
      <w:pPr>
        <w:rPr>
          <w:rFonts w:cstheme="minorHAnsi"/>
          <w:color w:val="EE0000"/>
        </w:rPr>
      </w:pPr>
      <w:hyperlink r:id="rId9" w:history="1">
        <w:r w:rsidRPr="008411F6">
          <w:rPr>
            <w:rStyle w:val="Hyperlink"/>
            <w:rFonts w:cstheme="minorHAnsi"/>
            <w:color w:val="EE0000"/>
          </w:rPr>
          <w:t>Link</w:t>
        </w:r>
      </w:hyperlink>
      <w:r w:rsidRPr="008411F6">
        <w:rPr>
          <w:rFonts w:cstheme="minorHAnsi"/>
          <w:color w:val="EE0000"/>
        </w:rPr>
        <w:t xml:space="preserve"> to the Council for Higher Education Accreditation website</w:t>
      </w:r>
    </w:p>
    <w:p w14:paraId="3F2D5059" w14:textId="68201D7F" w:rsidR="00266047" w:rsidRPr="008411F6" w:rsidRDefault="00406ECB" w:rsidP="00266047">
      <w:pPr>
        <w:keepNext/>
        <w:pBdr>
          <w:bottom w:val="single" w:sz="4" w:space="1" w:color="auto"/>
        </w:pBdr>
        <w:spacing w:before="240" w:after="60" w:line="276" w:lineRule="auto"/>
        <w:outlineLvl w:val="0"/>
        <w:rPr>
          <w:rFonts w:ascii="Cambria" w:eastAsia="Times New Roman" w:hAnsi="Cambria" w:cs="Times New Roman"/>
          <w:b/>
          <w:bCs/>
          <w:color w:val="EE0000"/>
          <w:kern w:val="32"/>
          <w:sz w:val="32"/>
          <w:szCs w:val="32"/>
        </w:rPr>
      </w:pPr>
      <w:r w:rsidRPr="008411F6">
        <w:rPr>
          <w:rFonts w:ascii="Cambria" w:eastAsia="Times New Roman" w:hAnsi="Cambria" w:cs="Times New Roman"/>
          <w:b/>
          <w:bCs/>
          <w:color w:val="EE0000"/>
          <w:kern w:val="32"/>
          <w:sz w:val="32"/>
          <w:szCs w:val="32"/>
        </w:rPr>
        <w:t>Website Address for this Policy</w:t>
      </w:r>
    </w:p>
    <w:bookmarkEnd w:id="12"/>
    <w:bookmarkEnd w:id="13"/>
    <w:bookmarkEnd w:id="14"/>
    <w:bookmarkEnd w:id="15"/>
    <w:p w14:paraId="284842AE" w14:textId="076AD03A" w:rsidR="003157C8" w:rsidRPr="008411F6" w:rsidRDefault="00761C34" w:rsidP="00761C34">
      <w:pPr>
        <w:spacing w:line="240" w:lineRule="auto"/>
        <w:rPr>
          <w:rFonts w:eastAsia="Calibri" w:cstheme="minorHAnsi"/>
          <w:color w:val="EE0000"/>
        </w:rPr>
      </w:pPr>
      <w:r w:rsidRPr="008411F6">
        <w:rPr>
          <w:rFonts w:eastAsia="Times New Roman" w:cstheme="minorHAnsi"/>
          <w:color w:val="EE0000"/>
        </w:rPr>
        <w:t>https://www.vpaa.uillinois.edu/resources/policies/transfer_credit_policy</w:t>
      </w:r>
    </w:p>
    <w:sectPr w:rsidR="003157C8" w:rsidRPr="008411F6" w:rsidSect="00282FEE">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C3CC1" w14:textId="77777777" w:rsidR="003668C4" w:rsidRDefault="003668C4" w:rsidP="002F16AF">
      <w:pPr>
        <w:spacing w:after="0" w:line="240" w:lineRule="auto"/>
      </w:pPr>
      <w:r>
        <w:separator/>
      </w:r>
    </w:p>
  </w:endnote>
  <w:endnote w:type="continuationSeparator" w:id="0">
    <w:p w14:paraId="6FE054CC" w14:textId="77777777" w:rsidR="003668C4" w:rsidRDefault="003668C4" w:rsidP="002F1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C9497" w14:textId="77777777" w:rsidR="003668C4" w:rsidRDefault="003668C4" w:rsidP="002F16AF">
      <w:pPr>
        <w:spacing w:after="0" w:line="240" w:lineRule="auto"/>
      </w:pPr>
      <w:r>
        <w:separator/>
      </w:r>
    </w:p>
  </w:footnote>
  <w:footnote w:type="continuationSeparator" w:id="0">
    <w:p w14:paraId="685E7B9D" w14:textId="77777777" w:rsidR="003668C4" w:rsidRDefault="003668C4" w:rsidP="002F1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2AA8" w14:textId="2A434874" w:rsidR="003C0E28" w:rsidRDefault="003C0E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F0B1" w14:textId="723F43C2" w:rsidR="003C0E28" w:rsidRDefault="003C0E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D177" w14:textId="70D158A9" w:rsidR="003C0E28" w:rsidRDefault="003C0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1788"/>
    <w:multiLevelType w:val="multilevel"/>
    <w:tmpl w:val="EA928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284D17"/>
    <w:multiLevelType w:val="hybridMultilevel"/>
    <w:tmpl w:val="4AF4E53E"/>
    <w:lvl w:ilvl="0" w:tplc="BF3E2192">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E33CFF"/>
    <w:multiLevelType w:val="hybridMultilevel"/>
    <w:tmpl w:val="7AC093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9053DB"/>
    <w:multiLevelType w:val="multilevel"/>
    <w:tmpl w:val="EA928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BF220D"/>
    <w:multiLevelType w:val="multilevel"/>
    <w:tmpl w:val="F9C4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E16C0"/>
    <w:multiLevelType w:val="multilevel"/>
    <w:tmpl w:val="EA928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FE7576"/>
    <w:multiLevelType w:val="hybridMultilevel"/>
    <w:tmpl w:val="FB28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723637"/>
    <w:multiLevelType w:val="hybridMultilevel"/>
    <w:tmpl w:val="48183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5C4C55"/>
    <w:multiLevelType w:val="hybridMultilevel"/>
    <w:tmpl w:val="FC7E1F6C"/>
    <w:lvl w:ilvl="0" w:tplc="2D3A5E24">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7639C3"/>
    <w:multiLevelType w:val="hybridMultilevel"/>
    <w:tmpl w:val="2E72262E"/>
    <w:lvl w:ilvl="0" w:tplc="BF3E2192">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2F79DE"/>
    <w:multiLevelType w:val="hybridMultilevel"/>
    <w:tmpl w:val="6ACC96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D21776"/>
    <w:multiLevelType w:val="hybridMultilevel"/>
    <w:tmpl w:val="945AD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AF43A7"/>
    <w:multiLevelType w:val="hybridMultilevel"/>
    <w:tmpl w:val="51AA4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934C2E"/>
    <w:multiLevelType w:val="hybridMultilevel"/>
    <w:tmpl w:val="9EEC4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7F48F9A">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0BA2"/>
    <w:multiLevelType w:val="multilevel"/>
    <w:tmpl w:val="EFD08D6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num w:numId="1" w16cid:durableId="602301359">
    <w:abstractNumId w:val="11"/>
  </w:num>
  <w:num w:numId="2" w16cid:durableId="2003848226">
    <w:abstractNumId w:val="7"/>
  </w:num>
  <w:num w:numId="3" w16cid:durableId="1559777644">
    <w:abstractNumId w:val="14"/>
  </w:num>
  <w:num w:numId="4" w16cid:durableId="1547256445">
    <w:abstractNumId w:val="6"/>
  </w:num>
  <w:num w:numId="5" w16cid:durableId="31073445">
    <w:abstractNumId w:val="8"/>
  </w:num>
  <w:num w:numId="6" w16cid:durableId="2024044157">
    <w:abstractNumId w:val="12"/>
  </w:num>
  <w:num w:numId="7" w16cid:durableId="231157665">
    <w:abstractNumId w:val="1"/>
  </w:num>
  <w:num w:numId="8" w16cid:durableId="36124381">
    <w:abstractNumId w:val="9"/>
  </w:num>
  <w:num w:numId="9" w16cid:durableId="1622807349">
    <w:abstractNumId w:val="13"/>
  </w:num>
  <w:num w:numId="10" w16cid:durableId="1685858845">
    <w:abstractNumId w:val="2"/>
    <w:lvlOverride w:ilvl="0">
      <w:startOverride w:val="1"/>
    </w:lvlOverride>
    <w:lvlOverride w:ilvl="1"/>
    <w:lvlOverride w:ilvl="2"/>
    <w:lvlOverride w:ilvl="3"/>
    <w:lvlOverride w:ilvl="4"/>
    <w:lvlOverride w:ilvl="5"/>
    <w:lvlOverride w:ilvl="6"/>
    <w:lvlOverride w:ilvl="7"/>
    <w:lvlOverride w:ilvl="8"/>
  </w:num>
  <w:num w:numId="11" w16cid:durableId="1601644521">
    <w:abstractNumId w:val="4"/>
  </w:num>
  <w:num w:numId="12" w16cid:durableId="1168718202">
    <w:abstractNumId w:val="0"/>
  </w:num>
  <w:num w:numId="13" w16cid:durableId="31468805">
    <w:abstractNumId w:val="5"/>
  </w:num>
  <w:num w:numId="14" w16cid:durableId="760950714">
    <w:abstractNumId w:val="3"/>
  </w:num>
  <w:num w:numId="15" w16cid:durableId="16151383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554"/>
    <w:rsid w:val="00001BCD"/>
    <w:rsid w:val="00002BEA"/>
    <w:rsid w:val="00003E05"/>
    <w:rsid w:val="00004B6F"/>
    <w:rsid w:val="00004EC6"/>
    <w:rsid w:val="0000533C"/>
    <w:rsid w:val="000065F7"/>
    <w:rsid w:val="00010AA3"/>
    <w:rsid w:val="00012088"/>
    <w:rsid w:val="00015419"/>
    <w:rsid w:val="00025462"/>
    <w:rsid w:val="000264D4"/>
    <w:rsid w:val="000278E8"/>
    <w:rsid w:val="00027FDD"/>
    <w:rsid w:val="00030434"/>
    <w:rsid w:val="00030EDA"/>
    <w:rsid w:val="000314A5"/>
    <w:rsid w:val="0004178A"/>
    <w:rsid w:val="00043237"/>
    <w:rsid w:val="00043DF3"/>
    <w:rsid w:val="0004692E"/>
    <w:rsid w:val="00047EBC"/>
    <w:rsid w:val="00050BA5"/>
    <w:rsid w:val="00052663"/>
    <w:rsid w:val="00052AEF"/>
    <w:rsid w:val="000541E3"/>
    <w:rsid w:val="000552A2"/>
    <w:rsid w:val="00055F24"/>
    <w:rsid w:val="000569FE"/>
    <w:rsid w:val="00062C56"/>
    <w:rsid w:val="00065F09"/>
    <w:rsid w:val="0006752D"/>
    <w:rsid w:val="00067AFB"/>
    <w:rsid w:val="000702CD"/>
    <w:rsid w:val="00070FEB"/>
    <w:rsid w:val="000725FD"/>
    <w:rsid w:val="000727A4"/>
    <w:rsid w:val="000749A6"/>
    <w:rsid w:val="00075B0E"/>
    <w:rsid w:val="0008449D"/>
    <w:rsid w:val="0008598F"/>
    <w:rsid w:val="0009304D"/>
    <w:rsid w:val="00096904"/>
    <w:rsid w:val="000A304C"/>
    <w:rsid w:val="000A312E"/>
    <w:rsid w:val="000A7113"/>
    <w:rsid w:val="000B02A6"/>
    <w:rsid w:val="000B0C14"/>
    <w:rsid w:val="000B2C04"/>
    <w:rsid w:val="000B79FE"/>
    <w:rsid w:val="000C4510"/>
    <w:rsid w:val="000C4D32"/>
    <w:rsid w:val="000C6343"/>
    <w:rsid w:val="000D016D"/>
    <w:rsid w:val="000D0E88"/>
    <w:rsid w:val="000D2517"/>
    <w:rsid w:val="000D2910"/>
    <w:rsid w:val="000D2BE6"/>
    <w:rsid w:val="000D33DD"/>
    <w:rsid w:val="000D46CA"/>
    <w:rsid w:val="000D6851"/>
    <w:rsid w:val="000D6CF6"/>
    <w:rsid w:val="000E11F0"/>
    <w:rsid w:val="000E14DA"/>
    <w:rsid w:val="000E1D9B"/>
    <w:rsid w:val="000E1EA6"/>
    <w:rsid w:val="000E32F3"/>
    <w:rsid w:val="000E44C6"/>
    <w:rsid w:val="000F01ED"/>
    <w:rsid w:val="000F1685"/>
    <w:rsid w:val="000F3CA4"/>
    <w:rsid w:val="000F50A3"/>
    <w:rsid w:val="000F524B"/>
    <w:rsid w:val="000F55E3"/>
    <w:rsid w:val="000F74E8"/>
    <w:rsid w:val="000F77DB"/>
    <w:rsid w:val="0010696F"/>
    <w:rsid w:val="00112FF9"/>
    <w:rsid w:val="0012201A"/>
    <w:rsid w:val="00123A41"/>
    <w:rsid w:val="001246F1"/>
    <w:rsid w:val="00125D4F"/>
    <w:rsid w:val="001313C9"/>
    <w:rsid w:val="00133216"/>
    <w:rsid w:val="001335D0"/>
    <w:rsid w:val="001359D7"/>
    <w:rsid w:val="00141C2C"/>
    <w:rsid w:val="001446F6"/>
    <w:rsid w:val="00144975"/>
    <w:rsid w:val="001477DE"/>
    <w:rsid w:val="00152CC1"/>
    <w:rsid w:val="00154320"/>
    <w:rsid w:val="00154923"/>
    <w:rsid w:val="001551BD"/>
    <w:rsid w:val="001601E7"/>
    <w:rsid w:val="00160390"/>
    <w:rsid w:val="001653CC"/>
    <w:rsid w:val="001659EA"/>
    <w:rsid w:val="00165EA7"/>
    <w:rsid w:val="00167FD7"/>
    <w:rsid w:val="001700BA"/>
    <w:rsid w:val="00170662"/>
    <w:rsid w:val="0017079D"/>
    <w:rsid w:val="00172A83"/>
    <w:rsid w:val="0017401C"/>
    <w:rsid w:val="00175863"/>
    <w:rsid w:val="00175AD3"/>
    <w:rsid w:val="001837E1"/>
    <w:rsid w:val="00186881"/>
    <w:rsid w:val="00187FDB"/>
    <w:rsid w:val="00195736"/>
    <w:rsid w:val="001966AF"/>
    <w:rsid w:val="001966DA"/>
    <w:rsid w:val="001A1167"/>
    <w:rsid w:val="001A43A8"/>
    <w:rsid w:val="001B1EAB"/>
    <w:rsid w:val="001B3E46"/>
    <w:rsid w:val="001B4337"/>
    <w:rsid w:val="001B5A99"/>
    <w:rsid w:val="001B5FFD"/>
    <w:rsid w:val="001B6A0F"/>
    <w:rsid w:val="001B6B73"/>
    <w:rsid w:val="001B74DC"/>
    <w:rsid w:val="001D1E3F"/>
    <w:rsid w:val="001D2532"/>
    <w:rsid w:val="001D5094"/>
    <w:rsid w:val="001D6479"/>
    <w:rsid w:val="001E19A8"/>
    <w:rsid w:val="001E2FB9"/>
    <w:rsid w:val="001E3C59"/>
    <w:rsid w:val="001E3E02"/>
    <w:rsid w:val="001E5542"/>
    <w:rsid w:val="001E6167"/>
    <w:rsid w:val="001F1BDC"/>
    <w:rsid w:val="001F3211"/>
    <w:rsid w:val="001F61C1"/>
    <w:rsid w:val="001F69C6"/>
    <w:rsid w:val="00205596"/>
    <w:rsid w:val="00206D4D"/>
    <w:rsid w:val="00211551"/>
    <w:rsid w:val="002125C2"/>
    <w:rsid w:val="00217F03"/>
    <w:rsid w:val="0023187B"/>
    <w:rsid w:val="002343B0"/>
    <w:rsid w:val="00234E69"/>
    <w:rsid w:val="00235EE9"/>
    <w:rsid w:val="00236D51"/>
    <w:rsid w:val="0024052D"/>
    <w:rsid w:val="00246352"/>
    <w:rsid w:val="00252554"/>
    <w:rsid w:val="0025410A"/>
    <w:rsid w:val="00261DBC"/>
    <w:rsid w:val="00263DBE"/>
    <w:rsid w:val="00263E3E"/>
    <w:rsid w:val="00264951"/>
    <w:rsid w:val="00266047"/>
    <w:rsid w:val="00266D8E"/>
    <w:rsid w:val="002707E3"/>
    <w:rsid w:val="00270A65"/>
    <w:rsid w:val="00273A60"/>
    <w:rsid w:val="0027761D"/>
    <w:rsid w:val="00282FEE"/>
    <w:rsid w:val="00291963"/>
    <w:rsid w:val="002954E2"/>
    <w:rsid w:val="00295D02"/>
    <w:rsid w:val="00297874"/>
    <w:rsid w:val="00297D7A"/>
    <w:rsid w:val="002A33D7"/>
    <w:rsid w:val="002B1862"/>
    <w:rsid w:val="002B2C00"/>
    <w:rsid w:val="002B516C"/>
    <w:rsid w:val="002B55B1"/>
    <w:rsid w:val="002B69E7"/>
    <w:rsid w:val="002C0297"/>
    <w:rsid w:val="002C4460"/>
    <w:rsid w:val="002C7C77"/>
    <w:rsid w:val="002D1515"/>
    <w:rsid w:val="002D1D93"/>
    <w:rsid w:val="002D316E"/>
    <w:rsid w:val="002D57B5"/>
    <w:rsid w:val="002E0555"/>
    <w:rsid w:val="002E4E72"/>
    <w:rsid w:val="002E514B"/>
    <w:rsid w:val="002E6A6E"/>
    <w:rsid w:val="002F093E"/>
    <w:rsid w:val="002F16AF"/>
    <w:rsid w:val="002F1C66"/>
    <w:rsid w:val="002F2D98"/>
    <w:rsid w:val="002F5E31"/>
    <w:rsid w:val="002F6A25"/>
    <w:rsid w:val="00300E77"/>
    <w:rsid w:val="00304A4A"/>
    <w:rsid w:val="003058D8"/>
    <w:rsid w:val="003157C8"/>
    <w:rsid w:val="00315979"/>
    <w:rsid w:val="003171A8"/>
    <w:rsid w:val="00321D61"/>
    <w:rsid w:val="003279BC"/>
    <w:rsid w:val="0033092A"/>
    <w:rsid w:val="003311B4"/>
    <w:rsid w:val="00332B0B"/>
    <w:rsid w:val="00333E1D"/>
    <w:rsid w:val="003342FB"/>
    <w:rsid w:val="00334CC9"/>
    <w:rsid w:val="0033625B"/>
    <w:rsid w:val="00337C50"/>
    <w:rsid w:val="00341379"/>
    <w:rsid w:val="003454EE"/>
    <w:rsid w:val="00351BD7"/>
    <w:rsid w:val="00351D1D"/>
    <w:rsid w:val="0035408F"/>
    <w:rsid w:val="00356CCC"/>
    <w:rsid w:val="00356DCA"/>
    <w:rsid w:val="00360B40"/>
    <w:rsid w:val="003643A2"/>
    <w:rsid w:val="003668C4"/>
    <w:rsid w:val="0037024D"/>
    <w:rsid w:val="00370622"/>
    <w:rsid w:val="0037088E"/>
    <w:rsid w:val="00371B22"/>
    <w:rsid w:val="00371B86"/>
    <w:rsid w:val="00375DA1"/>
    <w:rsid w:val="003764CF"/>
    <w:rsid w:val="0038522D"/>
    <w:rsid w:val="00387FBA"/>
    <w:rsid w:val="003920E8"/>
    <w:rsid w:val="00396ED3"/>
    <w:rsid w:val="00397BFC"/>
    <w:rsid w:val="003A01B5"/>
    <w:rsid w:val="003A0B5B"/>
    <w:rsid w:val="003A4439"/>
    <w:rsid w:val="003A658F"/>
    <w:rsid w:val="003B22A4"/>
    <w:rsid w:val="003B5024"/>
    <w:rsid w:val="003B59C5"/>
    <w:rsid w:val="003B6F9F"/>
    <w:rsid w:val="003C0E28"/>
    <w:rsid w:val="003D5279"/>
    <w:rsid w:val="003D73B2"/>
    <w:rsid w:val="003E58EA"/>
    <w:rsid w:val="003F1078"/>
    <w:rsid w:val="003F2F82"/>
    <w:rsid w:val="003F5529"/>
    <w:rsid w:val="003F5FF0"/>
    <w:rsid w:val="00400C3C"/>
    <w:rsid w:val="00400E9C"/>
    <w:rsid w:val="004035D5"/>
    <w:rsid w:val="0040432F"/>
    <w:rsid w:val="004059F6"/>
    <w:rsid w:val="004063A4"/>
    <w:rsid w:val="00406ECB"/>
    <w:rsid w:val="00407124"/>
    <w:rsid w:val="00410643"/>
    <w:rsid w:val="00410B21"/>
    <w:rsid w:val="00417AD6"/>
    <w:rsid w:val="00417DA9"/>
    <w:rsid w:val="00421D1D"/>
    <w:rsid w:val="00421D7E"/>
    <w:rsid w:val="00427BB5"/>
    <w:rsid w:val="00433A88"/>
    <w:rsid w:val="00435BF8"/>
    <w:rsid w:val="00441AF1"/>
    <w:rsid w:val="00443F95"/>
    <w:rsid w:val="00444125"/>
    <w:rsid w:val="00444DF3"/>
    <w:rsid w:val="00452410"/>
    <w:rsid w:val="004529D8"/>
    <w:rsid w:val="00454FCD"/>
    <w:rsid w:val="00467AD2"/>
    <w:rsid w:val="00470A21"/>
    <w:rsid w:val="004741E6"/>
    <w:rsid w:val="00474B1D"/>
    <w:rsid w:val="00475366"/>
    <w:rsid w:val="0047790C"/>
    <w:rsid w:val="00477E11"/>
    <w:rsid w:val="00480485"/>
    <w:rsid w:val="004812B0"/>
    <w:rsid w:val="004815CC"/>
    <w:rsid w:val="00481980"/>
    <w:rsid w:val="00481AFF"/>
    <w:rsid w:val="00482D37"/>
    <w:rsid w:val="004874D8"/>
    <w:rsid w:val="004925E0"/>
    <w:rsid w:val="00492F7D"/>
    <w:rsid w:val="004A1077"/>
    <w:rsid w:val="004A1946"/>
    <w:rsid w:val="004B0C9E"/>
    <w:rsid w:val="004B100E"/>
    <w:rsid w:val="004B2182"/>
    <w:rsid w:val="004B232C"/>
    <w:rsid w:val="004B2C4B"/>
    <w:rsid w:val="004B516B"/>
    <w:rsid w:val="004B7CFE"/>
    <w:rsid w:val="004C2446"/>
    <w:rsid w:val="004C3B2F"/>
    <w:rsid w:val="004C72AF"/>
    <w:rsid w:val="004D52DE"/>
    <w:rsid w:val="004D6664"/>
    <w:rsid w:val="004E1EC7"/>
    <w:rsid w:val="004E4AA0"/>
    <w:rsid w:val="004E5514"/>
    <w:rsid w:val="004E5E6D"/>
    <w:rsid w:val="004F070A"/>
    <w:rsid w:val="004F289E"/>
    <w:rsid w:val="004F3F51"/>
    <w:rsid w:val="004F4049"/>
    <w:rsid w:val="004F4A67"/>
    <w:rsid w:val="004F647E"/>
    <w:rsid w:val="004F6F33"/>
    <w:rsid w:val="00500B93"/>
    <w:rsid w:val="005020BA"/>
    <w:rsid w:val="005040EF"/>
    <w:rsid w:val="00504A2A"/>
    <w:rsid w:val="005077FC"/>
    <w:rsid w:val="0051019C"/>
    <w:rsid w:val="0051347C"/>
    <w:rsid w:val="00514066"/>
    <w:rsid w:val="00514877"/>
    <w:rsid w:val="0051745A"/>
    <w:rsid w:val="00517B86"/>
    <w:rsid w:val="0052025B"/>
    <w:rsid w:val="0052139A"/>
    <w:rsid w:val="005234B5"/>
    <w:rsid w:val="00524F2B"/>
    <w:rsid w:val="00525FB0"/>
    <w:rsid w:val="005315DB"/>
    <w:rsid w:val="00532FA1"/>
    <w:rsid w:val="00534060"/>
    <w:rsid w:val="0053609A"/>
    <w:rsid w:val="00547E00"/>
    <w:rsid w:val="0055117A"/>
    <w:rsid w:val="0055407B"/>
    <w:rsid w:val="00557E31"/>
    <w:rsid w:val="00561EA7"/>
    <w:rsid w:val="00562A14"/>
    <w:rsid w:val="00567B10"/>
    <w:rsid w:val="0057008D"/>
    <w:rsid w:val="0057054D"/>
    <w:rsid w:val="00581870"/>
    <w:rsid w:val="00583081"/>
    <w:rsid w:val="00585579"/>
    <w:rsid w:val="00587427"/>
    <w:rsid w:val="005939D8"/>
    <w:rsid w:val="00594A57"/>
    <w:rsid w:val="005960D5"/>
    <w:rsid w:val="00596F69"/>
    <w:rsid w:val="005973F8"/>
    <w:rsid w:val="00597832"/>
    <w:rsid w:val="00597C99"/>
    <w:rsid w:val="005A14F1"/>
    <w:rsid w:val="005A2A9F"/>
    <w:rsid w:val="005A3C5F"/>
    <w:rsid w:val="005B0065"/>
    <w:rsid w:val="005B1509"/>
    <w:rsid w:val="005B4438"/>
    <w:rsid w:val="005B5681"/>
    <w:rsid w:val="005B7C61"/>
    <w:rsid w:val="005B7FC9"/>
    <w:rsid w:val="005C166C"/>
    <w:rsid w:val="005C3612"/>
    <w:rsid w:val="005C5DF6"/>
    <w:rsid w:val="005D2174"/>
    <w:rsid w:val="005D3E07"/>
    <w:rsid w:val="005E122E"/>
    <w:rsid w:val="005E354D"/>
    <w:rsid w:val="005E4E7F"/>
    <w:rsid w:val="005F0986"/>
    <w:rsid w:val="005F13F3"/>
    <w:rsid w:val="005F2461"/>
    <w:rsid w:val="005F2485"/>
    <w:rsid w:val="005F2639"/>
    <w:rsid w:val="005F2DD9"/>
    <w:rsid w:val="005F463C"/>
    <w:rsid w:val="005F583F"/>
    <w:rsid w:val="006003A5"/>
    <w:rsid w:val="006019BB"/>
    <w:rsid w:val="00603F7A"/>
    <w:rsid w:val="006066CF"/>
    <w:rsid w:val="00607936"/>
    <w:rsid w:val="006109A4"/>
    <w:rsid w:val="006132F1"/>
    <w:rsid w:val="00617425"/>
    <w:rsid w:val="00621F0F"/>
    <w:rsid w:val="00623AAC"/>
    <w:rsid w:val="00626F43"/>
    <w:rsid w:val="00627A03"/>
    <w:rsid w:val="00627A07"/>
    <w:rsid w:val="0063001E"/>
    <w:rsid w:val="00632291"/>
    <w:rsid w:val="0063275B"/>
    <w:rsid w:val="00633C84"/>
    <w:rsid w:val="00637118"/>
    <w:rsid w:val="0064222A"/>
    <w:rsid w:val="00643A86"/>
    <w:rsid w:val="0064428A"/>
    <w:rsid w:val="00647296"/>
    <w:rsid w:val="00647E1D"/>
    <w:rsid w:val="006513ED"/>
    <w:rsid w:val="006521B7"/>
    <w:rsid w:val="00653CED"/>
    <w:rsid w:val="0065580B"/>
    <w:rsid w:val="00661D1D"/>
    <w:rsid w:val="00665458"/>
    <w:rsid w:val="0066670B"/>
    <w:rsid w:val="006705CB"/>
    <w:rsid w:val="0067181E"/>
    <w:rsid w:val="006750F8"/>
    <w:rsid w:val="00675158"/>
    <w:rsid w:val="0067613A"/>
    <w:rsid w:val="00676C0F"/>
    <w:rsid w:val="00680E0D"/>
    <w:rsid w:val="00680F56"/>
    <w:rsid w:val="00682E49"/>
    <w:rsid w:val="00682EB3"/>
    <w:rsid w:val="0068681C"/>
    <w:rsid w:val="00691193"/>
    <w:rsid w:val="00692968"/>
    <w:rsid w:val="00692F11"/>
    <w:rsid w:val="006930B0"/>
    <w:rsid w:val="00694D2B"/>
    <w:rsid w:val="00694DDA"/>
    <w:rsid w:val="006978CF"/>
    <w:rsid w:val="006A0556"/>
    <w:rsid w:val="006A0C53"/>
    <w:rsid w:val="006A0D03"/>
    <w:rsid w:val="006A217A"/>
    <w:rsid w:val="006A418F"/>
    <w:rsid w:val="006A4955"/>
    <w:rsid w:val="006A7481"/>
    <w:rsid w:val="006B0215"/>
    <w:rsid w:val="006B3E21"/>
    <w:rsid w:val="006B5354"/>
    <w:rsid w:val="006B5D80"/>
    <w:rsid w:val="006B6594"/>
    <w:rsid w:val="006C0FAC"/>
    <w:rsid w:val="006C2102"/>
    <w:rsid w:val="006C3BFE"/>
    <w:rsid w:val="006C4C88"/>
    <w:rsid w:val="006D0FCE"/>
    <w:rsid w:val="006D2450"/>
    <w:rsid w:val="006D3788"/>
    <w:rsid w:val="006D4DF4"/>
    <w:rsid w:val="006D531F"/>
    <w:rsid w:val="006D5D08"/>
    <w:rsid w:val="006D5D16"/>
    <w:rsid w:val="006E0497"/>
    <w:rsid w:val="006E3AD8"/>
    <w:rsid w:val="006F32AB"/>
    <w:rsid w:val="006F38F9"/>
    <w:rsid w:val="006F56AF"/>
    <w:rsid w:val="00702AE9"/>
    <w:rsid w:val="007059D7"/>
    <w:rsid w:val="00711B82"/>
    <w:rsid w:val="007147AE"/>
    <w:rsid w:val="0071566B"/>
    <w:rsid w:val="0071609F"/>
    <w:rsid w:val="007160AC"/>
    <w:rsid w:val="00722D53"/>
    <w:rsid w:val="0072487D"/>
    <w:rsid w:val="00725A39"/>
    <w:rsid w:val="00731DBB"/>
    <w:rsid w:val="00731F89"/>
    <w:rsid w:val="00737658"/>
    <w:rsid w:val="00740D80"/>
    <w:rsid w:val="0074416F"/>
    <w:rsid w:val="00744D36"/>
    <w:rsid w:val="00745401"/>
    <w:rsid w:val="00752698"/>
    <w:rsid w:val="00753C3F"/>
    <w:rsid w:val="007543E3"/>
    <w:rsid w:val="00755462"/>
    <w:rsid w:val="00755AE4"/>
    <w:rsid w:val="00760553"/>
    <w:rsid w:val="00760AF8"/>
    <w:rsid w:val="00761984"/>
    <w:rsid w:val="00761C34"/>
    <w:rsid w:val="0076399F"/>
    <w:rsid w:val="007653EB"/>
    <w:rsid w:val="00767EF6"/>
    <w:rsid w:val="007709CE"/>
    <w:rsid w:val="007715D9"/>
    <w:rsid w:val="00782582"/>
    <w:rsid w:val="007838B8"/>
    <w:rsid w:val="00783A47"/>
    <w:rsid w:val="00787FA7"/>
    <w:rsid w:val="007906C1"/>
    <w:rsid w:val="007906D1"/>
    <w:rsid w:val="00791F9C"/>
    <w:rsid w:val="007932EE"/>
    <w:rsid w:val="0079470B"/>
    <w:rsid w:val="007A01BD"/>
    <w:rsid w:val="007A2E01"/>
    <w:rsid w:val="007A32FD"/>
    <w:rsid w:val="007A5D73"/>
    <w:rsid w:val="007A7918"/>
    <w:rsid w:val="007B6DFA"/>
    <w:rsid w:val="007C0079"/>
    <w:rsid w:val="007C3B67"/>
    <w:rsid w:val="007C5187"/>
    <w:rsid w:val="007C6110"/>
    <w:rsid w:val="007C7420"/>
    <w:rsid w:val="007D04B0"/>
    <w:rsid w:val="007D070C"/>
    <w:rsid w:val="007D3F50"/>
    <w:rsid w:val="007D4F71"/>
    <w:rsid w:val="007D5FE7"/>
    <w:rsid w:val="007E01C2"/>
    <w:rsid w:val="007E7CEC"/>
    <w:rsid w:val="007F0114"/>
    <w:rsid w:val="007F01AC"/>
    <w:rsid w:val="007F121A"/>
    <w:rsid w:val="007F16ED"/>
    <w:rsid w:val="007F29A9"/>
    <w:rsid w:val="007F30EB"/>
    <w:rsid w:val="00801A3A"/>
    <w:rsid w:val="00802B77"/>
    <w:rsid w:val="008048AA"/>
    <w:rsid w:val="00810B32"/>
    <w:rsid w:val="008154E1"/>
    <w:rsid w:val="008206AF"/>
    <w:rsid w:val="0082183F"/>
    <w:rsid w:val="00824C83"/>
    <w:rsid w:val="00824E3C"/>
    <w:rsid w:val="00833D21"/>
    <w:rsid w:val="008411F6"/>
    <w:rsid w:val="00842549"/>
    <w:rsid w:val="00842E1D"/>
    <w:rsid w:val="00843FB2"/>
    <w:rsid w:val="008449C1"/>
    <w:rsid w:val="00846669"/>
    <w:rsid w:val="00850249"/>
    <w:rsid w:val="008520CC"/>
    <w:rsid w:val="00853A7F"/>
    <w:rsid w:val="00855653"/>
    <w:rsid w:val="00856B9F"/>
    <w:rsid w:val="0086010A"/>
    <w:rsid w:val="00861015"/>
    <w:rsid w:val="00861293"/>
    <w:rsid w:val="008621BA"/>
    <w:rsid w:val="008643C4"/>
    <w:rsid w:val="0086465A"/>
    <w:rsid w:val="00867BE0"/>
    <w:rsid w:val="00867DEF"/>
    <w:rsid w:val="008706E6"/>
    <w:rsid w:val="00871F00"/>
    <w:rsid w:val="00875723"/>
    <w:rsid w:val="0087582B"/>
    <w:rsid w:val="00881A79"/>
    <w:rsid w:val="00883F91"/>
    <w:rsid w:val="00892C78"/>
    <w:rsid w:val="00892FCA"/>
    <w:rsid w:val="00897022"/>
    <w:rsid w:val="00897193"/>
    <w:rsid w:val="008A037D"/>
    <w:rsid w:val="008A3D77"/>
    <w:rsid w:val="008A54A7"/>
    <w:rsid w:val="008B2D0D"/>
    <w:rsid w:val="008B5A53"/>
    <w:rsid w:val="008B7B2F"/>
    <w:rsid w:val="008C65CA"/>
    <w:rsid w:val="008D1A15"/>
    <w:rsid w:val="008D2FF3"/>
    <w:rsid w:val="008E0B9D"/>
    <w:rsid w:val="008E1829"/>
    <w:rsid w:val="008E30B9"/>
    <w:rsid w:val="008E3836"/>
    <w:rsid w:val="008E4BAC"/>
    <w:rsid w:val="008F20D0"/>
    <w:rsid w:val="008F36A7"/>
    <w:rsid w:val="008F39DA"/>
    <w:rsid w:val="008F6039"/>
    <w:rsid w:val="008F6B66"/>
    <w:rsid w:val="00901950"/>
    <w:rsid w:val="00901DC4"/>
    <w:rsid w:val="00903BAB"/>
    <w:rsid w:val="00905C7A"/>
    <w:rsid w:val="00907566"/>
    <w:rsid w:val="00907DB3"/>
    <w:rsid w:val="009121D9"/>
    <w:rsid w:val="009127AD"/>
    <w:rsid w:val="00912849"/>
    <w:rsid w:val="009141E9"/>
    <w:rsid w:val="00914FED"/>
    <w:rsid w:val="00915C5F"/>
    <w:rsid w:val="00920239"/>
    <w:rsid w:val="00921F8F"/>
    <w:rsid w:val="00923DB8"/>
    <w:rsid w:val="00924A52"/>
    <w:rsid w:val="00926EC3"/>
    <w:rsid w:val="0093030D"/>
    <w:rsid w:val="0093032F"/>
    <w:rsid w:val="00931D82"/>
    <w:rsid w:val="00931E1A"/>
    <w:rsid w:val="0093305E"/>
    <w:rsid w:val="0093620E"/>
    <w:rsid w:val="00937158"/>
    <w:rsid w:val="009422F4"/>
    <w:rsid w:val="00942755"/>
    <w:rsid w:val="00942999"/>
    <w:rsid w:val="009443AA"/>
    <w:rsid w:val="009452FD"/>
    <w:rsid w:val="0095181B"/>
    <w:rsid w:val="00956729"/>
    <w:rsid w:val="009638B0"/>
    <w:rsid w:val="009643CA"/>
    <w:rsid w:val="0096677F"/>
    <w:rsid w:val="009671A8"/>
    <w:rsid w:val="009720A1"/>
    <w:rsid w:val="00972A3A"/>
    <w:rsid w:val="00977935"/>
    <w:rsid w:val="009806F8"/>
    <w:rsid w:val="00983C51"/>
    <w:rsid w:val="0098417F"/>
    <w:rsid w:val="00986F77"/>
    <w:rsid w:val="00994ADC"/>
    <w:rsid w:val="0099554E"/>
    <w:rsid w:val="00997ADA"/>
    <w:rsid w:val="00997D60"/>
    <w:rsid w:val="009A00B1"/>
    <w:rsid w:val="009A109C"/>
    <w:rsid w:val="009A23A0"/>
    <w:rsid w:val="009A397E"/>
    <w:rsid w:val="009A5820"/>
    <w:rsid w:val="009A5D3C"/>
    <w:rsid w:val="009A5FAE"/>
    <w:rsid w:val="009A6308"/>
    <w:rsid w:val="009A6F10"/>
    <w:rsid w:val="009B120E"/>
    <w:rsid w:val="009B1ED2"/>
    <w:rsid w:val="009B6B93"/>
    <w:rsid w:val="009B6D25"/>
    <w:rsid w:val="009C33E1"/>
    <w:rsid w:val="009C3CCD"/>
    <w:rsid w:val="009C4D98"/>
    <w:rsid w:val="009C6913"/>
    <w:rsid w:val="009C714F"/>
    <w:rsid w:val="009D30EA"/>
    <w:rsid w:val="009D47AC"/>
    <w:rsid w:val="009D4873"/>
    <w:rsid w:val="009D495A"/>
    <w:rsid w:val="009D4C89"/>
    <w:rsid w:val="009E0B7D"/>
    <w:rsid w:val="009E138C"/>
    <w:rsid w:val="009E1D7D"/>
    <w:rsid w:val="009E4A81"/>
    <w:rsid w:val="009F0E1A"/>
    <w:rsid w:val="009F1374"/>
    <w:rsid w:val="009F21AB"/>
    <w:rsid w:val="009F5119"/>
    <w:rsid w:val="009F5D71"/>
    <w:rsid w:val="009F7333"/>
    <w:rsid w:val="00A00F9D"/>
    <w:rsid w:val="00A01FD1"/>
    <w:rsid w:val="00A04081"/>
    <w:rsid w:val="00A07781"/>
    <w:rsid w:val="00A22EE2"/>
    <w:rsid w:val="00A249C4"/>
    <w:rsid w:val="00A330DD"/>
    <w:rsid w:val="00A33FCE"/>
    <w:rsid w:val="00A36794"/>
    <w:rsid w:val="00A4048C"/>
    <w:rsid w:val="00A4696E"/>
    <w:rsid w:val="00A46D71"/>
    <w:rsid w:val="00A46DBC"/>
    <w:rsid w:val="00A54D7B"/>
    <w:rsid w:val="00A619F5"/>
    <w:rsid w:val="00A6304F"/>
    <w:rsid w:val="00A632CB"/>
    <w:rsid w:val="00A65393"/>
    <w:rsid w:val="00A66846"/>
    <w:rsid w:val="00A704D0"/>
    <w:rsid w:val="00A7517D"/>
    <w:rsid w:val="00A76C56"/>
    <w:rsid w:val="00A76D57"/>
    <w:rsid w:val="00A77E43"/>
    <w:rsid w:val="00A80957"/>
    <w:rsid w:val="00A84D4E"/>
    <w:rsid w:val="00A94B91"/>
    <w:rsid w:val="00A97CE0"/>
    <w:rsid w:val="00AA179E"/>
    <w:rsid w:val="00AA49EF"/>
    <w:rsid w:val="00AB55A6"/>
    <w:rsid w:val="00AC172C"/>
    <w:rsid w:val="00AD2AC7"/>
    <w:rsid w:val="00AD32E2"/>
    <w:rsid w:val="00AD3E57"/>
    <w:rsid w:val="00AD3E73"/>
    <w:rsid w:val="00AE05DE"/>
    <w:rsid w:val="00AE087C"/>
    <w:rsid w:val="00AE17C9"/>
    <w:rsid w:val="00AE37AB"/>
    <w:rsid w:val="00AE55F1"/>
    <w:rsid w:val="00AE5D3E"/>
    <w:rsid w:val="00AE68B4"/>
    <w:rsid w:val="00AE7811"/>
    <w:rsid w:val="00AF0C48"/>
    <w:rsid w:val="00AF2707"/>
    <w:rsid w:val="00AF2EC2"/>
    <w:rsid w:val="00AF2FAF"/>
    <w:rsid w:val="00AF69F7"/>
    <w:rsid w:val="00B02E56"/>
    <w:rsid w:val="00B0741F"/>
    <w:rsid w:val="00B12BB6"/>
    <w:rsid w:val="00B13124"/>
    <w:rsid w:val="00B16046"/>
    <w:rsid w:val="00B17FDA"/>
    <w:rsid w:val="00B22A30"/>
    <w:rsid w:val="00B23B35"/>
    <w:rsid w:val="00B23F5D"/>
    <w:rsid w:val="00B241EE"/>
    <w:rsid w:val="00B31BBD"/>
    <w:rsid w:val="00B3300C"/>
    <w:rsid w:val="00B3740E"/>
    <w:rsid w:val="00B44316"/>
    <w:rsid w:val="00B455BB"/>
    <w:rsid w:val="00B54357"/>
    <w:rsid w:val="00B5441C"/>
    <w:rsid w:val="00B55CF1"/>
    <w:rsid w:val="00B5768B"/>
    <w:rsid w:val="00B57D66"/>
    <w:rsid w:val="00B61EB1"/>
    <w:rsid w:val="00B63827"/>
    <w:rsid w:val="00B64FCD"/>
    <w:rsid w:val="00B67B75"/>
    <w:rsid w:val="00B736CD"/>
    <w:rsid w:val="00B8660A"/>
    <w:rsid w:val="00B95A6E"/>
    <w:rsid w:val="00BA42A5"/>
    <w:rsid w:val="00BA489B"/>
    <w:rsid w:val="00BB1451"/>
    <w:rsid w:val="00BB1862"/>
    <w:rsid w:val="00BB264F"/>
    <w:rsid w:val="00BB39B9"/>
    <w:rsid w:val="00BB5ED0"/>
    <w:rsid w:val="00BC5042"/>
    <w:rsid w:val="00BD1212"/>
    <w:rsid w:val="00BD34A1"/>
    <w:rsid w:val="00BD43BE"/>
    <w:rsid w:val="00BE181F"/>
    <w:rsid w:val="00BE1D00"/>
    <w:rsid w:val="00BE396E"/>
    <w:rsid w:val="00BE791C"/>
    <w:rsid w:val="00BF0C94"/>
    <w:rsid w:val="00BF49D6"/>
    <w:rsid w:val="00BF6FEE"/>
    <w:rsid w:val="00C01C55"/>
    <w:rsid w:val="00C02073"/>
    <w:rsid w:val="00C02549"/>
    <w:rsid w:val="00C0261B"/>
    <w:rsid w:val="00C0383C"/>
    <w:rsid w:val="00C06BF4"/>
    <w:rsid w:val="00C07772"/>
    <w:rsid w:val="00C07C99"/>
    <w:rsid w:val="00C11147"/>
    <w:rsid w:val="00C15C52"/>
    <w:rsid w:val="00C1665F"/>
    <w:rsid w:val="00C20542"/>
    <w:rsid w:val="00C21EF3"/>
    <w:rsid w:val="00C23C47"/>
    <w:rsid w:val="00C25E20"/>
    <w:rsid w:val="00C31F08"/>
    <w:rsid w:val="00C32D8D"/>
    <w:rsid w:val="00C36146"/>
    <w:rsid w:val="00C40982"/>
    <w:rsid w:val="00C45321"/>
    <w:rsid w:val="00C47689"/>
    <w:rsid w:val="00C50247"/>
    <w:rsid w:val="00C5059F"/>
    <w:rsid w:val="00C50638"/>
    <w:rsid w:val="00C52579"/>
    <w:rsid w:val="00C70485"/>
    <w:rsid w:val="00C7051B"/>
    <w:rsid w:val="00C7148C"/>
    <w:rsid w:val="00C73067"/>
    <w:rsid w:val="00C81EC0"/>
    <w:rsid w:val="00C835E0"/>
    <w:rsid w:val="00C83959"/>
    <w:rsid w:val="00C845FD"/>
    <w:rsid w:val="00C864C7"/>
    <w:rsid w:val="00C90262"/>
    <w:rsid w:val="00C92095"/>
    <w:rsid w:val="00C92C47"/>
    <w:rsid w:val="00C97285"/>
    <w:rsid w:val="00C9739D"/>
    <w:rsid w:val="00CA03AB"/>
    <w:rsid w:val="00CA0ADD"/>
    <w:rsid w:val="00CA235C"/>
    <w:rsid w:val="00CA408C"/>
    <w:rsid w:val="00CA4A31"/>
    <w:rsid w:val="00CA4B01"/>
    <w:rsid w:val="00CA58B8"/>
    <w:rsid w:val="00CB1228"/>
    <w:rsid w:val="00CB38E5"/>
    <w:rsid w:val="00CB58BC"/>
    <w:rsid w:val="00CC60CC"/>
    <w:rsid w:val="00CC60F0"/>
    <w:rsid w:val="00CC7D22"/>
    <w:rsid w:val="00CD05E3"/>
    <w:rsid w:val="00CD115F"/>
    <w:rsid w:val="00CD41A3"/>
    <w:rsid w:val="00CD42FC"/>
    <w:rsid w:val="00CE0268"/>
    <w:rsid w:val="00CE0DD3"/>
    <w:rsid w:val="00CE6EF7"/>
    <w:rsid w:val="00CE7006"/>
    <w:rsid w:val="00CF050F"/>
    <w:rsid w:val="00CF254F"/>
    <w:rsid w:val="00CF2B73"/>
    <w:rsid w:val="00CF6AC1"/>
    <w:rsid w:val="00D00525"/>
    <w:rsid w:val="00D00C5D"/>
    <w:rsid w:val="00D00D7F"/>
    <w:rsid w:val="00D03299"/>
    <w:rsid w:val="00D03E08"/>
    <w:rsid w:val="00D0565F"/>
    <w:rsid w:val="00D12D71"/>
    <w:rsid w:val="00D16DD3"/>
    <w:rsid w:val="00D22F75"/>
    <w:rsid w:val="00D315B2"/>
    <w:rsid w:val="00D32E55"/>
    <w:rsid w:val="00D331AF"/>
    <w:rsid w:val="00D36C57"/>
    <w:rsid w:val="00D43FB0"/>
    <w:rsid w:val="00D443B2"/>
    <w:rsid w:val="00D4640B"/>
    <w:rsid w:val="00D474C5"/>
    <w:rsid w:val="00D47738"/>
    <w:rsid w:val="00D505C4"/>
    <w:rsid w:val="00D52774"/>
    <w:rsid w:val="00D53C73"/>
    <w:rsid w:val="00D54185"/>
    <w:rsid w:val="00D54FA0"/>
    <w:rsid w:val="00D560A2"/>
    <w:rsid w:val="00D56212"/>
    <w:rsid w:val="00D57166"/>
    <w:rsid w:val="00D67ABE"/>
    <w:rsid w:val="00D7355C"/>
    <w:rsid w:val="00D750BE"/>
    <w:rsid w:val="00D76A84"/>
    <w:rsid w:val="00D8022E"/>
    <w:rsid w:val="00D80AFB"/>
    <w:rsid w:val="00D82DD4"/>
    <w:rsid w:val="00D87595"/>
    <w:rsid w:val="00D92461"/>
    <w:rsid w:val="00D93937"/>
    <w:rsid w:val="00D93ACE"/>
    <w:rsid w:val="00D93D5E"/>
    <w:rsid w:val="00D94ADA"/>
    <w:rsid w:val="00D9522E"/>
    <w:rsid w:val="00D9687D"/>
    <w:rsid w:val="00D977B8"/>
    <w:rsid w:val="00DA010A"/>
    <w:rsid w:val="00DA0985"/>
    <w:rsid w:val="00DA3099"/>
    <w:rsid w:val="00DA57F3"/>
    <w:rsid w:val="00DA6E86"/>
    <w:rsid w:val="00DB3B05"/>
    <w:rsid w:val="00DB77B2"/>
    <w:rsid w:val="00DB7ED4"/>
    <w:rsid w:val="00DB7EDB"/>
    <w:rsid w:val="00DC37A8"/>
    <w:rsid w:val="00DC4C47"/>
    <w:rsid w:val="00DC6DCE"/>
    <w:rsid w:val="00DE278B"/>
    <w:rsid w:val="00DE5F0A"/>
    <w:rsid w:val="00DE607F"/>
    <w:rsid w:val="00DF0190"/>
    <w:rsid w:val="00DF038F"/>
    <w:rsid w:val="00DF09F6"/>
    <w:rsid w:val="00DF1978"/>
    <w:rsid w:val="00DF3580"/>
    <w:rsid w:val="00DF59E0"/>
    <w:rsid w:val="00DF71E6"/>
    <w:rsid w:val="00E02003"/>
    <w:rsid w:val="00E11C08"/>
    <w:rsid w:val="00E15652"/>
    <w:rsid w:val="00E15970"/>
    <w:rsid w:val="00E16BE4"/>
    <w:rsid w:val="00E17D17"/>
    <w:rsid w:val="00E207C5"/>
    <w:rsid w:val="00E23A1D"/>
    <w:rsid w:val="00E25FDC"/>
    <w:rsid w:val="00E260DB"/>
    <w:rsid w:val="00E2659B"/>
    <w:rsid w:val="00E3009A"/>
    <w:rsid w:val="00E3100B"/>
    <w:rsid w:val="00E3468E"/>
    <w:rsid w:val="00E35742"/>
    <w:rsid w:val="00E410ED"/>
    <w:rsid w:val="00E445A9"/>
    <w:rsid w:val="00E4598B"/>
    <w:rsid w:val="00E47DBF"/>
    <w:rsid w:val="00E5099F"/>
    <w:rsid w:val="00E52331"/>
    <w:rsid w:val="00E60985"/>
    <w:rsid w:val="00E61591"/>
    <w:rsid w:val="00E80A9D"/>
    <w:rsid w:val="00E81626"/>
    <w:rsid w:val="00E819DE"/>
    <w:rsid w:val="00E82012"/>
    <w:rsid w:val="00E8393F"/>
    <w:rsid w:val="00E83E5F"/>
    <w:rsid w:val="00E84423"/>
    <w:rsid w:val="00E84EB2"/>
    <w:rsid w:val="00E86B6C"/>
    <w:rsid w:val="00E877C3"/>
    <w:rsid w:val="00E94566"/>
    <w:rsid w:val="00E94810"/>
    <w:rsid w:val="00E95BE1"/>
    <w:rsid w:val="00EA27E7"/>
    <w:rsid w:val="00EA42FE"/>
    <w:rsid w:val="00EA4899"/>
    <w:rsid w:val="00EA6199"/>
    <w:rsid w:val="00EA6B2B"/>
    <w:rsid w:val="00EA758F"/>
    <w:rsid w:val="00EA7BBE"/>
    <w:rsid w:val="00EB4882"/>
    <w:rsid w:val="00EB5541"/>
    <w:rsid w:val="00EB7EAF"/>
    <w:rsid w:val="00EC0381"/>
    <w:rsid w:val="00EC11C3"/>
    <w:rsid w:val="00EC1F25"/>
    <w:rsid w:val="00EC4937"/>
    <w:rsid w:val="00EC4DD6"/>
    <w:rsid w:val="00EC6B82"/>
    <w:rsid w:val="00ED0772"/>
    <w:rsid w:val="00ED1072"/>
    <w:rsid w:val="00ED11E5"/>
    <w:rsid w:val="00ED23E0"/>
    <w:rsid w:val="00ED2764"/>
    <w:rsid w:val="00ED3A01"/>
    <w:rsid w:val="00ED554F"/>
    <w:rsid w:val="00ED5A11"/>
    <w:rsid w:val="00ED6FCD"/>
    <w:rsid w:val="00ED7834"/>
    <w:rsid w:val="00EE1E91"/>
    <w:rsid w:val="00EE22D4"/>
    <w:rsid w:val="00EE5579"/>
    <w:rsid w:val="00EE6DA1"/>
    <w:rsid w:val="00EE78D3"/>
    <w:rsid w:val="00EE7FF4"/>
    <w:rsid w:val="00EF108C"/>
    <w:rsid w:val="00F01F70"/>
    <w:rsid w:val="00F04084"/>
    <w:rsid w:val="00F04521"/>
    <w:rsid w:val="00F06A94"/>
    <w:rsid w:val="00F10D53"/>
    <w:rsid w:val="00F12F82"/>
    <w:rsid w:val="00F20416"/>
    <w:rsid w:val="00F2218B"/>
    <w:rsid w:val="00F22ACD"/>
    <w:rsid w:val="00F2366F"/>
    <w:rsid w:val="00F24F34"/>
    <w:rsid w:val="00F2569D"/>
    <w:rsid w:val="00F25E5A"/>
    <w:rsid w:val="00F30B9A"/>
    <w:rsid w:val="00F327DA"/>
    <w:rsid w:val="00F32E2D"/>
    <w:rsid w:val="00F34346"/>
    <w:rsid w:val="00F360F9"/>
    <w:rsid w:val="00F3682D"/>
    <w:rsid w:val="00F36DE1"/>
    <w:rsid w:val="00F4258D"/>
    <w:rsid w:val="00F43B42"/>
    <w:rsid w:val="00F51426"/>
    <w:rsid w:val="00F525C3"/>
    <w:rsid w:val="00F66A09"/>
    <w:rsid w:val="00F71AC4"/>
    <w:rsid w:val="00F72652"/>
    <w:rsid w:val="00F73318"/>
    <w:rsid w:val="00F76A5B"/>
    <w:rsid w:val="00F83ABD"/>
    <w:rsid w:val="00F8498B"/>
    <w:rsid w:val="00F86528"/>
    <w:rsid w:val="00F92613"/>
    <w:rsid w:val="00F978A2"/>
    <w:rsid w:val="00F97F8C"/>
    <w:rsid w:val="00FA0F19"/>
    <w:rsid w:val="00FA2E43"/>
    <w:rsid w:val="00FA4F21"/>
    <w:rsid w:val="00FB1E16"/>
    <w:rsid w:val="00FB1F63"/>
    <w:rsid w:val="00FB222D"/>
    <w:rsid w:val="00FB42C0"/>
    <w:rsid w:val="00FB597D"/>
    <w:rsid w:val="00FB7042"/>
    <w:rsid w:val="00FC3597"/>
    <w:rsid w:val="00FC45D6"/>
    <w:rsid w:val="00FC5682"/>
    <w:rsid w:val="00FD4483"/>
    <w:rsid w:val="00FD57DF"/>
    <w:rsid w:val="00FD5ECF"/>
    <w:rsid w:val="00FE2FDD"/>
    <w:rsid w:val="00FE6585"/>
    <w:rsid w:val="00FE6E16"/>
    <w:rsid w:val="00FE7E82"/>
    <w:rsid w:val="00FF4F70"/>
    <w:rsid w:val="00FF5515"/>
    <w:rsid w:val="00FF5BD9"/>
    <w:rsid w:val="00FF6F58"/>
    <w:rsid w:val="00FF7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727383"/>
  <w15:docId w15:val="{CAFD50F0-E776-4586-B027-910BCB05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1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6AF"/>
  </w:style>
  <w:style w:type="paragraph" w:styleId="Footer">
    <w:name w:val="footer"/>
    <w:basedOn w:val="Normal"/>
    <w:link w:val="FooterChar"/>
    <w:uiPriority w:val="99"/>
    <w:unhideWhenUsed/>
    <w:rsid w:val="002F1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6AF"/>
  </w:style>
  <w:style w:type="paragraph" w:styleId="ListParagraph">
    <w:name w:val="List Paragraph"/>
    <w:basedOn w:val="Normal"/>
    <w:uiPriority w:val="34"/>
    <w:qFormat/>
    <w:rsid w:val="00977935"/>
    <w:pPr>
      <w:ind w:left="720"/>
      <w:contextualSpacing/>
    </w:pPr>
  </w:style>
  <w:style w:type="paragraph" w:styleId="BalloonText">
    <w:name w:val="Balloon Text"/>
    <w:basedOn w:val="Normal"/>
    <w:link w:val="BalloonTextChar"/>
    <w:uiPriority w:val="99"/>
    <w:semiHidden/>
    <w:unhideWhenUsed/>
    <w:rsid w:val="00881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A79"/>
    <w:rPr>
      <w:rFonts w:ascii="Segoe UI" w:hAnsi="Segoe UI" w:cs="Segoe UI"/>
      <w:sz w:val="18"/>
      <w:szCs w:val="18"/>
    </w:rPr>
  </w:style>
  <w:style w:type="table" w:styleId="TableGrid">
    <w:name w:val="Table Grid"/>
    <w:basedOn w:val="TableNormal"/>
    <w:uiPriority w:val="39"/>
    <w:rsid w:val="00417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70A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65"/>
    <w:rPr>
      <w:sz w:val="20"/>
      <w:szCs w:val="20"/>
    </w:rPr>
  </w:style>
  <w:style w:type="character" w:styleId="FootnoteReference">
    <w:name w:val="footnote reference"/>
    <w:basedOn w:val="DefaultParagraphFont"/>
    <w:uiPriority w:val="99"/>
    <w:semiHidden/>
    <w:unhideWhenUsed/>
    <w:rsid w:val="00270A65"/>
    <w:rPr>
      <w:vertAlign w:val="superscript"/>
    </w:rPr>
  </w:style>
  <w:style w:type="character" w:styleId="CommentReference">
    <w:name w:val="annotation reference"/>
    <w:basedOn w:val="DefaultParagraphFont"/>
    <w:uiPriority w:val="99"/>
    <w:semiHidden/>
    <w:unhideWhenUsed/>
    <w:rsid w:val="00914FED"/>
    <w:rPr>
      <w:sz w:val="16"/>
      <w:szCs w:val="16"/>
    </w:rPr>
  </w:style>
  <w:style w:type="paragraph" w:styleId="CommentText">
    <w:name w:val="annotation text"/>
    <w:basedOn w:val="Normal"/>
    <w:link w:val="CommentTextChar"/>
    <w:uiPriority w:val="99"/>
    <w:unhideWhenUsed/>
    <w:rsid w:val="00914FED"/>
    <w:pPr>
      <w:spacing w:line="240" w:lineRule="auto"/>
    </w:pPr>
    <w:rPr>
      <w:sz w:val="20"/>
      <w:szCs w:val="20"/>
    </w:rPr>
  </w:style>
  <w:style w:type="character" w:customStyle="1" w:styleId="CommentTextChar">
    <w:name w:val="Comment Text Char"/>
    <w:basedOn w:val="DefaultParagraphFont"/>
    <w:link w:val="CommentText"/>
    <w:uiPriority w:val="99"/>
    <w:rsid w:val="00914FED"/>
    <w:rPr>
      <w:sz w:val="20"/>
      <w:szCs w:val="20"/>
    </w:rPr>
  </w:style>
  <w:style w:type="paragraph" w:styleId="CommentSubject">
    <w:name w:val="annotation subject"/>
    <w:basedOn w:val="CommentText"/>
    <w:next w:val="CommentText"/>
    <w:link w:val="CommentSubjectChar"/>
    <w:uiPriority w:val="99"/>
    <w:semiHidden/>
    <w:unhideWhenUsed/>
    <w:rsid w:val="00914FED"/>
    <w:rPr>
      <w:b/>
      <w:bCs/>
    </w:rPr>
  </w:style>
  <w:style w:type="character" w:customStyle="1" w:styleId="CommentSubjectChar">
    <w:name w:val="Comment Subject Char"/>
    <w:basedOn w:val="CommentTextChar"/>
    <w:link w:val="CommentSubject"/>
    <w:uiPriority w:val="99"/>
    <w:semiHidden/>
    <w:rsid w:val="00914FED"/>
    <w:rPr>
      <w:b/>
      <w:bCs/>
      <w:sz w:val="20"/>
      <w:szCs w:val="20"/>
    </w:rPr>
  </w:style>
  <w:style w:type="paragraph" w:styleId="Revision">
    <w:name w:val="Revision"/>
    <w:hidden/>
    <w:uiPriority w:val="99"/>
    <w:semiHidden/>
    <w:rsid w:val="00C7051B"/>
    <w:pPr>
      <w:spacing w:after="0" w:line="240" w:lineRule="auto"/>
    </w:pPr>
  </w:style>
  <w:style w:type="table" w:customStyle="1" w:styleId="TableGrid1">
    <w:name w:val="Table Grid1"/>
    <w:basedOn w:val="TableNormal"/>
    <w:next w:val="TableGrid"/>
    <w:uiPriority w:val="59"/>
    <w:rsid w:val="00297D7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2E56"/>
    <w:rPr>
      <w:color w:val="0563C1" w:themeColor="hyperlink"/>
      <w:u w:val="single"/>
    </w:rPr>
  </w:style>
  <w:style w:type="character" w:styleId="FollowedHyperlink">
    <w:name w:val="FollowedHyperlink"/>
    <w:basedOn w:val="DefaultParagraphFont"/>
    <w:uiPriority w:val="99"/>
    <w:semiHidden/>
    <w:unhideWhenUsed/>
    <w:rsid w:val="00A00F9D"/>
    <w:rPr>
      <w:color w:val="954F72" w:themeColor="followedHyperlink"/>
      <w:u w:val="single"/>
    </w:rPr>
  </w:style>
  <w:style w:type="character" w:customStyle="1" w:styleId="UnresolvedMention1">
    <w:name w:val="Unresolved Mention1"/>
    <w:basedOn w:val="DefaultParagraphFont"/>
    <w:uiPriority w:val="99"/>
    <w:semiHidden/>
    <w:unhideWhenUsed/>
    <w:rsid w:val="00E25FDC"/>
    <w:rPr>
      <w:color w:val="605E5C"/>
      <w:shd w:val="clear" w:color="auto" w:fill="E1DFDD"/>
    </w:rPr>
  </w:style>
  <w:style w:type="character" w:styleId="UnresolvedMention">
    <w:name w:val="Unresolved Mention"/>
    <w:basedOn w:val="DefaultParagraphFont"/>
    <w:uiPriority w:val="99"/>
    <w:semiHidden/>
    <w:unhideWhenUsed/>
    <w:rsid w:val="00653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794077">
      <w:bodyDiv w:val="1"/>
      <w:marLeft w:val="0"/>
      <w:marRight w:val="0"/>
      <w:marTop w:val="0"/>
      <w:marBottom w:val="0"/>
      <w:divBdr>
        <w:top w:val="none" w:sz="0" w:space="0" w:color="auto"/>
        <w:left w:val="none" w:sz="0" w:space="0" w:color="auto"/>
        <w:bottom w:val="none" w:sz="0" w:space="0" w:color="auto"/>
        <w:right w:val="none" w:sz="0" w:space="0" w:color="auto"/>
      </w:divBdr>
    </w:div>
    <w:div w:id="1726175244">
      <w:bodyDiv w:val="1"/>
      <w:marLeft w:val="0"/>
      <w:marRight w:val="0"/>
      <w:marTop w:val="0"/>
      <w:marBottom w:val="0"/>
      <w:divBdr>
        <w:top w:val="none" w:sz="0" w:space="0" w:color="auto"/>
        <w:left w:val="none" w:sz="0" w:space="0" w:color="auto"/>
        <w:bottom w:val="none" w:sz="0" w:space="0" w:color="auto"/>
        <w:right w:val="none" w:sz="0" w:space="0" w:color="auto"/>
      </w:divBdr>
    </w:div>
    <w:div w:id="206182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gov/laws-and-policy/higher-education-laws-and-policy/college-accreditation/institutional-accrediting-agenc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e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E9F44-1FFA-4E1C-B9D2-8E96B5D56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Grogan, David E</dc:creator>
  <cp:keywords/>
  <dc:description/>
  <cp:lastModifiedBy>Todd, Marla Jo</cp:lastModifiedBy>
  <cp:revision>2</cp:revision>
  <cp:lastPrinted>2021-02-22T14:47:00Z</cp:lastPrinted>
  <dcterms:created xsi:type="dcterms:W3CDTF">2026-02-19T14:43:00Z</dcterms:created>
  <dcterms:modified xsi:type="dcterms:W3CDTF">2026-02-19T14:43:00Z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2911a4ccf9096c1f7752e0adfef06e9b38ef03121486b8b07b60dccd79b9faad</vt:lpwstr>
  </property>
</Properties>
</file>