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6763" w14:textId="77777777" w:rsidR="000F379E" w:rsidRPr="000F379E" w:rsidRDefault="000F379E" w:rsidP="000F37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color w:val="FF0000"/>
          <w:szCs w:val="26"/>
        </w:rPr>
      </w:pPr>
      <w:bookmarkStart w:id="0" w:name="_Hlk77839959"/>
      <w:bookmarkStart w:id="1" w:name="_Hlk93577479"/>
      <w:r w:rsidRPr="000F379E">
        <w:rPr>
          <w:color w:val="FF0000"/>
          <w:szCs w:val="26"/>
        </w:rPr>
        <w:t>Approved by the Board of Trustees</w:t>
      </w:r>
    </w:p>
    <w:bookmarkEnd w:id="0"/>
    <w:bookmarkEnd w:id="1"/>
    <w:p w14:paraId="4D5343CA" w14:textId="77777777" w:rsidR="000F379E" w:rsidRPr="000F379E" w:rsidRDefault="000F379E" w:rsidP="000F3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color w:val="FF0000"/>
          <w:szCs w:val="26"/>
        </w:rPr>
      </w:pPr>
      <w:r w:rsidRPr="000F379E">
        <w:rPr>
          <w:color w:val="FF0000"/>
          <w:szCs w:val="26"/>
        </w:rPr>
        <w:t>March 19, 2026</w:t>
      </w:r>
    </w:p>
    <w:p w14:paraId="25709E70" w14:textId="216912B9" w:rsidR="00CF4AA4" w:rsidRPr="00756196" w:rsidRDefault="00BF2EBE" w:rsidP="009B6A47">
      <w:pPr>
        <w:pStyle w:val="bdheading1"/>
      </w:pPr>
      <w:r>
        <w:t>32</w:t>
      </w:r>
    </w:p>
    <w:p w14:paraId="6C7AEDED" w14:textId="77777777" w:rsidR="009B6A47" w:rsidRDefault="009B6A47" w:rsidP="009B6A47">
      <w:pPr>
        <w:rPr>
          <w:highlight w:val="cyan"/>
        </w:rPr>
      </w:pPr>
    </w:p>
    <w:p w14:paraId="27975423" w14:textId="77777777" w:rsidR="007E3CB5" w:rsidRPr="00AF2072" w:rsidRDefault="007E3CB5" w:rsidP="009B6A47">
      <w:pPr>
        <w:rPr>
          <w:highlight w:val="cyan"/>
        </w:rPr>
      </w:pPr>
    </w:p>
    <w:p w14:paraId="430682A0" w14:textId="77777777" w:rsidR="009B6A47" w:rsidRPr="00DD6CB8" w:rsidRDefault="009B6A47" w:rsidP="009B6A47">
      <w:pPr>
        <w:pStyle w:val="bdheading2"/>
      </w:pPr>
      <w:r w:rsidRPr="00A521FC">
        <w:tab/>
      </w:r>
      <w:r w:rsidRPr="00DD6CB8">
        <w:t>Board Meeting</w:t>
      </w:r>
    </w:p>
    <w:p w14:paraId="6BCE12C2" w14:textId="258811EA" w:rsidR="009B6A47" w:rsidRPr="00DD6CB8" w:rsidRDefault="009B6A47" w:rsidP="009B6A47">
      <w:pPr>
        <w:pStyle w:val="bdheading2"/>
      </w:pPr>
      <w:r w:rsidRPr="00DD6CB8">
        <w:tab/>
      </w:r>
      <w:r w:rsidR="009510CA">
        <w:t>March 19, 2026</w:t>
      </w:r>
    </w:p>
    <w:p w14:paraId="5BB28620" w14:textId="77777777" w:rsidR="009B6A47" w:rsidRDefault="009B6A47" w:rsidP="009B6A47">
      <w:pPr>
        <w:pStyle w:val="bdheading2"/>
      </w:pPr>
    </w:p>
    <w:p w14:paraId="4548D5F4" w14:textId="77777777" w:rsidR="007E3CB5" w:rsidRPr="00DD6CB8" w:rsidRDefault="007E3CB5" w:rsidP="009B6A47">
      <w:pPr>
        <w:pStyle w:val="bdheading2"/>
      </w:pPr>
    </w:p>
    <w:p w14:paraId="6AD057F5" w14:textId="77777777" w:rsidR="009B6A47" w:rsidRPr="00DD6CB8" w:rsidRDefault="009B6A47" w:rsidP="009B6A47">
      <w:pPr>
        <w:jc w:val="center"/>
      </w:pPr>
      <w:r w:rsidRPr="00DD6CB8">
        <w:t>ROLL CALL</w:t>
      </w:r>
    </w:p>
    <w:p w14:paraId="66E1A28F" w14:textId="77777777" w:rsidR="007E3CB5" w:rsidRPr="00DD6CB8" w:rsidRDefault="007E3CB5" w:rsidP="009B6A47">
      <w:pPr>
        <w:jc w:val="center"/>
      </w:pPr>
    </w:p>
    <w:p w14:paraId="724EC1E5" w14:textId="15A3D904" w:rsidR="009B6A47" w:rsidRPr="00756196" w:rsidRDefault="007E3CB5" w:rsidP="009B6A47">
      <w:pPr>
        <w:jc w:val="center"/>
      </w:pPr>
      <w:r w:rsidRPr="5338291A">
        <w:rPr>
          <w:caps/>
        </w:rPr>
        <w:t>Approve Project</w:t>
      </w:r>
      <w:r w:rsidR="4B62B2B1" w:rsidRPr="5338291A">
        <w:rPr>
          <w:caps/>
        </w:rPr>
        <w:t xml:space="preserve"> </w:t>
      </w:r>
      <w:r w:rsidR="00E27A23" w:rsidRPr="5338291A">
        <w:rPr>
          <w:caps/>
        </w:rPr>
        <w:t xml:space="preserve">BUDGET </w:t>
      </w:r>
      <w:r w:rsidRPr="5338291A">
        <w:rPr>
          <w:caps/>
        </w:rPr>
        <w:t>and Amend</w:t>
      </w:r>
      <w:r>
        <w:t xml:space="preserve"> </w:t>
      </w:r>
      <w:r w:rsidR="006D2746">
        <w:t>PROFESSIONAL SERVICES CONSULTANT</w:t>
      </w:r>
      <w:r>
        <w:t xml:space="preserve"> </w:t>
      </w:r>
      <w:r w:rsidRPr="5338291A">
        <w:rPr>
          <w:caps/>
        </w:rPr>
        <w:t>Contract</w:t>
      </w:r>
      <w:r w:rsidR="00A522AF">
        <w:t xml:space="preserve"> FOR</w:t>
      </w:r>
      <w:bookmarkStart w:id="2" w:name="_Hlk203982785"/>
      <w:r w:rsidR="009510CA">
        <w:t xml:space="preserve"> IKENBERRY RESIDENCE HALL 4</w:t>
      </w:r>
      <w:r w:rsidR="00E6270E">
        <w:t xml:space="preserve"> AND </w:t>
      </w:r>
      <w:r w:rsidR="009510CA">
        <w:t>DEMO 0091</w:t>
      </w:r>
      <w:r w:rsidR="00E6270E">
        <w:t xml:space="preserve">, </w:t>
      </w:r>
      <w:r w:rsidR="009510CA">
        <w:t>0092</w:t>
      </w:r>
      <w:r w:rsidR="005A05A7">
        <w:t>, URBANA</w:t>
      </w:r>
      <w:bookmarkEnd w:id="2"/>
    </w:p>
    <w:p w14:paraId="527160D5" w14:textId="77777777" w:rsidR="009B6A47" w:rsidRDefault="009B6A47" w:rsidP="009B6A47">
      <w:pPr>
        <w:jc w:val="center"/>
      </w:pPr>
    </w:p>
    <w:p w14:paraId="3C138789" w14:textId="77777777" w:rsidR="007E3CB5" w:rsidRPr="00756196" w:rsidRDefault="007E3CB5" w:rsidP="009B6A47">
      <w:pPr>
        <w:jc w:val="center"/>
      </w:pPr>
    </w:p>
    <w:p w14:paraId="629CA1EB" w14:textId="4215954F" w:rsidR="009B6A47" w:rsidRPr="00756196" w:rsidRDefault="009B6A47" w:rsidP="009B6A47">
      <w:pPr>
        <w:pStyle w:val="bdstyle1"/>
      </w:pPr>
      <w:r w:rsidRPr="70C6C8C3">
        <w:rPr>
          <w:b/>
          <w:bCs/>
        </w:rPr>
        <w:t>Action:</w:t>
      </w:r>
      <w:r>
        <w:tab/>
      </w:r>
      <w:bookmarkStart w:id="3" w:name="_Hlk205279376"/>
      <w:r w:rsidR="008F131F">
        <w:t>Approve Project</w:t>
      </w:r>
      <w:r w:rsidR="00E27A23">
        <w:t xml:space="preserve"> Budget</w:t>
      </w:r>
      <w:r w:rsidR="6A9617A6">
        <w:t xml:space="preserve"> </w:t>
      </w:r>
      <w:r w:rsidR="008F131F">
        <w:t xml:space="preserve">and Amend </w:t>
      </w:r>
      <w:bookmarkEnd w:id="3"/>
      <w:r w:rsidR="006D2746">
        <w:t>Professional Services Consultant</w:t>
      </w:r>
      <w:r w:rsidR="00B830F0">
        <w:t xml:space="preserve"> </w:t>
      </w:r>
      <w:r w:rsidR="008F131F">
        <w:t xml:space="preserve">Contract </w:t>
      </w:r>
      <w:r w:rsidR="0055435C">
        <w:t>f</w:t>
      </w:r>
      <w:r w:rsidR="00B830F0">
        <w:t>or</w:t>
      </w:r>
      <w:r w:rsidR="0035013E">
        <w:t xml:space="preserve"> </w:t>
      </w:r>
      <w:r w:rsidR="009510CA">
        <w:t xml:space="preserve">Ikenberry Residence Hall 4 </w:t>
      </w:r>
      <w:r w:rsidR="00E6270E">
        <w:t>and</w:t>
      </w:r>
      <w:r w:rsidR="009510CA">
        <w:t xml:space="preserve"> Demo 0091, 0092</w:t>
      </w:r>
    </w:p>
    <w:p w14:paraId="2DFCACB5" w14:textId="77777777" w:rsidR="005D221A" w:rsidRPr="00756196" w:rsidRDefault="005D221A" w:rsidP="009B6A47">
      <w:pPr>
        <w:pStyle w:val="bdstyle1"/>
      </w:pPr>
    </w:p>
    <w:p w14:paraId="61118728" w14:textId="5FA16CF5" w:rsidR="00DD6CB8" w:rsidRDefault="005D221A" w:rsidP="00D73CB9">
      <w:pPr>
        <w:pStyle w:val="bdstyle1"/>
      </w:pPr>
      <w:r w:rsidRPr="788FEC7E">
        <w:rPr>
          <w:b/>
          <w:bCs/>
        </w:rPr>
        <w:t>Funding:</w:t>
      </w:r>
      <w:r>
        <w:tab/>
      </w:r>
      <w:bookmarkStart w:id="4" w:name="OLE_LINK3"/>
      <w:bookmarkStart w:id="5" w:name="OLE_LINK4"/>
      <w:r w:rsidR="00DF3801">
        <w:t>Institutional Funds</w:t>
      </w:r>
      <w:r w:rsidR="7DBE224C">
        <w:t xml:space="preserve"> Operating Budget</w:t>
      </w:r>
      <w:r w:rsidR="00DF3801">
        <w:t xml:space="preserve"> with Anticipated Reimbursement from the Proceeds of a Future </w:t>
      </w:r>
      <w:r w:rsidR="00983F5A">
        <w:t>S</w:t>
      </w:r>
      <w:r w:rsidR="00DF3801">
        <w:t>ale of Auxiliary Facilities System Bonds</w:t>
      </w:r>
      <w:r w:rsidR="00AF7121">
        <w:t xml:space="preserve"> </w:t>
      </w:r>
    </w:p>
    <w:p w14:paraId="605A6CC5" w14:textId="77777777" w:rsidR="00002F55" w:rsidRDefault="00EE6DF9" w:rsidP="00C42423">
      <w:pPr>
        <w:ind w:left="1430" w:hanging="1430"/>
      </w:pPr>
      <w:r w:rsidRPr="00756196">
        <w:tab/>
      </w:r>
    </w:p>
    <w:p w14:paraId="352A7F72" w14:textId="77777777" w:rsidR="00983F5A" w:rsidRPr="00756196" w:rsidRDefault="00983F5A" w:rsidP="00C42423">
      <w:pPr>
        <w:ind w:left="1430" w:hanging="1430"/>
      </w:pPr>
    </w:p>
    <w:bookmarkEnd w:id="4"/>
    <w:bookmarkEnd w:id="5"/>
    <w:p w14:paraId="28F3CB1D" w14:textId="55FC9147" w:rsidR="002D755E" w:rsidRDefault="00692EAE" w:rsidP="00A96B44">
      <w:pPr>
        <w:spacing w:line="480" w:lineRule="auto"/>
        <w:ind w:firstLine="1440"/>
      </w:pPr>
      <w:r>
        <w:t xml:space="preserve">The University of Illinois Urbana-Champaign’s </w:t>
      </w:r>
      <w:r w:rsidR="00B65488">
        <w:t xml:space="preserve">University Housing is beginning implementation of the Ikenberry Commons Strategic Plan (ICSP) - 2022 update to respond to the </w:t>
      </w:r>
      <w:r>
        <w:t xml:space="preserve">university’s </w:t>
      </w:r>
      <w:r w:rsidR="00170F06">
        <w:t>growing enrollment and need to provide high-quality</w:t>
      </w:r>
      <w:r w:rsidR="00B65488">
        <w:t xml:space="preserve"> living accommodations for the undergraduate first-year</w:t>
      </w:r>
      <w:r>
        <w:t>,</w:t>
      </w:r>
      <w:r w:rsidR="00B65488">
        <w:t xml:space="preserve"> live-on requirement. The first phase of implementation includes </w:t>
      </w:r>
      <w:r w:rsidR="00170F06">
        <w:t>constructing a new residence hall with integrated dining and demolishing the</w:t>
      </w:r>
      <w:r w:rsidR="00B65488">
        <w:t xml:space="preserve"> Taft </w:t>
      </w:r>
      <w:r>
        <w:t xml:space="preserve">Hall </w:t>
      </w:r>
      <w:r w:rsidR="00B65488">
        <w:t>and Van Doren</w:t>
      </w:r>
      <w:r>
        <w:t xml:space="preserve"> Hall</w:t>
      </w:r>
      <w:r w:rsidR="00B65488">
        <w:t xml:space="preserve"> (TVD). Demolition of TVD will remove 82,912 </w:t>
      </w:r>
      <w:r>
        <w:t>gross square feet</w:t>
      </w:r>
      <w:r w:rsidR="00B65488">
        <w:t xml:space="preserve">. The proposed new building is estimated to be approximately 160,000 </w:t>
      </w:r>
      <w:r>
        <w:t>gross squaret feet</w:t>
      </w:r>
      <w:r w:rsidR="00B65488">
        <w:t xml:space="preserve">. </w:t>
      </w:r>
    </w:p>
    <w:p w14:paraId="2681773F" w14:textId="555E423C" w:rsidR="00FF4832" w:rsidRDefault="00AF7121" w:rsidP="00D676E4">
      <w:pPr>
        <w:pStyle w:val="bdstyle2"/>
      </w:pPr>
      <w:r>
        <w:t xml:space="preserve">In </w:t>
      </w:r>
      <w:r w:rsidR="00B65488">
        <w:t xml:space="preserve">November </w:t>
      </w:r>
      <w:r w:rsidR="00A26662">
        <w:t>2025</w:t>
      </w:r>
      <w:r>
        <w:t xml:space="preserve">, a professional services consultant was </w:t>
      </w:r>
      <w:r w:rsidR="00170F06">
        <w:t>engaged to support</w:t>
      </w:r>
      <w:r>
        <w:t xml:space="preserve"> the</w:t>
      </w:r>
      <w:r w:rsidR="00B65488">
        <w:t xml:space="preserve"> </w:t>
      </w:r>
      <w:r w:rsidR="00692EAE">
        <w:t>c</w:t>
      </w:r>
      <w:r w:rsidR="00B65488">
        <w:t>onceptualization phase</w:t>
      </w:r>
      <w:r>
        <w:t>.</w:t>
      </w:r>
      <w:r w:rsidR="00FF4832">
        <w:t xml:space="preserve"> The intent is to </w:t>
      </w:r>
      <w:r w:rsidR="00170F06">
        <w:t>amend the contract for full professional services to complete the design</w:t>
      </w:r>
      <w:r w:rsidR="00FF4832">
        <w:t xml:space="preserve">. </w:t>
      </w:r>
    </w:p>
    <w:p w14:paraId="12C2C23D" w14:textId="0BBFEBA2" w:rsidR="00B65488" w:rsidRDefault="009E33CF" w:rsidP="00AD23DB">
      <w:pPr>
        <w:pStyle w:val="bdstyle2"/>
      </w:pPr>
      <w:r w:rsidRPr="009E33CF">
        <w:lastRenderedPageBreak/>
        <w:t>For</w:t>
      </w:r>
      <w:r w:rsidR="00C670D7" w:rsidRPr="00C670D7">
        <w:t xml:space="preserve"> the project to proceed </w:t>
      </w:r>
      <w:r w:rsidR="00DF3801">
        <w:t>through design</w:t>
      </w:r>
      <w:r w:rsidR="00170F06">
        <w:t>,</w:t>
      </w:r>
      <w:r w:rsidR="00DF3801">
        <w:t xml:space="preserve"> </w:t>
      </w:r>
      <w:r w:rsidR="008F131F">
        <w:t xml:space="preserve">it is necessary to </w:t>
      </w:r>
      <w:r w:rsidR="00C73765">
        <w:t xml:space="preserve">approve the </w:t>
      </w:r>
      <w:r w:rsidR="00692EAE">
        <w:t>p</w:t>
      </w:r>
      <w:r w:rsidR="00C73765">
        <w:t xml:space="preserve">roject, approve the </w:t>
      </w:r>
      <w:r w:rsidR="00692EAE">
        <w:t>p</w:t>
      </w:r>
      <w:r w:rsidR="00C73765">
        <w:t xml:space="preserve">roject budget, and </w:t>
      </w:r>
      <w:r w:rsidR="008F131F">
        <w:t xml:space="preserve">amend the professional services contract. </w:t>
      </w:r>
      <w:r w:rsidR="00EB0417" w:rsidRPr="00284D5B">
        <w:t xml:space="preserve">The selection of the </w:t>
      </w:r>
      <w:r w:rsidR="00C42423" w:rsidRPr="00284D5B">
        <w:t>professional services consultant</w:t>
      </w:r>
      <w:r w:rsidR="00EB0417" w:rsidRPr="00284D5B">
        <w:t xml:space="preserve"> for this project was in accordance with the requirements and provisions of Public Act 87-673 (Architectural, Engineering</w:t>
      </w:r>
      <w:r w:rsidR="00692EAE">
        <w:t>,</w:t>
      </w:r>
      <w:r w:rsidR="00EB0417" w:rsidRPr="00284D5B">
        <w:t xml:space="preserve"> and Land Surveying Qualifications-Based Selection Act).</w:t>
      </w:r>
      <w:r w:rsidR="009F008C" w:rsidRPr="00284D5B">
        <w:rPr>
          <w:rStyle w:val="FootnoteReference"/>
        </w:rPr>
        <w:footnoteReference w:id="1"/>
      </w:r>
    </w:p>
    <w:p w14:paraId="61E3A3EB" w14:textId="13158B99" w:rsidR="00EB0417" w:rsidRPr="00284D5B" w:rsidRDefault="0701EECC" w:rsidP="00EB0417">
      <w:pPr>
        <w:pStyle w:val="bdstyle2"/>
      </w:pPr>
      <w:r>
        <w:t>Accordingly</w:t>
      </w:r>
      <w:r w:rsidR="00B65488">
        <w:t>, the chancellor, University of Illinois Urbana-Champaign, and vice president, University of Illinois System, with the concurrence of the appropriate administrative officers, recommends approval of the project budget</w:t>
      </w:r>
      <w:r w:rsidR="00DF3801">
        <w:t xml:space="preserve"> to $12,000,000, an increase of $10,787,000. </w:t>
      </w:r>
      <w:r w:rsidR="41668950">
        <w:t xml:space="preserve">A firm budget will be developed during the design process. Preliminary analysis estimates </w:t>
      </w:r>
      <w:r w:rsidR="3E6B8D6C">
        <w:t>the</w:t>
      </w:r>
      <w:r w:rsidR="00DF3801">
        <w:t xml:space="preserve"> entire project </w:t>
      </w:r>
      <w:r w:rsidR="2D8EE71F">
        <w:t>will require a</w:t>
      </w:r>
      <w:r w:rsidR="00DF3801">
        <w:t xml:space="preserve"> total budget of $181,500,000 upon receipt of construction bids. </w:t>
      </w:r>
      <w:r w:rsidR="4033805C">
        <w:t>Subsequent approvals will be sought as information is received.</w:t>
      </w:r>
      <w:r w:rsidR="00BE03D7">
        <w:t xml:space="preserve"> </w:t>
      </w:r>
      <w:r w:rsidR="77398D27">
        <w:t>In addition</w:t>
      </w:r>
      <w:r w:rsidR="00C42423">
        <w:t xml:space="preserve">, the </w:t>
      </w:r>
      <w:r w:rsidR="008A7308">
        <w:t>c</w:t>
      </w:r>
      <w:r w:rsidR="00C42423">
        <w:t xml:space="preserve">hancellor, University of Illinois Urbana-Champaign, and </w:t>
      </w:r>
      <w:r w:rsidR="008A7308">
        <w:t>v</w:t>
      </w:r>
      <w:r w:rsidR="00C42423">
        <w:t xml:space="preserve">ice </w:t>
      </w:r>
      <w:r w:rsidR="008A7308">
        <w:t>p</w:t>
      </w:r>
      <w:r w:rsidR="00C42423">
        <w:t>resident, University of Illinois</w:t>
      </w:r>
      <w:r w:rsidR="00FF4832">
        <w:t xml:space="preserve"> System</w:t>
      </w:r>
      <w:r w:rsidR="00204ED2">
        <w:t>,</w:t>
      </w:r>
      <w:r w:rsidR="00EB0417">
        <w:t xml:space="preserve"> with the concurrence of the appropriate administrative officers </w:t>
      </w:r>
      <w:r w:rsidR="00C670D7">
        <w:t xml:space="preserve">recommends that </w:t>
      </w:r>
      <w:r w:rsidR="00B65488">
        <w:t xml:space="preserve">Goettsch Partners of </w:t>
      </w:r>
      <w:r w:rsidR="008F131F">
        <w:t>Chicago, I</w:t>
      </w:r>
      <w:r w:rsidR="00692EAE">
        <w:t>L</w:t>
      </w:r>
      <w:r w:rsidR="008F131F">
        <w:t xml:space="preserve">, continues to be employed and their contract amended for </w:t>
      </w:r>
      <w:r w:rsidR="00FF4832">
        <w:t xml:space="preserve">remaining </w:t>
      </w:r>
      <w:r w:rsidR="7A270E9F">
        <w:t xml:space="preserve">schematic design, </w:t>
      </w:r>
      <w:r w:rsidR="00FF4832">
        <w:lastRenderedPageBreak/>
        <w:t>d</w:t>
      </w:r>
      <w:r w:rsidR="00C22D30">
        <w:t xml:space="preserve">esign </w:t>
      </w:r>
      <w:r w:rsidR="00FF4832">
        <w:t>development</w:t>
      </w:r>
      <w:r w:rsidR="00C22D30">
        <w:t xml:space="preserve">, </w:t>
      </w:r>
      <w:r w:rsidR="00FF4832">
        <w:t>construction documents</w:t>
      </w:r>
      <w:r w:rsidR="00C22D30">
        <w:t xml:space="preserve">, </w:t>
      </w:r>
      <w:r w:rsidR="00FF4832">
        <w:t>bidding, construction</w:t>
      </w:r>
      <w:r w:rsidR="00692EAE">
        <w:t>,</w:t>
      </w:r>
      <w:r w:rsidR="00FF4832">
        <w:t xml:space="preserve"> and post-construction </w:t>
      </w:r>
      <w:r w:rsidR="00C22D30">
        <w:t xml:space="preserve">phases of the project, and associated supplemental services. </w:t>
      </w:r>
      <w:r w:rsidR="00EB0417">
        <w:t>The firm’s fee</w:t>
      </w:r>
      <w:r w:rsidR="00C22D30">
        <w:t>s</w:t>
      </w:r>
      <w:r w:rsidR="00EB0417">
        <w:t xml:space="preserve"> will</w:t>
      </w:r>
      <w:r w:rsidR="00C22D30">
        <w:t xml:space="preserve"> not exceed </w:t>
      </w:r>
      <w:bookmarkStart w:id="6" w:name="OLE_LINK1"/>
      <w:bookmarkStart w:id="7" w:name="OLE_LINK2"/>
      <w:r w:rsidR="00EB0417">
        <w:t>$</w:t>
      </w:r>
      <w:bookmarkEnd w:id="6"/>
      <w:bookmarkEnd w:id="7"/>
      <w:r w:rsidR="00B65488">
        <w:t>9,</w:t>
      </w:r>
      <w:r w:rsidR="00E97DEB">
        <w:t>310,373</w:t>
      </w:r>
      <w:r w:rsidR="00535E03">
        <w:t>.</w:t>
      </w:r>
    </w:p>
    <w:p w14:paraId="75144A61" w14:textId="3C992095" w:rsidR="008B50D5" w:rsidRPr="00284D5B" w:rsidRDefault="00D46DC8" w:rsidP="008B50D5">
      <w:pPr>
        <w:pStyle w:val="bdstyle2"/>
      </w:pPr>
      <w:r w:rsidRPr="00284D5B">
        <w:t xml:space="preserve">The </w:t>
      </w:r>
      <w:r w:rsidR="00477EF3" w:rsidRPr="00284D5B">
        <w:t>B</w:t>
      </w:r>
      <w:r w:rsidR="008B50D5" w:rsidRPr="00284D5B">
        <w:t xml:space="preserve">oard action recommended in this item complies in all material respects with applicable </w:t>
      </w:r>
      <w:r w:rsidR="00692EAE">
        <w:t>S</w:t>
      </w:r>
      <w:r w:rsidR="008B50D5" w:rsidRPr="00284D5B">
        <w:t xml:space="preserve">tate and federal laws, University of Illinois </w:t>
      </w:r>
      <w:r w:rsidR="008B50D5" w:rsidRPr="008A7308">
        <w:rPr>
          <w:i/>
        </w:rPr>
        <w:t>Statutes</w:t>
      </w:r>
      <w:r w:rsidR="008B50D5" w:rsidRPr="00E6270E">
        <w:rPr>
          <w:iCs/>
        </w:rPr>
        <w:t>,</w:t>
      </w:r>
      <w:r w:rsidR="008B50D5" w:rsidRPr="008A7308">
        <w:rPr>
          <w:i/>
        </w:rPr>
        <w:t xml:space="preserve"> The General Rules Concerning University Organization and Procedure</w:t>
      </w:r>
      <w:r w:rsidR="008B50D5" w:rsidRPr="008A7308">
        <w:rPr>
          <w:iCs/>
        </w:rPr>
        <w:t>, and</w:t>
      </w:r>
      <w:r w:rsidR="008B50D5" w:rsidRPr="00284D5B">
        <w:t xml:space="preserve"> Board of Trustees policies and directives.</w:t>
      </w:r>
    </w:p>
    <w:p w14:paraId="0BC7A583" w14:textId="5983D037" w:rsidR="00535E03" w:rsidRPr="00284D5B" w:rsidRDefault="00D73CB9" w:rsidP="00D73CB9">
      <w:pPr>
        <w:pStyle w:val="bdstyle2"/>
      </w:pPr>
      <w:r>
        <w:t>F</w:t>
      </w:r>
      <w:r w:rsidR="00A61E7F">
        <w:t xml:space="preserve">unds for </w:t>
      </w:r>
      <w:r w:rsidR="00C42423">
        <w:t>this</w:t>
      </w:r>
      <w:r w:rsidR="00B830F0">
        <w:t xml:space="preserve"> project</w:t>
      </w:r>
      <w:r>
        <w:t xml:space="preserve"> are available from </w:t>
      </w:r>
      <w:r w:rsidR="7157ED7A">
        <w:t xml:space="preserve">the </w:t>
      </w:r>
      <w:r w:rsidR="00170F06">
        <w:t>University of Illinois Urbana-Champaign</w:t>
      </w:r>
      <w:r w:rsidR="00692EAE">
        <w:t>’</w:t>
      </w:r>
      <w:r w:rsidR="00170F06">
        <w:t>s Institutional Funds Operating Budget,</w:t>
      </w:r>
      <w:r w:rsidR="6602D842">
        <w:t xml:space="preserve"> </w:t>
      </w:r>
      <w:r w:rsidR="00A96B44">
        <w:t>with anticipated reimbursement from the proceeds of a future sale of Auxiliary Facilities System Bonds</w:t>
      </w:r>
      <w:r w:rsidR="00FF4832">
        <w:t xml:space="preserve">. </w:t>
      </w:r>
    </w:p>
    <w:p w14:paraId="39CC6501" w14:textId="593E5566" w:rsidR="009F008C" w:rsidRPr="009F008C" w:rsidRDefault="000C63B2" w:rsidP="009F008C">
      <w:pPr>
        <w:tabs>
          <w:tab w:val="left" w:pos="1440"/>
          <w:tab w:val="left" w:pos="6480"/>
        </w:tabs>
        <w:spacing w:line="480" w:lineRule="auto"/>
        <w:rPr>
          <w:szCs w:val="26"/>
        </w:rPr>
      </w:pPr>
      <w:r w:rsidRPr="00284D5B">
        <w:rPr>
          <w:szCs w:val="26"/>
        </w:rPr>
        <w:tab/>
        <w:t xml:space="preserve">The </w:t>
      </w:r>
      <w:r w:rsidR="008A7308">
        <w:rPr>
          <w:szCs w:val="26"/>
        </w:rPr>
        <w:t>p</w:t>
      </w:r>
      <w:r w:rsidRPr="00284D5B">
        <w:rPr>
          <w:szCs w:val="26"/>
        </w:rPr>
        <w:t xml:space="preserve">resident of the </w:t>
      </w:r>
      <w:r w:rsidR="008A7308">
        <w:rPr>
          <w:szCs w:val="26"/>
        </w:rPr>
        <w:t>U</w:t>
      </w:r>
      <w:r w:rsidRPr="00284D5B">
        <w:rPr>
          <w:szCs w:val="26"/>
        </w:rPr>
        <w:t xml:space="preserve">niversity </w:t>
      </w:r>
      <w:r w:rsidR="008A7308">
        <w:rPr>
          <w:szCs w:val="26"/>
        </w:rPr>
        <w:t xml:space="preserve">of Illinois System </w:t>
      </w:r>
      <w:r w:rsidRPr="00284D5B">
        <w:rPr>
          <w:szCs w:val="26"/>
        </w:rPr>
        <w:t>concurs.</w:t>
      </w:r>
      <w:r>
        <w:rPr>
          <w:szCs w:val="26"/>
        </w:rPr>
        <w:tab/>
      </w:r>
    </w:p>
    <w:p w14:paraId="03322C4E" w14:textId="77777777" w:rsidR="009F008C" w:rsidRDefault="009F008C" w:rsidP="009F008C">
      <w:pPr>
        <w:pStyle w:val="bdfootnote"/>
        <w:ind w:left="0" w:firstLine="0"/>
      </w:pPr>
    </w:p>
    <w:p w14:paraId="36DA6150" w14:textId="77777777" w:rsidR="009F008C" w:rsidRDefault="009F008C" w:rsidP="009F008C">
      <w:pPr>
        <w:pStyle w:val="bdfootnote"/>
      </w:pPr>
      <w:r w:rsidRPr="009F008C">
        <w:t>Table 1: Diverse Vendor Participation</w:t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2800"/>
        <w:gridCol w:w="2480"/>
        <w:gridCol w:w="1860"/>
        <w:gridCol w:w="1700"/>
      </w:tblGrid>
      <w:tr w:rsidR="004A4C44" w:rsidRPr="004A4C44" w14:paraId="176B7F4B" w14:textId="77777777" w:rsidTr="004A4C44">
        <w:trPr>
          <w:trHeight w:val="12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8C3D4A" w14:textId="77777777" w:rsidR="004A4C44" w:rsidRPr="004A4C44" w:rsidRDefault="004A4C44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A4C44">
              <w:rPr>
                <w:b/>
                <w:bCs/>
                <w:color w:val="000000"/>
                <w:sz w:val="24"/>
                <w:szCs w:val="24"/>
              </w:rPr>
              <w:t>Awarded Vendor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18062A" w14:textId="77777777" w:rsidR="004A4C44" w:rsidRPr="004A4C44" w:rsidRDefault="004A4C44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A4C44">
              <w:rPr>
                <w:b/>
                <w:bCs/>
                <w:color w:val="000000"/>
                <w:sz w:val="24"/>
                <w:szCs w:val="24"/>
              </w:rPr>
              <w:t>Prime Contract $ / Diverse Subcontractor Certification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B161A2" w14:textId="77777777" w:rsidR="004A4C44" w:rsidRPr="004A4C44" w:rsidRDefault="004A4C44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A4C44">
              <w:rPr>
                <w:b/>
                <w:bCs/>
                <w:color w:val="000000"/>
                <w:sz w:val="24"/>
                <w:szCs w:val="24"/>
              </w:rPr>
              <w:t>Diverse Subcontractor Value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FB5EAB" w14:textId="77777777" w:rsidR="004A4C44" w:rsidRPr="004A4C44" w:rsidRDefault="004A4C44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A4C44">
              <w:rPr>
                <w:b/>
                <w:bCs/>
                <w:color w:val="000000"/>
                <w:sz w:val="24"/>
                <w:szCs w:val="24"/>
              </w:rPr>
              <w:t>Subcontractor % of Work</w:t>
            </w:r>
          </w:p>
        </w:tc>
      </w:tr>
      <w:tr w:rsidR="004A4C44" w:rsidRPr="004A4C44" w14:paraId="7681C089" w14:textId="77777777" w:rsidTr="004A4C44">
        <w:trPr>
          <w:trHeight w:val="30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2A6E" w14:textId="6C06825F" w:rsidR="004A4C44" w:rsidRPr="004A4C44" w:rsidRDefault="00E97DEB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Goettsch Partners, Inc.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6AB2" w14:textId="598797E4" w:rsidR="004A4C44" w:rsidRPr="004A4C44" w:rsidRDefault="004A4C44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A4C44">
              <w:rPr>
                <w:color w:val="000000"/>
                <w:sz w:val="24"/>
                <w:szCs w:val="24"/>
              </w:rPr>
              <w:t>$</w:t>
            </w:r>
            <w:r w:rsidR="00DF3801">
              <w:rPr>
                <w:color w:val="000000"/>
                <w:sz w:val="24"/>
                <w:szCs w:val="24"/>
              </w:rPr>
              <w:t>9,310,373</w:t>
            </w:r>
            <w:r w:rsidRPr="004A4C4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F300" w14:textId="77777777" w:rsidR="004A4C44" w:rsidRPr="004A4C44" w:rsidRDefault="004A4C44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A4C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13A7" w14:textId="77777777" w:rsidR="004A4C44" w:rsidRPr="004A4C44" w:rsidRDefault="004A4C44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A4C4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A4C44" w:rsidRPr="004A4C44" w14:paraId="22CD8C27" w14:textId="77777777" w:rsidTr="004A4C44">
        <w:trPr>
          <w:trHeight w:val="30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43EC" w14:textId="77777777" w:rsidR="004A4C44" w:rsidRPr="004A4C44" w:rsidRDefault="004A4C44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A4C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B431" w14:textId="77777777" w:rsidR="004A4C44" w:rsidRPr="004A4C44" w:rsidRDefault="004A4C44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A4C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6E3A" w14:textId="77777777" w:rsidR="004A4C44" w:rsidRPr="004A4C44" w:rsidRDefault="004A4C44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A4C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8A46" w14:textId="77777777" w:rsidR="004A4C44" w:rsidRPr="004A4C44" w:rsidRDefault="004A4C44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A4C4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A4C44" w:rsidRPr="004A4C44" w14:paraId="06C0BB7A" w14:textId="77777777" w:rsidTr="002D755E">
        <w:trPr>
          <w:trHeight w:val="30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944E" w14:textId="77777777" w:rsidR="004A4C44" w:rsidRPr="004A4C44" w:rsidRDefault="004A4C44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A4C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48A2" w14:textId="77777777" w:rsidR="004A4C44" w:rsidRPr="004A4C44" w:rsidRDefault="004A4C44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A4C44">
              <w:rPr>
                <w:color w:val="000000"/>
                <w:sz w:val="24"/>
                <w:szCs w:val="24"/>
              </w:rPr>
              <w:t>MBE (ASA)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E2F98" w14:textId="2CC796D8" w:rsidR="004A4C44" w:rsidRPr="004A4C44" w:rsidRDefault="00DF6DD5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$3,222,999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48B4D" w14:textId="3D5DF8FC" w:rsidR="004A4C44" w:rsidRPr="004A4C44" w:rsidRDefault="00DF6DD5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07005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 w:rsidR="004A4C44" w:rsidRPr="004A4C44" w14:paraId="442779B0" w14:textId="77777777" w:rsidTr="002D755E">
        <w:trPr>
          <w:trHeight w:val="30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FB22" w14:textId="77777777" w:rsidR="004A4C44" w:rsidRPr="004A4C44" w:rsidRDefault="004A4C44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A4C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0997" w14:textId="104A36BA" w:rsidR="004A4C44" w:rsidRPr="004A4C44" w:rsidRDefault="00807005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SDVOSB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3AF37" w14:textId="305D42EA" w:rsidR="004A4C44" w:rsidRPr="004A4C44" w:rsidRDefault="00DF6DD5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$</w:t>
            </w:r>
            <w:r w:rsidR="00807005">
              <w:rPr>
                <w:color w:val="000000"/>
                <w:sz w:val="24"/>
                <w:szCs w:val="24"/>
              </w:rPr>
              <w:t>280,327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7DC9" w14:textId="29E52343" w:rsidR="004A4C44" w:rsidRPr="004A4C44" w:rsidRDefault="00807005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F6DD5">
              <w:rPr>
                <w:color w:val="000000"/>
                <w:sz w:val="24"/>
                <w:szCs w:val="24"/>
              </w:rPr>
              <w:t>%</w:t>
            </w:r>
          </w:p>
        </w:tc>
      </w:tr>
      <w:tr w:rsidR="004A4C44" w:rsidRPr="004A4C44" w14:paraId="303E39ED" w14:textId="77777777" w:rsidTr="002D755E">
        <w:trPr>
          <w:trHeight w:val="30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1D78" w14:textId="77777777" w:rsidR="004A4C44" w:rsidRPr="004A4C44" w:rsidRDefault="004A4C44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A4C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57D7" w14:textId="4C5FE92F" w:rsidR="004A4C44" w:rsidRPr="004A4C44" w:rsidRDefault="00807005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WBE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A562" w14:textId="6F930438" w:rsidR="004A4C44" w:rsidRPr="004A4C44" w:rsidRDefault="00DF3801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$</w:t>
            </w:r>
            <w:r w:rsidR="00807005">
              <w:rPr>
                <w:color w:val="000000"/>
                <w:sz w:val="24"/>
                <w:szCs w:val="24"/>
              </w:rPr>
              <w:t>355,807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63EA6" w14:textId="55036787" w:rsidR="004A4C44" w:rsidRPr="004A4C44" w:rsidRDefault="00E6270E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4%</w:t>
            </w:r>
          </w:p>
        </w:tc>
      </w:tr>
      <w:tr w:rsidR="004A4C44" w:rsidRPr="004A4C44" w14:paraId="0564CBBA" w14:textId="77777777" w:rsidTr="004A4C44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1359" w14:textId="77777777" w:rsidR="004A4C44" w:rsidRPr="004A4C44" w:rsidRDefault="004A4C44" w:rsidP="004A4C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2227" w14:textId="16B21245" w:rsidR="004A4C44" w:rsidRPr="002261D0" w:rsidRDefault="004A4C44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261D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BC3F75" w:rsidRPr="002261D0"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E1AD" w14:textId="7646AC92" w:rsidR="004A4C44" w:rsidRPr="002261D0" w:rsidRDefault="004A4C44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2261D0">
              <w:rPr>
                <w:b/>
                <w:bCs/>
                <w:color w:val="000000"/>
                <w:sz w:val="24"/>
                <w:szCs w:val="24"/>
              </w:rPr>
              <w:t>$</w:t>
            </w:r>
            <w:r w:rsidR="00DF6DD5" w:rsidRPr="002261D0">
              <w:rPr>
                <w:b/>
                <w:bCs/>
                <w:color w:val="000000"/>
                <w:sz w:val="24"/>
                <w:szCs w:val="24"/>
              </w:rPr>
              <w:t>3,859,133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6378" w14:textId="4B8D8F85" w:rsidR="004A4C44" w:rsidRPr="002261D0" w:rsidRDefault="00DF6DD5" w:rsidP="004A4C4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2261D0">
              <w:rPr>
                <w:b/>
                <w:bCs/>
                <w:color w:val="000000"/>
                <w:sz w:val="24"/>
                <w:szCs w:val="24"/>
              </w:rPr>
              <w:t>41</w:t>
            </w:r>
            <w:r w:rsidR="004A4C44" w:rsidRPr="002261D0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</w:tbl>
    <w:p w14:paraId="7F868D4F" w14:textId="77777777" w:rsidR="009F008C" w:rsidRDefault="009F008C" w:rsidP="00F23F60">
      <w:pPr>
        <w:pStyle w:val="bdstyle2"/>
      </w:pPr>
    </w:p>
    <w:p w14:paraId="268EDC0A" w14:textId="77777777" w:rsidR="009F008C" w:rsidRDefault="009F008C" w:rsidP="00F23F60">
      <w:pPr>
        <w:pStyle w:val="bdstyle2"/>
      </w:pPr>
    </w:p>
    <w:p w14:paraId="723C0EF9" w14:textId="77777777" w:rsidR="009F008C" w:rsidRPr="00F23F60" w:rsidRDefault="009F008C" w:rsidP="00F23F60">
      <w:pPr>
        <w:pStyle w:val="bdstyle2"/>
      </w:pPr>
    </w:p>
    <w:sectPr w:rsidR="009F008C" w:rsidRPr="00F23F60" w:rsidSect="00D676E4">
      <w:headerReference w:type="default" r:id="rId11"/>
      <w:type w:val="continuous"/>
      <w:pgSz w:w="12240" w:h="15840" w:code="1"/>
      <w:pgMar w:top="720" w:right="1440" w:bottom="1440" w:left="1440" w:header="720" w:footer="720" w:gutter="0"/>
      <w:paperSrc w:first="257" w:other="257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7CCA" w14:textId="77777777" w:rsidR="00797FAA" w:rsidRDefault="00797FAA">
      <w:r>
        <w:separator/>
      </w:r>
    </w:p>
  </w:endnote>
  <w:endnote w:type="continuationSeparator" w:id="0">
    <w:p w14:paraId="639C42C4" w14:textId="77777777" w:rsidR="00797FAA" w:rsidRDefault="0079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02FF" w:usb1="5000205A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38B4" w14:textId="77777777" w:rsidR="00797FAA" w:rsidRDefault="00797FAA">
      <w:r>
        <w:separator/>
      </w:r>
    </w:p>
  </w:footnote>
  <w:footnote w:type="continuationSeparator" w:id="0">
    <w:p w14:paraId="5C59BD3E" w14:textId="77777777" w:rsidR="00797FAA" w:rsidRDefault="00797FAA">
      <w:r>
        <w:continuationSeparator/>
      </w:r>
    </w:p>
  </w:footnote>
  <w:footnote w:id="1">
    <w:p w14:paraId="79862C16" w14:textId="16BEC988" w:rsidR="009F008C" w:rsidRPr="00983F5A" w:rsidRDefault="009F008C" w:rsidP="009F008C">
      <w:pPr>
        <w:pStyle w:val="bdfootnote"/>
        <w:ind w:left="0" w:firstLine="0"/>
        <w:rPr>
          <w:szCs w:val="26"/>
        </w:rPr>
      </w:pPr>
      <w:r w:rsidRPr="00983F5A">
        <w:rPr>
          <w:rStyle w:val="FootnoteReference"/>
          <w:szCs w:val="26"/>
        </w:rPr>
        <w:t>1</w:t>
      </w:r>
      <w:r w:rsidRPr="00983F5A">
        <w:rPr>
          <w:szCs w:val="26"/>
        </w:rPr>
        <w:t xml:space="preserve"> A selection committee consisting of </w:t>
      </w:r>
      <w:r w:rsidR="00B65488" w:rsidRPr="00983F5A">
        <w:rPr>
          <w:szCs w:val="26"/>
        </w:rPr>
        <w:t>Mark Roessler</w:t>
      </w:r>
      <w:r w:rsidR="00E6270E">
        <w:rPr>
          <w:szCs w:val="26"/>
        </w:rPr>
        <w:t xml:space="preserve">, </w:t>
      </w:r>
      <w:r w:rsidR="00E6270E">
        <w:rPr>
          <w:i/>
          <w:iCs/>
          <w:szCs w:val="26"/>
        </w:rPr>
        <w:t>chair,</w:t>
      </w:r>
      <w:r w:rsidRPr="00983F5A">
        <w:rPr>
          <w:szCs w:val="26"/>
        </w:rPr>
        <w:t xml:space="preserve"> (Facilities </w:t>
      </w:r>
      <w:r w:rsidR="00E6270E">
        <w:rPr>
          <w:szCs w:val="26"/>
        </w:rPr>
        <w:t>and</w:t>
      </w:r>
      <w:r w:rsidRPr="00983F5A">
        <w:rPr>
          <w:szCs w:val="26"/>
        </w:rPr>
        <w:t xml:space="preserve"> Services, </w:t>
      </w:r>
      <w:r w:rsidR="00E6270E">
        <w:rPr>
          <w:szCs w:val="26"/>
        </w:rPr>
        <w:t>c</w:t>
      </w:r>
      <w:r w:rsidRPr="00983F5A">
        <w:rPr>
          <w:szCs w:val="26"/>
        </w:rPr>
        <w:t xml:space="preserve">apital </w:t>
      </w:r>
      <w:r w:rsidR="00E6270E">
        <w:rPr>
          <w:szCs w:val="26"/>
        </w:rPr>
        <w:t>p</w:t>
      </w:r>
      <w:r w:rsidRPr="00983F5A">
        <w:rPr>
          <w:szCs w:val="26"/>
        </w:rPr>
        <w:t xml:space="preserve">rojects), </w:t>
      </w:r>
      <w:r w:rsidR="00B65488" w:rsidRPr="00983F5A">
        <w:rPr>
          <w:szCs w:val="26"/>
        </w:rPr>
        <w:t>Kelly Jo Hoffmann</w:t>
      </w:r>
      <w:r w:rsidRPr="00983F5A">
        <w:rPr>
          <w:szCs w:val="26"/>
        </w:rPr>
        <w:t xml:space="preserve"> (Facilities </w:t>
      </w:r>
      <w:r w:rsidR="00E6270E">
        <w:rPr>
          <w:szCs w:val="26"/>
        </w:rPr>
        <w:t>and</w:t>
      </w:r>
      <w:r w:rsidRPr="00983F5A">
        <w:rPr>
          <w:szCs w:val="26"/>
        </w:rPr>
        <w:t xml:space="preserve"> Services, </w:t>
      </w:r>
      <w:r w:rsidR="00E6270E">
        <w:rPr>
          <w:szCs w:val="26"/>
        </w:rPr>
        <w:t>e</w:t>
      </w:r>
      <w:r w:rsidRPr="00983F5A">
        <w:rPr>
          <w:szCs w:val="26"/>
        </w:rPr>
        <w:t xml:space="preserve">ngineering </w:t>
      </w:r>
      <w:r w:rsidR="00E6270E">
        <w:rPr>
          <w:szCs w:val="26"/>
        </w:rPr>
        <w:t>and</w:t>
      </w:r>
      <w:r w:rsidRPr="00983F5A">
        <w:rPr>
          <w:szCs w:val="26"/>
        </w:rPr>
        <w:t xml:space="preserve"> </w:t>
      </w:r>
      <w:r w:rsidR="00E6270E">
        <w:rPr>
          <w:szCs w:val="26"/>
        </w:rPr>
        <w:t>c</w:t>
      </w:r>
      <w:r w:rsidRPr="00983F5A">
        <w:rPr>
          <w:szCs w:val="26"/>
        </w:rPr>
        <w:t xml:space="preserve">onstruction </w:t>
      </w:r>
      <w:r w:rsidR="00E6270E">
        <w:rPr>
          <w:szCs w:val="26"/>
        </w:rPr>
        <w:t>s</w:t>
      </w:r>
      <w:r w:rsidRPr="00983F5A">
        <w:rPr>
          <w:szCs w:val="26"/>
        </w:rPr>
        <w:t xml:space="preserve">ervices), </w:t>
      </w:r>
      <w:r w:rsidR="00B65488" w:rsidRPr="00983F5A">
        <w:rPr>
          <w:szCs w:val="26"/>
        </w:rPr>
        <w:t xml:space="preserve">Alma Sealine (Housing, </w:t>
      </w:r>
      <w:r w:rsidR="00E6270E">
        <w:rPr>
          <w:szCs w:val="26"/>
        </w:rPr>
        <w:t>a</w:t>
      </w:r>
      <w:r w:rsidR="00B65488" w:rsidRPr="00983F5A">
        <w:rPr>
          <w:szCs w:val="26"/>
        </w:rPr>
        <w:t xml:space="preserve">ssistant </w:t>
      </w:r>
      <w:r w:rsidR="00E6270E">
        <w:rPr>
          <w:szCs w:val="26"/>
        </w:rPr>
        <w:t>v</w:t>
      </w:r>
      <w:r w:rsidR="00B65488" w:rsidRPr="00983F5A">
        <w:rPr>
          <w:szCs w:val="26"/>
        </w:rPr>
        <w:t xml:space="preserve">ice </w:t>
      </w:r>
      <w:r w:rsidR="00E6270E">
        <w:rPr>
          <w:szCs w:val="26"/>
        </w:rPr>
        <w:t>c</w:t>
      </w:r>
      <w:r w:rsidR="00B65488" w:rsidRPr="00983F5A">
        <w:rPr>
          <w:szCs w:val="26"/>
        </w:rPr>
        <w:t xml:space="preserve">hancellor for </w:t>
      </w:r>
      <w:r w:rsidR="00E6270E">
        <w:rPr>
          <w:szCs w:val="26"/>
        </w:rPr>
        <w:t>a</w:t>
      </w:r>
      <w:r w:rsidR="00B65488" w:rsidRPr="00983F5A">
        <w:rPr>
          <w:szCs w:val="26"/>
        </w:rPr>
        <w:t xml:space="preserve">uxiliary </w:t>
      </w:r>
      <w:r w:rsidR="00E6270E">
        <w:rPr>
          <w:szCs w:val="26"/>
        </w:rPr>
        <w:t>h</w:t>
      </w:r>
      <w:r w:rsidR="00B65488" w:rsidRPr="00983F5A">
        <w:rPr>
          <w:szCs w:val="26"/>
        </w:rPr>
        <w:t xml:space="preserve">ealth </w:t>
      </w:r>
      <w:r w:rsidR="00E6270E">
        <w:rPr>
          <w:szCs w:val="26"/>
        </w:rPr>
        <w:t>and</w:t>
      </w:r>
      <w:r w:rsidR="00B65488" w:rsidRPr="00983F5A">
        <w:rPr>
          <w:szCs w:val="26"/>
        </w:rPr>
        <w:t xml:space="preserve"> </w:t>
      </w:r>
      <w:r w:rsidR="00E6270E">
        <w:rPr>
          <w:szCs w:val="26"/>
        </w:rPr>
        <w:t>w</w:t>
      </w:r>
      <w:r w:rsidR="00B65488" w:rsidRPr="00983F5A">
        <w:rPr>
          <w:szCs w:val="26"/>
        </w:rPr>
        <w:t xml:space="preserve">ellbeing and </w:t>
      </w:r>
      <w:r w:rsidR="00E6270E">
        <w:rPr>
          <w:szCs w:val="26"/>
        </w:rPr>
        <w:t>e</w:t>
      </w:r>
      <w:r w:rsidR="00B65488" w:rsidRPr="00983F5A">
        <w:rPr>
          <w:szCs w:val="26"/>
        </w:rPr>
        <w:t xml:space="preserve">xecutive </w:t>
      </w:r>
      <w:r w:rsidR="00E6270E">
        <w:rPr>
          <w:szCs w:val="26"/>
        </w:rPr>
        <w:t>d</w:t>
      </w:r>
      <w:r w:rsidR="00B65488" w:rsidRPr="00983F5A">
        <w:rPr>
          <w:szCs w:val="26"/>
        </w:rPr>
        <w:t xml:space="preserve">irector of University Housing), Matthew Brown (Housing, </w:t>
      </w:r>
      <w:r w:rsidR="00E6270E">
        <w:rPr>
          <w:szCs w:val="26"/>
        </w:rPr>
        <w:t>d</w:t>
      </w:r>
      <w:r w:rsidR="00B65488" w:rsidRPr="00983F5A">
        <w:rPr>
          <w:szCs w:val="26"/>
        </w:rPr>
        <w:t xml:space="preserve">irector of </w:t>
      </w:r>
      <w:r w:rsidR="00E6270E">
        <w:rPr>
          <w:szCs w:val="26"/>
        </w:rPr>
        <w:t>f</w:t>
      </w:r>
      <w:r w:rsidR="00B65488" w:rsidRPr="00983F5A">
        <w:rPr>
          <w:szCs w:val="26"/>
        </w:rPr>
        <w:t>acilities)</w:t>
      </w:r>
      <w:r w:rsidRPr="00983F5A">
        <w:rPr>
          <w:szCs w:val="26"/>
        </w:rPr>
        <w:t>,</w:t>
      </w:r>
      <w:r w:rsidR="00B65488" w:rsidRPr="00983F5A">
        <w:rPr>
          <w:szCs w:val="26"/>
        </w:rPr>
        <w:t xml:space="preserve"> Sandy Yoo</w:t>
      </w:r>
      <w:r w:rsidRPr="00983F5A">
        <w:rPr>
          <w:szCs w:val="26"/>
        </w:rPr>
        <w:t xml:space="preserve"> (System Office of Capital</w:t>
      </w:r>
      <w:r w:rsidR="00A50AE9">
        <w:rPr>
          <w:szCs w:val="26"/>
        </w:rPr>
        <w:t>, Utilities, and Real Estate</w:t>
      </w:r>
      <w:r w:rsidR="00B65488" w:rsidRPr="00983F5A">
        <w:rPr>
          <w:szCs w:val="26"/>
        </w:rPr>
        <w:t xml:space="preserve">, </w:t>
      </w:r>
      <w:r w:rsidR="00E6270E">
        <w:rPr>
          <w:szCs w:val="26"/>
        </w:rPr>
        <w:t>a</w:t>
      </w:r>
      <w:r w:rsidR="00B65488" w:rsidRPr="00983F5A">
        <w:rPr>
          <w:szCs w:val="26"/>
        </w:rPr>
        <w:t xml:space="preserve">rchitect </w:t>
      </w:r>
      <w:r w:rsidR="00E6270E">
        <w:rPr>
          <w:szCs w:val="26"/>
        </w:rPr>
        <w:t>and</w:t>
      </w:r>
      <w:r w:rsidR="00B65488" w:rsidRPr="00983F5A">
        <w:rPr>
          <w:szCs w:val="26"/>
        </w:rPr>
        <w:t xml:space="preserve"> </w:t>
      </w:r>
      <w:r w:rsidR="00E6270E">
        <w:rPr>
          <w:szCs w:val="26"/>
        </w:rPr>
        <w:t>a</w:t>
      </w:r>
      <w:r w:rsidR="00B65488" w:rsidRPr="00983F5A">
        <w:rPr>
          <w:szCs w:val="26"/>
        </w:rPr>
        <w:t xml:space="preserve">ssociate </w:t>
      </w:r>
      <w:r w:rsidR="00E6270E">
        <w:rPr>
          <w:szCs w:val="26"/>
        </w:rPr>
        <w:t>d</w:t>
      </w:r>
      <w:r w:rsidR="00B65488" w:rsidRPr="00983F5A">
        <w:rPr>
          <w:szCs w:val="26"/>
        </w:rPr>
        <w:t>irector</w:t>
      </w:r>
      <w:r w:rsidRPr="00983F5A">
        <w:rPr>
          <w:szCs w:val="26"/>
        </w:rPr>
        <w:t>), and Tenea Harris (</w:t>
      </w:r>
      <w:r w:rsidR="00E6270E" w:rsidRPr="00983F5A">
        <w:rPr>
          <w:szCs w:val="26"/>
        </w:rPr>
        <w:t>Office of Procurement Diversity</w:t>
      </w:r>
      <w:r w:rsidR="00E6270E">
        <w:rPr>
          <w:szCs w:val="26"/>
        </w:rPr>
        <w:t>, s</w:t>
      </w:r>
      <w:r w:rsidRPr="00983F5A">
        <w:rPr>
          <w:szCs w:val="26"/>
        </w:rPr>
        <w:t xml:space="preserve">upplier </w:t>
      </w:r>
      <w:r w:rsidR="00E6270E">
        <w:rPr>
          <w:szCs w:val="26"/>
        </w:rPr>
        <w:t>d</w:t>
      </w:r>
      <w:r w:rsidRPr="00983F5A">
        <w:rPr>
          <w:szCs w:val="26"/>
        </w:rPr>
        <w:t xml:space="preserve">iversity </w:t>
      </w:r>
      <w:r w:rsidR="00E6270E">
        <w:rPr>
          <w:szCs w:val="26"/>
        </w:rPr>
        <w:t>m</w:t>
      </w:r>
      <w:r w:rsidRPr="00983F5A">
        <w:rPr>
          <w:szCs w:val="26"/>
        </w:rPr>
        <w:t xml:space="preserve">anager,), interviewed the following firms: </w:t>
      </w:r>
      <w:r w:rsidR="0004395C" w:rsidRPr="00983F5A">
        <w:rPr>
          <w:szCs w:val="26"/>
        </w:rPr>
        <w:t>Cannon</w:t>
      </w:r>
      <w:r w:rsidR="00E6270E">
        <w:rPr>
          <w:szCs w:val="26"/>
        </w:rPr>
        <w:t xml:space="preserve"> </w:t>
      </w:r>
      <w:r w:rsidR="0004395C" w:rsidRPr="00983F5A">
        <w:rPr>
          <w:szCs w:val="26"/>
        </w:rPr>
        <w:t>Design</w:t>
      </w:r>
      <w:r w:rsidRPr="00983F5A">
        <w:rPr>
          <w:szCs w:val="26"/>
        </w:rPr>
        <w:t xml:space="preserve">, </w:t>
      </w:r>
      <w:r w:rsidR="0004395C" w:rsidRPr="00983F5A">
        <w:rPr>
          <w:szCs w:val="26"/>
        </w:rPr>
        <w:t>Chicago, IL</w:t>
      </w:r>
      <w:r w:rsidR="00E97DEB" w:rsidRPr="00983F5A">
        <w:rPr>
          <w:szCs w:val="26"/>
        </w:rPr>
        <w:t>; Goettsch Partners, Inc., Chicago</w:t>
      </w:r>
      <w:r w:rsidRPr="00983F5A">
        <w:rPr>
          <w:szCs w:val="26"/>
        </w:rPr>
        <w:t xml:space="preserve">, </w:t>
      </w:r>
      <w:r w:rsidR="00E97DEB" w:rsidRPr="00983F5A">
        <w:rPr>
          <w:szCs w:val="26"/>
        </w:rPr>
        <w:t>IL</w:t>
      </w:r>
      <w:r w:rsidRPr="00983F5A">
        <w:rPr>
          <w:szCs w:val="26"/>
        </w:rPr>
        <w:t xml:space="preserve">; </w:t>
      </w:r>
      <w:r w:rsidR="00E97DEB" w:rsidRPr="00983F5A">
        <w:rPr>
          <w:szCs w:val="26"/>
        </w:rPr>
        <w:t>Booth Hansen</w:t>
      </w:r>
      <w:r w:rsidR="00E6270E">
        <w:rPr>
          <w:szCs w:val="26"/>
        </w:rPr>
        <w:t>, Ltd.</w:t>
      </w:r>
      <w:r w:rsidRPr="00983F5A">
        <w:rPr>
          <w:szCs w:val="26"/>
        </w:rPr>
        <w:t xml:space="preserve">, Chicago, IL; and </w:t>
      </w:r>
      <w:r w:rsidR="00E97DEB" w:rsidRPr="00983F5A">
        <w:rPr>
          <w:szCs w:val="26"/>
        </w:rPr>
        <w:t>Holabird &amp; Root, LLC, Chicago, IL</w:t>
      </w:r>
      <w:r w:rsidRPr="00983F5A">
        <w:rPr>
          <w:szCs w:val="26"/>
        </w:rPr>
        <w:t>. The committee recommend</w:t>
      </w:r>
      <w:r w:rsidR="00E97DEB" w:rsidRPr="00983F5A">
        <w:rPr>
          <w:szCs w:val="26"/>
        </w:rPr>
        <w:t>ed</w:t>
      </w:r>
      <w:r w:rsidRPr="00983F5A">
        <w:rPr>
          <w:szCs w:val="26"/>
        </w:rPr>
        <w:t xml:space="preserve"> </w:t>
      </w:r>
      <w:r w:rsidR="00E97DEB" w:rsidRPr="00983F5A">
        <w:rPr>
          <w:szCs w:val="26"/>
        </w:rPr>
        <w:t>Goettsch Partners, I</w:t>
      </w:r>
      <w:r w:rsidR="00E6270E">
        <w:rPr>
          <w:szCs w:val="26"/>
        </w:rPr>
        <w:t>nc</w:t>
      </w:r>
      <w:r w:rsidR="00E97DEB" w:rsidRPr="00983F5A">
        <w:rPr>
          <w:szCs w:val="26"/>
        </w:rPr>
        <w:t>., Chicago, IL</w:t>
      </w:r>
      <w:r w:rsidRPr="00983F5A">
        <w:rPr>
          <w:szCs w:val="26"/>
        </w:rPr>
        <w:t xml:space="preserve">, as best meeting the criteria for the project. </w:t>
      </w:r>
    </w:p>
    <w:p w14:paraId="2F9BFF1B" w14:textId="2B562EDF" w:rsidR="009F008C" w:rsidRDefault="009F008C" w:rsidP="009F008C">
      <w:pPr>
        <w:pStyle w:val="bdfootnote"/>
        <w:ind w:left="0" w:firstLine="0"/>
      </w:pPr>
    </w:p>
    <w:p w14:paraId="31431785" w14:textId="77777777" w:rsidR="009F008C" w:rsidRDefault="009F008C" w:rsidP="00EB0417">
      <w:pPr>
        <w:pStyle w:val="bdfoot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4447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8E66C4" w14:textId="79A52F7E" w:rsidR="007E3CB5" w:rsidRDefault="007E3CB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A472C9" w14:textId="77777777" w:rsidR="007E3CB5" w:rsidRDefault="007E3CB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0C7B"/>
    <w:multiLevelType w:val="hybridMultilevel"/>
    <w:tmpl w:val="08D05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362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B4"/>
    <w:rsid w:val="00002F55"/>
    <w:rsid w:val="00004FA6"/>
    <w:rsid w:val="00010FDA"/>
    <w:rsid w:val="000116E5"/>
    <w:rsid w:val="0001629F"/>
    <w:rsid w:val="000231DC"/>
    <w:rsid w:val="0003698B"/>
    <w:rsid w:val="0004395C"/>
    <w:rsid w:val="00044BC8"/>
    <w:rsid w:val="000574BA"/>
    <w:rsid w:val="00065CE3"/>
    <w:rsid w:val="00084E51"/>
    <w:rsid w:val="00087BDC"/>
    <w:rsid w:val="000B1612"/>
    <w:rsid w:val="000B1FF1"/>
    <w:rsid w:val="000C63B2"/>
    <w:rsid w:val="000D1BB8"/>
    <w:rsid w:val="000D7C60"/>
    <w:rsid w:val="000F379E"/>
    <w:rsid w:val="00106C34"/>
    <w:rsid w:val="00132A5B"/>
    <w:rsid w:val="0013413E"/>
    <w:rsid w:val="00160BC6"/>
    <w:rsid w:val="00170F06"/>
    <w:rsid w:val="001B060C"/>
    <w:rsid w:val="001B283A"/>
    <w:rsid w:val="001B376B"/>
    <w:rsid w:val="001B71E5"/>
    <w:rsid w:val="001C6CC0"/>
    <w:rsid w:val="001F7CDB"/>
    <w:rsid w:val="0020472F"/>
    <w:rsid w:val="00204ED2"/>
    <w:rsid w:val="002261D0"/>
    <w:rsid w:val="00263DA5"/>
    <w:rsid w:val="00266F06"/>
    <w:rsid w:val="00284D5B"/>
    <w:rsid w:val="00291580"/>
    <w:rsid w:val="00291A1B"/>
    <w:rsid w:val="00295D7F"/>
    <w:rsid w:val="002C055A"/>
    <w:rsid w:val="002C6A19"/>
    <w:rsid w:val="002C7B9E"/>
    <w:rsid w:val="002D5FBB"/>
    <w:rsid w:val="002D755E"/>
    <w:rsid w:val="002D7A22"/>
    <w:rsid w:val="002F2A51"/>
    <w:rsid w:val="0030794F"/>
    <w:rsid w:val="00317881"/>
    <w:rsid w:val="003246B9"/>
    <w:rsid w:val="00340623"/>
    <w:rsid w:val="00341C05"/>
    <w:rsid w:val="003431EB"/>
    <w:rsid w:val="00343900"/>
    <w:rsid w:val="0035013E"/>
    <w:rsid w:val="00357208"/>
    <w:rsid w:val="003613A9"/>
    <w:rsid w:val="00361A1D"/>
    <w:rsid w:val="00370DBF"/>
    <w:rsid w:val="00373410"/>
    <w:rsid w:val="00382B84"/>
    <w:rsid w:val="003A4B5D"/>
    <w:rsid w:val="003C7CA9"/>
    <w:rsid w:val="003E0E55"/>
    <w:rsid w:val="003E217F"/>
    <w:rsid w:val="003E38F1"/>
    <w:rsid w:val="003E54BB"/>
    <w:rsid w:val="0040106E"/>
    <w:rsid w:val="004033F7"/>
    <w:rsid w:val="00433062"/>
    <w:rsid w:val="00477EF3"/>
    <w:rsid w:val="00493B83"/>
    <w:rsid w:val="004A391E"/>
    <w:rsid w:val="004A4C44"/>
    <w:rsid w:val="004B1E32"/>
    <w:rsid w:val="004C7609"/>
    <w:rsid w:val="004E2CC1"/>
    <w:rsid w:val="005008EC"/>
    <w:rsid w:val="005040CA"/>
    <w:rsid w:val="00505B3F"/>
    <w:rsid w:val="005140EB"/>
    <w:rsid w:val="0052027F"/>
    <w:rsid w:val="00535E03"/>
    <w:rsid w:val="005446D2"/>
    <w:rsid w:val="0055435C"/>
    <w:rsid w:val="0057507D"/>
    <w:rsid w:val="005913A2"/>
    <w:rsid w:val="005A05A7"/>
    <w:rsid w:val="005C35FF"/>
    <w:rsid w:val="005C7EC3"/>
    <w:rsid w:val="005D221A"/>
    <w:rsid w:val="005D266C"/>
    <w:rsid w:val="005E79CC"/>
    <w:rsid w:val="00620245"/>
    <w:rsid w:val="00633A37"/>
    <w:rsid w:val="006646A0"/>
    <w:rsid w:val="00692EAE"/>
    <w:rsid w:val="00696B5E"/>
    <w:rsid w:val="00697F75"/>
    <w:rsid w:val="006C23F5"/>
    <w:rsid w:val="006C414A"/>
    <w:rsid w:val="006C41C8"/>
    <w:rsid w:val="006C5810"/>
    <w:rsid w:val="006D2746"/>
    <w:rsid w:val="006D47DF"/>
    <w:rsid w:val="006F05F1"/>
    <w:rsid w:val="006F13BB"/>
    <w:rsid w:val="006F264E"/>
    <w:rsid w:val="006F5E01"/>
    <w:rsid w:val="00703551"/>
    <w:rsid w:val="00714A54"/>
    <w:rsid w:val="0072473B"/>
    <w:rsid w:val="00727AF7"/>
    <w:rsid w:val="007329C8"/>
    <w:rsid w:val="00734E4A"/>
    <w:rsid w:val="00756196"/>
    <w:rsid w:val="00774646"/>
    <w:rsid w:val="00777D0B"/>
    <w:rsid w:val="00792842"/>
    <w:rsid w:val="00792DFB"/>
    <w:rsid w:val="00797FAA"/>
    <w:rsid w:val="007A16E4"/>
    <w:rsid w:val="007A677F"/>
    <w:rsid w:val="007C1C46"/>
    <w:rsid w:val="007D71D4"/>
    <w:rsid w:val="007E3CB5"/>
    <w:rsid w:val="007F7680"/>
    <w:rsid w:val="00807005"/>
    <w:rsid w:val="00813421"/>
    <w:rsid w:val="0082203D"/>
    <w:rsid w:val="008318B8"/>
    <w:rsid w:val="00843AAD"/>
    <w:rsid w:val="00847957"/>
    <w:rsid w:val="00871A5E"/>
    <w:rsid w:val="00873CB4"/>
    <w:rsid w:val="00890E4A"/>
    <w:rsid w:val="008A7308"/>
    <w:rsid w:val="008B50D5"/>
    <w:rsid w:val="008D1F59"/>
    <w:rsid w:val="008E6F24"/>
    <w:rsid w:val="008F131F"/>
    <w:rsid w:val="008F5501"/>
    <w:rsid w:val="00900209"/>
    <w:rsid w:val="00917FFC"/>
    <w:rsid w:val="00924FAA"/>
    <w:rsid w:val="009510CA"/>
    <w:rsid w:val="009542FE"/>
    <w:rsid w:val="00977C6D"/>
    <w:rsid w:val="00983F5A"/>
    <w:rsid w:val="009B6A47"/>
    <w:rsid w:val="009C2994"/>
    <w:rsid w:val="009C2998"/>
    <w:rsid w:val="009D3F4F"/>
    <w:rsid w:val="009D47AF"/>
    <w:rsid w:val="009D49DD"/>
    <w:rsid w:val="009E33CF"/>
    <w:rsid w:val="009F008C"/>
    <w:rsid w:val="00A1797B"/>
    <w:rsid w:val="00A26662"/>
    <w:rsid w:val="00A4286E"/>
    <w:rsid w:val="00A50AE9"/>
    <w:rsid w:val="00A513FB"/>
    <w:rsid w:val="00A521FC"/>
    <w:rsid w:val="00A522AF"/>
    <w:rsid w:val="00A551C7"/>
    <w:rsid w:val="00A61E7F"/>
    <w:rsid w:val="00A76DC4"/>
    <w:rsid w:val="00A8073F"/>
    <w:rsid w:val="00A95689"/>
    <w:rsid w:val="00A96B44"/>
    <w:rsid w:val="00AB2D3C"/>
    <w:rsid w:val="00AC27FF"/>
    <w:rsid w:val="00AD14D8"/>
    <w:rsid w:val="00AD23DB"/>
    <w:rsid w:val="00AD3DC1"/>
    <w:rsid w:val="00AD7208"/>
    <w:rsid w:val="00AF2072"/>
    <w:rsid w:val="00AF7121"/>
    <w:rsid w:val="00B327B4"/>
    <w:rsid w:val="00B3324C"/>
    <w:rsid w:val="00B42165"/>
    <w:rsid w:val="00B65488"/>
    <w:rsid w:val="00B768E7"/>
    <w:rsid w:val="00B830F0"/>
    <w:rsid w:val="00B92FA5"/>
    <w:rsid w:val="00BB6BCB"/>
    <w:rsid w:val="00BC3F75"/>
    <w:rsid w:val="00BE03D7"/>
    <w:rsid w:val="00BF2EBE"/>
    <w:rsid w:val="00C02A0F"/>
    <w:rsid w:val="00C20582"/>
    <w:rsid w:val="00C21025"/>
    <w:rsid w:val="00C22D30"/>
    <w:rsid w:val="00C42423"/>
    <w:rsid w:val="00C665C6"/>
    <w:rsid w:val="00C670D7"/>
    <w:rsid w:val="00C73765"/>
    <w:rsid w:val="00C76D97"/>
    <w:rsid w:val="00CB1546"/>
    <w:rsid w:val="00CD132C"/>
    <w:rsid w:val="00CF3CC5"/>
    <w:rsid w:val="00CF4AA4"/>
    <w:rsid w:val="00CF5C15"/>
    <w:rsid w:val="00D13821"/>
    <w:rsid w:val="00D26BD9"/>
    <w:rsid w:val="00D46DC8"/>
    <w:rsid w:val="00D554E4"/>
    <w:rsid w:val="00D676E4"/>
    <w:rsid w:val="00D73CB9"/>
    <w:rsid w:val="00D77CF0"/>
    <w:rsid w:val="00D807C1"/>
    <w:rsid w:val="00D8296D"/>
    <w:rsid w:val="00D86FD6"/>
    <w:rsid w:val="00D87C7E"/>
    <w:rsid w:val="00DB4038"/>
    <w:rsid w:val="00DD6CB8"/>
    <w:rsid w:val="00DE4647"/>
    <w:rsid w:val="00DF3801"/>
    <w:rsid w:val="00DF6B9A"/>
    <w:rsid w:val="00DF6DD5"/>
    <w:rsid w:val="00E03F59"/>
    <w:rsid w:val="00E13EF8"/>
    <w:rsid w:val="00E27A23"/>
    <w:rsid w:val="00E37EF8"/>
    <w:rsid w:val="00E6270E"/>
    <w:rsid w:val="00E646E8"/>
    <w:rsid w:val="00E97DEB"/>
    <w:rsid w:val="00EA623D"/>
    <w:rsid w:val="00EA7E3F"/>
    <w:rsid w:val="00EB0417"/>
    <w:rsid w:val="00EB16AD"/>
    <w:rsid w:val="00EE6DF9"/>
    <w:rsid w:val="00EF7D64"/>
    <w:rsid w:val="00F151FA"/>
    <w:rsid w:val="00F23F60"/>
    <w:rsid w:val="00F3180E"/>
    <w:rsid w:val="00F703BB"/>
    <w:rsid w:val="00F76AB1"/>
    <w:rsid w:val="00F83AD3"/>
    <w:rsid w:val="00F91F81"/>
    <w:rsid w:val="00F93302"/>
    <w:rsid w:val="00FA177B"/>
    <w:rsid w:val="00FC56A4"/>
    <w:rsid w:val="00FC642B"/>
    <w:rsid w:val="00FD3EF0"/>
    <w:rsid w:val="00FD51F3"/>
    <w:rsid w:val="00FE6EE5"/>
    <w:rsid w:val="00FF4832"/>
    <w:rsid w:val="0701EECC"/>
    <w:rsid w:val="2D8EE71F"/>
    <w:rsid w:val="3E6B8D6C"/>
    <w:rsid w:val="4033805C"/>
    <w:rsid w:val="41668950"/>
    <w:rsid w:val="4B62B2B1"/>
    <w:rsid w:val="51D2D695"/>
    <w:rsid w:val="5338291A"/>
    <w:rsid w:val="5AC97A30"/>
    <w:rsid w:val="5FC40F4B"/>
    <w:rsid w:val="6056D90E"/>
    <w:rsid w:val="6602D842"/>
    <w:rsid w:val="6A0BFE7B"/>
    <w:rsid w:val="6A9617A6"/>
    <w:rsid w:val="6AD78C0A"/>
    <w:rsid w:val="70C6C8C3"/>
    <w:rsid w:val="7157ED7A"/>
    <w:rsid w:val="77398D27"/>
    <w:rsid w:val="788FEC7E"/>
    <w:rsid w:val="7A270E9F"/>
    <w:rsid w:val="7DBE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C7424"/>
  <w15:chartTrackingRefBased/>
  <w15:docId w15:val="{CC1D7EA2-0229-4669-9119-1D2A1CB9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customStyle="1" w:styleId="questionhd">
    <w:name w:val="questionhd"/>
    <w:basedOn w:val="Normal"/>
    <w:pPr>
      <w:overflowPunct/>
      <w:autoSpaceDE/>
      <w:autoSpaceDN/>
      <w:adjustRightInd/>
      <w:ind w:left="153" w:right="153"/>
      <w:textAlignment w:val="auto"/>
    </w:pPr>
    <w:rPr>
      <w:rFonts w:ascii="Courier" w:hAnsi="Courier"/>
      <w:b/>
      <w:sz w:val="20"/>
    </w:rPr>
  </w:style>
  <w:style w:type="paragraph" w:customStyle="1" w:styleId="questionname">
    <w:name w:val="questionname"/>
    <w:basedOn w:val="Normal"/>
    <w:pPr>
      <w:overflowPunct/>
      <w:autoSpaceDE/>
      <w:autoSpaceDN/>
      <w:adjustRightInd/>
      <w:ind w:left="153" w:right="153"/>
      <w:textAlignment w:val="auto"/>
    </w:pPr>
    <w:rPr>
      <w:rFonts w:ascii="Tahoma" w:hAnsi="Tahoma"/>
      <w:b/>
      <w:sz w:val="24"/>
    </w:rPr>
  </w:style>
  <w:style w:type="paragraph" w:styleId="FootnoteText">
    <w:name w:val="footnote text"/>
    <w:basedOn w:val="Normal"/>
    <w:semiHidden/>
    <w:rsid w:val="00F76AB1"/>
    <w:rPr>
      <w:sz w:val="20"/>
    </w:rPr>
  </w:style>
  <w:style w:type="character" w:styleId="FootnoteReference">
    <w:name w:val="footnote reference"/>
    <w:semiHidden/>
    <w:rsid w:val="00F76AB1"/>
    <w:rPr>
      <w:vertAlign w:val="superscript"/>
    </w:rPr>
  </w:style>
  <w:style w:type="paragraph" w:styleId="BalloonText">
    <w:name w:val="Balloon Text"/>
    <w:basedOn w:val="Normal"/>
    <w:semiHidden/>
    <w:rsid w:val="0082203D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7D71D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D71D4"/>
  </w:style>
  <w:style w:type="character" w:styleId="EndnoteReference">
    <w:name w:val="endnote reference"/>
    <w:basedOn w:val="DefaultParagraphFont"/>
    <w:rsid w:val="007D71D4"/>
    <w:rPr>
      <w:vertAlign w:val="superscript"/>
    </w:rPr>
  </w:style>
  <w:style w:type="character" w:styleId="CommentReference">
    <w:name w:val="annotation reference"/>
    <w:basedOn w:val="DefaultParagraphFont"/>
    <w:rsid w:val="008F13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131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F131F"/>
  </w:style>
  <w:style w:type="paragraph" w:styleId="CommentSubject">
    <w:name w:val="annotation subject"/>
    <w:basedOn w:val="CommentText"/>
    <w:next w:val="CommentText"/>
    <w:link w:val="CommentSubjectChar"/>
    <w:rsid w:val="008F1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131F"/>
    <w:rPr>
      <w:b/>
      <w:bCs/>
    </w:rPr>
  </w:style>
  <w:style w:type="paragraph" w:styleId="Revision">
    <w:name w:val="Revision"/>
    <w:hidden/>
    <w:uiPriority w:val="99"/>
    <w:semiHidden/>
    <w:rsid w:val="007E3CB5"/>
    <w:rPr>
      <w:sz w:val="26"/>
    </w:rPr>
  </w:style>
  <w:style w:type="paragraph" w:styleId="Header">
    <w:name w:val="header"/>
    <w:basedOn w:val="Normal"/>
    <w:link w:val="HeaderChar"/>
    <w:uiPriority w:val="99"/>
    <w:rsid w:val="007E3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CB5"/>
    <w:rPr>
      <w:sz w:val="26"/>
    </w:rPr>
  </w:style>
  <w:style w:type="paragraph" w:styleId="Footer">
    <w:name w:val="footer"/>
    <w:basedOn w:val="Normal"/>
    <w:link w:val="FooterChar"/>
    <w:rsid w:val="007E3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3CB5"/>
    <w:rPr>
      <w:sz w:val="26"/>
    </w:rPr>
  </w:style>
  <w:style w:type="paragraph" w:customStyle="1" w:styleId="Body-Heading2">
    <w:name w:val="Body - Heading2"/>
    <w:basedOn w:val="Normal"/>
    <w:link w:val="Body-Heading2Char"/>
    <w:qFormat/>
    <w:rsid w:val="00B65488"/>
    <w:pPr>
      <w:tabs>
        <w:tab w:val="right" w:pos="8640"/>
      </w:tabs>
      <w:overflowPunct/>
      <w:autoSpaceDE/>
      <w:autoSpaceDN/>
      <w:adjustRightInd/>
      <w:ind w:left="360"/>
      <w:textAlignment w:val="auto"/>
    </w:pPr>
    <w:rPr>
      <w:rFonts w:asciiTheme="minorHAnsi" w:hAnsiTheme="minorHAnsi" w:cs="Arial"/>
      <w:sz w:val="20"/>
    </w:rPr>
  </w:style>
  <w:style w:type="character" w:customStyle="1" w:styleId="Body-Heading2Char">
    <w:name w:val="Body - Heading2 Char"/>
    <w:basedOn w:val="DefaultParagraphFont"/>
    <w:link w:val="Body-Heading2"/>
    <w:rsid w:val="00B65488"/>
    <w:rPr>
      <w:rFonts w:asciiTheme="minorHAnsi" w:hAnsiTheme="minorHAns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A1B5F1A97E4584059F469CAEFA19" ma:contentTypeVersion="8" ma:contentTypeDescription="Create a new document." ma:contentTypeScope="" ma:versionID="264e416377637096ab6b1f75d052c492">
  <xsd:schema xmlns:xsd="http://www.w3.org/2001/XMLSchema" xmlns:xs="http://www.w3.org/2001/XMLSchema" xmlns:p="http://schemas.microsoft.com/office/2006/metadata/properties" xmlns:ns2="656b2e89-7ba0-4ae3-9c69-589402680fac" xmlns:ns3="348df4b5-255f-4530-aa47-c026b0329b7a" targetNamespace="http://schemas.microsoft.com/office/2006/metadata/properties" ma:root="true" ma:fieldsID="8ad1de29b4267ae117d0e3ebfe4ef7be" ns2:_="" ns3:_="">
    <xsd:import namespace="656b2e89-7ba0-4ae3-9c69-589402680fac"/>
    <xsd:import namespace="348df4b5-255f-4530-aa47-c026b0329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2e89-7ba0-4ae3-9c69-589402680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df4b5-255f-4530-aa47-c026b0329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4A16-E98E-4974-B07C-59C60A709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6ED13-0D14-4741-99B7-37F2EED0C7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85A844-E754-400B-B3FA-972F45915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b2e89-7ba0-4ae3-9c69-589402680fac"/>
    <ds:schemaRef ds:uri="348df4b5-255f-4530-aa47-c026b0329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61F834-7A87-4CBC-AFF8-1B27660A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541</Words>
  <Characters>3085</Characters>
  <Application>Microsoft Office Word</Application>
  <DocSecurity>0</DocSecurity>
  <Lines>25</Lines>
  <Paragraphs>7</Paragraphs>
  <ScaleCrop>false</ScaleCrop>
  <Company>University of Illinois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cshade</dc:creator>
  <cp:keywords/>
  <dc:description/>
  <cp:lastModifiedBy>Williams, Aubrie</cp:lastModifiedBy>
  <cp:revision>31</cp:revision>
  <cp:lastPrinted>2017-07-21T15:11:00Z</cp:lastPrinted>
  <dcterms:created xsi:type="dcterms:W3CDTF">2026-02-04T18:57:00Z</dcterms:created>
  <dcterms:modified xsi:type="dcterms:W3CDTF">2026-03-19T17:24:00Z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0x0101007BAEA1B5F1A97E4584059F469CAEFA19</vt:lpwstr>
  </property>
  <property fmtid="{D5CDD505-2E9C-101B-9397-08002B2CF9AE}" pid="3" name="docLang">
    <vt:lpwstr>en</vt:lpwstr>
  </property>
  <property fmtid="{D5CDD505-2E9C-101B-9397-08002B2CF9AE}" pid="4" name="GrammarlyDocumentId">
    <vt:lpwstr>69f20414-35a7-4948-b963-432e53446a0b</vt:lpwstr>
  </property>
</Properties>
</file>