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5BE1" w14:textId="77777777" w:rsidR="009D3028" w:rsidRPr="009D3028" w:rsidRDefault="009D3028" w:rsidP="009D30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0" w:right="5670" w:firstLine="0"/>
        <w:textAlignment w:val="baseline"/>
        <w:rPr>
          <w:color w:val="FF0000"/>
          <w:kern w:val="0"/>
          <w:szCs w:val="26"/>
          <w14:ligatures w14:val="none"/>
        </w:rPr>
      </w:pPr>
      <w:bookmarkStart w:id="0" w:name="_Hlk77839959"/>
      <w:bookmarkStart w:id="1" w:name="_Hlk93577479"/>
      <w:r w:rsidRPr="009D3028">
        <w:rPr>
          <w:color w:val="FF0000"/>
          <w:kern w:val="0"/>
          <w:szCs w:val="26"/>
          <w14:ligatures w14:val="none"/>
        </w:rPr>
        <w:t>Approved by the Board of Trustees</w:t>
      </w:r>
    </w:p>
    <w:bookmarkEnd w:id="0"/>
    <w:bookmarkEnd w:id="1"/>
    <w:p w14:paraId="28B99A49" w14:textId="77777777" w:rsidR="009D3028" w:rsidRPr="009D3028" w:rsidRDefault="009D3028" w:rsidP="009D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0" w:right="5670" w:firstLine="0"/>
        <w:textAlignment w:val="baseline"/>
        <w:rPr>
          <w:color w:val="FF0000"/>
          <w:kern w:val="0"/>
          <w:szCs w:val="26"/>
          <w14:ligatures w14:val="none"/>
        </w:rPr>
      </w:pPr>
      <w:r w:rsidRPr="009D3028">
        <w:rPr>
          <w:color w:val="FF0000"/>
          <w:kern w:val="0"/>
          <w:szCs w:val="26"/>
          <w14:ligatures w14:val="none"/>
        </w:rPr>
        <w:t>March 19, 2026</w:t>
      </w:r>
    </w:p>
    <w:p w14:paraId="1F293ED2" w14:textId="16CF5DC2" w:rsidR="00CB5F0D" w:rsidRDefault="00767AD7">
      <w:pPr>
        <w:spacing w:after="0" w:line="259" w:lineRule="auto"/>
        <w:ind w:left="0" w:firstLine="0"/>
        <w:jc w:val="right"/>
      </w:pPr>
      <w:r>
        <w:rPr>
          <w:b/>
          <w:sz w:val="60"/>
        </w:rPr>
        <w:t>33</w:t>
      </w:r>
    </w:p>
    <w:p w14:paraId="0C5BC998" w14:textId="77777777" w:rsidR="00CB5F0D" w:rsidRDefault="003D6FFC" w:rsidP="004A504C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385194C0" w14:textId="77777777" w:rsidR="00CB5F0D" w:rsidRDefault="003D6FFC" w:rsidP="004A504C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2A4A128" w14:textId="60C75645" w:rsidR="004A504C" w:rsidRDefault="003D6FFC" w:rsidP="004A504C">
      <w:pPr>
        <w:spacing w:after="0" w:line="240" w:lineRule="auto"/>
        <w:ind w:left="7200" w:firstLine="0"/>
      </w:pPr>
      <w:r>
        <w:t>Board Meeting</w:t>
      </w:r>
    </w:p>
    <w:p w14:paraId="2CC45CFF" w14:textId="64C2CAB2" w:rsidR="00CB5F0D" w:rsidRDefault="00790E99" w:rsidP="004A504C">
      <w:pPr>
        <w:spacing w:after="0" w:line="240" w:lineRule="auto"/>
        <w:ind w:left="7200" w:firstLine="0"/>
      </w:pPr>
      <w:r>
        <w:t>March 19, 2026</w:t>
      </w:r>
    </w:p>
    <w:p w14:paraId="043074E9" w14:textId="77777777" w:rsidR="00CB5F0D" w:rsidRDefault="003D6FFC" w:rsidP="004A504C">
      <w:pPr>
        <w:spacing w:after="0" w:line="240" w:lineRule="auto"/>
        <w:ind w:left="0" w:firstLine="0"/>
      </w:pPr>
      <w:r>
        <w:t xml:space="preserve"> </w:t>
      </w:r>
    </w:p>
    <w:p w14:paraId="5201D30E" w14:textId="669026AC" w:rsidR="00CB5F0D" w:rsidRDefault="003D6FFC" w:rsidP="004A504C">
      <w:pPr>
        <w:spacing w:after="0" w:line="240" w:lineRule="auto"/>
        <w:ind w:left="0" w:firstLine="0"/>
      </w:pPr>
      <w:r>
        <w:t xml:space="preserve"> </w:t>
      </w:r>
    </w:p>
    <w:p w14:paraId="2B0A93B5" w14:textId="14767344" w:rsidR="00CB5F0D" w:rsidRDefault="003D6FFC" w:rsidP="005B595A">
      <w:pPr>
        <w:pStyle w:val="Heading1"/>
      </w:pPr>
      <w:r>
        <w:t xml:space="preserve">ROLL CALL </w:t>
      </w:r>
    </w:p>
    <w:p w14:paraId="4FD15581" w14:textId="77777777" w:rsidR="00CB5F0D" w:rsidRDefault="003D6FFC" w:rsidP="004A504C">
      <w:pPr>
        <w:spacing w:after="0" w:line="240" w:lineRule="auto"/>
        <w:ind w:left="0" w:firstLine="0"/>
      </w:pPr>
      <w:r>
        <w:t xml:space="preserve"> </w:t>
      </w:r>
    </w:p>
    <w:p w14:paraId="5E3C6466" w14:textId="6C483033" w:rsidR="00CB5F0D" w:rsidRPr="005B595A" w:rsidRDefault="003D6FFC" w:rsidP="005B595A">
      <w:pPr>
        <w:pStyle w:val="Heading1"/>
      </w:pPr>
      <w:r w:rsidRPr="005B595A">
        <w:t xml:space="preserve">APPROVE ENERGY CONSERVATION PROJECT AND PROFESSIONAL AND CONSTRUCTION SERVICES AWARD, </w:t>
      </w:r>
      <w:r w:rsidR="00790E99">
        <w:t>COLLEGE OF ACES</w:t>
      </w:r>
      <w:r w:rsidR="00E342A4">
        <w:t xml:space="preserve"> BUILDINGS</w:t>
      </w:r>
      <w:r w:rsidRPr="005B595A">
        <w:t xml:space="preserve">, </w:t>
      </w:r>
      <w:r w:rsidR="00790E99">
        <w:t>URBANA</w:t>
      </w:r>
    </w:p>
    <w:p w14:paraId="4DE4808F" w14:textId="77777777" w:rsidR="00CB5F0D" w:rsidRDefault="003D6FFC" w:rsidP="004A504C">
      <w:pPr>
        <w:spacing w:after="0" w:line="240" w:lineRule="auto"/>
        <w:ind w:left="0" w:firstLine="0"/>
      </w:pPr>
      <w:r>
        <w:t xml:space="preserve"> </w:t>
      </w:r>
    </w:p>
    <w:p w14:paraId="5224D02E" w14:textId="77777777" w:rsidR="00CB5F0D" w:rsidRDefault="003D6FFC" w:rsidP="004A504C">
      <w:pPr>
        <w:spacing w:after="0" w:line="240" w:lineRule="auto"/>
        <w:ind w:left="0" w:firstLine="0"/>
      </w:pPr>
      <w:r>
        <w:t xml:space="preserve"> </w:t>
      </w:r>
    </w:p>
    <w:p w14:paraId="69535391" w14:textId="07C7508D" w:rsidR="00CB5F0D" w:rsidRDefault="003D6FFC" w:rsidP="004A504C">
      <w:pPr>
        <w:spacing w:after="0" w:line="240" w:lineRule="auto"/>
        <w:ind w:left="1426" w:hanging="1440"/>
      </w:pPr>
      <w:r>
        <w:rPr>
          <w:b/>
        </w:rPr>
        <w:t xml:space="preserve">Action: </w:t>
      </w:r>
      <w:r>
        <w:rPr>
          <w:b/>
        </w:rPr>
        <w:tab/>
      </w:r>
      <w:r>
        <w:t xml:space="preserve">Approve Energy Conservation Project and Professional and Construction Services Award, </w:t>
      </w:r>
      <w:r w:rsidR="00790E99">
        <w:t>College of ACES</w:t>
      </w:r>
      <w:r w:rsidR="00E342A4">
        <w:t xml:space="preserve"> Buildings</w:t>
      </w:r>
    </w:p>
    <w:p w14:paraId="3CB9E03B" w14:textId="49D2F5F4" w:rsidR="00CB5F0D" w:rsidRDefault="004A504C" w:rsidP="004A504C">
      <w:pPr>
        <w:spacing w:after="0" w:line="240" w:lineRule="auto"/>
        <w:ind w:left="1" w:firstLine="0"/>
      </w:pPr>
      <w:r>
        <w:t xml:space="preserve"> </w:t>
      </w:r>
    </w:p>
    <w:p w14:paraId="41DC0941" w14:textId="02E54867" w:rsidR="00CB5F0D" w:rsidRDefault="003D6FFC" w:rsidP="00B247B1">
      <w:pPr>
        <w:tabs>
          <w:tab w:val="center" w:pos="3379"/>
        </w:tabs>
        <w:spacing w:after="0" w:line="240" w:lineRule="auto"/>
        <w:ind w:left="1440" w:hanging="1440"/>
      </w:pPr>
      <w:r>
        <w:rPr>
          <w:b/>
        </w:rPr>
        <w:t xml:space="preserve">Funding: </w:t>
      </w:r>
      <w:r>
        <w:rPr>
          <w:b/>
        </w:rPr>
        <w:tab/>
      </w:r>
      <w:r w:rsidRPr="00CE35E1">
        <w:t>Institutional Funds Operating Budget</w:t>
      </w:r>
      <w:r w:rsidR="007C7611">
        <w:t xml:space="preserve"> and </w:t>
      </w:r>
      <w:r w:rsidR="00E342A4">
        <w:t>p</w:t>
      </w:r>
      <w:r w:rsidR="007C7611">
        <w:t xml:space="preserve">roceeds from </w:t>
      </w:r>
      <w:r w:rsidR="00E342A4">
        <w:t>f</w:t>
      </w:r>
      <w:r w:rsidR="007C7611">
        <w:t xml:space="preserve">uture </w:t>
      </w:r>
      <w:r w:rsidR="00E342A4">
        <w:t>e</w:t>
      </w:r>
      <w:r w:rsidR="007C7611">
        <w:t xml:space="preserve">xternal </w:t>
      </w:r>
      <w:r w:rsidR="00E342A4">
        <w:t>f</w:t>
      </w:r>
      <w:r w:rsidR="007C7611">
        <w:t>inancing</w:t>
      </w:r>
    </w:p>
    <w:p w14:paraId="315BE9F1" w14:textId="77777777" w:rsidR="00CB5F0D" w:rsidRDefault="003D6FFC" w:rsidP="004A504C">
      <w:pPr>
        <w:spacing w:after="0" w:line="240" w:lineRule="auto"/>
        <w:ind w:left="1" w:firstLine="0"/>
      </w:pPr>
      <w:r>
        <w:t xml:space="preserve"> </w:t>
      </w:r>
    </w:p>
    <w:p w14:paraId="2E2A8889" w14:textId="5396F0BE" w:rsidR="00CB5F0D" w:rsidRDefault="003D6FFC" w:rsidP="004A504C">
      <w:pPr>
        <w:spacing w:after="0" w:line="240" w:lineRule="auto"/>
        <w:ind w:left="1" w:firstLine="0"/>
      </w:pPr>
      <w:r>
        <w:t xml:space="preserve"> </w:t>
      </w:r>
      <w:r>
        <w:tab/>
      </w:r>
      <w:r w:rsidR="004A504C">
        <w:t xml:space="preserve"> </w:t>
      </w:r>
    </w:p>
    <w:p w14:paraId="65C05BB0" w14:textId="303DF5E2" w:rsidR="007C6706" w:rsidRDefault="009134F6" w:rsidP="004A504C">
      <w:pPr>
        <w:spacing w:after="0" w:line="480" w:lineRule="auto"/>
        <w:ind w:left="-4" w:firstLine="1444"/>
      </w:pPr>
      <w:r>
        <w:t xml:space="preserve">In November 2024, the </w:t>
      </w:r>
      <w:r w:rsidR="0031083D">
        <w:t>B</w:t>
      </w:r>
      <w:r>
        <w:t>oard</w:t>
      </w:r>
      <w:r w:rsidR="00E342A4">
        <w:t xml:space="preserve"> of Trustees</w:t>
      </w:r>
      <w:r>
        <w:t xml:space="preserve"> approved</w:t>
      </w:r>
      <w:r w:rsidR="001B75F2">
        <w:t xml:space="preserve"> a</w:t>
      </w:r>
      <w:r w:rsidR="001B75F2" w:rsidRPr="001B75F2">
        <w:t xml:space="preserve"> Professional Services Award </w:t>
      </w:r>
      <w:r w:rsidR="001B75F2">
        <w:t xml:space="preserve">for the </w:t>
      </w:r>
      <w:r w:rsidR="001B75F2" w:rsidRPr="001B75F2">
        <w:t xml:space="preserve">College of </w:t>
      </w:r>
      <w:r w:rsidR="00E46185">
        <w:t xml:space="preserve">Agricultural, Consumer </w:t>
      </w:r>
      <w:r w:rsidR="00E342A4">
        <w:t>and</w:t>
      </w:r>
      <w:r w:rsidR="00E46185">
        <w:t xml:space="preserve"> Environmental Sciences (</w:t>
      </w:r>
      <w:r w:rsidR="001B75F2" w:rsidRPr="001B75F2">
        <w:t>ACES</w:t>
      </w:r>
      <w:r w:rsidR="00E46185">
        <w:t>)</w:t>
      </w:r>
      <w:r w:rsidR="001B75F2" w:rsidRPr="001B75F2">
        <w:t xml:space="preserve"> Buildings</w:t>
      </w:r>
      <w:r w:rsidR="001B75F2">
        <w:t xml:space="preserve">, not to exceed $1,500,000. </w:t>
      </w:r>
      <w:r w:rsidR="003D6FFC">
        <w:t xml:space="preserve">The Public University Energy Conservation Act (110 ILCS 62/1 et seq.) allows the </w:t>
      </w:r>
      <w:r w:rsidR="00E342A4">
        <w:t>u</w:t>
      </w:r>
      <w:r w:rsidR="003D6FFC">
        <w:t>niversity to undertake “energy conservation measures” (ECMs) by engaging energy service companies. The guaranteed energy savings agreement shall include a written guarantee from the energy service company (ESCO) that</w:t>
      </w:r>
      <w:r w:rsidR="00A04BEC">
        <w:t xml:space="preserve">, within 20 years, the energy or operational cost savings, or both, will meet or exceed </w:t>
      </w:r>
      <w:r w:rsidR="003D6FFC">
        <w:t xml:space="preserve">the costs of the </w:t>
      </w:r>
      <w:r w:rsidR="00E342A4">
        <w:t>ECMs</w:t>
      </w:r>
      <w:r w:rsidR="003D6FFC">
        <w:t>.</w:t>
      </w:r>
      <w:r w:rsidR="004A504C">
        <w:t xml:space="preserve"> </w:t>
      </w:r>
      <w:r w:rsidR="003D6FFC">
        <w:t>The ESCO shall reimburse the public university for any shortfall of guaranteed energy savings projected in the contract.</w:t>
      </w:r>
      <w:r w:rsidR="004A504C">
        <w:t xml:space="preserve"> </w:t>
      </w:r>
    </w:p>
    <w:p w14:paraId="4C77DCFC" w14:textId="540EA023" w:rsidR="00CB5F0D" w:rsidRDefault="003D6FFC" w:rsidP="004A504C">
      <w:pPr>
        <w:spacing w:after="0" w:line="480" w:lineRule="auto"/>
        <w:ind w:left="-4" w:firstLine="1444"/>
      </w:pPr>
      <w:r>
        <w:t xml:space="preserve">The </w:t>
      </w:r>
      <w:r w:rsidR="00E342A4">
        <w:t>u</w:t>
      </w:r>
      <w:r>
        <w:t xml:space="preserve">niversity has identified </w:t>
      </w:r>
      <w:r w:rsidR="00CB0116" w:rsidRPr="00CB0116">
        <w:t>the following</w:t>
      </w:r>
      <w:r w:rsidR="00CB0116">
        <w:t xml:space="preserve"> University of Illinois Urbana-Champaign facilities as candidates for this program:</w:t>
      </w:r>
      <w:r w:rsidR="00CB0116" w:rsidRPr="00CB0116">
        <w:t xml:space="preserve"> Animal Sciences Laboratory; ACES </w:t>
      </w:r>
      <w:r w:rsidR="00CB0116" w:rsidRPr="00CB0116">
        <w:lastRenderedPageBreak/>
        <w:t>Library, Information, and Alumni Center; Turner Hall Greenhouses; Edward R. Madigan Laboratory; Jonathan Baldwin Turner Hall; Plant Sciences Laboratory; and National Soybean Research Center</w:t>
      </w:r>
      <w:r w:rsidR="00CB0116">
        <w:t xml:space="preserve">. </w:t>
      </w:r>
      <w:r>
        <w:t>These buildings</w:t>
      </w:r>
      <w:r w:rsidR="00A04BEC">
        <w:t>, constructed between 1952 and 2001, consist of research, teaching, and office spaces</w:t>
      </w:r>
      <w:r w:rsidR="00E5627E">
        <w:t xml:space="preserve"> and have major </w:t>
      </w:r>
      <w:r w:rsidR="00D30A40">
        <w:t xml:space="preserve">infrastructure and </w:t>
      </w:r>
      <w:r w:rsidR="00E5627E">
        <w:t>mechanical systems that have reached the end of their useful lifespan</w:t>
      </w:r>
      <w:r w:rsidR="00D30A40">
        <w:t>s</w:t>
      </w:r>
      <w:r>
        <w:t xml:space="preserve">. </w:t>
      </w:r>
      <w:bookmarkStart w:id="2" w:name="_Hlk172014477"/>
      <w:r>
        <w:t xml:space="preserve">An energy audit was </w:t>
      </w:r>
      <w:r w:rsidR="00A04BEC">
        <w:t>conducted on these buildings to identify energy conservation measures to implement, with the goal of achieving energy and operational savings that</w:t>
      </w:r>
      <w:r>
        <w:t xml:space="preserve"> will fund or repay design and construction costs in accordance with the Public University Energy Conservation Act.</w:t>
      </w:r>
      <w:r w:rsidR="004A504C">
        <w:t xml:space="preserve"> </w:t>
      </w:r>
    </w:p>
    <w:p w14:paraId="2D659EE4" w14:textId="34FB182B" w:rsidR="00CB5F0D" w:rsidRDefault="003D6FFC" w:rsidP="004A504C">
      <w:pPr>
        <w:tabs>
          <w:tab w:val="center" w:pos="5187"/>
        </w:tabs>
        <w:spacing w:after="0" w:line="480" w:lineRule="auto"/>
        <w:ind w:left="-14" w:firstLine="1454"/>
      </w:pPr>
      <w:r>
        <w:t xml:space="preserve">The ECMs (also referred to herein as the “project”), in an amount not to </w:t>
      </w:r>
    </w:p>
    <w:p w14:paraId="1A08EC83" w14:textId="4FB1C549" w:rsidR="00D30A40" w:rsidRDefault="003D6FFC" w:rsidP="00D30A40">
      <w:pPr>
        <w:spacing w:after="0" w:line="480" w:lineRule="auto"/>
        <w:ind w:left="-4"/>
      </w:pPr>
      <w:r>
        <w:t>exceed $</w:t>
      </w:r>
      <w:r w:rsidR="00CB0116">
        <w:t>40</w:t>
      </w:r>
      <w:r w:rsidR="00E342A4">
        <w:t xml:space="preserve">.0 million, </w:t>
      </w:r>
      <w:r>
        <w:t xml:space="preserve">will include, but are not limited to, </w:t>
      </w:r>
      <w:r w:rsidR="00D30A40">
        <w:t xml:space="preserve">lighting upgrades, building envelope weatherization, water conservation, steam trap replacement, building automation system upgrades, installation of an energy recovery system, </w:t>
      </w:r>
    </w:p>
    <w:p w14:paraId="0B2DDCC4" w14:textId="739F45BA" w:rsidR="00D30A40" w:rsidRDefault="00D30A40" w:rsidP="004A504C">
      <w:pPr>
        <w:spacing w:after="0" w:line="480" w:lineRule="auto"/>
        <w:ind w:left="-4"/>
      </w:pPr>
      <w:r>
        <w:t>reglazing and upgrading greenhouse building envelopes</w:t>
      </w:r>
      <w:r w:rsidR="00E342A4">
        <w:t>,</w:t>
      </w:r>
      <w:r>
        <w:t xml:space="preserve"> and sealing ductwork. </w:t>
      </w:r>
    </w:p>
    <w:bookmarkEnd w:id="2"/>
    <w:p w14:paraId="01C9393B" w14:textId="5CDD7D2A" w:rsidR="00CB5F0D" w:rsidRDefault="003D6FFC" w:rsidP="004A504C">
      <w:pPr>
        <w:spacing w:after="0" w:line="480" w:lineRule="auto"/>
        <w:ind w:left="-4" w:firstLine="1444"/>
      </w:pPr>
      <w:r>
        <w:t xml:space="preserve">Accordingly, the </w:t>
      </w:r>
      <w:r w:rsidR="00E46185">
        <w:t>chancellor</w:t>
      </w:r>
      <w:r>
        <w:t xml:space="preserve">, University of Illinois </w:t>
      </w:r>
      <w:r w:rsidR="00D30A40">
        <w:t>Urbana-Champaign</w:t>
      </w:r>
      <w:r>
        <w:t xml:space="preserve">, and </w:t>
      </w:r>
      <w:r w:rsidR="00E46185">
        <w:t>vice p</w:t>
      </w:r>
      <w:r w:rsidR="00E71548">
        <w:t>resident</w:t>
      </w:r>
      <w:r>
        <w:t>, University of Illinois</w:t>
      </w:r>
      <w:r w:rsidR="007C6706">
        <w:t xml:space="preserve"> System</w:t>
      </w:r>
      <w:r w:rsidR="004A504C">
        <w:t>,</w:t>
      </w:r>
      <w:r>
        <w:t xml:space="preserve"> with the concurrence of the appropriate administrative officers</w:t>
      </w:r>
      <w:r w:rsidR="00D67D1F">
        <w:t>,</w:t>
      </w:r>
      <w:r>
        <w:t xml:space="preserve"> recommends that the </w:t>
      </w:r>
      <w:r w:rsidR="00E342A4">
        <w:t>ECMs</w:t>
      </w:r>
      <w:r>
        <w:t xml:space="preserve"> be approved with a budget of $</w:t>
      </w:r>
      <w:r w:rsidR="00D30A40">
        <w:t>40</w:t>
      </w:r>
      <w:r w:rsidR="00E342A4">
        <w:t>.0 million</w:t>
      </w:r>
      <w:r>
        <w:t xml:space="preserve">. </w:t>
      </w:r>
    </w:p>
    <w:p w14:paraId="1EB1C06E" w14:textId="3817A9BF" w:rsidR="00CB5F0D" w:rsidRDefault="00B328C8" w:rsidP="00F65E24">
      <w:pPr>
        <w:spacing w:after="0" w:line="480" w:lineRule="auto"/>
        <w:ind w:left="-4" w:firstLine="1444"/>
      </w:pPr>
      <w:r>
        <w:t>Additionally, f</w:t>
      </w:r>
      <w:r w:rsidR="004A504C">
        <w:t>or</w:t>
      </w:r>
      <w:r w:rsidR="003D6FFC">
        <w:t xml:space="preserve"> the project to proceed, </w:t>
      </w:r>
      <w:r w:rsidR="00A04BEC">
        <w:t>an ESCO must be engaged to provide</w:t>
      </w:r>
      <w:r w:rsidR="003D6FFC">
        <w:t xml:space="preserve"> the required professional and construction services. The selection of the ESCO </w:t>
      </w:r>
      <w:r w:rsidR="003D6FFC">
        <w:lastRenderedPageBreak/>
        <w:t>for this project was in accordance with the requirements and provisions of the Public University Energy Conservation Act</w:t>
      </w:r>
      <w:r w:rsidR="003427BF">
        <w:t>.</w:t>
      </w:r>
      <w:r w:rsidR="005F354F">
        <w:rPr>
          <w:rStyle w:val="FootnoteReference"/>
        </w:rPr>
        <w:footnoteReference w:id="1"/>
      </w:r>
    </w:p>
    <w:p w14:paraId="7E86F5DE" w14:textId="3AFDBBD5" w:rsidR="00DA5C67" w:rsidRDefault="003D6FFC" w:rsidP="004A504C">
      <w:pPr>
        <w:spacing w:after="0" w:line="480" w:lineRule="auto"/>
        <w:ind w:left="-4" w:firstLine="1444"/>
      </w:pPr>
      <w:r>
        <w:t xml:space="preserve">Accordingly, the </w:t>
      </w:r>
      <w:r w:rsidR="00E46185">
        <w:t>chancellor</w:t>
      </w:r>
      <w:r>
        <w:t xml:space="preserve">, University of Illinois </w:t>
      </w:r>
      <w:r w:rsidR="00DA5C67">
        <w:t>Urbana-Champaign</w:t>
      </w:r>
      <w:r>
        <w:t xml:space="preserve">, and </w:t>
      </w:r>
      <w:r w:rsidR="00E46185">
        <w:t>vice president</w:t>
      </w:r>
      <w:r>
        <w:t xml:space="preserve">, University of Illinois </w:t>
      </w:r>
      <w:r w:rsidR="007C6706">
        <w:t>System</w:t>
      </w:r>
      <w:r w:rsidR="00FA3E69">
        <w:t>,</w:t>
      </w:r>
      <w:r w:rsidR="007C6706">
        <w:t xml:space="preserve"> </w:t>
      </w:r>
      <w:r>
        <w:t>with the concurrence of the appropriate administrative officers</w:t>
      </w:r>
      <w:r w:rsidR="00FA3E69">
        <w:t>,</w:t>
      </w:r>
      <w:r>
        <w:t xml:space="preserve"> recommends that </w:t>
      </w:r>
      <w:r w:rsidR="00DA5C67">
        <w:t>Veregy Central LLC</w:t>
      </w:r>
      <w:r>
        <w:t xml:space="preserve"> of </w:t>
      </w:r>
      <w:r w:rsidR="00DA5C67">
        <w:t>Chesterfield</w:t>
      </w:r>
      <w:r>
        <w:t xml:space="preserve">, </w:t>
      </w:r>
      <w:r w:rsidR="00DA5C67">
        <w:t>MO</w:t>
      </w:r>
      <w:r>
        <w:t xml:space="preserve">, be employed for the professional and construction services award for Energy Performance Contracting </w:t>
      </w:r>
      <w:r w:rsidR="009E3BF4">
        <w:t xml:space="preserve">at the </w:t>
      </w:r>
      <w:r w:rsidR="00DA5C67">
        <w:t xml:space="preserve">College of ACES </w:t>
      </w:r>
      <w:r w:rsidR="00E342A4">
        <w:t>B</w:t>
      </w:r>
      <w:r w:rsidR="00DA5C67">
        <w:t>uilding</w:t>
      </w:r>
      <w:r w:rsidR="009E3BF4">
        <w:t>s</w:t>
      </w:r>
      <w:r w:rsidR="00DA5C67">
        <w:t xml:space="preserve"> in Urbana</w:t>
      </w:r>
      <w:r>
        <w:t xml:space="preserve"> be approved. The ESCO’s fees will be approximately </w:t>
      </w:r>
      <w:r w:rsidRPr="00B247B1">
        <w:t>$</w:t>
      </w:r>
      <w:r w:rsidR="005F354F">
        <w:t>38,100,000</w:t>
      </w:r>
      <w:r>
        <w:t>.</w:t>
      </w:r>
      <w:r w:rsidR="004A504C">
        <w:t xml:space="preserve"> </w:t>
      </w:r>
      <w:bookmarkStart w:id="3" w:name="_Hlk174605378"/>
      <w:r w:rsidR="006C7807">
        <w:t xml:space="preserve">Supporting diverse business enterprises is a critical </w:t>
      </w:r>
      <w:r w:rsidR="00A04BEC">
        <w:t xml:space="preserve">requirement of this contract, and Veregy has committed to meeting or exceeding </w:t>
      </w:r>
      <w:r w:rsidR="00D45FDF">
        <w:t>the following utilization rates:</w:t>
      </w:r>
      <w:r w:rsidR="00A04BEC">
        <w:t xml:space="preserve"> 30 percent for minority-owned</w:t>
      </w:r>
      <w:r w:rsidR="006C7807">
        <w:t xml:space="preserve"> business enterprises and 3 percent for veteran-owned business enterprises. </w:t>
      </w:r>
      <w:bookmarkEnd w:id="3"/>
    </w:p>
    <w:p w14:paraId="4512B4BD" w14:textId="44C80903" w:rsidR="00CB5F0D" w:rsidRDefault="006C7807" w:rsidP="004A504C">
      <w:pPr>
        <w:spacing w:after="0" w:line="480" w:lineRule="auto"/>
        <w:ind w:left="-4"/>
      </w:pPr>
      <w:r>
        <w:tab/>
      </w:r>
      <w:r>
        <w:tab/>
      </w:r>
      <w:r>
        <w:tab/>
      </w:r>
      <w:r>
        <w:tab/>
      </w:r>
      <w:r w:rsidR="003D6FFC">
        <w:t xml:space="preserve">The Board action recommended in this item complies in all material </w:t>
      </w:r>
    </w:p>
    <w:p w14:paraId="79ACA27B" w14:textId="77777777" w:rsidR="00CB5F0D" w:rsidRDefault="003D6FFC" w:rsidP="004A504C">
      <w:pPr>
        <w:spacing w:after="0" w:line="480" w:lineRule="auto"/>
        <w:ind w:left="-4"/>
      </w:pPr>
      <w:r>
        <w:t xml:space="preserve">respects with applicable State and federal laws, University of Illinois </w:t>
      </w:r>
      <w:r>
        <w:rPr>
          <w:i/>
        </w:rPr>
        <w:t>Statutes</w:t>
      </w:r>
      <w:r w:rsidRPr="00D67D1F">
        <w:rPr>
          <w:iCs/>
        </w:rPr>
        <w:t xml:space="preserve">, </w:t>
      </w:r>
      <w:r>
        <w:rPr>
          <w:i/>
        </w:rPr>
        <w:t xml:space="preserve">The </w:t>
      </w:r>
    </w:p>
    <w:p w14:paraId="6EE23122" w14:textId="0A9561D1" w:rsidR="00CB5F0D" w:rsidRDefault="003D6FFC" w:rsidP="004A504C">
      <w:pPr>
        <w:spacing w:after="0" w:line="480" w:lineRule="auto"/>
        <w:ind w:left="0" w:firstLine="0"/>
      </w:pPr>
      <w:r>
        <w:rPr>
          <w:i/>
        </w:rPr>
        <w:t>General Rules Concerning University Organization and Procedure</w:t>
      </w:r>
      <w:r>
        <w:t>, and Board of Trustees policies and directives.</w:t>
      </w:r>
      <w:r w:rsidR="004A504C">
        <w:t xml:space="preserve"> </w:t>
      </w:r>
    </w:p>
    <w:p w14:paraId="7683C748" w14:textId="5EB7E728" w:rsidR="00CB5F0D" w:rsidRDefault="00C57EFB" w:rsidP="00904C68">
      <w:pPr>
        <w:spacing w:after="0" w:line="480" w:lineRule="auto"/>
        <w:ind w:left="-4" w:firstLine="1444"/>
      </w:pPr>
      <w:r>
        <w:lastRenderedPageBreak/>
        <w:t xml:space="preserve">Funds for this project are available from the institutional funds operating budget of the University of Illinois Urbana-Champaign </w:t>
      </w:r>
      <w:r w:rsidR="0064425B">
        <w:t xml:space="preserve">with an anticipated resulting </w:t>
      </w:r>
      <w:r w:rsidR="006E7F0D">
        <w:t xml:space="preserve">reimbursement </w:t>
      </w:r>
      <w:r w:rsidR="0064425B">
        <w:t xml:space="preserve">through guaranteed energy cost </w:t>
      </w:r>
      <w:r w:rsidR="00787BED">
        <w:t>savings and</w:t>
      </w:r>
      <w:r w:rsidR="0064425B">
        <w:t xml:space="preserve"> proceeds of future external financing.</w:t>
      </w:r>
      <w:r>
        <w:t xml:space="preserve"> </w:t>
      </w:r>
    </w:p>
    <w:p w14:paraId="12C14173" w14:textId="45E433DB" w:rsidR="00473736" w:rsidRDefault="003D6FFC" w:rsidP="00FA3E69">
      <w:pPr>
        <w:tabs>
          <w:tab w:val="center" w:pos="3540"/>
        </w:tabs>
        <w:ind w:left="0" w:firstLine="1440"/>
      </w:pPr>
      <w:r>
        <w:t xml:space="preserve"> </w:t>
      </w:r>
      <w:r>
        <w:tab/>
        <w:t xml:space="preserve">The </w:t>
      </w:r>
      <w:r w:rsidR="00F4268B">
        <w:t>p</w:t>
      </w:r>
      <w:r>
        <w:t>resident of the University</w:t>
      </w:r>
      <w:r w:rsidR="00904C68">
        <w:t xml:space="preserve"> of Illinois</w:t>
      </w:r>
      <w:r w:rsidR="00D67D1F">
        <w:t xml:space="preserve"> System</w:t>
      </w:r>
      <w:r>
        <w:t xml:space="preserve"> concurs. </w:t>
      </w:r>
    </w:p>
    <w:p w14:paraId="4EDE2C1E" w14:textId="1F30BCF0" w:rsidR="00473736" w:rsidRDefault="00473736">
      <w:pPr>
        <w:spacing w:after="160" w:line="278" w:lineRule="auto"/>
        <w:ind w:left="0" w:firstLine="0"/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9316"/>
      </w:tblGrid>
      <w:tr w:rsidR="00F4585F" w:rsidRPr="00DF4962" w14:paraId="61F18EFC" w14:textId="77777777" w:rsidTr="003E3D7D">
        <w:trPr>
          <w:trHeight w:val="33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4A66" w14:textId="77777777" w:rsidR="001B75F2" w:rsidRPr="00B247B1" w:rsidRDefault="001B75F2" w:rsidP="003E3D7D">
            <w:pPr>
              <w:spacing w:after="0" w:line="240" w:lineRule="auto"/>
              <w:ind w:left="0" w:firstLine="0"/>
              <w:rPr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9100" w:type="dxa"/>
              <w:tblLook w:val="04A0" w:firstRow="1" w:lastRow="0" w:firstColumn="1" w:lastColumn="0" w:noHBand="0" w:noVBand="1"/>
            </w:tblPr>
            <w:tblGrid>
              <w:gridCol w:w="3600"/>
              <w:gridCol w:w="1880"/>
              <w:gridCol w:w="1900"/>
              <w:gridCol w:w="1720"/>
            </w:tblGrid>
            <w:tr w:rsidR="001B75F2" w:rsidRPr="00EC5BFF" w14:paraId="466DEC8F" w14:textId="77777777" w:rsidTr="00FA669B">
              <w:trPr>
                <w:trHeight w:val="330"/>
              </w:trPr>
              <w:tc>
                <w:tcPr>
                  <w:tcW w:w="9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E479C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Table 1: Diverse Business Utilization</w:t>
                  </w:r>
                </w:p>
              </w:tc>
            </w:tr>
            <w:tr w:rsidR="001B75F2" w:rsidRPr="00EC5BFF" w14:paraId="35BAB3BC" w14:textId="77777777" w:rsidTr="00FA669B">
              <w:trPr>
                <w:trHeight w:val="960"/>
              </w:trPr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02190F55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Awarded Vendor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166DDA24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Prime Contract $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0F565BA5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Diverse Subcontractor Value</w:t>
                  </w:r>
                </w:p>
              </w:tc>
              <w:tc>
                <w:tcPr>
                  <w:tcW w:w="1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bottom"/>
                  <w:hideMark/>
                </w:tcPr>
                <w:p w14:paraId="7F0674C5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Diverse Subcontractor % of Work</w:t>
                  </w:r>
                </w:p>
              </w:tc>
            </w:tr>
            <w:tr w:rsidR="001B75F2" w:rsidRPr="00EC5BFF" w14:paraId="35DE8EF1" w14:textId="77777777" w:rsidTr="00FA669B">
              <w:trPr>
                <w:trHeight w:val="315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68E0B09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Veregy Central LLC, Chesterfield, MO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A4D03" w14:textId="4482ED9C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$ 37,424,731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91F6B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1CB70F9C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</w:tr>
            <w:tr w:rsidR="001B75F2" w:rsidRPr="00EC5BFF" w14:paraId="12FE2975" w14:textId="77777777" w:rsidTr="00FA669B">
              <w:trPr>
                <w:trHeight w:val="315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61E8107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8BC57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MBE (AFA)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06E246E" w14:textId="75EDF213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$50,000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hideMark/>
                </w:tcPr>
                <w:p w14:paraId="5C786D18" w14:textId="7D5E2EFA" w:rsidR="001B75F2" w:rsidRPr="00B247B1" w:rsidRDefault="000B3CC6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kern w:val="0"/>
                      <w:sz w:val="22"/>
                      <w:szCs w:val="22"/>
                      <w14:ligatures w14:val="none"/>
                    </w:rPr>
                    <w:t>&lt; 1</w:t>
                  </w:r>
                  <w:r w:rsidR="001B75F2"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%</w:t>
                  </w:r>
                </w:p>
              </w:tc>
            </w:tr>
            <w:tr w:rsidR="001B75F2" w:rsidRPr="00EC5BFF" w14:paraId="049DF411" w14:textId="77777777" w:rsidTr="00FA669B">
              <w:trPr>
                <w:trHeight w:val="315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B892B05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43D87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MBE (ASA)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CF92E4D" w14:textId="0913074B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$</w:t>
                  </w:r>
                  <w:r w:rsidR="007E131B">
                    <w:rPr>
                      <w:kern w:val="0"/>
                      <w:sz w:val="22"/>
                      <w:szCs w:val="22"/>
                      <w14:ligatures w14:val="none"/>
                    </w:rPr>
                    <w:t>8</w:t>
                  </w: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,000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hideMark/>
                </w:tcPr>
                <w:p w14:paraId="4E71F3AC" w14:textId="4684F0F8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="000B3CC6">
                    <w:rPr>
                      <w:kern w:val="0"/>
                      <w:sz w:val="22"/>
                      <w:szCs w:val="22"/>
                      <w14:ligatures w14:val="none"/>
                    </w:rPr>
                    <w:t>&lt; 1</w:t>
                  </w: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%</w:t>
                  </w:r>
                </w:p>
              </w:tc>
            </w:tr>
            <w:tr w:rsidR="001B75F2" w:rsidRPr="00EC5BFF" w14:paraId="7AC43EAD" w14:textId="77777777" w:rsidTr="00FA669B">
              <w:trPr>
                <w:trHeight w:val="315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AA8D6D7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6C574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MBE (HA)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1DAB2" w14:textId="6200B883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$1,100,000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2FFF9357" w14:textId="146F24E5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="000B3CC6">
                    <w:rPr>
                      <w:kern w:val="0"/>
                      <w:sz w:val="22"/>
                      <w:szCs w:val="22"/>
                      <w14:ligatures w14:val="none"/>
                    </w:rPr>
                    <w:t>3</w:t>
                  </w: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%</w:t>
                  </w:r>
                </w:p>
              </w:tc>
            </w:tr>
            <w:tr w:rsidR="001B75F2" w:rsidRPr="00EC5BFF" w14:paraId="53D1E06F" w14:textId="77777777" w:rsidTr="000B3CC6">
              <w:trPr>
                <w:trHeight w:val="287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5A57D64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8C8399F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VOSB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4576FDD" w14:textId="50B35C0C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$1,200,000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96B48B9" w14:textId="2BE39B38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3%</w:t>
                  </w:r>
                </w:p>
              </w:tc>
            </w:tr>
            <w:tr w:rsidR="001B75F2" w:rsidRPr="00EC5BFF" w14:paraId="495F5994" w14:textId="77777777" w:rsidTr="00FA669B">
              <w:trPr>
                <w:trHeight w:val="315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59BEC80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9CCACBD" w14:textId="77777777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WBE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C0B9803" w14:textId="0BDF05C4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$7,500,000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hideMark/>
                </w:tcPr>
                <w:p w14:paraId="63D3A49F" w14:textId="3C00C2CF" w:rsidR="001B75F2" w:rsidRPr="00B247B1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 xml:space="preserve"> 2</w:t>
                  </w:r>
                  <w:r w:rsidR="000B3CC6">
                    <w:rPr>
                      <w:kern w:val="0"/>
                      <w:sz w:val="22"/>
                      <w:szCs w:val="22"/>
                      <w14:ligatures w14:val="none"/>
                    </w:rPr>
                    <w:t>0</w:t>
                  </w:r>
                  <w:r w:rsidRPr="00B247B1">
                    <w:rPr>
                      <w:kern w:val="0"/>
                      <w:sz w:val="22"/>
                      <w:szCs w:val="22"/>
                      <w14:ligatures w14:val="none"/>
                    </w:rPr>
                    <w:t>%</w:t>
                  </w:r>
                </w:p>
              </w:tc>
            </w:tr>
            <w:tr w:rsidR="001B75F2" w:rsidRPr="00EC5BFF" w14:paraId="6F386AA2" w14:textId="77777777" w:rsidTr="00FA669B">
              <w:trPr>
                <w:trHeight w:val="330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14:paraId="69FC593B" w14:textId="77777777" w:rsidR="001B75F2" w:rsidRPr="000B3CC6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kern w:val="0"/>
                      <w:sz w:val="22"/>
                      <w:szCs w:val="22"/>
                      <w14:ligatures w14:val="none"/>
                    </w:rPr>
                  </w:pPr>
                  <w:r w:rsidRPr="000B3CC6">
                    <w:rPr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14:paraId="10F81DCE" w14:textId="2A1C0A08" w:rsidR="001B75F2" w:rsidRPr="000C183D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0C183D">
                    <w:rPr>
                      <w:b/>
                      <w:bCs/>
                      <w:kern w:val="0"/>
                      <w:sz w:val="24"/>
                      <w14:ligatures w14:val="none"/>
                    </w:rPr>
                    <w:t> </w:t>
                  </w:r>
                  <w:r w:rsidR="000B3CC6" w:rsidRPr="000C183D">
                    <w:rPr>
                      <w:b/>
                      <w:bCs/>
                      <w:kern w:val="0"/>
                      <w:sz w:val="24"/>
                      <w14:ligatures w14:val="none"/>
                    </w:rPr>
                    <w:t>Total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14:paraId="199C147F" w14:textId="05ECD5AC" w:rsidR="001B75F2" w:rsidRPr="000C183D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0C183D">
                    <w:rPr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$9,858,000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13CB0982" w14:textId="043E52D3" w:rsidR="001B75F2" w:rsidRPr="000C183D" w:rsidRDefault="001B75F2" w:rsidP="001B75F2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0C183D">
                    <w:rPr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 xml:space="preserve"> 26%</w:t>
                  </w:r>
                  <w:r w:rsidR="00936916" w:rsidRPr="000C183D">
                    <w:rPr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</w:p>
              </w:tc>
            </w:tr>
          </w:tbl>
          <w:p w14:paraId="625FC1B6" w14:textId="77777777" w:rsidR="001B75F2" w:rsidRPr="00B247B1" w:rsidRDefault="001B75F2" w:rsidP="001B75F2">
            <w:pPr>
              <w:tabs>
                <w:tab w:val="center" w:pos="3540"/>
              </w:tabs>
              <w:ind w:left="-14" w:firstLine="0"/>
              <w:rPr>
                <w:sz w:val="22"/>
                <w:szCs w:val="22"/>
              </w:rPr>
            </w:pPr>
          </w:p>
          <w:p w14:paraId="2A9CF1B6" w14:textId="7EE691FF" w:rsidR="00F4585F" w:rsidRPr="00B247B1" w:rsidRDefault="00F4585F" w:rsidP="00994A87">
            <w:pPr>
              <w:spacing w:after="0" w:line="240" w:lineRule="auto"/>
              <w:ind w:left="0" w:firstLine="0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81D52F9" w14:textId="4BF22813" w:rsidR="004044F0" w:rsidRDefault="004044F0" w:rsidP="00B247B1">
      <w:pPr>
        <w:tabs>
          <w:tab w:val="center" w:pos="3540"/>
        </w:tabs>
        <w:ind w:left="0" w:firstLine="0"/>
      </w:pPr>
    </w:p>
    <w:sectPr w:rsidR="004044F0" w:rsidSect="00904C68">
      <w:headerReference w:type="default" r:id="rId10"/>
      <w:footnotePr>
        <w:numRestart w:val="eachPage"/>
      </w:footnotePr>
      <w:pgSz w:w="12240" w:h="15840"/>
      <w:pgMar w:top="720" w:right="1440" w:bottom="1440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62C4" w14:textId="77777777" w:rsidR="000D2C89" w:rsidRDefault="000D2C89">
      <w:pPr>
        <w:spacing w:after="0" w:line="240" w:lineRule="auto"/>
      </w:pPr>
      <w:r>
        <w:separator/>
      </w:r>
    </w:p>
  </w:endnote>
  <w:endnote w:type="continuationSeparator" w:id="0">
    <w:p w14:paraId="39076648" w14:textId="77777777" w:rsidR="000D2C89" w:rsidRDefault="000D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BE3B" w14:textId="77777777" w:rsidR="000D2C89" w:rsidRDefault="000D2C89">
      <w:pPr>
        <w:spacing w:after="0" w:line="277" w:lineRule="auto"/>
        <w:ind w:left="0" w:firstLine="0"/>
      </w:pPr>
      <w:r>
        <w:separator/>
      </w:r>
    </w:p>
  </w:footnote>
  <w:footnote w:type="continuationSeparator" w:id="0">
    <w:p w14:paraId="3881DCBA" w14:textId="77777777" w:rsidR="000D2C89" w:rsidRDefault="000D2C89">
      <w:pPr>
        <w:spacing w:after="0" w:line="277" w:lineRule="auto"/>
        <w:ind w:left="0" w:firstLine="0"/>
      </w:pPr>
      <w:r>
        <w:continuationSeparator/>
      </w:r>
    </w:p>
  </w:footnote>
  <w:footnote w:id="1">
    <w:p w14:paraId="6FB04481" w14:textId="3B20B79B" w:rsidR="005F354F" w:rsidRPr="00994A87" w:rsidRDefault="005F354F" w:rsidP="00B247B1">
      <w:pPr>
        <w:pStyle w:val="FootnoteText"/>
        <w:keepLines/>
        <w:ind w:left="14" w:hanging="14"/>
        <w:rPr>
          <w:sz w:val="26"/>
          <w:szCs w:val="26"/>
        </w:rPr>
      </w:pPr>
      <w:r w:rsidRPr="00994A87">
        <w:rPr>
          <w:rStyle w:val="FootnoteReference"/>
          <w:sz w:val="26"/>
          <w:szCs w:val="26"/>
        </w:rPr>
        <w:footnoteRef/>
      </w:r>
      <w:r w:rsidRPr="00994A87">
        <w:rPr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A</w:t>
      </w:r>
      <w:r w:rsidRPr="00994A87">
        <w:rPr>
          <w:spacing w:val="-2"/>
          <w:position w:val="1"/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selection</w:t>
      </w:r>
      <w:r w:rsidRPr="00994A87">
        <w:rPr>
          <w:spacing w:val="-7"/>
          <w:position w:val="1"/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c</w:t>
      </w:r>
      <w:r w:rsidRPr="00994A87">
        <w:rPr>
          <w:spacing w:val="2"/>
          <w:position w:val="1"/>
          <w:sz w:val="26"/>
          <w:szCs w:val="26"/>
        </w:rPr>
        <w:t>o</w:t>
      </w:r>
      <w:r w:rsidRPr="00994A87">
        <w:rPr>
          <w:position w:val="1"/>
          <w:sz w:val="26"/>
          <w:szCs w:val="26"/>
        </w:rPr>
        <w:t>m</w:t>
      </w:r>
      <w:r w:rsidRPr="00994A87">
        <w:rPr>
          <w:spacing w:val="-3"/>
          <w:position w:val="1"/>
          <w:sz w:val="26"/>
          <w:szCs w:val="26"/>
        </w:rPr>
        <w:t>m</w:t>
      </w:r>
      <w:r w:rsidRPr="00994A87">
        <w:rPr>
          <w:spacing w:val="2"/>
          <w:position w:val="1"/>
          <w:sz w:val="26"/>
          <w:szCs w:val="26"/>
        </w:rPr>
        <w:t>i</w:t>
      </w:r>
      <w:r w:rsidRPr="00994A87">
        <w:rPr>
          <w:position w:val="1"/>
          <w:sz w:val="26"/>
          <w:szCs w:val="26"/>
        </w:rPr>
        <w:t>ttee</w:t>
      </w:r>
      <w:r w:rsidRPr="00994A87">
        <w:rPr>
          <w:spacing w:val="-9"/>
          <w:position w:val="1"/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consisting</w:t>
      </w:r>
      <w:r w:rsidRPr="00994A87">
        <w:rPr>
          <w:spacing w:val="-9"/>
          <w:position w:val="1"/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of Matt Edmonson</w:t>
      </w:r>
      <w:r w:rsidR="00E342A4">
        <w:rPr>
          <w:position w:val="1"/>
          <w:sz w:val="26"/>
          <w:szCs w:val="26"/>
        </w:rPr>
        <w:t xml:space="preserve">, </w:t>
      </w:r>
      <w:r w:rsidR="00E342A4">
        <w:rPr>
          <w:i/>
          <w:iCs/>
          <w:position w:val="1"/>
          <w:sz w:val="26"/>
          <w:szCs w:val="26"/>
        </w:rPr>
        <w:t>chair</w:t>
      </w:r>
      <w:r w:rsidRPr="00994A87">
        <w:rPr>
          <w:position w:val="1"/>
          <w:sz w:val="26"/>
          <w:szCs w:val="26"/>
        </w:rPr>
        <w:t xml:space="preserve"> (assistant director, </w:t>
      </w:r>
      <w:r w:rsidRPr="00994A87">
        <w:rPr>
          <w:spacing w:val="2"/>
          <w:position w:val="1"/>
          <w:sz w:val="26"/>
          <w:szCs w:val="26"/>
        </w:rPr>
        <w:t>U</w:t>
      </w:r>
      <w:r w:rsidRPr="00994A87">
        <w:rPr>
          <w:position w:val="1"/>
          <w:sz w:val="26"/>
          <w:szCs w:val="26"/>
        </w:rPr>
        <w:t>n</w:t>
      </w:r>
      <w:r w:rsidRPr="00994A87">
        <w:rPr>
          <w:spacing w:val="2"/>
          <w:position w:val="1"/>
          <w:sz w:val="26"/>
          <w:szCs w:val="26"/>
        </w:rPr>
        <w:t>i</w:t>
      </w:r>
      <w:r w:rsidRPr="00994A87">
        <w:rPr>
          <w:position w:val="1"/>
          <w:sz w:val="26"/>
          <w:szCs w:val="26"/>
        </w:rPr>
        <w:t>versi</w:t>
      </w:r>
      <w:r w:rsidRPr="00994A87">
        <w:rPr>
          <w:spacing w:val="5"/>
          <w:position w:val="1"/>
          <w:sz w:val="26"/>
          <w:szCs w:val="26"/>
        </w:rPr>
        <w:t>t</w:t>
      </w:r>
      <w:r w:rsidRPr="00994A87">
        <w:rPr>
          <w:position w:val="1"/>
          <w:sz w:val="26"/>
          <w:szCs w:val="26"/>
        </w:rPr>
        <w:t>y</w:t>
      </w:r>
      <w:r w:rsidRPr="00994A87">
        <w:rPr>
          <w:spacing w:val="-17"/>
          <w:position w:val="1"/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O</w:t>
      </w:r>
      <w:r w:rsidRPr="00994A87">
        <w:rPr>
          <w:spacing w:val="3"/>
          <w:position w:val="1"/>
          <w:sz w:val="26"/>
          <w:szCs w:val="26"/>
        </w:rPr>
        <w:t>ff</w:t>
      </w:r>
      <w:r w:rsidRPr="00994A87">
        <w:rPr>
          <w:position w:val="1"/>
          <w:sz w:val="26"/>
          <w:szCs w:val="26"/>
        </w:rPr>
        <w:t>ice</w:t>
      </w:r>
      <w:r w:rsidRPr="00994A87">
        <w:rPr>
          <w:spacing w:val="-7"/>
          <w:position w:val="1"/>
          <w:sz w:val="26"/>
          <w:szCs w:val="26"/>
        </w:rPr>
        <w:t xml:space="preserve"> </w:t>
      </w:r>
      <w:r w:rsidRPr="00994A87">
        <w:rPr>
          <w:position w:val="1"/>
          <w:sz w:val="26"/>
          <w:szCs w:val="26"/>
        </w:rPr>
        <w:t>of</w:t>
      </w:r>
      <w:r w:rsidRPr="00994A87">
        <w:rPr>
          <w:sz w:val="26"/>
          <w:szCs w:val="26"/>
        </w:rPr>
        <w:t xml:space="preserve"> Capital</w:t>
      </w:r>
      <w:r w:rsidRPr="00994A87">
        <w:rPr>
          <w:spacing w:val="-8"/>
          <w:sz w:val="26"/>
          <w:szCs w:val="26"/>
        </w:rPr>
        <w:t xml:space="preserve"> </w:t>
      </w:r>
      <w:r w:rsidRPr="00994A87">
        <w:rPr>
          <w:sz w:val="26"/>
          <w:szCs w:val="26"/>
        </w:rPr>
        <w:t>P</w:t>
      </w:r>
      <w:r w:rsidRPr="00994A87">
        <w:rPr>
          <w:spacing w:val="3"/>
          <w:sz w:val="26"/>
          <w:szCs w:val="26"/>
        </w:rPr>
        <w:t>r</w:t>
      </w:r>
      <w:r w:rsidRPr="00994A87">
        <w:rPr>
          <w:sz w:val="26"/>
          <w:szCs w:val="26"/>
        </w:rPr>
        <w:t>ogr</w:t>
      </w:r>
      <w:r w:rsidRPr="00994A87">
        <w:rPr>
          <w:spacing w:val="3"/>
          <w:sz w:val="26"/>
          <w:szCs w:val="26"/>
        </w:rPr>
        <w:t>a</w:t>
      </w:r>
      <w:r w:rsidRPr="00994A87">
        <w:rPr>
          <w:spacing w:val="-3"/>
          <w:sz w:val="26"/>
          <w:szCs w:val="26"/>
        </w:rPr>
        <w:t>m</w:t>
      </w:r>
      <w:r w:rsidRPr="00994A87">
        <w:rPr>
          <w:sz w:val="26"/>
          <w:szCs w:val="26"/>
        </w:rPr>
        <w:t xml:space="preserve">s and Real Estate Services); </w:t>
      </w:r>
      <w:r w:rsidRPr="00994A87">
        <w:rPr>
          <w:position w:val="1"/>
          <w:sz w:val="26"/>
          <w:szCs w:val="26"/>
        </w:rPr>
        <w:t xml:space="preserve">Frank Colacicco (associate director, Utilities Distribution); David Hardin (associate director, Energy Management Systems </w:t>
      </w:r>
      <w:r w:rsidR="006E7F0D">
        <w:rPr>
          <w:position w:val="1"/>
          <w:sz w:val="26"/>
          <w:szCs w:val="26"/>
        </w:rPr>
        <w:t>and</w:t>
      </w:r>
      <w:r w:rsidRPr="00994A87">
        <w:rPr>
          <w:position w:val="1"/>
          <w:sz w:val="26"/>
          <w:szCs w:val="26"/>
        </w:rPr>
        <w:t xml:space="preserve"> Controls); Sylvia McIvor (associate director, Energy Performance Contracting); Dale Morrison (associate director, Procurement Diversity); and Doug Wolters (senior director of operations, College of ACES) </w:t>
      </w:r>
      <w:r w:rsidRPr="00994A87">
        <w:rPr>
          <w:sz w:val="26"/>
          <w:szCs w:val="26"/>
        </w:rPr>
        <w:t>interviewed</w:t>
      </w:r>
      <w:r w:rsidRPr="00994A87">
        <w:rPr>
          <w:spacing w:val="-10"/>
          <w:sz w:val="26"/>
          <w:szCs w:val="26"/>
        </w:rPr>
        <w:t xml:space="preserve"> </w:t>
      </w:r>
      <w:r w:rsidRPr="00994A87">
        <w:rPr>
          <w:sz w:val="26"/>
          <w:szCs w:val="26"/>
        </w:rPr>
        <w:t>and</w:t>
      </w:r>
      <w:r w:rsidRPr="00994A87">
        <w:rPr>
          <w:spacing w:val="-4"/>
          <w:sz w:val="26"/>
          <w:szCs w:val="26"/>
        </w:rPr>
        <w:t xml:space="preserve"> </w:t>
      </w:r>
      <w:r w:rsidRPr="00994A87">
        <w:rPr>
          <w:sz w:val="26"/>
          <w:szCs w:val="26"/>
        </w:rPr>
        <w:t>ra</w:t>
      </w:r>
      <w:r w:rsidRPr="00994A87">
        <w:rPr>
          <w:spacing w:val="2"/>
          <w:sz w:val="26"/>
          <w:szCs w:val="26"/>
        </w:rPr>
        <w:t>n</w:t>
      </w:r>
      <w:r w:rsidRPr="00994A87">
        <w:rPr>
          <w:sz w:val="26"/>
          <w:szCs w:val="26"/>
        </w:rPr>
        <w:t>ked</w:t>
      </w:r>
      <w:r w:rsidRPr="00994A87">
        <w:rPr>
          <w:spacing w:val="-5"/>
          <w:sz w:val="26"/>
          <w:szCs w:val="26"/>
        </w:rPr>
        <w:t xml:space="preserve"> </w:t>
      </w:r>
      <w:r w:rsidRPr="00994A87">
        <w:rPr>
          <w:sz w:val="26"/>
          <w:szCs w:val="26"/>
        </w:rPr>
        <w:t xml:space="preserve">as </w:t>
      </w:r>
      <w:r w:rsidRPr="00994A87">
        <w:rPr>
          <w:spacing w:val="-3"/>
          <w:sz w:val="26"/>
          <w:szCs w:val="26"/>
        </w:rPr>
        <w:t>m</w:t>
      </w:r>
      <w:r w:rsidRPr="00994A87">
        <w:rPr>
          <w:sz w:val="26"/>
          <w:szCs w:val="26"/>
        </w:rPr>
        <w:t>ost</w:t>
      </w:r>
      <w:r w:rsidRPr="00994A87">
        <w:rPr>
          <w:spacing w:val="-5"/>
          <w:sz w:val="26"/>
          <w:szCs w:val="26"/>
        </w:rPr>
        <w:t xml:space="preserve"> </w:t>
      </w:r>
      <w:r w:rsidRPr="00994A87">
        <w:rPr>
          <w:spacing w:val="2"/>
          <w:sz w:val="26"/>
          <w:szCs w:val="26"/>
        </w:rPr>
        <w:t>q</w:t>
      </w:r>
      <w:r w:rsidRPr="00994A87">
        <w:rPr>
          <w:sz w:val="26"/>
          <w:szCs w:val="26"/>
        </w:rPr>
        <w:t>uali</w:t>
      </w:r>
      <w:r w:rsidRPr="00994A87">
        <w:rPr>
          <w:spacing w:val="3"/>
          <w:sz w:val="26"/>
          <w:szCs w:val="26"/>
        </w:rPr>
        <w:t>f</w:t>
      </w:r>
      <w:r w:rsidRPr="00994A87">
        <w:rPr>
          <w:sz w:val="26"/>
          <w:szCs w:val="26"/>
        </w:rPr>
        <w:t>ied the</w:t>
      </w:r>
      <w:r w:rsidRPr="00994A87">
        <w:rPr>
          <w:spacing w:val="-3"/>
          <w:sz w:val="26"/>
          <w:szCs w:val="26"/>
        </w:rPr>
        <w:t xml:space="preserve"> </w:t>
      </w:r>
      <w:r w:rsidRPr="00994A87">
        <w:rPr>
          <w:spacing w:val="3"/>
          <w:sz w:val="26"/>
          <w:szCs w:val="26"/>
        </w:rPr>
        <w:t>f</w:t>
      </w:r>
      <w:r w:rsidRPr="00994A87">
        <w:rPr>
          <w:sz w:val="26"/>
          <w:szCs w:val="26"/>
        </w:rPr>
        <w:t>ollowing</w:t>
      </w:r>
      <w:r w:rsidRPr="00994A87">
        <w:rPr>
          <w:spacing w:val="-10"/>
          <w:sz w:val="26"/>
          <w:szCs w:val="26"/>
        </w:rPr>
        <w:t xml:space="preserve"> </w:t>
      </w:r>
      <w:r w:rsidRPr="00994A87">
        <w:rPr>
          <w:spacing w:val="3"/>
          <w:sz w:val="26"/>
          <w:szCs w:val="26"/>
        </w:rPr>
        <w:t>f</w:t>
      </w:r>
      <w:r w:rsidRPr="00994A87">
        <w:rPr>
          <w:sz w:val="26"/>
          <w:szCs w:val="26"/>
        </w:rPr>
        <w:t xml:space="preserve">irms: </w:t>
      </w:r>
      <w:r w:rsidRPr="00994A87">
        <w:rPr>
          <w:spacing w:val="2"/>
          <w:sz w:val="26"/>
          <w:szCs w:val="26"/>
        </w:rPr>
        <w:t>ENGIE Services U.S. Inc., Oakland, CA; NORESCO, LLC, Des Plaines, IL; Performance Services, Inc., Indianapolis, IN; and Veregy Central, LLC, Chesterfield, MO</w:t>
      </w:r>
      <w:r w:rsidRPr="00994A87">
        <w:rPr>
          <w:sz w:val="26"/>
          <w:szCs w:val="26"/>
        </w:rPr>
        <w:t>. The</w:t>
      </w:r>
      <w:r w:rsidRPr="00994A87">
        <w:rPr>
          <w:spacing w:val="-2"/>
          <w:sz w:val="26"/>
          <w:szCs w:val="26"/>
        </w:rPr>
        <w:t xml:space="preserve"> </w:t>
      </w:r>
      <w:r w:rsidRPr="00994A87">
        <w:rPr>
          <w:sz w:val="26"/>
          <w:szCs w:val="26"/>
        </w:rPr>
        <w:t>c</w:t>
      </w:r>
      <w:r w:rsidRPr="00994A87">
        <w:rPr>
          <w:spacing w:val="2"/>
          <w:sz w:val="26"/>
          <w:szCs w:val="26"/>
        </w:rPr>
        <w:t>o</w:t>
      </w:r>
      <w:r w:rsidRPr="00994A87">
        <w:rPr>
          <w:sz w:val="26"/>
          <w:szCs w:val="26"/>
        </w:rPr>
        <w:t>m</w:t>
      </w:r>
      <w:r w:rsidRPr="00994A87">
        <w:rPr>
          <w:spacing w:val="-3"/>
          <w:sz w:val="26"/>
          <w:szCs w:val="26"/>
        </w:rPr>
        <w:t>m</w:t>
      </w:r>
      <w:r w:rsidRPr="00994A87">
        <w:rPr>
          <w:sz w:val="26"/>
          <w:szCs w:val="26"/>
        </w:rPr>
        <w:t>i</w:t>
      </w:r>
      <w:r w:rsidRPr="00994A87">
        <w:rPr>
          <w:spacing w:val="2"/>
          <w:sz w:val="26"/>
          <w:szCs w:val="26"/>
        </w:rPr>
        <w:t>t</w:t>
      </w:r>
      <w:r w:rsidRPr="00994A87">
        <w:rPr>
          <w:sz w:val="26"/>
          <w:szCs w:val="26"/>
        </w:rPr>
        <w:t>tee</w:t>
      </w:r>
      <w:r w:rsidRPr="00994A87">
        <w:rPr>
          <w:spacing w:val="-9"/>
          <w:sz w:val="26"/>
          <w:szCs w:val="26"/>
        </w:rPr>
        <w:t xml:space="preserve"> </w:t>
      </w:r>
      <w:r w:rsidRPr="00994A87">
        <w:rPr>
          <w:sz w:val="26"/>
          <w:szCs w:val="26"/>
        </w:rPr>
        <w:t>rec</w:t>
      </w:r>
      <w:r w:rsidRPr="00994A87">
        <w:rPr>
          <w:spacing w:val="2"/>
          <w:sz w:val="26"/>
          <w:szCs w:val="26"/>
        </w:rPr>
        <w:t>o</w:t>
      </w:r>
      <w:r w:rsidRPr="00994A87">
        <w:rPr>
          <w:sz w:val="26"/>
          <w:szCs w:val="26"/>
        </w:rPr>
        <w:t>m</w:t>
      </w:r>
      <w:r w:rsidRPr="00994A87">
        <w:rPr>
          <w:spacing w:val="-3"/>
          <w:sz w:val="26"/>
          <w:szCs w:val="26"/>
        </w:rPr>
        <w:t>m</w:t>
      </w:r>
      <w:r w:rsidRPr="00994A87">
        <w:rPr>
          <w:sz w:val="26"/>
          <w:szCs w:val="26"/>
        </w:rPr>
        <w:t>en</w:t>
      </w:r>
      <w:r w:rsidRPr="00994A87">
        <w:rPr>
          <w:spacing w:val="2"/>
          <w:sz w:val="26"/>
          <w:szCs w:val="26"/>
        </w:rPr>
        <w:t xml:space="preserve">ds Veregy Central, LLC, Chesterfield, MO, </w:t>
      </w:r>
      <w:r w:rsidRPr="00994A87">
        <w:rPr>
          <w:sz w:val="26"/>
          <w:szCs w:val="26"/>
        </w:rPr>
        <w:t>as</w:t>
      </w:r>
      <w:r w:rsidRPr="00994A87">
        <w:rPr>
          <w:spacing w:val="-2"/>
          <w:sz w:val="26"/>
          <w:szCs w:val="26"/>
        </w:rPr>
        <w:t xml:space="preserve"> </w:t>
      </w:r>
      <w:r w:rsidRPr="00994A87">
        <w:rPr>
          <w:spacing w:val="2"/>
          <w:sz w:val="26"/>
          <w:szCs w:val="26"/>
        </w:rPr>
        <w:t>b</w:t>
      </w:r>
      <w:r w:rsidRPr="00994A87">
        <w:rPr>
          <w:sz w:val="26"/>
          <w:szCs w:val="26"/>
        </w:rPr>
        <w:t>est</w:t>
      </w:r>
      <w:r w:rsidRPr="00994A87">
        <w:rPr>
          <w:spacing w:val="-2"/>
          <w:sz w:val="26"/>
          <w:szCs w:val="26"/>
        </w:rPr>
        <w:t xml:space="preserve"> </w:t>
      </w:r>
      <w:r w:rsidRPr="00994A87">
        <w:rPr>
          <w:spacing w:val="-3"/>
          <w:sz w:val="26"/>
          <w:szCs w:val="26"/>
        </w:rPr>
        <w:t>m</w:t>
      </w:r>
      <w:r w:rsidRPr="00994A87">
        <w:rPr>
          <w:sz w:val="26"/>
          <w:szCs w:val="26"/>
        </w:rPr>
        <w:t>e</w:t>
      </w:r>
      <w:r w:rsidRPr="00994A87">
        <w:rPr>
          <w:spacing w:val="3"/>
          <w:sz w:val="26"/>
          <w:szCs w:val="26"/>
        </w:rPr>
        <w:t>e</w:t>
      </w:r>
      <w:r w:rsidRPr="00994A87">
        <w:rPr>
          <w:sz w:val="26"/>
          <w:szCs w:val="26"/>
        </w:rPr>
        <w:t>ting</w:t>
      </w:r>
      <w:r w:rsidRPr="00994A87">
        <w:rPr>
          <w:spacing w:val="-8"/>
          <w:sz w:val="26"/>
          <w:szCs w:val="26"/>
        </w:rPr>
        <w:t xml:space="preserve"> </w:t>
      </w:r>
      <w:r w:rsidRPr="00994A87">
        <w:rPr>
          <w:sz w:val="26"/>
          <w:szCs w:val="26"/>
        </w:rPr>
        <w:t>the</w:t>
      </w:r>
      <w:r w:rsidRPr="00994A87">
        <w:rPr>
          <w:spacing w:val="-1"/>
          <w:sz w:val="26"/>
          <w:szCs w:val="26"/>
        </w:rPr>
        <w:t xml:space="preserve"> </w:t>
      </w:r>
      <w:r w:rsidRPr="00994A87">
        <w:rPr>
          <w:sz w:val="26"/>
          <w:szCs w:val="26"/>
        </w:rPr>
        <w:t>criteria</w:t>
      </w:r>
      <w:r w:rsidRPr="00994A87">
        <w:rPr>
          <w:spacing w:val="-7"/>
          <w:sz w:val="26"/>
          <w:szCs w:val="26"/>
        </w:rPr>
        <w:t xml:space="preserve"> </w:t>
      </w:r>
      <w:r w:rsidRPr="00994A87">
        <w:rPr>
          <w:spacing w:val="3"/>
          <w:sz w:val="26"/>
          <w:szCs w:val="26"/>
        </w:rPr>
        <w:t>f</w:t>
      </w:r>
      <w:r w:rsidRPr="00994A87">
        <w:rPr>
          <w:sz w:val="26"/>
          <w:szCs w:val="26"/>
        </w:rPr>
        <w:t>or</w:t>
      </w:r>
      <w:r w:rsidRPr="00994A87">
        <w:rPr>
          <w:spacing w:val="-1"/>
          <w:sz w:val="26"/>
          <w:szCs w:val="26"/>
        </w:rPr>
        <w:t xml:space="preserve"> </w:t>
      </w:r>
      <w:r w:rsidRPr="00994A87">
        <w:rPr>
          <w:sz w:val="26"/>
          <w:szCs w:val="26"/>
        </w:rPr>
        <w:t>the</w:t>
      </w:r>
      <w:r w:rsidRPr="00994A87">
        <w:rPr>
          <w:spacing w:val="-3"/>
          <w:sz w:val="26"/>
          <w:szCs w:val="26"/>
        </w:rPr>
        <w:t xml:space="preserve"> </w:t>
      </w:r>
      <w:r w:rsidRPr="00994A87">
        <w:rPr>
          <w:sz w:val="26"/>
          <w:szCs w:val="26"/>
        </w:rPr>
        <w:t>project</w:t>
      </w:r>
      <w:r w:rsidR="00AA5194" w:rsidRPr="00994A87">
        <w:rPr>
          <w:sz w:val="26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648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B79F52" w14:textId="2F8FF62A" w:rsidR="004A504C" w:rsidRDefault="004A50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514EF" w14:textId="77777777" w:rsidR="004A504C" w:rsidRDefault="004A5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0D"/>
    <w:rsid w:val="00004E29"/>
    <w:rsid w:val="00011CF5"/>
    <w:rsid w:val="00022D1B"/>
    <w:rsid w:val="00043C05"/>
    <w:rsid w:val="000B3CC6"/>
    <w:rsid w:val="000C183D"/>
    <w:rsid w:val="000C30D2"/>
    <w:rsid w:val="000D2C89"/>
    <w:rsid w:val="00100063"/>
    <w:rsid w:val="00110C19"/>
    <w:rsid w:val="00125F5D"/>
    <w:rsid w:val="00132A5B"/>
    <w:rsid w:val="00165E10"/>
    <w:rsid w:val="001869A3"/>
    <w:rsid w:val="00195245"/>
    <w:rsid w:val="001B1772"/>
    <w:rsid w:val="001B71E5"/>
    <w:rsid w:val="001B75F2"/>
    <w:rsid w:val="001F7CDB"/>
    <w:rsid w:val="002014B0"/>
    <w:rsid w:val="0021744E"/>
    <w:rsid w:val="00244200"/>
    <w:rsid w:val="00247DC9"/>
    <w:rsid w:val="002B1F3A"/>
    <w:rsid w:val="002D0F94"/>
    <w:rsid w:val="002D75C1"/>
    <w:rsid w:val="0031083D"/>
    <w:rsid w:val="003229F3"/>
    <w:rsid w:val="003427BF"/>
    <w:rsid w:val="0035171E"/>
    <w:rsid w:val="0039433A"/>
    <w:rsid w:val="003D6FFC"/>
    <w:rsid w:val="004044F0"/>
    <w:rsid w:val="0042230C"/>
    <w:rsid w:val="004357C2"/>
    <w:rsid w:val="00466E8E"/>
    <w:rsid w:val="00473736"/>
    <w:rsid w:val="004820A7"/>
    <w:rsid w:val="00486AE3"/>
    <w:rsid w:val="004A504C"/>
    <w:rsid w:val="004B3283"/>
    <w:rsid w:val="004C2A03"/>
    <w:rsid w:val="004D51DA"/>
    <w:rsid w:val="005008EC"/>
    <w:rsid w:val="00511DDB"/>
    <w:rsid w:val="0051325E"/>
    <w:rsid w:val="005256A4"/>
    <w:rsid w:val="005446D2"/>
    <w:rsid w:val="00562091"/>
    <w:rsid w:val="00575E42"/>
    <w:rsid w:val="005B595A"/>
    <w:rsid w:val="005F354F"/>
    <w:rsid w:val="00606087"/>
    <w:rsid w:val="00610A05"/>
    <w:rsid w:val="0064425B"/>
    <w:rsid w:val="006477BE"/>
    <w:rsid w:val="0066653F"/>
    <w:rsid w:val="006813C9"/>
    <w:rsid w:val="00691928"/>
    <w:rsid w:val="006C23F5"/>
    <w:rsid w:val="006C7807"/>
    <w:rsid w:val="006D64A5"/>
    <w:rsid w:val="006E7F0D"/>
    <w:rsid w:val="006F25E5"/>
    <w:rsid w:val="00755978"/>
    <w:rsid w:val="00767AD7"/>
    <w:rsid w:val="00787BED"/>
    <w:rsid w:val="00790E99"/>
    <w:rsid w:val="007C6706"/>
    <w:rsid w:val="007C7611"/>
    <w:rsid w:val="007E131B"/>
    <w:rsid w:val="007E1A74"/>
    <w:rsid w:val="007F2E82"/>
    <w:rsid w:val="008254D2"/>
    <w:rsid w:val="00852ADA"/>
    <w:rsid w:val="0089325E"/>
    <w:rsid w:val="008E74C5"/>
    <w:rsid w:val="008F17FB"/>
    <w:rsid w:val="008F5731"/>
    <w:rsid w:val="008F7DDB"/>
    <w:rsid w:val="00904C68"/>
    <w:rsid w:val="0090753B"/>
    <w:rsid w:val="009134F6"/>
    <w:rsid w:val="009241F5"/>
    <w:rsid w:val="00932FC9"/>
    <w:rsid w:val="00935FA4"/>
    <w:rsid w:val="00936916"/>
    <w:rsid w:val="00943F07"/>
    <w:rsid w:val="00962EAC"/>
    <w:rsid w:val="00994A87"/>
    <w:rsid w:val="009A0D9E"/>
    <w:rsid w:val="009A678E"/>
    <w:rsid w:val="009B53FC"/>
    <w:rsid w:val="009D3028"/>
    <w:rsid w:val="009E3BF4"/>
    <w:rsid w:val="009F3B1A"/>
    <w:rsid w:val="009F6A3C"/>
    <w:rsid w:val="00A04BEC"/>
    <w:rsid w:val="00A42ABC"/>
    <w:rsid w:val="00A635EB"/>
    <w:rsid w:val="00A95E9B"/>
    <w:rsid w:val="00AA5194"/>
    <w:rsid w:val="00AD2936"/>
    <w:rsid w:val="00AD78BA"/>
    <w:rsid w:val="00AE101E"/>
    <w:rsid w:val="00B247B1"/>
    <w:rsid w:val="00B328C8"/>
    <w:rsid w:val="00B71F85"/>
    <w:rsid w:val="00B7227E"/>
    <w:rsid w:val="00B809DE"/>
    <w:rsid w:val="00BA5FE2"/>
    <w:rsid w:val="00BB3C17"/>
    <w:rsid w:val="00BC684F"/>
    <w:rsid w:val="00C075D7"/>
    <w:rsid w:val="00C31770"/>
    <w:rsid w:val="00C37402"/>
    <w:rsid w:val="00C40EFF"/>
    <w:rsid w:val="00C57EFB"/>
    <w:rsid w:val="00C73833"/>
    <w:rsid w:val="00CA17E6"/>
    <w:rsid w:val="00CB0116"/>
    <w:rsid w:val="00CB5F0D"/>
    <w:rsid w:val="00CE35E1"/>
    <w:rsid w:val="00D30A40"/>
    <w:rsid w:val="00D45FDF"/>
    <w:rsid w:val="00D67D1F"/>
    <w:rsid w:val="00D9619C"/>
    <w:rsid w:val="00D97666"/>
    <w:rsid w:val="00DA5C67"/>
    <w:rsid w:val="00DC2BBE"/>
    <w:rsid w:val="00DF66C0"/>
    <w:rsid w:val="00E342A4"/>
    <w:rsid w:val="00E4338F"/>
    <w:rsid w:val="00E46185"/>
    <w:rsid w:val="00E5627E"/>
    <w:rsid w:val="00E61B7C"/>
    <w:rsid w:val="00E71548"/>
    <w:rsid w:val="00E83F08"/>
    <w:rsid w:val="00E92822"/>
    <w:rsid w:val="00EA7F83"/>
    <w:rsid w:val="00EC5BFF"/>
    <w:rsid w:val="00F0212D"/>
    <w:rsid w:val="00F4268B"/>
    <w:rsid w:val="00F4585F"/>
    <w:rsid w:val="00F65E24"/>
    <w:rsid w:val="00F85E29"/>
    <w:rsid w:val="00F90A49"/>
    <w:rsid w:val="00FA30C8"/>
    <w:rsid w:val="00FA3E69"/>
    <w:rsid w:val="00FF663F"/>
    <w:rsid w:val="5DA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89B69"/>
  <w15:docId w15:val="{C88FAEA9-2DDA-42B5-9466-AC5C634C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95A"/>
    <w:pPr>
      <w:spacing w:after="0" w:line="240" w:lineRule="auto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595A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4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4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C780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4A5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04C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4A5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04C"/>
    <w:rPr>
      <w:rFonts w:ascii="Times New Roman" w:eastAsia="Times New Roman" w:hAnsi="Times New Roman" w:cs="Times New Roman"/>
      <w:color w:val="000000"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35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54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3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33567-4AA4-43AD-867E-B299F05CD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AE108-0D8A-4329-9070-5181C3B4B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5F56B8-3BB7-4345-8F78-E114377B9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029708-9EF0-453A-A358-27A5787C2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cp:lastModifiedBy>Williams, Aubrie</cp:lastModifiedBy>
  <cp:revision>20</cp:revision>
  <dcterms:created xsi:type="dcterms:W3CDTF">2026-02-05T19:41:00Z</dcterms:created>
  <dcterms:modified xsi:type="dcterms:W3CDTF">2026-03-19T17:24:00Z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797a7e726155f9eab5656f0400376c93531ec52b3d5d841a2bdb33f56ea24369</vt:lpwstr>
  </property>
  <property fmtid="{D5CDD505-2E9C-101B-9397-08002B2CF9AE}" pid="3" name="ContentTypeId">
    <vt:lpwstr>0x0101007BAEA1B5F1A97E4584059F469CAEFA19</vt:lpwstr>
  </property>
  <property fmtid="{D5CDD505-2E9C-101B-9397-08002B2CF9AE}" pid="4" name="docLang">
    <vt:lpwstr>en</vt:lpwstr>
  </property>
</Properties>
</file>