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3EAD5" w14:textId="77777777" w:rsidR="00954CF3" w:rsidRDefault="00954CF3" w:rsidP="00954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textAlignment w:val="baseline"/>
        <w:rPr>
          <w:color w:val="FF0000"/>
          <w:sz w:val="26"/>
          <w:szCs w:val="26"/>
        </w:rPr>
      </w:pPr>
      <w:bookmarkStart w:id="0" w:name="_Hlk77839959"/>
      <w:bookmarkStart w:id="1" w:name="_Hlk93577479"/>
      <w:r>
        <w:rPr>
          <w:color w:val="FF0000"/>
          <w:sz w:val="26"/>
          <w:szCs w:val="26"/>
        </w:rPr>
        <w:t>Approved by the Board of Trustees</w:t>
      </w:r>
    </w:p>
    <w:bookmarkEnd w:id="0"/>
    <w:bookmarkEnd w:id="1"/>
    <w:p w14:paraId="0FE4BC6E" w14:textId="77777777" w:rsidR="00954CF3" w:rsidRDefault="00954CF3" w:rsidP="00954CF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textAlignment w:val="baseline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March 20, 2025</w:t>
      </w:r>
    </w:p>
    <w:p w14:paraId="72600BB2" w14:textId="586BB136" w:rsidR="009910D7" w:rsidRDefault="005A7B10" w:rsidP="005A7B10">
      <w:pPr>
        <w:pStyle w:val="Title"/>
      </w:pPr>
      <w:r>
        <w:t>05</w:t>
      </w:r>
    </w:p>
    <w:p w14:paraId="433D5CB6" w14:textId="77777777" w:rsidR="009910D7" w:rsidRDefault="009910D7" w:rsidP="009910D7">
      <w:pPr>
        <w:pStyle w:val="BodyText"/>
        <w:ind w:left="7320" w:right="60"/>
      </w:pPr>
    </w:p>
    <w:p w14:paraId="34515E00" w14:textId="69AD9516" w:rsidR="004E63D0" w:rsidRDefault="009C3BF5" w:rsidP="009910D7">
      <w:pPr>
        <w:pStyle w:val="BodyText"/>
        <w:ind w:left="7320" w:right="60"/>
      </w:pPr>
      <w:r>
        <w:t>Board</w:t>
      </w:r>
      <w:r>
        <w:rPr>
          <w:spacing w:val="-17"/>
        </w:rPr>
        <w:t xml:space="preserve"> </w:t>
      </w:r>
      <w:r>
        <w:t xml:space="preserve">Meeting </w:t>
      </w:r>
      <w:r w:rsidR="00F10FC2">
        <w:t>March</w:t>
      </w:r>
      <w:r w:rsidR="00CD73CF">
        <w:t xml:space="preserve"> 2</w:t>
      </w:r>
      <w:r w:rsidR="00F10FC2">
        <w:t>0</w:t>
      </w:r>
      <w:r w:rsidR="00CD73CF">
        <w:t>, 2025</w:t>
      </w:r>
    </w:p>
    <w:p w14:paraId="308FE431" w14:textId="77777777" w:rsidR="004E63D0" w:rsidRDefault="004E63D0" w:rsidP="001476F1">
      <w:pPr>
        <w:pStyle w:val="BodyText"/>
        <w:jc w:val="center"/>
      </w:pPr>
    </w:p>
    <w:p w14:paraId="58C0573F" w14:textId="77777777" w:rsidR="009910D7" w:rsidRDefault="009910D7" w:rsidP="001476F1">
      <w:pPr>
        <w:pStyle w:val="BodyText"/>
        <w:jc w:val="center"/>
      </w:pPr>
    </w:p>
    <w:p w14:paraId="6762BE48" w14:textId="77777777" w:rsidR="001476F1" w:rsidRDefault="009C3BF5" w:rsidP="001476F1">
      <w:pPr>
        <w:pStyle w:val="BodyText"/>
        <w:jc w:val="center"/>
      </w:pPr>
      <w:r>
        <w:t>APPROVE</w:t>
      </w:r>
      <w:r>
        <w:rPr>
          <w:spacing w:val="-14"/>
        </w:rPr>
        <w:t xml:space="preserve"> </w:t>
      </w:r>
      <w:r>
        <w:t>APPLICATION</w:t>
      </w:r>
      <w:r>
        <w:rPr>
          <w:spacing w:val="-14"/>
        </w:rPr>
        <w:t xml:space="preserve"> </w:t>
      </w:r>
      <w:r>
        <w:t>FEE</w:t>
      </w:r>
      <w:r>
        <w:rPr>
          <w:spacing w:val="-12"/>
        </w:rPr>
        <w:t xml:space="preserve"> </w:t>
      </w:r>
      <w:r>
        <w:t>INCREASES</w:t>
      </w:r>
      <w:r w:rsidR="006C34FB">
        <w:t xml:space="preserve"> FOR</w:t>
      </w:r>
      <w:r w:rsidR="001476F1">
        <w:t xml:space="preserve"> </w:t>
      </w:r>
    </w:p>
    <w:p w14:paraId="67B08607" w14:textId="2C5F8449" w:rsidR="004E63D0" w:rsidRDefault="00750982" w:rsidP="001476F1">
      <w:pPr>
        <w:pStyle w:val="BodyText"/>
        <w:jc w:val="center"/>
      </w:pPr>
      <w:r>
        <w:t>URBANA</w:t>
      </w:r>
      <w:r w:rsidR="001476F1">
        <w:t xml:space="preserve">, </w:t>
      </w:r>
      <w:r w:rsidR="009C3BF5">
        <w:t>CHICAGO</w:t>
      </w:r>
      <w:r w:rsidR="00F10FC2">
        <w:t xml:space="preserve">, </w:t>
      </w:r>
      <w:r>
        <w:t xml:space="preserve">AND </w:t>
      </w:r>
      <w:r w:rsidR="00F10FC2">
        <w:t>SPRINGFIELD</w:t>
      </w:r>
    </w:p>
    <w:p w14:paraId="7A1297FA" w14:textId="77777777" w:rsidR="004E63D0" w:rsidRDefault="004E63D0" w:rsidP="001476F1">
      <w:pPr>
        <w:pStyle w:val="BodyText"/>
      </w:pPr>
    </w:p>
    <w:p w14:paraId="64B60A19" w14:textId="77777777" w:rsidR="009910D7" w:rsidRDefault="009910D7" w:rsidP="001476F1">
      <w:pPr>
        <w:pStyle w:val="BodyText"/>
      </w:pPr>
    </w:p>
    <w:p w14:paraId="365D3F11" w14:textId="77777777" w:rsidR="004E63D0" w:rsidRDefault="009C3BF5" w:rsidP="001476F1">
      <w:pPr>
        <w:pStyle w:val="BodyText"/>
        <w:tabs>
          <w:tab w:val="left" w:pos="1560"/>
        </w:tabs>
        <w:ind w:left="120"/>
      </w:pPr>
      <w:r>
        <w:rPr>
          <w:b/>
          <w:spacing w:val="-2"/>
        </w:rPr>
        <w:t>Action:</w:t>
      </w:r>
      <w:r>
        <w:rPr>
          <w:b/>
        </w:rPr>
        <w:tab/>
      </w:r>
      <w:r>
        <w:t>Approve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Fee</w:t>
      </w:r>
      <w:r>
        <w:rPr>
          <w:spacing w:val="-8"/>
        </w:rPr>
        <w:t xml:space="preserve"> </w:t>
      </w:r>
      <w:r>
        <w:rPr>
          <w:spacing w:val="-2"/>
        </w:rPr>
        <w:t>Increases</w:t>
      </w:r>
    </w:p>
    <w:p w14:paraId="324942B9" w14:textId="77777777" w:rsidR="004E63D0" w:rsidRDefault="004E63D0" w:rsidP="001476F1">
      <w:pPr>
        <w:pStyle w:val="BodyText"/>
      </w:pPr>
    </w:p>
    <w:p w14:paraId="3F917AFD" w14:textId="77777777" w:rsidR="004E63D0" w:rsidRDefault="009C3BF5" w:rsidP="001476F1">
      <w:pPr>
        <w:tabs>
          <w:tab w:val="left" w:pos="1560"/>
        </w:tabs>
        <w:ind w:left="120"/>
        <w:rPr>
          <w:sz w:val="26"/>
        </w:rPr>
      </w:pPr>
      <w:r>
        <w:rPr>
          <w:b/>
          <w:spacing w:val="-2"/>
          <w:sz w:val="26"/>
        </w:rPr>
        <w:t>Funding:</w:t>
      </w:r>
      <w:r>
        <w:rPr>
          <w:b/>
          <w:sz w:val="26"/>
        </w:rPr>
        <w:tab/>
      </w:r>
      <w:r>
        <w:rPr>
          <w:sz w:val="26"/>
        </w:rPr>
        <w:t>No</w:t>
      </w:r>
      <w:r>
        <w:rPr>
          <w:spacing w:val="-6"/>
          <w:sz w:val="26"/>
        </w:rPr>
        <w:t xml:space="preserve"> </w:t>
      </w:r>
      <w:r>
        <w:rPr>
          <w:sz w:val="26"/>
        </w:rPr>
        <w:t>New</w:t>
      </w:r>
      <w:r>
        <w:rPr>
          <w:spacing w:val="-6"/>
          <w:sz w:val="26"/>
        </w:rPr>
        <w:t xml:space="preserve"> </w:t>
      </w:r>
      <w:r>
        <w:rPr>
          <w:sz w:val="26"/>
        </w:rPr>
        <w:t>Funding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Required</w:t>
      </w:r>
    </w:p>
    <w:p w14:paraId="4B281633" w14:textId="77777777" w:rsidR="004E63D0" w:rsidRDefault="004E63D0" w:rsidP="001476F1">
      <w:pPr>
        <w:pStyle w:val="BodyText"/>
      </w:pPr>
    </w:p>
    <w:p w14:paraId="72B0304B" w14:textId="77777777" w:rsidR="009910D7" w:rsidRDefault="009910D7" w:rsidP="001476F1">
      <w:pPr>
        <w:pStyle w:val="BodyText"/>
      </w:pPr>
    </w:p>
    <w:p w14:paraId="0DB37D46" w14:textId="77777777" w:rsidR="001476F1" w:rsidRDefault="009C3BF5" w:rsidP="001476F1">
      <w:pPr>
        <w:pStyle w:val="BodyText"/>
        <w:spacing w:line="480" w:lineRule="auto"/>
        <w:ind w:firstLine="1440"/>
        <w:rPr>
          <w:spacing w:val="40"/>
        </w:rPr>
      </w:pPr>
      <w:r>
        <w:t xml:space="preserve">Students applying for admission to the </w:t>
      </w:r>
      <w:r w:rsidR="004D3BB8">
        <w:t xml:space="preserve">Urbana, </w:t>
      </w:r>
      <w:r>
        <w:t>Chicago</w:t>
      </w:r>
      <w:r w:rsidR="00F10FC2">
        <w:t xml:space="preserve">, </w:t>
      </w:r>
      <w:r w:rsidR="004D3BB8">
        <w:t xml:space="preserve">and </w:t>
      </w:r>
      <w:r w:rsidR="00F10FC2">
        <w:t>Springfield</w:t>
      </w:r>
      <w:r>
        <w:t xml:space="preserve"> </w:t>
      </w:r>
      <w:r w:rsidR="00750982">
        <w:t xml:space="preserve">universities </w:t>
      </w:r>
      <w:r>
        <w:t xml:space="preserve">are charged an application fee to help defray the costs of processing the applications in the Offices of Admissions and Records at each </w:t>
      </w:r>
      <w:r w:rsidR="00F10FC2">
        <w:t>university</w:t>
      </w:r>
      <w:r>
        <w:t>.</w:t>
      </w:r>
      <w:r w:rsidR="004D3BB8">
        <w:rPr>
          <w:spacing w:val="40"/>
        </w:rPr>
        <w:t xml:space="preserve"> </w:t>
      </w:r>
    </w:p>
    <w:p w14:paraId="09388A31" w14:textId="23033F4B" w:rsidR="004D3BB8" w:rsidRDefault="004D3BB8" w:rsidP="001476F1">
      <w:pPr>
        <w:pStyle w:val="BodyText"/>
        <w:spacing w:line="480" w:lineRule="auto"/>
        <w:ind w:firstLine="1440"/>
      </w:pPr>
      <w:r w:rsidRPr="004D3BB8">
        <w:t xml:space="preserve">The </w:t>
      </w:r>
      <w:r w:rsidR="00750982">
        <w:t>c</w:t>
      </w:r>
      <w:r>
        <w:t xml:space="preserve">hancellor, University of Illinois Urbana-Champaign, and </w:t>
      </w:r>
      <w:r w:rsidR="00750982">
        <w:t>v</w:t>
      </w:r>
      <w:r>
        <w:t xml:space="preserve">ice </w:t>
      </w:r>
      <w:r w:rsidR="00750982">
        <w:t>p</w:t>
      </w:r>
      <w:r>
        <w:t>resident, University of Illinois</w:t>
      </w:r>
      <w:r w:rsidR="00750982">
        <w:t xml:space="preserve"> System</w:t>
      </w:r>
      <w:r w:rsidR="001476F1">
        <w:t>,</w:t>
      </w:r>
      <w:r w:rsidR="00750982">
        <w:t xml:space="preserve"> </w:t>
      </w:r>
      <w:r>
        <w:t>recommends an increase in the domestic undergraduate application fee from $50.00 to $75.00 and an increase in the domestic graduate application fee from $70</w:t>
      </w:r>
      <w:r w:rsidR="001476F1">
        <w:t>.00</w:t>
      </w:r>
      <w:r>
        <w:t xml:space="preserve"> to $90</w:t>
      </w:r>
      <w:r w:rsidR="001476F1">
        <w:t>.00</w:t>
      </w:r>
      <w:r>
        <w:t xml:space="preserve">, moving to a single fee for undergraduate applications and a single fee for graduate applications, regardless of residency. Domestic application fees </w:t>
      </w:r>
      <w:r w:rsidR="00AC5CDE">
        <w:t xml:space="preserve">for </w:t>
      </w:r>
      <w:r w:rsidR="001476F1">
        <w:t>the University of Illinois Urbana-Champaign</w:t>
      </w:r>
      <w:r>
        <w:t xml:space="preserve"> have not increased since 2010. This move is consistent with application fee practices at many of UIUC’s peer institutions. </w:t>
      </w:r>
    </w:p>
    <w:p w14:paraId="37EF4E6B" w14:textId="205C4FA4" w:rsidR="0005316A" w:rsidRDefault="009C3BF5" w:rsidP="001476F1">
      <w:pPr>
        <w:pStyle w:val="BodyText"/>
        <w:spacing w:line="480" w:lineRule="auto"/>
        <w:ind w:firstLine="1440"/>
      </w:pPr>
      <w:r>
        <w:t xml:space="preserve">The </w:t>
      </w:r>
      <w:r w:rsidR="00750982">
        <w:t>chancellor</w:t>
      </w:r>
      <w:r>
        <w:t xml:space="preserve">, University of Illinois Chicago, and </w:t>
      </w:r>
      <w:r w:rsidR="00750982">
        <w:t>vice president</w:t>
      </w:r>
      <w:r>
        <w:t>, University of Illinois</w:t>
      </w:r>
      <w:r w:rsidR="00750982">
        <w:t xml:space="preserve"> System</w:t>
      </w:r>
      <w:r w:rsidR="001476F1">
        <w:t xml:space="preserve">, </w:t>
      </w:r>
      <w:r>
        <w:t>recommend</w:t>
      </w:r>
      <w:r w:rsidR="001476F1">
        <w:t>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increase</w:t>
      </w:r>
      <w:r>
        <w:rPr>
          <w:spacing w:val="-4"/>
        </w:rPr>
        <w:t xml:space="preserve"> </w:t>
      </w:r>
      <w:r w:rsidR="00167E42">
        <w:rPr>
          <w:spacing w:val="-4"/>
        </w:rPr>
        <w:t>in the undergraduate application fee from $60</w:t>
      </w:r>
      <w:r w:rsidR="001476F1">
        <w:rPr>
          <w:spacing w:val="-4"/>
        </w:rPr>
        <w:t>.00</w:t>
      </w:r>
      <w:r w:rsidR="00167E42">
        <w:rPr>
          <w:spacing w:val="-4"/>
        </w:rPr>
        <w:t xml:space="preserve"> to $70</w:t>
      </w:r>
      <w:r w:rsidR="001476F1">
        <w:rPr>
          <w:spacing w:val="-4"/>
        </w:rPr>
        <w:t>.00</w:t>
      </w:r>
      <w:r w:rsidR="00167E42">
        <w:rPr>
          <w:spacing w:val="-4"/>
        </w:rPr>
        <w:t xml:space="preserve"> </w:t>
      </w:r>
      <w:r w:rsidR="004D3BB8">
        <w:rPr>
          <w:spacing w:val="-4"/>
        </w:rPr>
        <w:t xml:space="preserve">and </w:t>
      </w:r>
      <w:r w:rsidR="00167E42">
        <w:rPr>
          <w:spacing w:val="-4"/>
        </w:rPr>
        <w:t xml:space="preserve">an increase </w:t>
      </w:r>
      <w:r w:rsidRPr="00167E42">
        <w:t>in</w:t>
      </w:r>
      <w:r w:rsidRPr="00167E42">
        <w:rPr>
          <w:spacing w:val="-4"/>
        </w:rPr>
        <w:t xml:space="preserve"> </w:t>
      </w:r>
      <w:r w:rsidRPr="00167E42">
        <w:t>the</w:t>
      </w:r>
      <w:r w:rsidRPr="00167E42">
        <w:rPr>
          <w:spacing w:val="-4"/>
        </w:rPr>
        <w:t xml:space="preserve"> </w:t>
      </w:r>
      <w:r w:rsidR="00F10FC2" w:rsidRPr="00167E42">
        <w:rPr>
          <w:spacing w:val="-4"/>
        </w:rPr>
        <w:t xml:space="preserve">graduate </w:t>
      </w:r>
      <w:r w:rsidRPr="00167E42">
        <w:t>application</w:t>
      </w:r>
      <w:r w:rsidRPr="00167E42">
        <w:rPr>
          <w:spacing w:val="-4"/>
        </w:rPr>
        <w:t xml:space="preserve"> </w:t>
      </w:r>
      <w:r w:rsidRPr="00167E42">
        <w:t>fee</w:t>
      </w:r>
      <w:r w:rsidR="00F10FC2" w:rsidRPr="00167E42">
        <w:rPr>
          <w:spacing w:val="-4"/>
        </w:rPr>
        <w:t xml:space="preserve"> </w:t>
      </w:r>
      <w:r w:rsidRPr="00167E42">
        <w:t>from</w:t>
      </w:r>
      <w:r w:rsidRPr="00167E42">
        <w:rPr>
          <w:spacing w:val="-1"/>
        </w:rPr>
        <w:t xml:space="preserve"> </w:t>
      </w:r>
      <w:r w:rsidRPr="00167E42">
        <w:t>$</w:t>
      </w:r>
      <w:r w:rsidR="00F10FC2" w:rsidRPr="00167E42">
        <w:t>6</w:t>
      </w:r>
      <w:r w:rsidRPr="00167E42">
        <w:t>0.00</w:t>
      </w:r>
      <w:r w:rsidRPr="00167E42">
        <w:rPr>
          <w:spacing w:val="-4"/>
        </w:rPr>
        <w:t xml:space="preserve"> </w:t>
      </w:r>
      <w:r w:rsidRPr="00167E42">
        <w:t>to</w:t>
      </w:r>
      <w:r w:rsidRPr="00167E42">
        <w:rPr>
          <w:spacing w:val="-1"/>
        </w:rPr>
        <w:t xml:space="preserve"> </w:t>
      </w:r>
      <w:r w:rsidRPr="00167E42">
        <w:lastRenderedPageBreak/>
        <w:t>$</w:t>
      </w:r>
      <w:r w:rsidR="00167E42" w:rsidRPr="00167E42">
        <w:t>8</w:t>
      </w:r>
      <w:r w:rsidRPr="00167E42">
        <w:t>0.00</w:t>
      </w:r>
      <w:r w:rsidRPr="00167E42">
        <w:rPr>
          <w:spacing w:val="-4"/>
        </w:rPr>
        <w:t xml:space="preserve"> </w:t>
      </w:r>
      <w:r w:rsidR="00167E42">
        <w:t>(excludes DMD</w:t>
      </w:r>
      <w:r w:rsidR="004B68AD">
        <w:t>, DMDAS, MD, JD</w:t>
      </w:r>
      <w:r w:rsidR="001476F1">
        <w:t>,</w:t>
      </w:r>
      <w:r w:rsidR="004B68AD">
        <w:t xml:space="preserve"> and PharmD</w:t>
      </w:r>
      <w:r w:rsidR="004D3BB8">
        <w:t xml:space="preserve"> programs</w:t>
      </w:r>
      <w:r w:rsidR="004B68AD">
        <w:t>)</w:t>
      </w:r>
      <w:r w:rsidRPr="00167E42">
        <w:t>.</w:t>
      </w:r>
      <w:r w:rsidR="00167E42">
        <w:t xml:space="preserve"> </w:t>
      </w:r>
      <w:r w:rsidR="004D3BB8">
        <w:t>These fees apply to undergraduate and graduate applications regardless of residency.</w:t>
      </w:r>
    </w:p>
    <w:p w14:paraId="06A52654" w14:textId="5879ECDF" w:rsidR="004C4B95" w:rsidRDefault="00F10FC2" w:rsidP="001476F1">
      <w:pPr>
        <w:pStyle w:val="BodyText"/>
        <w:spacing w:line="480" w:lineRule="auto"/>
        <w:ind w:firstLine="1440"/>
      </w:pPr>
      <w:r>
        <w:t xml:space="preserve">The </w:t>
      </w:r>
      <w:r w:rsidR="00750982">
        <w:t>chancellor</w:t>
      </w:r>
      <w:r>
        <w:t xml:space="preserve">, University of Illinois Springfield, and </w:t>
      </w:r>
      <w:r w:rsidR="00750982">
        <w:t>v</w:t>
      </w:r>
      <w:r>
        <w:t xml:space="preserve">ice </w:t>
      </w:r>
      <w:r w:rsidR="00750982">
        <w:t>president</w:t>
      </w:r>
      <w:r>
        <w:t>, University of Illinois</w:t>
      </w:r>
      <w:r w:rsidR="00750982">
        <w:t xml:space="preserve"> System</w:t>
      </w:r>
      <w:r w:rsidR="001476F1">
        <w:t>,</w:t>
      </w:r>
      <w:r>
        <w:t xml:space="preserve"> recommend</w:t>
      </w:r>
      <w:r w:rsidR="001476F1">
        <w:t>s</w:t>
      </w:r>
      <w:r>
        <w:t xml:space="preserve"> an increase in the </w:t>
      </w:r>
      <w:r w:rsidR="004C4B95">
        <w:t>domestic</w:t>
      </w:r>
      <w:r>
        <w:t xml:space="preserve"> </w:t>
      </w:r>
      <w:r w:rsidR="004C4B95">
        <w:t xml:space="preserve">undergraduate </w:t>
      </w:r>
      <w:r>
        <w:t>application fee from $</w:t>
      </w:r>
      <w:r w:rsidR="004C4B95">
        <w:t>50</w:t>
      </w:r>
      <w:r w:rsidR="001476F1">
        <w:t>.00</w:t>
      </w:r>
      <w:r>
        <w:t xml:space="preserve"> to $</w:t>
      </w:r>
      <w:r w:rsidR="004C4B95">
        <w:t>60</w:t>
      </w:r>
      <w:r w:rsidR="001476F1">
        <w:t>.00</w:t>
      </w:r>
      <w:r w:rsidR="004C4B95">
        <w:t xml:space="preserve"> and an increase in the domestic graduate application fee from $60</w:t>
      </w:r>
      <w:r w:rsidR="001476F1">
        <w:t>.00</w:t>
      </w:r>
      <w:r w:rsidR="004C4B95">
        <w:t xml:space="preserve"> to $75</w:t>
      </w:r>
      <w:r w:rsidR="001476F1">
        <w:t>.00</w:t>
      </w:r>
      <w:r w:rsidR="004D3BB8">
        <w:t>. These increases will</w:t>
      </w:r>
      <w:r w:rsidR="00A6569C">
        <w:t xml:space="preserve"> mov</w:t>
      </w:r>
      <w:r w:rsidR="004D3BB8">
        <w:t>e to a single application fee</w:t>
      </w:r>
      <w:r w:rsidR="00A6569C">
        <w:t xml:space="preserve"> for undergraduate applications </w:t>
      </w:r>
      <w:r w:rsidR="004D3BB8">
        <w:t>and</w:t>
      </w:r>
      <w:r w:rsidR="00A6569C">
        <w:t xml:space="preserve"> </w:t>
      </w:r>
      <w:r w:rsidR="004D3BB8">
        <w:t xml:space="preserve">a single application fee for </w:t>
      </w:r>
      <w:r w:rsidR="00A6569C">
        <w:t>graduate applications regardless of residency</w:t>
      </w:r>
      <w:r w:rsidR="004C4B95">
        <w:t xml:space="preserve">. </w:t>
      </w:r>
      <w:r w:rsidR="000E6BDD">
        <w:t xml:space="preserve">Application fees </w:t>
      </w:r>
      <w:r w:rsidR="00AC5CDE">
        <w:t xml:space="preserve">for </w:t>
      </w:r>
      <w:r w:rsidR="000E6BDD">
        <w:t xml:space="preserve">UIS have not increased since 2010. </w:t>
      </w:r>
      <w:r w:rsidR="004C4B95">
        <w:t xml:space="preserve">UIS also recommends </w:t>
      </w:r>
      <w:r>
        <w:t xml:space="preserve">establishing a </w:t>
      </w:r>
      <w:r w:rsidR="000B514B">
        <w:t xml:space="preserve">new </w:t>
      </w:r>
      <w:r>
        <w:t>application fee of $</w:t>
      </w:r>
      <w:r w:rsidR="004C4B95">
        <w:t>25</w:t>
      </w:r>
      <w:r>
        <w:t xml:space="preserve"> for </w:t>
      </w:r>
      <w:r w:rsidR="00651AB4">
        <w:t xml:space="preserve">non-degree-seeking </w:t>
      </w:r>
      <w:r>
        <w:t>students.</w:t>
      </w:r>
      <w:r w:rsidR="004C4B95">
        <w:t xml:space="preserve"> There has been a significant increase in fraudulent non-degree applications, creating challenges for the admissions process. Establishing a </w:t>
      </w:r>
      <w:r w:rsidR="004D3BB8">
        <w:t xml:space="preserve">nominal </w:t>
      </w:r>
      <w:r w:rsidR="004C4B95">
        <w:t xml:space="preserve">fee will discourage </w:t>
      </w:r>
      <w:r w:rsidR="000B514B">
        <w:t xml:space="preserve">these nonviable </w:t>
      </w:r>
      <w:r w:rsidR="004C4B95">
        <w:t>submissions and help offset the costs associated with processing and monitoring applications.</w:t>
      </w:r>
      <w:r w:rsidR="000E6BDD">
        <w:t xml:space="preserve"> </w:t>
      </w:r>
    </w:p>
    <w:p w14:paraId="1C56B795" w14:textId="116CB022" w:rsidR="004E63D0" w:rsidRDefault="009C3BF5" w:rsidP="001476F1">
      <w:pPr>
        <w:pStyle w:val="BodyText"/>
        <w:spacing w:before="2" w:line="480" w:lineRule="auto"/>
        <w:ind w:firstLine="1440"/>
      </w:pPr>
      <w:r>
        <w:t>Incremental revenue from these increases will be used to offset the increasing costs of recruiting efforts and application processing.</w:t>
      </w:r>
      <w:r w:rsidR="001476F1">
        <w:t xml:space="preserve"> </w:t>
      </w:r>
      <w:r>
        <w:t>The rate changes are not</w:t>
      </w:r>
      <w:r>
        <w:rPr>
          <w:spacing w:val="-4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enrollments</w:t>
      </w:r>
      <w:r w:rsidR="000B514B">
        <w:t xml:space="preserve"> and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on applicants who cannot meet the cost due to financial hardship since the application fee may be waived for such persons.</w:t>
      </w:r>
      <w:r w:rsidR="00A6569C">
        <w:t xml:space="preserve"> </w:t>
      </w:r>
      <w:r>
        <w:t xml:space="preserve">These increases take effect upon approval by the </w:t>
      </w:r>
      <w:r>
        <w:rPr>
          <w:spacing w:val="-2"/>
        </w:rPr>
        <w:t>Board.</w:t>
      </w:r>
    </w:p>
    <w:p w14:paraId="45CD9017" w14:textId="77777777" w:rsidR="004E63D0" w:rsidRDefault="009C3BF5" w:rsidP="001476F1">
      <w:pPr>
        <w:spacing w:line="480" w:lineRule="auto"/>
        <w:ind w:firstLine="1440"/>
        <w:rPr>
          <w:sz w:val="26"/>
        </w:rPr>
      </w:pP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Board</w:t>
      </w:r>
      <w:r>
        <w:rPr>
          <w:spacing w:val="-1"/>
          <w:sz w:val="26"/>
        </w:rPr>
        <w:t xml:space="preserve"> </w:t>
      </w:r>
      <w:r>
        <w:rPr>
          <w:sz w:val="26"/>
        </w:rPr>
        <w:t>action</w:t>
      </w:r>
      <w:r>
        <w:rPr>
          <w:spacing w:val="-1"/>
          <w:sz w:val="26"/>
        </w:rPr>
        <w:t xml:space="preserve"> </w:t>
      </w:r>
      <w:r>
        <w:rPr>
          <w:sz w:val="26"/>
        </w:rPr>
        <w:t>recommended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this</w:t>
      </w:r>
      <w:r>
        <w:rPr>
          <w:spacing w:val="-1"/>
          <w:sz w:val="26"/>
        </w:rPr>
        <w:t xml:space="preserve"> </w:t>
      </w:r>
      <w:r>
        <w:rPr>
          <w:sz w:val="26"/>
        </w:rPr>
        <w:t>item</w:t>
      </w:r>
      <w:r>
        <w:rPr>
          <w:spacing w:val="-3"/>
          <w:sz w:val="26"/>
        </w:rPr>
        <w:t xml:space="preserve"> </w:t>
      </w:r>
      <w:r>
        <w:rPr>
          <w:sz w:val="26"/>
        </w:rPr>
        <w:t>complies</w:t>
      </w:r>
      <w:r>
        <w:rPr>
          <w:spacing w:val="-1"/>
          <w:sz w:val="26"/>
        </w:rPr>
        <w:t xml:space="preserve"> </w:t>
      </w:r>
      <w:r>
        <w:rPr>
          <w:sz w:val="26"/>
        </w:rPr>
        <w:t>in all material respects</w:t>
      </w:r>
      <w:r>
        <w:rPr>
          <w:spacing w:val="-5"/>
          <w:sz w:val="26"/>
        </w:rPr>
        <w:t xml:space="preserve"> </w:t>
      </w:r>
      <w:r>
        <w:rPr>
          <w:sz w:val="26"/>
        </w:rPr>
        <w:t>with</w:t>
      </w:r>
      <w:r>
        <w:rPr>
          <w:spacing w:val="-5"/>
          <w:sz w:val="26"/>
        </w:rPr>
        <w:t xml:space="preserve"> </w:t>
      </w:r>
      <w:r>
        <w:rPr>
          <w:sz w:val="26"/>
        </w:rPr>
        <w:t>applicable</w:t>
      </w:r>
      <w:r>
        <w:rPr>
          <w:spacing w:val="-5"/>
          <w:sz w:val="26"/>
        </w:rPr>
        <w:t xml:space="preserve"> </w:t>
      </w:r>
      <w:r>
        <w:rPr>
          <w:sz w:val="26"/>
        </w:rPr>
        <w:t>State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federal</w:t>
      </w:r>
      <w:r>
        <w:rPr>
          <w:spacing w:val="-5"/>
          <w:sz w:val="26"/>
        </w:rPr>
        <w:t xml:space="preserve"> </w:t>
      </w:r>
      <w:r>
        <w:rPr>
          <w:sz w:val="26"/>
        </w:rPr>
        <w:t>laws,</w:t>
      </w:r>
      <w:r>
        <w:rPr>
          <w:spacing w:val="-5"/>
          <w:sz w:val="26"/>
        </w:rPr>
        <w:t xml:space="preserve"> </w:t>
      </w:r>
      <w:r>
        <w:rPr>
          <w:sz w:val="26"/>
        </w:rPr>
        <w:t>University</w:t>
      </w:r>
      <w:r>
        <w:rPr>
          <w:spacing w:val="-8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Illinois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Statutes</w:t>
      </w:r>
      <w:r w:rsidRPr="001476F1">
        <w:rPr>
          <w:iCs/>
          <w:sz w:val="26"/>
        </w:rPr>
        <w:t>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 General Rules Concerning University Organization and Procedure</w:t>
      </w:r>
      <w:r w:rsidRPr="001476F1">
        <w:rPr>
          <w:iCs/>
          <w:sz w:val="26"/>
        </w:rPr>
        <w:t>,</w:t>
      </w:r>
      <w:r>
        <w:rPr>
          <w:i/>
          <w:sz w:val="26"/>
        </w:rPr>
        <w:t xml:space="preserve"> </w:t>
      </w:r>
      <w:r>
        <w:rPr>
          <w:sz w:val="26"/>
        </w:rPr>
        <w:t>and Board of Trustees policies and directives.</w:t>
      </w:r>
    </w:p>
    <w:p w14:paraId="7A1DAEB3" w14:textId="520E031C" w:rsidR="004E63D0" w:rsidRDefault="009C3BF5" w:rsidP="001476F1">
      <w:pPr>
        <w:pStyle w:val="BodyText"/>
        <w:spacing w:before="2" w:line="480" w:lineRule="auto"/>
        <w:ind w:firstLine="1440"/>
      </w:pPr>
      <w:r>
        <w:lastRenderedPageBreak/>
        <w:t>The</w:t>
      </w:r>
      <w:r w:rsidRPr="00A6569C">
        <w:t xml:space="preserve"> </w:t>
      </w:r>
      <w:r w:rsidR="00A6569C" w:rsidRPr="00A6569C">
        <w:t>executive v</w:t>
      </w:r>
      <w:r>
        <w:t>ice</w:t>
      </w:r>
      <w:r w:rsidRPr="00A6569C">
        <w:t xml:space="preserve"> </w:t>
      </w:r>
      <w:r w:rsidR="00A6569C" w:rsidRPr="00A6569C">
        <w:t>p</w:t>
      </w:r>
      <w:r>
        <w:t>resident</w:t>
      </w:r>
      <w:r w:rsidRPr="00A6569C">
        <w:t xml:space="preserve"> </w:t>
      </w:r>
      <w:r w:rsidR="00A6569C" w:rsidRPr="00A6569C">
        <w:t xml:space="preserve">and vice president </w:t>
      </w:r>
      <w:r>
        <w:t>for</w:t>
      </w:r>
      <w:r w:rsidRPr="00A6569C">
        <w:t xml:space="preserve"> </w:t>
      </w:r>
      <w:r w:rsidR="00A6569C" w:rsidRPr="00A6569C">
        <w:t>a</w:t>
      </w:r>
      <w:r>
        <w:t>cademic</w:t>
      </w:r>
      <w:r w:rsidRPr="00A6569C">
        <w:t xml:space="preserve"> </w:t>
      </w:r>
      <w:r w:rsidR="00A6569C" w:rsidRPr="00A6569C">
        <w:t>a</w:t>
      </w:r>
      <w:r>
        <w:t>ffairs</w:t>
      </w:r>
      <w:r w:rsidRPr="00A6569C">
        <w:t xml:space="preserve"> concurs</w:t>
      </w:r>
      <w:r w:rsidR="00A6569C" w:rsidRPr="00A6569C">
        <w:t xml:space="preserve"> with these recommendations.</w:t>
      </w:r>
    </w:p>
    <w:p w14:paraId="7CA34532" w14:textId="1D798EC5" w:rsidR="004E63D0" w:rsidRDefault="009C3BF5" w:rsidP="001476F1">
      <w:pPr>
        <w:pStyle w:val="BodyText"/>
        <w:spacing w:before="2" w:line="480" w:lineRule="auto"/>
        <w:ind w:firstLine="1440"/>
      </w:pPr>
      <w:r>
        <w:t>The</w:t>
      </w:r>
      <w:r w:rsidRPr="00A6569C">
        <w:t xml:space="preserve"> </w:t>
      </w:r>
      <w:r w:rsidR="00A6569C">
        <w:t>p</w:t>
      </w:r>
      <w:r>
        <w:t>resident</w:t>
      </w:r>
      <w:r w:rsidRPr="00A6569C">
        <w:t xml:space="preserve"> </w:t>
      </w:r>
      <w:r>
        <w:t>of</w:t>
      </w:r>
      <w:r w:rsidRPr="00A6569C">
        <w:t xml:space="preserve"> </w:t>
      </w:r>
      <w:r>
        <w:t>the</w:t>
      </w:r>
      <w:r w:rsidRPr="00A6569C">
        <w:t xml:space="preserve"> </w:t>
      </w:r>
      <w:r>
        <w:t>University</w:t>
      </w:r>
      <w:r w:rsidRPr="00A6569C">
        <w:t xml:space="preserve"> </w:t>
      </w:r>
      <w:r w:rsidR="00A6569C">
        <w:t xml:space="preserve">of Illinois System </w:t>
      </w:r>
      <w:r>
        <w:t>recommends</w:t>
      </w:r>
      <w:r w:rsidRPr="00A6569C">
        <w:t xml:space="preserve"> approval.</w:t>
      </w:r>
    </w:p>
    <w:sectPr w:rsidR="004E63D0" w:rsidSect="000E177D">
      <w:headerReference w:type="default" r:id="rId7"/>
      <w:pgSz w:w="12240" w:h="15840"/>
      <w:pgMar w:top="72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B6691" w14:textId="77777777" w:rsidR="005D4B3C" w:rsidRDefault="005D4B3C" w:rsidP="000E177D">
      <w:r>
        <w:separator/>
      </w:r>
    </w:p>
  </w:endnote>
  <w:endnote w:type="continuationSeparator" w:id="0">
    <w:p w14:paraId="06C35277" w14:textId="77777777" w:rsidR="005D4B3C" w:rsidRDefault="005D4B3C" w:rsidP="000E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B2052" w14:textId="77777777" w:rsidR="005D4B3C" w:rsidRDefault="005D4B3C" w:rsidP="000E177D">
      <w:r>
        <w:separator/>
      </w:r>
    </w:p>
  </w:footnote>
  <w:footnote w:type="continuationSeparator" w:id="0">
    <w:p w14:paraId="1C1CB068" w14:textId="77777777" w:rsidR="005D4B3C" w:rsidRDefault="005D4B3C" w:rsidP="000E1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9039542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92BC36B" w14:textId="22453616" w:rsidR="000E177D" w:rsidRPr="009910D7" w:rsidRDefault="000E177D">
        <w:pPr>
          <w:pStyle w:val="Header"/>
          <w:jc w:val="center"/>
          <w:rPr>
            <w:sz w:val="26"/>
            <w:szCs w:val="26"/>
          </w:rPr>
        </w:pPr>
        <w:r w:rsidRPr="009910D7">
          <w:rPr>
            <w:sz w:val="26"/>
            <w:szCs w:val="26"/>
          </w:rPr>
          <w:fldChar w:fldCharType="begin"/>
        </w:r>
        <w:r w:rsidRPr="009910D7">
          <w:rPr>
            <w:sz w:val="26"/>
            <w:szCs w:val="26"/>
          </w:rPr>
          <w:instrText xml:space="preserve"> PAGE   \* MERGEFORMAT </w:instrText>
        </w:r>
        <w:r w:rsidRPr="009910D7">
          <w:rPr>
            <w:sz w:val="26"/>
            <w:szCs w:val="26"/>
          </w:rPr>
          <w:fldChar w:fldCharType="separate"/>
        </w:r>
        <w:r w:rsidRPr="009910D7">
          <w:rPr>
            <w:noProof/>
            <w:sz w:val="26"/>
            <w:szCs w:val="26"/>
          </w:rPr>
          <w:t>2</w:t>
        </w:r>
        <w:r w:rsidRPr="009910D7">
          <w:rPr>
            <w:noProof/>
            <w:sz w:val="26"/>
            <w:szCs w:val="26"/>
          </w:rPr>
          <w:fldChar w:fldCharType="end"/>
        </w:r>
      </w:p>
    </w:sdtContent>
  </w:sdt>
  <w:p w14:paraId="09834229" w14:textId="77777777" w:rsidR="000E177D" w:rsidRPr="009910D7" w:rsidRDefault="000E177D">
    <w:pPr>
      <w:pStyle w:val="Head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D0"/>
    <w:rsid w:val="00040740"/>
    <w:rsid w:val="00051511"/>
    <w:rsid w:val="0005316A"/>
    <w:rsid w:val="00081EF2"/>
    <w:rsid w:val="000B514B"/>
    <w:rsid w:val="000E177D"/>
    <w:rsid w:val="000E6BDD"/>
    <w:rsid w:val="00106508"/>
    <w:rsid w:val="001476F1"/>
    <w:rsid w:val="00157BF1"/>
    <w:rsid w:val="00167E42"/>
    <w:rsid w:val="001A5BAF"/>
    <w:rsid w:val="001D4881"/>
    <w:rsid w:val="001D62F8"/>
    <w:rsid w:val="003F63D3"/>
    <w:rsid w:val="00415D8D"/>
    <w:rsid w:val="00481F1E"/>
    <w:rsid w:val="004B68AD"/>
    <w:rsid w:val="004C4B95"/>
    <w:rsid w:val="004D3BB8"/>
    <w:rsid w:val="004E63D0"/>
    <w:rsid w:val="0053610D"/>
    <w:rsid w:val="0057198D"/>
    <w:rsid w:val="005A7B10"/>
    <w:rsid w:val="005D4B3C"/>
    <w:rsid w:val="005E1075"/>
    <w:rsid w:val="00651AB4"/>
    <w:rsid w:val="00662B55"/>
    <w:rsid w:val="006C34FB"/>
    <w:rsid w:val="006D37AA"/>
    <w:rsid w:val="00750982"/>
    <w:rsid w:val="00797A76"/>
    <w:rsid w:val="009170C6"/>
    <w:rsid w:val="009208E1"/>
    <w:rsid w:val="00941D2C"/>
    <w:rsid w:val="00954CF3"/>
    <w:rsid w:val="009910D7"/>
    <w:rsid w:val="009B795C"/>
    <w:rsid w:val="009C3BF5"/>
    <w:rsid w:val="00A6569C"/>
    <w:rsid w:val="00AC5CDE"/>
    <w:rsid w:val="00B61A02"/>
    <w:rsid w:val="00B87991"/>
    <w:rsid w:val="00C84B0F"/>
    <w:rsid w:val="00CA712F"/>
    <w:rsid w:val="00CD73CF"/>
    <w:rsid w:val="00CF2C05"/>
    <w:rsid w:val="00DB64C0"/>
    <w:rsid w:val="00EB0086"/>
    <w:rsid w:val="00EE541D"/>
    <w:rsid w:val="00F10FC2"/>
    <w:rsid w:val="00FC33DD"/>
    <w:rsid w:val="00F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16286A"/>
  <w15:docId w15:val="{D42AF04F-A4D5-4330-8B06-B9A5DF71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59"/>
      <w:ind w:right="119"/>
      <w:jc w:val="right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17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77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E17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77D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750982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87AD2-103B-41E6-A846-8BC6FBCF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</vt:lpstr>
    </vt:vector>
  </TitlesOfParts>
  <Company>UIC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Gateway Customer</dc:creator>
  <cp:lastModifiedBy>Williams, Aubrie</cp:lastModifiedBy>
  <cp:revision>11</cp:revision>
  <dcterms:created xsi:type="dcterms:W3CDTF">2025-02-13T18:44:00Z</dcterms:created>
  <dcterms:modified xsi:type="dcterms:W3CDTF">2025-03-20T18:27:00Z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2024-12-05T00:00:00Z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D:20150715221156</vt:lpwstr>
  </property>
  <property fmtid="{D5CDD505-2E9C-101B-9397-08002B2CF9AE}" pid="7" name="GrammarlyDocumentId">
    <vt:lpwstr>5cf50eb6f49d40c95db4511b1eac3230909656e09b2221ced813982b6a8d108d</vt:lpwstr>
  </property>
</Properties>
</file>