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5FD15" w14:textId="77777777" w:rsidR="0048060B" w:rsidRDefault="0048060B" w:rsidP="00480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textAlignment w:val="baseline"/>
        <w:rPr>
          <w:color w:val="FF0000"/>
          <w:sz w:val="26"/>
          <w:szCs w:val="26"/>
        </w:rPr>
      </w:pPr>
      <w:bookmarkStart w:id="0" w:name="_Hlk77839959"/>
      <w:bookmarkStart w:id="1" w:name="_Hlk93577479"/>
      <w:r>
        <w:rPr>
          <w:color w:val="FF0000"/>
          <w:sz w:val="26"/>
          <w:szCs w:val="26"/>
        </w:rPr>
        <w:t>Approved by the Board of Trustees</w:t>
      </w:r>
    </w:p>
    <w:bookmarkEnd w:id="0"/>
    <w:bookmarkEnd w:id="1"/>
    <w:p w14:paraId="0B4AC4A8" w14:textId="77777777" w:rsidR="0048060B" w:rsidRDefault="0048060B" w:rsidP="0048060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textAlignment w:val="baseline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March 20, 2025</w:t>
      </w:r>
    </w:p>
    <w:p w14:paraId="53B82364" w14:textId="038FC359" w:rsidR="00074442" w:rsidRPr="00E415C7" w:rsidRDefault="00960214" w:rsidP="00074442">
      <w:pPr>
        <w:pStyle w:val="bdheading1"/>
        <w:rPr>
          <w:rFonts w:ascii="Times New Roman" w:hAnsi="Times New Roman"/>
          <w:szCs w:val="60"/>
        </w:rPr>
      </w:pPr>
      <w:r>
        <w:rPr>
          <w:rFonts w:ascii="Times New Roman" w:hAnsi="Times New Roman"/>
          <w:szCs w:val="60"/>
        </w:rPr>
        <w:t>18</w:t>
      </w:r>
    </w:p>
    <w:p w14:paraId="0960914B" w14:textId="77777777" w:rsidR="00E567CF" w:rsidRDefault="00E567CF" w:rsidP="00902709">
      <w:pPr>
        <w:pStyle w:val="BodyText"/>
        <w:spacing w:before="0"/>
        <w:ind w:left="7200" w:right="333"/>
        <w:jc w:val="right"/>
      </w:pPr>
    </w:p>
    <w:p w14:paraId="38C8CE2A" w14:textId="77777777" w:rsidR="00E567CF" w:rsidRDefault="00E567CF" w:rsidP="00902709">
      <w:pPr>
        <w:pStyle w:val="BodyText"/>
        <w:spacing w:before="0"/>
        <w:ind w:left="7200" w:right="333"/>
        <w:jc w:val="right"/>
      </w:pPr>
    </w:p>
    <w:p w14:paraId="5A328A52" w14:textId="060EFC4A" w:rsidR="009D3375" w:rsidRPr="00595677" w:rsidRDefault="00D77EE9" w:rsidP="00902709">
      <w:pPr>
        <w:pStyle w:val="BodyText"/>
        <w:spacing w:before="0"/>
        <w:ind w:left="7200" w:right="10"/>
      </w:pPr>
      <w:r w:rsidRPr="00595677">
        <w:t xml:space="preserve">Board Meeting </w:t>
      </w:r>
      <w:r w:rsidR="008F07B2">
        <w:t>March 20</w:t>
      </w:r>
      <w:r w:rsidR="002835B3" w:rsidRPr="00595677">
        <w:t xml:space="preserve">, </w:t>
      </w:r>
      <w:r w:rsidR="00597B05" w:rsidRPr="00595677">
        <w:t>202</w:t>
      </w:r>
      <w:r w:rsidR="00597B05">
        <w:t>5</w:t>
      </w:r>
      <w:r w:rsidR="00597B05" w:rsidRPr="00595677">
        <w:t xml:space="preserve"> </w:t>
      </w:r>
    </w:p>
    <w:p w14:paraId="5FF14135" w14:textId="77777777" w:rsidR="009D3375" w:rsidRPr="00595677" w:rsidRDefault="009D3375" w:rsidP="00902709">
      <w:pPr>
        <w:pStyle w:val="BodyText"/>
        <w:spacing w:before="0"/>
        <w:rPr>
          <w:sz w:val="20"/>
        </w:rPr>
      </w:pPr>
    </w:p>
    <w:p w14:paraId="455F6ACA" w14:textId="77777777" w:rsidR="009D3375" w:rsidRPr="00595677" w:rsidRDefault="009D3375" w:rsidP="00902709">
      <w:pPr>
        <w:pStyle w:val="BodyText"/>
        <w:spacing w:before="0"/>
        <w:rPr>
          <w:sz w:val="24"/>
        </w:rPr>
      </w:pPr>
    </w:p>
    <w:p w14:paraId="7890ADBB" w14:textId="77777777" w:rsidR="009D3375" w:rsidRPr="00595677" w:rsidRDefault="00F56700" w:rsidP="00902709">
      <w:pPr>
        <w:pStyle w:val="BodyText"/>
        <w:spacing w:before="0"/>
        <w:ind w:left="314" w:right="336"/>
        <w:jc w:val="center"/>
      </w:pPr>
      <w:r w:rsidRPr="00595677">
        <w:t>ROLL CALL</w:t>
      </w:r>
    </w:p>
    <w:p w14:paraId="6165E3C8" w14:textId="77777777" w:rsidR="009D3375" w:rsidRPr="00595677" w:rsidRDefault="009D3375" w:rsidP="00902709">
      <w:pPr>
        <w:pStyle w:val="BodyText"/>
        <w:spacing w:before="0"/>
        <w:rPr>
          <w:sz w:val="25"/>
        </w:rPr>
      </w:pPr>
    </w:p>
    <w:p w14:paraId="1CE04B72" w14:textId="3E2120EA" w:rsidR="009D3375" w:rsidRPr="00595677" w:rsidRDefault="0057528B" w:rsidP="00902709">
      <w:pPr>
        <w:pStyle w:val="BodyText"/>
        <w:spacing w:before="0"/>
        <w:ind w:left="319" w:right="336"/>
        <w:jc w:val="center"/>
      </w:pPr>
      <w:r w:rsidRPr="00595677">
        <w:t>APPROVE DESIGN</w:t>
      </w:r>
      <w:r w:rsidR="00197984" w:rsidRPr="00595677">
        <w:t xml:space="preserve"> </w:t>
      </w:r>
      <w:r w:rsidR="00615479">
        <w:t xml:space="preserve">AND </w:t>
      </w:r>
      <w:r w:rsidR="00AD4BBA">
        <w:t xml:space="preserve">AWARD </w:t>
      </w:r>
      <w:r w:rsidR="00615479">
        <w:t xml:space="preserve">CONSTRUCTION CONTRACT </w:t>
      </w:r>
      <w:r w:rsidR="00F56700" w:rsidRPr="00595677">
        <w:t xml:space="preserve">FOR </w:t>
      </w:r>
      <w:r w:rsidR="007F4330" w:rsidRPr="00595677">
        <w:t>DORIS KELLEY CHRISTOPHER ILLINOIS EXTENSION CENTER</w:t>
      </w:r>
      <w:r w:rsidR="00F56700" w:rsidRPr="00595677">
        <w:t>, URBANA</w:t>
      </w:r>
    </w:p>
    <w:p w14:paraId="63BB1B72" w14:textId="77777777" w:rsidR="009D3375" w:rsidRPr="00595677" w:rsidRDefault="009D3375" w:rsidP="00902709">
      <w:pPr>
        <w:pStyle w:val="BodyText"/>
        <w:spacing w:before="0"/>
        <w:rPr>
          <w:sz w:val="25"/>
        </w:rPr>
      </w:pPr>
    </w:p>
    <w:p w14:paraId="1C18C5C0" w14:textId="77777777" w:rsidR="00074442" w:rsidRPr="00595677" w:rsidRDefault="00074442" w:rsidP="00902709">
      <w:pPr>
        <w:pStyle w:val="BodyText"/>
        <w:spacing w:before="0"/>
        <w:rPr>
          <w:sz w:val="25"/>
        </w:rPr>
      </w:pPr>
    </w:p>
    <w:p w14:paraId="7D670859" w14:textId="694BFF0A" w:rsidR="009D3375" w:rsidRPr="00595677" w:rsidRDefault="00F56700" w:rsidP="00902709">
      <w:pPr>
        <w:pStyle w:val="BodyText"/>
        <w:tabs>
          <w:tab w:val="left" w:pos="1540"/>
        </w:tabs>
        <w:spacing w:before="0"/>
        <w:ind w:left="1540" w:right="333" w:hanging="1441"/>
      </w:pPr>
      <w:r w:rsidRPr="00595677">
        <w:rPr>
          <w:b/>
        </w:rPr>
        <w:t>Action:</w:t>
      </w:r>
      <w:r w:rsidRPr="00595677">
        <w:rPr>
          <w:b/>
        </w:rPr>
        <w:tab/>
      </w:r>
      <w:r w:rsidR="00235E06" w:rsidRPr="00595677">
        <w:t>Approve Design</w:t>
      </w:r>
      <w:r w:rsidR="00197984" w:rsidRPr="00595677">
        <w:t xml:space="preserve"> </w:t>
      </w:r>
      <w:r w:rsidR="00130F46">
        <w:t xml:space="preserve">and </w:t>
      </w:r>
      <w:r w:rsidR="00902709">
        <w:t xml:space="preserve">Award </w:t>
      </w:r>
      <w:r w:rsidR="00130F46">
        <w:t xml:space="preserve">Construction Contract </w:t>
      </w:r>
      <w:r w:rsidRPr="00595677">
        <w:t xml:space="preserve">for </w:t>
      </w:r>
      <w:r w:rsidR="007F4330" w:rsidRPr="00595677">
        <w:t>Doris Kelley Christopher Illinois Extension</w:t>
      </w:r>
      <w:r w:rsidR="003354F9" w:rsidRPr="00595677">
        <w:t xml:space="preserve"> </w:t>
      </w:r>
      <w:r w:rsidR="007F4330" w:rsidRPr="00595677">
        <w:t>Center</w:t>
      </w:r>
      <w:r w:rsidR="003354F9" w:rsidRPr="00595677">
        <w:t xml:space="preserve"> </w:t>
      </w:r>
    </w:p>
    <w:p w14:paraId="74B847F9" w14:textId="77777777" w:rsidR="009D3375" w:rsidRPr="00595677" w:rsidRDefault="009D3375" w:rsidP="00902709">
      <w:pPr>
        <w:pStyle w:val="BodyText"/>
        <w:spacing w:before="0"/>
        <w:rPr>
          <w:sz w:val="25"/>
        </w:rPr>
      </w:pPr>
    </w:p>
    <w:p w14:paraId="5CAE0F38" w14:textId="22516655" w:rsidR="009D3375" w:rsidRPr="00595677" w:rsidRDefault="00F56700" w:rsidP="00902709">
      <w:pPr>
        <w:pStyle w:val="BodyText"/>
        <w:tabs>
          <w:tab w:val="left" w:pos="1540"/>
        </w:tabs>
        <w:spacing w:before="0"/>
        <w:ind w:left="1530" w:hanging="1430"/>
      </w:pPr>
      <w:r w:rsidRPr="00595677">
        <w:rPr>
          <w:b/>
        </w:rPr>
        <w:t>Funding:</w:t>
      </w:r>
      <w:r w:rsidRPr="00595677">
        <w:rPr>
          <w:b/>
        </w:rPr>
        <w:tab/>
      </w:r>
      <w:r w:rsidR="00112ED2" w:rsidRPr="00595677">
        <w:t>Gift Funds</w:t>
      </w:r>
      <w:r w:rsidR="00F12264" w:rsidRPr="00595677">
        <w:t xml:space="preserve"> </w:t>
      </w:r>
    </w:p>
    <w:p w14:paraId="1C8AC99D" w14:textId="77777777" w:rsidR="009D3375" w:rsidRPr="00595677" w:rsidRDefault="009D3375" w:rsidP="00902709">
      <w:pPr>
        <w:pStyle w:val="BodyText"/>
        <w:spacing w:before="0"/>
      </w:pPr>
    </w:p>
    <w:p w14:paraId="13653F97" w14:textId="77777777" w:rsidR="00074442" w:rsidRPr="00595677" w:rsidRDefault="00074442" w:rsidP="00902709">
      <w:pPr>
        <w:pStyle w:val="BodyText"/>
        <w:spacing w:before="0"/>
      </w:pPr>
    </w:p>
    <w:p w14:paraId="48C4371F" w14:textId="271F60BD" w:rsidR="00E567CF" w:rsidRDefault="002D4CE5" w:rsidP="00D24F59">
      <w:pPr>
        <w:spacing w:line="480" w:lineRule="auto"/>
        <w:ind w:firstLine="1501"/>
        <w:rPr>
          <w:sz w:val="26"/>
          <w:szCs w:val="26"/>
        </w:rPr>
      </w:pPr>
      <w:r w:rsidRPr="00595677">
        <w:rPr>
          <w:sz w:val="26"/>
          <w:szCs w:val="26"/>
        </w:rPr>
        <w:t>I</w:t>
      </w:r>
      <w:r w:rsidR="00F12264" w:rsidRPr="00595677">
        <w:rPr>
          <w:sz w:val="26"/>
          <w:szCs w:val="26"/>
        </w:rPr>
        <w:t>n</w:t>
      </w:r>
      <w:r w:rsidR="00F56700" w:rsidRPr="00595677">
        <w:rPr>
          <w:sz w:val="26"/>
          <w:szCs w:val="26"/>
        </w:rPr>
        <w:t xml:space="preserve"> </w:t>
      </w:r>
      <w:r w:rsidR="00614F38" w:rsidRPr="00595677">
        <w:rPr>
          <w:sz w:val="26"/>
          <w:szCs w:val="26"/>
        </w:rPr>
        <w:t>September 2021</w:t>
      </w:r>
      <w:r w:rsidR="00F56700" w:rsidRPr="00595677">
        <w:rPr>
          <w:sz w:val="26"/>
          <w:szCs w:val="26"/>
        </w:rPr>
        <w:t>, the Board</w:t>
      </w:r>
      <w:r w:rsidR="00E567CF">
        <w:rPr>
          <w:sz w:val="26"/>
          <w:szCs w:val="26"/>
        </w:rPr>
        <w:t xml:space="preserve"> of Trustees</w:t>
      </w:r>
      <w:r w:rsidR="00F56700" w:rsidRPr="00595677">
        <w:rPr>
          <w:sz w:val="26"/>
          <w:szCs w:val="26"/>
        </w:rPr>
        <w:t xml:space="preserve"> approved </w:t>
      </w:r>
      <w:r w:rsidR="00F56700" w:rsidRPr="00595677">
        <w:rPr>
          <w:color w:val="000000" w:themeColor="text1"/>
          <w:sz w:val="26"/>
          <w:szCs w:val="26"/>
        </w:rPr>
        <w:t>the $</w:t>
      </w:r>
      <w:r w:rsidR="00614F38" w:rsidRPr="00595677">
        <w:rPr>
          <w:color w:val="000000" w:themeColor="text1"/>
          <w:sz w:val="26"/>
          <w:szCs w:val="26"/>
        </w:rPr>
        <w:t>40</w:t>
      </w:r>
      <w:r w:rsidR="00AD4BBA">
        <w:rPr>
          <w:color w:val="000000" w:themeColor="text1"/>
          <w:sz w:val="26"/>
          <w:szCs w:val="26"/>
        </w:rPr>
        <w:t>.0</w:t>
      </w:r>
      <w:r w:rsidR="00F12264" w:rsidRPr="00595677">
        <w:rPr>
          <w:color w:val="000000" w:themeColor="text1"/>
          <w:sz w:val="26"/>
          <w:szCs w:val="26"/>
        </w:rPr>
        <w:t xml:space="preserve"> million</w:t>
      </w:r>
      <w:r w:rsidR="00B4465D" w:rsidRPr="00595677">
        <w:rPr>
          <w:color w:val="000000" w:themeColor="text1"/>
          <w:sz w:val="26"/>
          <w:szCs w:val="26"/>
        </w:rPr>
        <w:t xml:space="preserve"> </w:t>
      </w:r>
      <w:r w:rsidR="00614F38" w:rsidRPr="00595677">
        <w:rPr>
          <w:sz w:val="26"/>
          <w:szCs w:val="26"/>
        </w:rPr>
        <w:t>Doris Kelley Christopher Illinois Extension Center</w:t>
      </w:r>
      <w:r w:rsidR="00F56700" w:rsidRPr="00595677">
        <w:rPr>
          <w:sz w:val="26"/>
          <w:szCs w:val="26"/>
        </w:rPr>
        <w:t xml:space="preserve"> project.</w:t>
      </w:r>
      <w:r w:rsidR="001C1295" w:rsidRPr="00595677">
        <w:rPr>
          <w:sz w:val="26"/>
          <w:szCs w:val="26"/>
        </w:rPr>
        <w:t xml:space="preserve"> </w:t>
      </w:r>
      <w:r w:rsidR="00AD4BBA">
        <w:rPr>
          <w:sz w:val="26"/>
          <w:szCs w:val="26"/>
        </w:rPr>
        <w:t>The project’s design was approved by the Board in May 2023.</w:t>
      </w:r>
      <w:bookmarkStart w:id="2" w:name="_Hlk131578363"/>
      <w:r w:rsidR="00AD4BBA">
        <w:rPr>
          <w:sz w:val="26"/>
          <w:szCs w:val="26"/>
        </w:rPr>
        <w:t xml:space="preserve"> </w:t>
      </w:r>
      <w:r w:rsidR="00597B05">
        <w:rPr>
          <w:sz w:val="26"/>
          <w:szCs w:val="26"/>
        </w:rPr>
        <w:t>Construction</w:t>
      </w:r>
      <w:r w:rsidR="00595677" w:rsidRPr="00595677">
        <w:rPr>
          <w:sz w:val="26"/>
          <w:szCs w:val="26"/>
        </w:rPr>
        <w:t xml:space="preserve"> bids</w:t>
      </w:r>
      <w:r w:rsidR="00597B05" w:rsidRPr="00595677">
        <w:rPr>
          <w:sz w:val="26"/>
          <w:szCs w:val="26"/>
        </w:rPr>
        <w:t xml:space="preserve"> </w:t>
      </w:r>
      <w:r w:rsidR="00595677" w:rsidRPr="00595677">
        <w:rPr>
          <w:sz w:val="26"/>
          <w:szCs w:val="26"/>
        </w:rPr>
        <w:t xml:space="preserve">received in February 2024 </w:t>
      </w:r>
      <w:r w:rsidR="00597B05">
        <w:rPr>
          <w:sz w:val="26"/>
          <w:szCs w:val="26"/>
        </w:rPr>
        <w:t xml:space="preserve">exceeded </w:t>
      </w:r>
      <w:r w:rsidR="00595677" w:rsidRPr="00595677">
        <w:rPr>
          <w:sz w:val="26"/>
          <w:szCs w:val="26"/>
        </w:rPr>
        <w:t xml:space="preserve">funds available for construction, </w:t>
      </w:r>
      <w:r w:rsidR="00597B05">
        <w:rPr>
          <w:sz w:val="26"/>
          <w:szCs w:val="26"/>
        </w:rPr>
        <w:t xml:space="preserve">and </w:t>
      </w:r>
      <w:r w:rsidR="00595677" w:rsidRPr="00595677">
        <w:rPr>
          <w:sz w:val="26"/>
          <w:szCs w:val="26"/>
        </w:rPr>
        <w:t>a value engineering redesign phase was initiated.</w:t>
      </w:r>
      <w:bookmarkEnd w:id="2"/>
      <w:r w:rsidR="00902709">
        <w:rPr>
          <w:sz w:val="26"/>
          <w:szCs w:val="26"/>
        </w:rPr>
        <w:t xml:space="preserve"> </w:t>
      </w:r>
      <w:r w:rsidR="00595677" w:rsidRPr="00595677">
        <w:rPr>
          <w:sz w:val="26"/>
          <w:szCs w:val="26"/>
        </w:rPr>
        <w:t xml:space="preserve">The </w:t>
      </w:r>
      <w:r w:rsidR="00597B05">
        <w:rPr>
          <w:sz w:val="26"/>
          <w:szCs w:val="26"/>
        </w:rPr>
        <w:t>redesign exercise</w:t>
      </w:r>
      <w:r w:rsidR="00597B05" w:rsidRPr="00595677">
        <w:rPr>
          <w:sz w:val="26"/>
          <w:szCs w:val="26"/>
        </w:rPr>
        <w:t xml:space="preserve"> </w:t>
      </w:r>
      <w:r w:rsidR="00595677" w:rsidRPr="00595677">
        <w:rPr>
          <w:sz w:val="26"/>
          <w:szCs w:val="26"/>
        </w:rPr>
        <w:t xml:space="preserve">successfully removed </w:t>
      </w:r>
      <w:r w:rsidR="00597B05">
        <w:rPr>
          <w:sz w:val="26"/>
          <w:szCs w:val="26"/>
        </w:rPr>
        <w:t>$</w:t>
      </w:r>
      <w:r w:rsidR="00595677" w:rsidRPr="00595677">
        <w:rPr>
          <w:sz w:val="26"/>
          <w:szCs w:val="26"/>
        </w:rPr>
        <w:t>14</w:t>
      </w:r>
      <w:r w:rsidR="00AD4BBA">
        <w:rPr>
          <w:sz w:val="26"/>
          <w:szCs w:val="26"/>
        </w:rPr>
        <w:t>.0</w:t>
      </w:r>
      <w:r w:rsidR="00595677" w:rsidRPr="00595677">
        <w:rPr>
          <w:sz w:val="26"/>
          <w:szCs w:val="26"/>
        </w:rPr>
        <w:t xml:space="preserve"> million of scope while </w:t>
      </w:r>
      <w:r w:rsidR="00597B05">
        <w:rPr>
          <w:sz w:val="26"/>
          <w:szCs w:val="26"/>
        </w:rPr>
        <w:t xml:space="preserve">preserving planned </w:t>
      </w:r>
      <w:r w:rsidR="00595677" w:rsidRPr="00595677">
        <w:rPr>
          <w:sz w:val="26"/>
          <w:szCs w:val="26"/>
        </w:rPr>
        <w:t xml:space="preserve">program space. </w:t>
      </w:r>
      <w:r w:rsidR="00597B05">
        <w:rPr>
          <w:sz w:val="26"/>
          <w:szCs w:val="26"/>
        </w:rPr>
        <w:t>Revisions include a reduced site impact, modified mechanical systems, and a redesigned exterior envelope.</w:t>
      </w:r>
      <w:r w:rsidR="00595677" w:rsidRPr="00595677">
        <w:rPr>
          <w:sz w:val="26"/>
          <w:szCs w:val="26"/>
        </w:rPr>
        <w:t xml:space="preserve"> </w:t>
      </w:r>
    </w:p>
    <w:p w14:paraId="303A8B9F" w14:textId="2DBAAAE6" w:rsidR="00CE220E" w:rsidRDefault="00902709" w:rsidP="00D24F59">
      <w:pPr>
        <w:spacing w:line="480" w:lineRule="auto"/>
        <w:ind w:firstLine="1501"/>
        <w:rPr>
          <w:sz w:val="26"/>
          <w:szCs w:val="26"/>
        </w:rPr>
      </w:pPr>
      <w:r>
        <w:rPr>
          <w:sz w:val="26"/>
          <w:szCs w:val="26"/>
        </w:rPr>
        <w:t>For</w:t>
      </w:r>
      <w:r w:rsidR="00CE220E" w:rsidRPr="00595677">
        <w:rPr>
          <w:sz w:val="26"/>
          <w:szCs w:val="26"/>
        </w:rPr>
        <w:t xml:space="preserve"> the project to proceed, it is necessary to approve the </w:t>
      </w:r>
      <w:r w:rsidR="00595677" w:rsidRPr="00595677">
        <w:rPr>
          <w:sz w:val="26"/>
          <w:szCs w:val="26"/>
        </w:rPr>
        <w:t>re</w:t>
      </w:r>
      <w:r w:rsidR="00CE220E" w:rsidRPr="00595677">
        <w:rPr>
          <w:sz w:val="26"/>
          <w:szCs w:val="26"/>
        </w:rPr>
        <w:t>design. The design meets all campus building standards, including the American</w:t>
      </w:r>
      <w:r w:rsidR="00E64164">
        <w:rPr>
          <w:sz w:val="26"/>
          <w:szCs w:val="26"/>
        </w:rPr>
        <w:t>s</w:t>
      </w:r>
      <w:r w:rsidR="00CE220E" w:rsidRPr="00595677">
        <w:rPr>
          <w:sz w:val="26"/>
          <w:szCs w:val="26"/>
        </w:rPr>
        <w:t xml:space="preserve"> with Disabilities Act, accessibility</w:t>
      </w:r>
      <w:r w:rsidR="00E64164">
        <w:rPr>
          <w:sz w:val="26"/>
          <w:szCs w:val="26"/>
        </w:rPr>
        <w:t>,</w:t>
      </w:r>
      <w:r w:rsidR="00CE220E" w:rsidRPr="00595677">
        <w:rPr>
          <w:sz w:val="26"/>
          <w:szCs w:val="26"/>
        </w:rPr>
        <w:t xml:space="preserve"> and applicable State and Federal standards</w:t>
      </w:r>
      <w:r w:rsidR="00E64164">
        <w:rPr>
          <w:sz w:val="26"/>
          <w:szCs w:val="26"/>
        </w:rPr>
        <w:t>,</w:t>
      </w:r>
      <w:r w:rsidR="00CE220E" w:rsidRPr="00595677">
        <w:rPr>
          <w:sz w:val="26"/>
          <w:szCs w:val="26"/>
        </w:rPr>
        <w:t xml:space="preserve"> and is within the approved budget.</w:t>
      </w:r>
    </w:p>
    <w:p w14:paraId="31500A64" w14:textId="010A71C4" w:rsidR="00764FD0" w:rsidRPr="00E567CF" w:rsidRDefault="00764FD0" w:rsidP="00764FD0">
      <w:pPr>
        <w:spacing w:line="480" w:lineRule="auto"/>
        <w:ind w:left="119" w:right="810" w:firstLine="1440"/>
        <w:rPr>
          <w:sz w:val="26"/>
          <w:szCs w:val="26"/>
        </w:rPr>
      </w:pPr>
      <w:r w:rsidRPr="00E567CF">
        <w:rPr>
          <w:sz w:val="26"/>
          <w:szCs w:val="26"/>
        </w:rPr>
        <w:t xml:space="preserve">The chancellor, University of Illinois Urbana-Champaign, and vice </w:t>
      </w:r>
      <w:r w:rsidRPr="00E567CF">
        <w:rPr>
          <w:sz w:val="26"/>
          <w:szCs w:val="26"/>
        </w:rPr>
        <w:lastRenderedPageBreak/>
        <w:t>president, University of Illinois System, with the concurrence of the appropriate administrative officers</w:t>
      </w:r>
      <w:r w:rsidR="00902709">
        <w:rPr>
          <w:sz w:val="26"/>
          <w:szCs w:val="26"/>
        </w:rPr>
        <w:t>,</w:t>
      </w:r>
      <w:r w:rsidRPr="00E567CF">
        <w:rPr>
          <w:sz w:val="26"/>
          <w:szCs w:val="26"/>
        </w:rPr>
        <w:t xml:space="preserve"> recommend</w:t>
      </w:r>
      <w:r w:rsidR="00902709">
        <w:rPr>
          <w:sz w:val="26"/>
          <w:szCs w:val="26"/>
        </w:rPr>
        <w:t>s</w:t>
      </w:r>
      <w:r w:rsidRPr="00E567CF">
        <w:rPr>
          <w:sz w:val="26"/>
          <w:szCs w:val="26"/>
        </w:rPr>
        <w:t xml:space="preserve"> that the</w:t>
      </w:r>
      <w:r w:rsidRPr="00F00200">
        <w:rPr>
          <w:sz w:val="26"/>
          <w:szCs w:val="26"/>
        </w:rPr>
        <w:t xml:space="preserve"> Doris Kelley Christopher Illinois Extension Center</w:t>
      </w:r>
      <w:r w:rsidRPr="00E567C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design </w:t>
      </w:r>
      <w:r w:rsidRPr="00E567CF">
        <w:rPr>
          <w:sz w:val="26"/>
          <w:szCs w:val="26"/>
        </w:rPr>
        <w:t>be approved</w:t>
      </w:r>
      <w:r>
        <w:rPr>
          <w:sz w:val="26"/>
          <w:szCs w:val="26"/>
        </w:rPr>
        <w:t>.</w:t>
      </w:r>
    </w:p>
    <w:p w14:paraId="233E9AF4" w14:textId="13C771BE" w:rsidR="00130F46" w:rsidRDefault="00AD4BBA" w:rsidP="00AD4BBA">
      <w:pPr>
        <w:pStyle w:val="BodyText"/>
        <w:spacing w:line="480" w:lineRule="auto"/>
        <w:ind w:firstLine="1440"/>
      </w:pPr>
      <w:r>
        <w:t>Pursuant to the donor’s request, a general contractor was selected to serve as a</w:t>
      </w:r>
      <w:r w:rsidR="00130F46">
        <w:t xml:space="preserve"> C</w:t>
      </w:r>
      <w:r w:rsidR="00753642">
        <w:t xml:space="preserve">onstruction </w:t>
      </w:r>
      <w:r w:rsidR="00130F46">
        <w:t>M</w:t>
      </w:r>
      <w:r w:rsidR="00753642">
        <w:t>anager</w:t>
      </w:r>
      <w:r w:rsidR="00130F46">
        <w:t xml:space="preserve"> at Risk and provide pre-construction services to facilitate the redesign</w:t>
      </w:r>
      <w:r>
        <w:t xml:space="preserve"> </w:t>
      </w:r>
      <w:r w:rsidR="00130F46">
        <w:t>and bring the project back within the budget.</w:t>
      </w:r>
      <w:r w:rsidR="00902709">
        <w:t xml:space="preserve"> </w:t>
      </w:r>
      <w:r w:rsidR="00130F46">
        <w:t xml:space="preserve">The process was successful, </w:t>
      </w:r>
      <w:r>
        <w:t xml:space="preserve">allowing the </w:t>
      </w:r>
      <w:r w:rsidR="00902709">
        <w:t>c</w:t>
      </w:r>
      <w:r>
        <w:t>enter to</w:t>
      </w:r>
      <w:r w:rsidR="00130F46">
        <w:t xml:space="preserve"> maintain the same </w:t>
      </w:r>
      <w:r w:rsidR="00495362">
        <w:t>programmatic</w:t>
      </w:r>
      <w:r w:rsidR="00130F46">
        <w:t xml:space="preserve"> space as the original design</w:t>
      </w:r>
      <w:r>
        <w:t>,</w:t>
      </w:r>
      <w:r w:rsidR="00130F46">
        <w:t xml:space="preserve"> while cutting </w:t>
      </w:r>
      <w:r w:rsidR="00753642">
        <w:t>$</w:t>
      </w:r>
      <w:r w:rsidR="00130F46">
        <w:t>14</w:t>
      </w:r>
      <w:r>
        <w:t>.0</w:t>
      </w:r>
      <w:r w:rsidR="00130F46">
        <w:t xml:space="preserve"> million from the </w:t>
      </w:r>
      <w:r>
        <w:t>expected cost of construction</w:t>
      </w:r>
      <w:r w:rsidR="00130F46">
        <w:t xml:space="preserve">. </w:t>
      </w:r>
      <w:r w:rsidR="00495362">
        <w:t>As a result</w:t>
      </w:r>
      <w:r>
        <w:t xml:space="preserve"> of these efforts, the university is prepared to award a </w:t>
      </w:r>
      <w:r w:rsidR="00495362" w:rsidRPr="00D24F59">
        <w:t>C</w:t>
      </w:r>
      <w:r w:rsidRPr="00D24F59">
        <w:t xml:space="preserve">onstruction </w:t>
      </w:r>
      <w:r w:rsidR="00495362" w:rsidRPr="00D24F59">
        <w:t>M</w:t>
      </w:r>
      <w:r w:rsidRPr="00D24F59">
        <w:t xml:space="preserve">anager </w:t>
      </w:r>
      <w:r w:rsidR="00495362" w:rsidRPr="00D24F59">
        <w:t>at</w:t>
      </w:r>
      <w:r w:rsidRPr="00D24F59">
        <w:t xml:space="preserve"> </w:t>
      </w:r>
      <w:r w:rsidR="00495362" w:rsidRPr="00D24F59">
        <w:t>Risk</w:t>
      </w:r>
      <w:r w:rsidR="00495362">
        <w:t xml:space="preserve"> </w:t>
      </w:r>
      <w:r w:rsidR="00A734AC">
        <w:t xml:space="preserve">contract </w:t>
      </w:r>
      <w:r>
        <w:t>to Broeren Russo Builders</w:t>
      </w:r>
      <w:r w:rsidR="00C07D17">
        <w:t>, Inc.</w:t>
      </w:r>
      <w:r>
        <w:t xml:space="preserve"> of Champaign, I</w:t>
      </w:r>
      <w:r w:rsidR="00E64164">
        <w:t>L</w:t>
      </w:r>
      <w:r>
        <w:t xml:space="preserve"> with a contract value </w:t>
      </w:r>
      <w:r w:rsidR="00D24F59" w:rsidRPr="00D24F59">
        <w:t>$29,993,556.</w:t>
      </w:r>
    </w:p>
    <w:p w14:paraId="48929058" w14:textId="53D8F393" w:rsidR="00764FD0" w:rsidRPr="00E567CF" w:rsidRDefault="00764FD0" w:rsidP="00154CED">
      <w:pPr>
        <w:spacing w:before="10" w:line="480" w:lineRule="auto"/>
        <w:ind w:left="115" w:firstLine="1440"/>
        <w:rPr>
          <w:sz w:val="26"/>
          <w:szCs w:val="26"/>
        </w:rPr>
      </w:pPr>
      <w:r>
        <w:rPr>
          <w:sz w:val="26"/>
          <w:szCs w:val="26"/>
        </w:rPr>
        <w:t>Accordingly, t</w:t>
      </w:r>
      <w:r w:rsidRPr="00E567CF">
        <w:rPr>
          <w:sz w:val="26"/>
          <w:szCs w:val="26"/>
        </w:rPr>
        <w:t>he chancellor, University of Illinois Urbana-Champaign, and vice president, University of Illinois System, with the concurrence of the appropriate administrative officers</w:t>
      </w:r>
      <w:r w:rsidR="00902709">
        <w:rPr>
          <w:sz w:val="26"/>
          <w:szCs w:val="26"/>
        </w:rPr>
        <w:t>,</w:t>
      </w:r>
      <w:r w:rsidRPr="00E567CF">
        <w:rPr>
          <w:sz w:val="26"/>
          <w:szCs w:val="26"/>
        </w:rPr>
        <w:t xml:space="preserve"> recommend</w:t>
      </w:r>
      <w:r w:rsidR="00902709">
        <w:rPr>
          <w:sz w:val="26"/>
          <w:szCs w:val="26"/>
        </w:rPr>
        <w:t>s</w:t>
      </w:r>
      <w:r w:rsidRPr="00E567CF">
        <w:rPr>
          <w:sz w:val="26"/>
          <w:szCs w:val="26"/>
        </w:rPr>
        <w:t xml:space="preserve"> that the</w:t>
      </w:r>
      <w:r w:rsidRPr="00F00200">
        <w:rPr>
          <w:sz w:val="26"/>
          <w:szCs w:val="26"/>
        </w:rPr>
        <w:t xml:space="preserve"> </w:t>
      </w:r>
      <w:r>
        <w:rPr>
          <w:sz w:val="26"/>
          <w:szCs w:val="26"/>
        </w:rPr>
        <w:t>construction contract</w:t>
      </w:r>
      <w:r w:rsidRPr="00E567CF">
        <w:rPr>
          <w:sz w:val="26"/>
          <w:szCs w:val="26"/>
        </w:rPr>
        <w:t xml:space="preserve"> be approved</w:t>
      </w:r>
      <w:r>
        <w:rPr>
          <w:sz w:val="26"/>
          <w:szCs w:val="26"/>
        </w:rPr>
        <w:t xml:space="preserve"> in the amount of $29,993,556</w:t>
      </w:r>
      <w:r w:rsidRPr="00E567CF">
        <w:rPr>
          <w:sz w:val="26"/>
          <w:szCs w:val="26"/>
        </w:rPr>
        <w:t>.</w:t>
      </w:r>
    </w:p>
    <w:p w14:paraId="330BB504" w14:textId="1272A85C" w:rsidR="004A1E07" w:rsidRPr="00595677" w:rsidRDefault="00CE220E" w:rsidP="00154CED">
      <w:pPr>
        <w:tabs>
          <w:tab w:val="left" w:pos="8550"/>
        </w:tabs>
        <w:spacing w:before="10" w:line="480" w:lineRule="auto"/>
        <w:ind w:firstLine="1440"/>
        <w:rPr>
          <w:sz w:val="26"/>
          <w:szCs w:val="26"/>
        </w:rPr>
      </w:pPr>
      <w:r w:rsidRPr="00595677">
        <w:rPr>
          <w:sz w:val="26"/>
          <w:szCs w:val="26"/>
        </w:rPr>
        <w:t xml:space="preserve">The </w:t>
      </w:r>
      <w:r w:rsidR="00E567CF">
        <w:rPr>
          <w:sz w:val="26"/>
          <w:szCs w:val="26"/>
        </w:rPr>
        <w:t>B</w:t>
      </w:r>
      <w:r w:rsidRPr="00595677">
        <w:rPr>
          <w:sz w:val="26"/>
          <w:szCs w:val="26"/>
        </w:rPr>
        <w:t xml:space="preserve">oard action recommended in this item complies in all material respects with applicable State and federal laws, University of Illinois </w:t>
      </w:r>
      <w:r w:rsidRPr="00595677">
        <w:rPr>
          <w:i/>
          <w:sz w:val="26"/>
          <w:szCs w:val="26"/>
        </w:rPr>
        <w:t>Statues</w:t>
      </w:r>
      <w:r w:rsidRPr="00E64164">
        <w:rPr>
          <w:iCs/>
          <w:sz w:val="26"/>
          <w:szCs w:val="26"/>
        </w:rPr>
        <w:t>,</w:t>
      </w:r>
      <w:r w:rsidRPr="00595677">
        <w:rPr>
          <w:i/>
          <w:sz w:val="26"/>
          <w:szCs w:val="26"/>
        </w:rPr>
        <w:t xml:space="preserve"> The General Rules Concerning University Organization and Procedure</w:t>
      </w:r>
      <w:r w:rsidRPr="00E64164">
        <w:rPr>
          <w:iCs/>
          <w:sz w:val="26"/>
          <w:szCs w:val="26"/>
        </w:rPr>
        <w:t xml:space="preserve">, </w:t>
      </w:r>
      <w:r w:rsidRPr="00595677">
        <w:rPr>
          <w:sz w:val="26"/>
          <w:szCs w:val="26"/>
        </w:rPr>
        <w:t>the Board of Trustees policies and directives.</w:t>
      </w:r>
    </w:p>
    <w:p w14:paraId="4A340FAE" w14:textId="77777777" w:rsidR="00A83735" w:rsidRDefault="00A83735" w:rsidP="00154CED">
      <w:pPr>
        <w:tabs>
          <w:tab w:val="left" w:pos="8550"/>
        </w:tabs>
        <w:spacing w:before="12" w:line="480" w:lineRule="auto"/>
        <w:ind w:left="720" w:firstLine="720"/>
        <w:rPr>
          <w:sz w:val="26"/>
          <w:szCs w:val="26"/>
        </w:rPr>
      </w:pPr>
      <w:r w:rsidRPr="00595677">
        <w:rPr>
          <w:sz w:val="26"/>
          <w:szCs w:val="26"/>
        </w:rPr>
        <w:t>Funds for this project are available from gift funds.</w:t>
      </w:r>
    </w:p>
    <w:p w14:paraId="32746C32" w14:textId="34A7851C" w:rsidR="004A1E07" w:rsidRPr="00E415C7" w:rsidRDefault="004A1E07" w:rsidP="00154CED">
      <w:pPr>
        <w:tabs>
          <w:tab w:val="left" w:pos="8550"/>
        </w:tabs>
        <w:spacing w:before="12" w:line="480" w:lineRule="auto"/>
        <w:ind w:left="720" w:firstLine="720"/>
        <w:rPr>
          <w:sz w:val="26"/>
          <w:szCs w:val="26"/>
        </w:rPr>
      </w:pPr>
      <w:r w:rsidRPr="00595677">
        <w:rPr>
          <w:sz w:val="26"/>
          <w:szCs w:val="26"/>
        </w:rPr>
        <w:t xml:space="preserve">The </w:t>
      </w:r>
      <w:r w:rsidR="004F584C">
        <w:rPr>
          <w:sz w:val="26"/>
          <w:szCs w:val="26"/>
        </w:rPr>
        <w:t>p</w:t>
      </w:r>
      <w:r w:rsidR="004F584C" w:rsidRPr="00595677">
        <w:rPr>
          <w:sz w:val="26"/>
          <w:szCs w:val="26"/>
        </w:rPr>
        <w:t xml:space="preserve">resident </w:t>
      </w:r>
      <w:r w:rsidRPr="00595677">
        <w:rPr>
          <w:sz w:val="26"/>
          <w:szCs w:val="26"/>
        </w:rPr>
        <w:t>of the University</w:t>
      </w:r>
      <w:r w:rsidR="00902709">
        <w:rPr>
          <w:sz w:val="26"/>
          <w:szCs w:val="26"/>
        </w:rPr>
        <w:t xml:space="preserve"> of Illinois System</w:t>
      </w:r>
      <w:r w:rsidRPr="00595677">
        <w:rPr>
          <w:sz w:val="26"/>
          <w:szCs w:val="26"/>
        </w:rPr>
        <w:t xml:space="preserve"> concurs.</w:t>
      </w:r>
    </w:p>
    <w:p w14:paraId="6F601BAF" w14:textId="77777777" w:rsidR="00D24F59" w:rsidRDefault="00D24F59" w:rsidP="00A12434">
      <w:pPr>
        <w:tabs>
          <w:tab w:val="left" w:pos="779"/>
        </w:tabs>
        <w:spacing w:before="4" w:line="480" w:lineRule="auto"/>
        <w:rPr>
          <w:sz w:val="26"/>
          <w:szCs w:val="26"/>
        </w:rPr>
      </w:pPr>
    </w:p>
    <w:p w14:paraId="181340B5" w14:textId="77777777" w:rsidR="00077894" w:rsidRDefault="00077894" w:rsidP="00A12434">
      <w:pPr>
        <w:tabs>
          <w:tab w:val="left" w:pos="779"/>
        </w:tabs>
        <w:spacing w:before="4" w:line="480" w:lineRule="auto"/>
        <w:rPr>
          <w:sz w:val="26"/>
          <w:szCs w:val="26"/>
        </w:rPr>
      </w:pPr>
    </w:p>
    <w:p w14:paraId="5CE6F31F" w14:textId="77777777" w:rsidR="00077894" w:rsidRDefault="00077894" w:rsidP="00A12434">
      <w:pPr>
        <w:tabs>
          <w:tab w:val="left" w:pos="779"/>
        </w:tabs>
        <w:spacing w:before="4" w:line="480" w:lineRule="auto"/>
        <w:rPr>
          <w:sz w:val="26"/>
          <w:szCs w:val="26"/>
        </w:rPr>
      </w:pPr>
    </w:p>
    <w:p w14:paraId="0EA08CF4" w14:textId="43F0C257" w:rsidR="00077894" w:rsidRDefault="00077894" w:rsidP="00A12434">
      <w:pPr>
        <w:tabs>
          <w:tab w:val="left" w:pos="779"/>
        </w:tabs>
        <w:spacing w:before="4"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Table 1: Diverse Vendor </w:t>
      </w:r>
      <w:r w:rsidR="005A2393">
        <w:rPr>
          <w:sz w:val="26"/>
          <w:szCs w:val="26"/>
        </w:rPr>
        <w:t>Participation</w:t>
      </w:r>
    </w:p>
    <w:tbl>
      <w:tblPr>
        <w:tblW w:w="9700" w:type="dxa"/>
        <w:tblLook w:val="04A0" w:firstRow="1" w:lastRow="0" w:firstColumn="1" w:lastColumn="0" w:noHBand="0" w:noVBand="1"/>
      </w:tblPr>
      <w:tblGrid>
        <w:gridCol w:w="3526"/>
        <w:gridCol w:w="2457"/>
        <w:gridCol w:w="1897"/>
        <w:gridCol w:w="1820"/>
      </w:tblGrid>
      <w:tr w:rsidR="00077894" w:rsidRPr="00077894" w14:paraId="0898F455" w14:textId="77777777" w:rsidTr="00077894">
        <w:trPr>
          <w:trHeight w:val="960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33C4632" w14:textId="77777777" w:rsidR="00077894" w:rsidRPr="00154CED" w:rsidRDefault="00077894" w:rsidP="0007789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54CED">
              <w:rPr>
                <w:b/>
                <w:bCs/>
                <w:color w:val="000000"/>
                <w:sz w:val="26"/>
                <w:szCs w:val="26"/>
              </w:rPr>
              <w:t>Awarded Vendor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A5DDEA7" w14:textId="77777777" w:rsidR="00077894" w:rsidRPr="00154CED" w:rsidRDefault="00077894" w:rsidP="0007789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54CED">
              <w:rPr>
                <w:b/>
                <w:bCs/>
                <w:color w:val="000000"/>
                <w:sz w:val="26"/>
                <w:szCs w:val="26"/>
              </w:rPr>
              <w:t>Prime Contract $ / Diverse Subcontractor Certification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E339B7E" w14:textId="77777777" w:rsidR="00077894" w:rsidRPr="00154CED" w:rsidRDefault="00077894" w:rsidP="0007789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54CED">
              <w:rPr>
                <w:b/>
                <w:bCs/>
                <w:color w:val="000000"/>
                <w:sz w:val="26"/>
                <w:szCs w:val="26"/>
              </w:rPr>
              <w:t>Diverse Subcontractor Value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6CE0D6AF" w14:textId="77777777" w:rsidR="00077894" w:rsidRPr="00154CED" w:rsidRDefault="00077894" w:rsidP="0007789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54CED">
              <w:rPr>
                <w:b/>
                <w:bCs/>
                <w:color w:val="000000"/>
                <w:sz w:val="26"/>
                <w:szCs w:val="26"/>
              </w:rPr>
              <w:t>Subcontractor % of Work</w:t>
            </w:r>
          </w:p>
        </w:tc>
      </w:tr>
      <w:tr w:rsidR="00077894" w:rsidRPr="00077894" w14:paraId="1D752DC8" w14:textId="77777777" w:rsidTr="00077894">
        <w:trPr>
          <w:trHeight w:val="315"/>
        </w:trPr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E224FC" w14:textId="2B230F5B" w:rsidR="00077894" w:rsidRPr="00154CED" w:rsidRDefault="00077894" w:rsidP="0007789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154CED">
              <w:rPr>
                <w:color w:val="000000"/>
                <w:sz w:val="26"/>
                <w:szCs w:val="26"/>
              </w:rPr>
              <w:t>Broeren</w:t>
            </w:r>
            <w:r w:rsidR="00E64164">
              <w:rPr>
                <w:color w:val="000000"/>
                <w:sz w:val="26"/>
                <w:szCs w:val="26"/>
              </w:rPr>
              <w:t xml:space="preserve"> </w:t>
            </w:r>
            <w:r w:rsidRPr="00154CED">
              <w:rPr>
                <w:color w:val="000000"/>
                <w:sz w:val="26"/>
                <w:szCs w:val="26"/>
              </w:rPr>
              <w:t>Russo Builders, Champaign, Illinois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1DC04" w14:textId="77777777" w:rsidR="00077894" w:rsidRPr="00154CED" w:rsidRDefault="00077894" w:rsidP="0007789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154CED">
              <w:rPr>
                <w:color w:val="000000"/>
                <w:sz w:val="26"/>
                <w:szCs w:val="26"/>
              </w:rPr>
              <w:t xml:space="preserve">$29,993,556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8B0C" w14:textId="77777777" w:rsidR="00077894" w:rsidRPr="00154CED" w:rsidRDefault="00077894" w:rsidP="0007789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154CE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AD4678" w14:textId="77777777" w:rsidR="00077894" w:rsidRPr="00154CED" w:rsidRDefault="00077894" w:rsidP="0007789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154CE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77894" w:rsidRPr="00077894" w14:paraId="09715ECF" w14:textId="77777777" w:rsidTr="00077894">
        <w:trPr>
          <w:trHeight w:val="315"/>
        </w:trPr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6A105F" w14:textId="77777777" w:rsidR="00077894" w:rsidRPr="00154CED" w:rsidRDefault="00077894" w:rsidP="0007789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154CE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E7A1" w14:textId="77777777" w:rsidR="00077894" w:rsidRPr="00154CED" w:rsidRDefault="00077894" w:rsidP="0007789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154CE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BA2C" w14:textId="77777777" w:rsidR="00077894" w:rsidRPr="00154CED" w:rsidRDefault="00077894" w:rsidP="0007789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154CE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CFEE3AD" w14:textId="77777777" w:rsidR="00077894" w:rsidRPr="00154CED" w:rsidRDefault="00077894" w:rsidP="0007789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154CE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77894" w:rsidRPr="00077894" w14:paraId="694FACF5" w14:textId="77777777" w:rsidTr="00077894">
        <w:trPr>
          <w:trHeight w:val="630"/>
        </w:trPr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4EE185" w14:textId="77777777" w:rsidR="00077894" w:rsidRPr="00154CED" w:rsidRDefault="00077894" w:rsidP="0007789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154CE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9F9B" w14:textId="77777777" w:rsidR="00077894" w:rsidRPr="00154CED" w:rsidRDefault="00077894" w:rsidP="0007789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154CED">
              <w:rPr>
                <w:color w:val="000000"/>
                <w:sz w:val="26"/>
                <w:szCs w:val="26"/>
              </w:rPr>
              <w:t>MBE (HA)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DD38D" w14:textId="77777777" w:rsidR="00077894" w:rsidRPr="00154CED" w:rsidRDefault="00077894" w:rsidP="0007789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154CED">
              <w:rPr>
                <w:color w:val="000000"/>
                <w:sz w:val="26"/>
                <w:szCs w:val="26"/>
              </w:rPr>
              <w:t>$7,810,000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899A4AF" w14:textId="77777777" w:rsidR="00077894" w:rsidRPr="00154CED" w:rsidRDefault="00077894" w:rsidP="0007789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154CED">
              <w:rPr>
                <w:color w:val="000000"/>
                <w:sz w:val="26"/>
                <w:szCs w:val="26"/>
              </w:rPr>
              <w:t>26%</w:t>
            </w:r>
          </w:p>
        </w:tc>
      </w:tr>
      <w:tr w:rsidR="00077894" w:rsidRPr="00077894" w14:paraId="7CA72136" w14:textId="77777777" w:rsidTr="00077894">
        <w:trPr>
          <w:trHeight w:val="315"/>
        </w:trPr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AB159C" w14:textId="77777777" w:rsidR="00077894" w:rsidRPr="00154CED" w:rsidRDefault="00077894" w:rsidP="0007789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154CE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8DD03" w14:textId="77777777" w:rsidR="00077894" w:rsidRPr="00154CED" w:rsidRDefault="00077894" w:rsidP="0007789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154CED">
              <w:rPr>
                <w:color w:val="000000"/>
                <w:sz w:val="26"/>
                <w:szCs w:val="26"/>
              </w:rPr>
              <w:t>MBE (HA)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F37FAE" w14:textId="77777777" w:rsidR="00077894" w:rsidRPr="00154CED" w:rsidRDefault="00077894" w:rsidP="0007789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154CED">
              <w:rPr>
                <w:color w:val="000000"/>
                <w:sz w:val="26"/>
                <w:szCs w:val="26"/>
              </w:rPr>
              <w:t>$273,750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375E38B" w14:textId="77777777" w:rsidR="00077894" w:rsidRPr="00154CED" w:rsidRDefault="00077894" w:rsidP="0007789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902709">
              <w:rPr>
                <w:color w:val="000000"/>
                <w:sz w:val="26"/>
                <w:szCs w:val="26"/>
              </w:rPr>
              <w:t>1%</w:t>
            </w:r>
          </w:p>
        </w:tc>
      </w:tr>
      <w:tr w:rsidR="00077894" w:rsidRPr="00077894" w14:paraId="2F525DCA" w14:textId="77777777" w:rsidTr="00077894">
        <w:trPr>
          <w:trHeight w:val="315"/>
        </w:trPr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B20D07" w14:textId="77777777" w:rsidR="00077894" w:rsidRPr="00154CED" w:rsidRDefault="00077894" w:rsidP="0007789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154CE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AA9B7C" w14:textId="77777777" w:rsidR="00077894" w:rsidRPr="00154CED" w:rsidRDefault="00077894" w:rsidP="0007789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154CED">
              <w:rPr>
                <w:color w:val="000000"/>
                <w:sz w:val="26"/>
                <w:szCs w:val="26"/>
              </w:rPr>
              <w:t>VOSB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1BCAFF" w14:textId="77777777" w:rsidR="00077894" w:rsidRPr="00154CED" w:rsidRDefault="00077894" w:rsidP="0007789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154CED">
              <w:rPr>
                <w:color w:val="000000"/>
                <w:sz w:val="26"/>
                <w:szCs w:val="26"/>
              </w:rPr>
              <w:t>$930,387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C4788A8" w14:textId="77777777" w:rsidR="00077894" w:rsidRPr="00154CED" w:rsidRDefault="00077894" w:rsidP="0007789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154CED">
              <w:rPr>
                <w:color w:val="000000"/>
                <w:sz w:val="26"/>
                <w:szCs w:val="26"/>
              </w:rPr>
              <w:t>3%</w:t>
            </w:r>
          </w:p>
        </w:tc>
      </w:tr>
      <w:tr w:rsidR="00077894" w:rsidRPr="00077894" w14:paraId="3596C6C9" w14:textId="77777777" w:rsidTr="00077894">
        <w:trPr>
          <w:trHeight w:val="315"/>
        </w:trPr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E4D02C" w14:textId="77777777" w:rsidR="00077894" w:rsidRPr="00154CED" w:rsidRDefault="00077894" w:rsidP="0007789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154CE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12EDE5" w14:textId="77777777" w:rsidR="00077894" w:rsidRPr="00154CED" w:rsidRDefault="00077894" w:rsidP="0007789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154CED">
              <w:rPr>
                <w:color w:val="000000"/>
                <w:sz w:val="26"/>
                <w:szCs w:val="26"/>
              </w:rPr>
              <w:t>WBE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3D2FBA" w14:textId="77777777" w:rsidR="00077894" w:rsidRPr="00154CED" w:rsidRDefault="00077894" w:rsidP="0007789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154CED">
              <w:rPr>
                <w:color w:val="000000"/>
                <w:sz w:val="26"/>
                <w:szCs w:val="26"/>
              </w:rPr>
              <w:t>$1,566,320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95CBBA0" w14:textId="77777777" w:rsidR="00077894" w:rsidRPr="00154CED" w:rsidRDefault="00077894" w:rsidP="0007789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154CED">
              <w:rPr>
                <w:color w:val="000000"/>
                <w:sz w:val="26"/>
                <w:szCs w:val="26"/>
              </w:rPr>
              <w:t>5%</w:t>
            </w:r>
          </w:p>
        </w:tc>
      </w:tr>
      <w:tr w:rsidR="00077894" w:rsidRPr="00077894" w14:paraId="58600BC5" w14:textId="77777777" w:rsidTr="00077894">
        <w:trPr>
          <w:trHeight w:val="33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454E8CE" w14:textId="77777777" w:rsidR="00077894" w:rsidRPr="00154CED" w:rsidRDefault="00077894" w:rsidP="0007789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154CE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874143A" w14:textId="77777777" w:rsidR="00077894" w:rsidRPr="00154CED" w:rsidRDefault="00077894" w:rsidP="0007789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54CE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838FCC5" w14:textId="77777777" w:rsidR="00077894" w:rsidRPr="00154CED" w:rsidRDefault="00077894" w:rsidP="0007789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54CED">
              <w:rPr>
                <w:b/>
                <w:bCs/>
                <w:color w:val="000000"/>
                <w:sz w:val="26"/>
                <w:szCs w:val="26"/>
              </w:rPr>
              <w:t>$10,580,457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45C33E" w14:textId="77777777" w:rsidR="00077894" w:rsidRPr="00154CED" w:rsidRDefault="00077894" w:rsidP="0007789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54CED">
              <w:rPr>
                <w:b/>
                <w:bCs/>
                <w:color w:val="000000"/>
                <w:sz w:val="26"/>
                <w:szCs w:val="26"/>
              </w:rPr>
              <w:t>35%</w:t>
            </w:r>
          </w:p>
        </w:tc>
      </w:tr>
    </w:tbl>
    <w:p w14:paraId="69C34C9E" w14:textId="77777777" w:rsidR="00077894" w:rsidRPr="00512B2B" w:rsidRDefault="00077894" w:rsidP="00A12434">
      <w:pPr>
        <w:tabs>
          <w:tab w:val="left" w:pos="779"/>
        </w:tabs>
        <w:spacing w:before="4" w:line="480" w:lineRule="auto"/>
        <w:rPr>
          <w:sz w:val="26"/>
          <w:szCs w:val="26"/>
        </w:rPr>
      </w:pPr>
    </w:p>
    <w:sectPr w:rsidR="00077894" w:rsidRPr="00512B2B" w:rsidSect="00154CED">
      <w:headerReference w:type="default" r:id="rId7"/>
      <w:pgSz w:w="12240" w:h="15840"/>
      <w:pgMar w:top="72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C2D44" w14:textId="77777777" w:rsidR="008D188E" w:rsidRDefault="008D188E" w:rsidP="00197984">
      <w:r>
        <w:separator/>
      </w:r>
    </w:p>
  </w:endnote>
  <w:endnote w:type="continuationSeparator" w:id="0">
    <w:p w14:paraId="514DAEC1" w14:textId="77777777" w:rsidR="008D188E" w:rsidRDefault="008D188E" w:rsidP="0019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94C06" w14:textId="77777777" w:rsidR="008D188E" w:rsidRDefault="008D188E" w:rsidP="00197984">
      <w:r>
        <w:separator/>
      </w:r>
    </w:p>
  </w:footnote>
  <w:footnote w:type="continuationSeparator" w:id="0">
    <w:p w14:paraId="0FC27F0B" w14:textId="77777777" w:rsidR="008D188E" w:rsidRDefault="008D188E" w:rsidP="00197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11099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590BD8" w14:textId="2810B1BF" w:rsidR="00E567CF" w:rsidRDefault="00E567CF">
        <w:pPr>
          <w:pStyle w:val="Header"/>
          <w:jc w:val="center"/>
        </w:pPr>
        <w:r w:rsidRPr="00F00200">
          <w:rPr>
            <w:sz w:val="26"/>
            <w:szCs w:val="26"/>
          </w:rPr>
          <w:fldChar w:fldCharType="begin"/>
        </w:r>
        <w:r w:rsidRPr="00F00200">
          <w:rPr>
            <w:sz w:val="26"/>
            <w:szCs w:val="26"/>
          </w:rPr>
          <w:instrText xml:space="preserve"> PAGE   \* MERGEFORMAT </w:instrText>
        </w:r>
        <w:r w:rsidRPr="00F00200">
          <w:rPr>
            <w:sz w:val="26"/>
            <w:szCs w:val="26"/>
          </w:rPr>
          <w:fldChar w:fldCharType="separate"/>
        </w:r>
        <w:r w:rsidRPr="00F00200">
          <w:rPr>
            <w:noProof/>
            <w:sz w:val="26"/>
            <w:szCs w:val="26"/>
          </w:rPr>
          <w:t>2</w:t>
        </w:r>
        <w:r w:rsidRPr="00F00200">
          <w:rPr>
            <w:noProof/>
            <w:sz w:val="26"/>
            <w:szCs w:val="26"/>
          </w:rPr>
          <w:fldChar w:fldCharType="end"/>
        </w:r>
      </w:p>
    </w:sdtContent>
  </w:sdt>
  <w:p w14:paraId="2CD1CDB5" w14:textId="77777777" w:rsidR="00E567CF" w:rsidRDefault="00E567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375"/>
    <w:rsid w:val="000046C5"/>
    <w:rsid w:val="00074442"/>
    <w:rsid w:val="00077894"/>
    <w:rsid w:val="00081006"/>
    <w:rsid w:val="00107D9D"/>
    <w:rsid w:val="00112ED2"/>
    <w:rsid w:val="00124D79"/>
    <w:rsid w:val="00130F46"/>
    <w:rsid w:val="00154CED"/>
    <w:rsid w:val="00181415"/>
    <w:rsid w:val="00190ED7"/>
    <w:rsid w:val="00197984"/>
    <w:rsid w:val="001A5A6F"/>
    <w:rsid w:val="001C0BFE"/>
    <w:rsid w:val="001C1295"/>
    <w:rsid w:val="001C1AB1"/>
    <w:rsid w:val="001F3A70"/>
    <w:rsid w:val="002146F9"/>
    <w:rsid w:val="00214D58"/>
    <w:rsid w:val="00224547"/>
    <w:rsid w:val="00235E06"/>
    <w:rsid w:val="002835B3"/>
    <w:rsid w:val="002D4CE5"/>
    <w:rsid w:val="00311F50"/>
    <w:rsid w:val="003354F9"/>
    <w:rsid w:val="0039223D"/>
    <w:rsid w:val="003D1689"/>
    <w:rsid w:val="003F1FD6"/>
    <w:rsid w:val="004019E2"/>
    <w:rsid w:val="00403817"/>
    <w:rsid w:val="00412A11"/>
    <w:rsid w:val="00417CEB"/>
    <w:rsid w:val="00420907"/>
    <w:rsid w:val="0047721C"/>
    <w:rsid w:val="0048060B"/>
    <w:rsid w:val="00490842"/>
    <w:rsid w:val="00490EA3"/>
    <w:rsid w:val="00495362"/>
    <w:rsid w:val="004A1E07"/>
    <w:rsid w:val="004C1B1E"/>
    <w:rsid w:val="004F584C"/>
    <w:rsid w:val="00512B2B"/>
    <w:rsid w:val="00527421"/>
    <w:rsid w:val="0057528B"/>
    <w:rsid w:val="00595677"/>
    <w:rsid w:val="00597B05"/>
    <w:rsid w:val="005A2393"/>
    <w:rsid w:val="005B4750"/>
    <w:rsid w:val="005C658C"/>
    <w:rsid w:val="005E0F1B"/>
    <w:rsid w:val="00602132"/>
    <w:rsid w:val="00614F38"/>
    <w:rsid w:val="00615479"/>
    <w:rsid w:val="00655772"/>
    <w:rsid w:val="00683EF2"/>
    <w:rsid w:val="006C3326"/>
    <w:rsid w:val="007343D4"/>
    <w:rsid w:val="00753642"/>
    <w:rsid w:val="00764FD0"/>
    <w:rsid w:val="007D77B3"/>
    <w:rsid w:val="007F18BB"/>
    <w:rsid w:val="007F4330"/>
    <w:rsid w:val="00815E5F"/>
    <w:rsid w:val="00820E68"/>
    <w:rsid w:val="008D188E"/>
    <w:rsid w:val="008F07B2"/>
    <w:rsid w:val="00900E56"/>
    <w:rsid w:val="00902709"/>
    <w:rsid w:val="00960214"/>
    <w:rsid w:val="009D3375"/>
    <w:rsid w:val="00A12434"/>
    <w:rsid w:val="00A162B8"/>
    <w:rsid w:val="00A62442"/>
    <w:rsid w:val="00A707FB"/>
    <w:rsid w:val="00A734AC"/>
    <w:rsid w:val="00A73EDF"/>
    <w:rsid w:val="00A83735"/>
    <w:rsid w:val="00A945C4"/>
    <w:rsid w:val="00A949B5"/>
    <w:rsid w:val="00AA50D0"/>
    <w:rsid w:val="00AD4BBA"/>
    <w:rsid w:val="00AE671B"/>
    <w:rsid w:val="00AE6EB7"/>
    <w:rsid w:val="00B32DE6"/>
    <w:rsid w:val="00B4465D"/>
    <w:rsid w:val="00B53BFD"/>
    <w:rsid w:val="00BB2D24"/>
    <w:rsid w:val="00C07D17"/>
    <w:rsid w:val="00C14201"/>
    <w:rsid w:val="00C52176"/>
    <w:rsid w:val="00C61878"/>
    <w:rsid w:val="00C75EC0"/>
    <w:rsid w:val="00C91FDD"/>
    <w:rsid w:val="00CE220E"/>
    <w:rsid w:val="00D24F59"/>
    <w:rsid w:val="00D77EE9"/>
    <w:rsid w:val="00D924AC"/>
    <w:rsid w:val="00DA216B"/>
    <w:rsid w:val="00DA3020"/>
    <w:rsid w:val="00DC7F09"/>
    <w:rsid w:val="00E415C7"/>
    <w:rsid w:val="00E4758B"/>
    <w:rsid w:val="00E567CF"/>
    <w:rsid w:val="00E64164"/>
    <w:rsid w:val="00E70251"/>
    <w:rsid w:val="00E750BA"/>
    <w:rsid w:val="00F00200"/>
    <w:rsid w:val="00F12264"/>
    <w:rsid w:val="00F13980"/>
    <w:rsid w:val="00F4662B"/>
    <w:rsid w:val="00F56700"/>
    <w:rsid w:val="00F9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DA16A"/>
  <w15:docId w15:val="{1569E371-383D-4E2D-9F58-2826A529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44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B2D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D24"/>
    <w:rPr>
      <w:rFonts w:ascii="Segoe UI" w:eastAsia="Times New Roman" w:hAnsi="Segoe UI" w:cs="Segoe UI"/>
      <w:sz w:val="18"/>
      <w:szCs w:val="18"/>
    </w:rPr>
  </w:style>
  <w:style w:type="paragraph" w:customStyle="1" w:styleId="bdheading1">
    <w:name w:val="bdheading1"/>
    <w:basedOn w:val="Normal"/>
    <w:next w:val="Heading2"/>
    <w:rsid w:val="00074442"/>
    <w:pPr>
      <w:widowControl/>
      <w:overflowPunct w:val="0"/>
      <w:adjustRightInd w:val="0"/>
      <w:jc w:val="right"/>
      <w:textAlignment w:val="baseline"/>
    </w:pPr>
    <w:rPr>
      <w:rFonts w:ascii="Times New Roman Bold" w:hAnsi="Times New Roman Bold"/>
      <w:b/>
      <w:sz w:val="6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44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798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798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7984"/>
    <w:rPr>
      <w:vertAlign w:val="superscript"/>
    </w:rPr>
  </w:style>
  <w:style w:type="paragraph" w:styleId="Revision">
    <w:name w:val="Revision"/>
    <w:hidden/>
    <w:uiPriority w:val="99"/>
    <w:semiHidden/>
    <w:rsid w:val="00A949B5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567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7C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567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7CF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D4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4B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4BB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BB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4ADC5-C545-4589-876D-9F6F317C1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University of Illinois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cshade</dc:creator>
  <cp:lastModifiedBy>Williams, Aubrie</cp:lastModifiedBy>
  <cp:revision>8</cp:revision>
  <cp:lastPrinted>2017-05-31T15:52:00Z</cp:lastPrinted>
  <dcterms:created xsi:type="dcterms:W3CDTF">2025-02-11T20:23:00Z</dcterms:created>
  <dcterms:modified xsi:type="dcterms:W3CDTF">2025-03-20T18:29:00Z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2017-05-30T00:00:00Z</vt:filetime>
  </property>
</Properties>
</file>