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A9734" w14:textId="77777777" w:rsidR="003E68DE" w:rsidRPr="003E68DE" w:rsidRDefault="003E68DE" w:rsidP="003E68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textAlignment w:val="baseline"/>
        <w:rPr>
          <w:color w:val="FF0000"/>
          <w:szCs w:val="26"/>
        </w:rPr>
      </w:pPr>
      <w:bookmarkStart w:id="0" w:name="_Hlk77839959"/>
      <w:bookmarkStart w:id="1" w:name="_Hlk93577479"/>
      <w:r w:rsidRPr="003E68DE">
        <w:rPr>
          <w:color w:val="FF0000"/>
          <w:szCs w:val="26"/>
        </w:rPr>
        <w:t>Approved by the Board of Trustees</w:t>
      </w:r>
    </w:p>
    <w:bookmarkEnd w:id="0"/>
    <w:bookmarkEnd w:id="1"/>
    <w:p w14:paraId="5D77826D" w14:textId="77777777" w:rsidR="003E68DE" w:rsidRPr="003E68DE" w:rsidRDefault="003E68DE" w:rsidP="003E6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textAlignment w:val="baseline"/>
        <w:rPr>
          <w:color w:val="FF0000"/>
          <w:szCs w:val="26"/>
        </w:rPr>
      </w:pPr>
      <w:r w:rsidRPr="003E68DE">
        <w:rPr>
          <w:color w:val="FF0000"/>
          <w:szCs w:val="26"/>
        </w:rPr>
        <w:t>March 20, 2025</w:t>
      </w:r>
    </w:p>
    <w:p w14:paraId="2025EE7E" w14:textId="55D6D39B" w:rsidR="00FF7A5D" w:rsidRDefault="00721FEC" w:rsidP="00FF7A5D">
      <w:pPr>
        <w:pStyle w:val="Default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60"/>
          <w:szCs w:val="60"/>
        </w:rPr>
        <w:t>20</w:t>
      </w:r>
    </w:p>
    <w:p w14:paraId="0FDB0FB9" w14:textId="77777777" w:rsidR="000B24BC" w:rsidRDefault="002B7FDA" w:rsidP="002B7FDA">
      <w:pPr>
        <w:pStyle w:val="Default"/>
        <w:tabs>
          <w:tab w:val="left" w:pos="6480"/>
        </w:tabs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</w:p>
    <w:p w14:paraId="5823A068" w14:textId="77777777" w:rsidR="000B24BC" w:rsidRDefault="000B24BC" w:rsidP="002B7FDA">
      <w:pPr>
        <w:pStyle w:val="Default"/>
        <w:tabs>
          <w:tab w:val="left" w:pos="648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6959CF7D" w14:textId="697A5A0D" w:rsidR="002B7FDA" w:rsidRPr="002B7FDA" w:rsidRDefault="000B24BC" w:rsidP="000B24BC">
      <w:pPr>
        <w:pStyle w:val="Default"/>
        <w:tabs>
          <w:tab w:val="left" w:pos="7200"/>
        </w:tabs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2B7FDA" w:rsidRPr="002B7FDA">
        <w:rPr>
          <w:rFonts w:ascii="Times New Roman" w:hAnsi="Times New Roman" w:cs="Times New Roman"/>
          <w:color w:val="auto"/>
          <w:sz w:val="26"/>
          <w:szCs w:val="26"/>
        </w:rPr>
        <w:t xml:space="preserve">Board Meeting  </w:t>
      </w:r>
    </w:p>
    <w:p w14:paraId="4105DD74" w14:textId="5EC836B6" w:rsidR="00C474C6" w:rsidRPr="007D0E76" w:rsidRDefault="002B7FDA" w:rsidP="000B24BC">
      <w:pPr>
        <w:pStyle w:val="Default"/>
        <w:tabs>
          <w:tab w:val="left" w:pos="7200"/>
        </w:tabs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1F3D92" w:rsidRPr="001F3D92">
        <w:rPr>
          <w:rFonts w:ascii="Times New Roman" w:hAnsi="Times New Roman" w:cs="Times New Roman"/>
          <w:color w:val="auto"/>
          <w:sz w:val="26"/>
          <w:szCs w:val="26"/>
        </w:rPr>
        <w:t>March</w:t>
      </w:r>
      <w:r w:rsidR="004C6C5D" w:rsidRPr="001F3D9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F3D92" w:rsidRPr="001F3D92">
        <w:rPr>
          <w:rFonts w:ascii="Times New Roman" w:hAnsi="Times New Roman" w:cs="Times New Roman"/>
          <w:color w:val="auto"/>
          <w:sz w:val="26"/>
          <w:szCs w:val="26"/>
        </w:rPr>
        <w:t>20</w:t>
      </w:r>
      <w:r w:rsidR="00297A31" w:rsidRPr="001F3D92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F2643A" w:rsidRPr="001F3D92">
        <w:rPr>
          <w:rFonts w:ascii="Times New Roman" w:hAnsi="Times New Roman" w:cs="Times New Roman"/>
          <w:color w:val="auto"/>
          <w:sz w:val="26"/>
          <w:szCs w:val="26"/>
        </w:rPr>
        <w:t>2025</w:t>
      </w:r>
      <w:r w:rsidR="00F2643A" w:rsidRPr="002B7FD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2643A" w:rsidRPr="007D0E7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190D905F" w14:textId="77777777" w:rsidR="00C474C6" w:rsidRDefault="00C474C6" w:rsidP="000B24BC">
      <w:pPr>
        <w:pStyle w:val="Default"/>
        <w:tabs>
          <w:tab w:val="left" w:pos="7200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7D0E7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3BB4C3B3" w14:textId="77777777" w:rsidR="000B24BC" w:rsidRPr="007D0E76" w:rsidRDefault="000B24BC" w:rsidP="000B24BC">
      <w:pPr>
        <w:pStyle w:val="Default"/>
        <w:tabs>
          <w:tab w:val="left" w:pos="720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38684F33" w14:textId="77777777" w:rsidR="00C474C6" w:rsidRPr="007D0E76" w:rsidRDefault="00C474C6" w:rsidP="00FF7A5D">
      <w:pPr>
        <w:pStyle w:val="Default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7072A5">
        <w:rPr>
          <w:rFonts w:ascii="Times New Roman" w:hAnsi="Times New Roman" w:cs="Times New Roman"/>
          <w:color w:val="auto"/>
          <w:sz w:val="26"/>
          <w:szCs w:val="26"/>
        </w:rPr>
        <w:t>ROLL CALL</w:t>
      </w:r>
    </w:p>
    <w:p w14:paraId="14B32455" w14:textId="77777777" w:rsidR="00C474C6" w:rsidRPr="007D0E76" w:rsidRDefault="00C474C6" w:rsidP="00FF7A5D">
      <w:pPr>
        <w:pStyle w:val="Default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14:paraId="37858B53" w14:textId="435BEB30" w:rsidR="00C474C6" w:rsidRPr="00623618" w:rsidRDefault="00206E57" w:rsidP="00FF7A5D">
      <w:pPr>
        <w:pStyle w:val="Default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623618">
        <w:rPr>
          <w:rFonts w:ascii="Times New Roman" w:hAnsi="Times New Roman" w:cs="Times New Roman"/>
          <w:color w:val="auto"/>
          <w:sz w:val="26"/>
          <w:szCs w:val="26"/>
        </w:rPr>
        <w:t xml:space="preserve">AMEND PROFESSIONAL SERVICES </w:t>
      </w:r>
      <w:r w:rsidR="00852423" w:rsidRPr="00623618">
        <w:rPr>
          <w:rFonts w:ascii="Times New Roman" w:hAnsi="Times New Roman" w:cs="Times New Roman"/>
          <w:color w:val="auto"/>
          <w:sz w:val="26"/>
          <w:szCs w:val="26"/>
        </w:rPr>
        <w:t xml:space="preserve">CONSULTANT CONTRACT </w:t>
      </w:r>
      <w:r w:rsidR="00C474C6" w:rsidRPr="00623618">
        <w:rPr>
          <w:rFonts w:ascii="Times New Roman" w:hAnsi="Times New Roman" w:cs="Times New Roman"/>
          <w:color w:val="auto"/>
          <w:sz w:val="26"/>
          <w:szCs w:val="26"/>
        </w:rPr>
        <w:t>FOR</w:t>
      </w:r>
      <w:r w:rsidR="007D0E76" w:rsidRPr="0062361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97A31" w:rsidRPr="001F0487">
        <w:rPr>
          <w:rFonts w:ascii="Times New Roman" w:hAnsi="Times New Roman" w:cs="Times New Roman"/>
          <w:color w:val="auto"/>
          <w:sz w:val="26"/>
          <w:szCs w:val="26"/>
        </w:rPr>
        <w:t xml:space="preserve">CANCER </w:t>
      </w:r>
      <w:r w:rsidR="00413849" w:rsidRPr="001F0487">
        <w:rPr>
          <w:rFonts w:ascii="Times New Roman" w:hAnsi="Times New Roman" w:cs="Times New Roman"/>
          <w:color w:val="auto"/>
          <w:sz w:val="26"/>
          <w:szCs w:val="26"/>
        </w:rPr>
        <w:t xml:space="preserve">CENTER RESEARCH </w:t>
      </w:r>
      <w:r w:rsidR="006E21B4">
        <w:rPr>
          <w:rFonts w:ascii="Times New Roman" w:hAnsi="Times New Roman" w:cs="Times New Roman"/>
          <w:color w:val="auto"/>
          <w:sz w:val="26"/>
          <w:szCs w:val="26"/>
        </w:rPr>
        <w:t>AND HEALTH INNOVATION COMPLEX</w:t>
      </w:r>
      <w:r w:rsidR="000B24BC">
        <w:rPr>
          <w:rFonts w:ascii="Times New Roman" w:hAnsi="Times New Roman" w:cs="Times New Roman"/>
          <w:color w:val="auto"/>
          <w:sz w:val="26"/>
          <w:szCs w:val="26"/>
        </w:rPr>
        <w:t>, URBANA</w:t>
      </w:r>
    </w:p>
    <w:p w14:paraId="193EBCB5" w14:textId="7E25A0C0" w:rsidR="00C474C6" w:rsidRPr="00623618" w:rsidRDefault="00C474C6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62361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16DA1F28" w14:textId="77777777" w:rsidR="00C474C6" w:rsidRPr="00623618" w:rsidRDefault="00C474C6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62361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48EA0C3C" w14:textId="6615A854" w:rsidR="00C474C6" w:rsidRPr="007D0E76" w:rsidRDefault="00C474C6" w:rsidP="00FF7A5D">
      <w:pPr>
        <w:pStyle w:val="Default"/>
        <w:tabs>
          <w:tab w:val="left" w:pos="1440"/>
        </w:tabs>
        <w:ind w:left="1440" w:hanging="1440"/>
        <w:rPr>
          <w:rFonts w:ascii="Times New Roman" w:hAnsi="Times New Roman" w:cs="Times New Roman"/>
          <w:color w:val="auto"/>
          <w:sz w:val="26"/>
          <w:szCs w:val="26"/>
        </w:rPr>
      </w:pPr>
      <w:r w:rsidRPr="0062361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Action: </w:t>
      </w:r>
      <w:r w:rsidR="00FF7A5D" w:rsidRPr="00623618">
        <w:rPr>
          <w:rFonts w:ascii="Times New Roman" w:hAnsi="Times New Roman" w:cs="Times New Roman"/>
          <w:b/>
          <w:bCs/>
          <w:color w:val="auto"/>
          <w:sz w:val="26"/>
          <w:szCs w:val="26"/>
        </w:rPr>
        <w:tab/>
      </w:r>
      <w:r w:rsidR="00206E57" w:rsidRPr="00623618">
        <w:rPr>
          <w:rFonts w:ascii="Times New Roman" w:hAnsi="Times New Roman" w:cs="Times New Roman"/>
          <w:color w:val="auto"/>
          <w:sz w:val="26"/>
          <w:szCs w:val="26"/>
        </w:rPr>
        <w:t xml:space="preserve">Amend Professional Services </w:t>
      </w:r>
      <w:r w:rsidR="00852423" w:rsidRPr="00623618">
        <w:rPr>
          <w:rFonts w:ascii="Times New Roman" w:hAnsi="Times New Roman" w:cs="Times New Roman"/>
          <w:color w:val="auto"/>
          <w:sz w:val="26"/>
          <w:szCs w:val="26"/>
        </w:rPr>
        <w:t xml:space="preserve">Consultant Contract </w:t>
      </w:r>
      <w:r w:rsidRPr="00623618">
        <w:rPr>
          <w:rFonts w:ascii="Times New Roman" w:hAnsi="Times New Roman" w:cs="Times New Roman"/>
          <w:color w:val="auto"/>
          <w:sz w:val="26"/>
          <w:szCs w:val="26"/>
        </w:rPr>
        <w:t>for</w:t>
      </w:r>
      <w:r w:rsidR="007D0E76" w:rsidRPr="0062361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97A31" w:rsidRPr="001F0487">
        <w:rPr>
          <w:rFonts w:ascii="Times New Roman" w:hAnsi="Times New Roman" w:cs="Times New Roman"/>
          <w:color w:val="auto"/>
          <w:sz w:val="26"/>
          <w:szCs w:val="26"/>
        </w:rPr>
        <w:t xml:space="preserve">Cancer </w:t>
      </w:r>
      <w:r w:rsidR="00413849" w:rsidRPr="001F0487">
        <w:rPr>
          <w:rFonts w:ascii="Times New Roman" w:hAnsi="Times New Roman" w:cs="Times New Roman"/>
          <w:color w:val="auto"/>
          <w:sz w:val="26"/>
          <w:szCs w:val="26"/>
        </w:rPr>
        <w:t xml:space="preserve">Center Research </w:t>
      </w:r>
      <w:r w:rsidR="00AE11FC" w:rsidRPr="001F0487">
        <w:rPr>
          <w:rFonts w:ascii="Times New Roman" w:hAnsi="Times New Roman" w:cs="Times New Roman"/>
          <w:color w:val="auto"/>
          <w:sz w:val="26"/>
          <w:szCs w:val="26"/>
        </w:rPr>
        <w:t xml:space="preserve">and </w:t>
      </w:r>
      <w:r w:rsidR="006E21B4">
        <w:rPr>
          <w:rFonts w:ascii="Times New Roman" w:hAnsi="Times New Roman" w:cs="Times New Roman"/>
          <w:color w:val="auto"/>
          <w:sz w:val="26"/>
          <w:szCs w:val="26"/>
        </w:rPr>
        <w:t>Health Innovation Complex</w:t>
      </w:r>
      <w:r w:rsidR="0041384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55E4374E" w14:textId="77777777" w:rsidR="00C474C6" w:rsidRPr="007D0E76" w:rsidRDefault="00C474C6" w:rsidP="00FF7A5D">
      <w:pPr>
        <w:pStyle w:val="Default"/>
        <w:tabs>
          <w:tab w:val="left" w:pos="1440"/>
        </w:tabs>
        <w:ind w:left="1440" w:hanging="1440"/>
        <w:rPr>
          <w:rFonts w:ascii="Times New Roman" w:hAnsi="Times New Roman" w:cs="Times New Roman"/>
          <w:color w:val="auto"/>
          <w:sz w:val="26"/>
          <w:szCs w:val="26"/>
        </w:rPr>
      </w:pPr>
      <w:r w:rsidRPr="007D0E7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2F2A9F8D" w14:textId="5C97E190" w:rsidR="002168D6" w:rsidRDefault="00C474C6" w:rsidP="000168FA">
      <w:pPr>
        <w:pStyle w:val="bdstyle1"/>
        <w:tabs>
          <w:tab w:val="clear" w:pos="720"/>
        </w:tabs>
      </w:pPr>
      <w:r w:rsidRPr="007D0E76">
        <w:rPr>
          <w:b/>
          <w:bCs/>
          <w:szCs w:val="26"/>
        </w:rPr>
        <w:t xml:space="preserve">Funding: </w:t>
      </w:r>
      <w:r w:rsidR="00FF7A5D" w:rsidRPr="007D0E76">
        <w:rPr>
          <w:b/>
          <w:bCs/>
          <w:szCs w:val="26"/>
        </w:rPr>
        <w:tab/>
      </w:r>
      <w:r w:rsidR="007072A5" w:rsidRPr="00C43ADD">
        <w:rPr>
          <w:szCs w:val="26"/>
        </w:rPr>
        <w:t>Institutional Funds Operating Budget</w:t>
      </w:r>
    </w:p>
    <w:p w14:paraId="1137B380" w14:textId="41CCF8E0" w:rsidR="00C474C6" w:rsidRPr="007D0E76" w:rsidRDefault="007D0E76" w:rsidP="007D0E76">
      <w:pPr>
        <w:ind w:left="1430" w:hanging="1430"/>
      </w:pPr>
      <w:r>
        <w:tab/>
      </w:r>
      <w:r w:rsidR="00BA20A6">
        <w:tab/>
      </w:r>
    </w:p>
    <w:p w14:paraId="20EDEFB9" w14:textId="77777777" w:rsidR="00C474C6" w:rsidRDefault="00C474C6" w:rsidP="00FF7A5D">
      <w:pPr>
        <w:pStyle w:val="Default"/>
        <w:tabs>
          <w:tab w:val="left" w:pos="1440"/>
        </w:tabs>
        <w:ind w:left="1440" w:hanging="144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370CF640" w14:textId="43E9D503" w:rsidR="008B6843" w:rsidRPr="009A51C5" w:rsidRDefault="00FF7A5D" w:rsidP="008B6843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297A31">
        <w:rPr>
          <w:rFonts w:ascii="Times New Roman" w:hAnsi="Times New Roman" w:cs="Times New Roman"/>
          <w:color w:val="auto"/>
          <w:sz w:val="26"/>
          <w:szCs w:val="26"/>
        </w:rPr>
        <w:t>The Office of the Vice Chancellor for Research and Innovation, Cancer Center at Illinois,</w:t>
      </w:r>
      <w:r w:rsidR="00BF066B">
        <w:rPr>
          <w:rFonts w:ascii="Times New Roman" w:hAnsi="Times New Roman" w:cs="Times New Roman"/>
          <w:color w:val="auto"/>
          <w:sz w:val="26"/>
          <w:szCs w:val="26"/>
        </w:rPr>
        <w:t xml:space="preserve"> Carle Illinois College of Medicine</w:t>
      </w:r>
      <w:r w:rsidR="005E0B2B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F6082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23618">
        <w:rPr>
          <w:rFonts w:ascii="Times New Roman" w:hAnsi="Times New Roman" w:cs="Times New Roman"/>
          <w:color w:val="auto"/>
          <w:sz w:val="26"/>
          <w:szCs w:val="26"/>
        </w:rPr>
        <w:t xml:space="preserve">and Beckman Institute </w:t>
      </w:r>
      <w:r w:rsidR="00F6082F">
        <w:rPr>
          <w:rFonts w:ascii="Times New Roman" w:hAnsi="Times New Roman" w:cs="Times New Roman"/>
          <w:color w:val="auto"/>
          <w:sz w:val="26"/>
          <w:szCs w:val="26"/>
        </w:rPr>
        <w:t xml:space="preserve">collectively </w:t>
      </w:r>
      <w:r w:rsidR="00336D4D">
        <w:rPr>
          <w:rFonts w:ascii="Times New Roman" w:hAnsi="Times New Roman" w:cs="Times New Roman"/>
          <w:color w:val="auto"/>
          <w:sz w:val="26"/>
          <w:szCs w:val="26"/>
        </w:rPr>
        <w:t>propose a</w:t>
      </w:r>
      <w:r w:rsidR="00BF066B">
        <w:rPr>
          <w:rFonts w:ascii="Times New Roman" w:hAnsi="Times New Roman" w:cs="Times New Roman"/>
          <w:color w:val="auto"/>
          <w:sz w:val="26"/>
          <w:szCs w:val="26"/>
        </w:rPr>
        <w:t xml:space="preserve"> new multi-purpose building to </w:t>
      </w:r>
      <w:r w:rsidR="00336D4D">
        <w:rPr>
          <w:rFonts w:ascii="Times New Roman" w:hAnsi="Times New Roman" w:cs="Times New Roman"/>
          <w:color w:val="auto"/>
          <w:sz w:val="26"/>
          <w:szCs w:val="26"/>
        </w:rPr>
        <w:t xml:space="preserve">provide space and facilities to </w:t>
      </w:r>
      <w:r w:rsidR="00BF066B">
        <w:rPr>
          <w:rFonts w:ascii="Times New Roman" w:hAnsi="Times New Roman" w:cs="Times New Roman"/>
          <w:color w:val="auto"/>
          <w:sz w:val="26"/>
          <w:szCs w:val="26"/>
        </w:rPr>
        <w:t>support research, education, and office infrastructure</w:t>
      </w:r>
      <w:r w:rsidR="00336D4D">
        <w:rPr>
          <w:rFonts w:ascii="Times New Roman" w:hAnsi="Times New Roman" w:cs="Times New Roman"/>
          <w:color w:val="auto"/>
          <w:sz w:val="26"/>
          <w:szCs w:val="26"/>
        </w:rPr>
        <w:t xml:space="preserve"> for multi-disciplinary</w:t>
      </w:r>
      <w:r w:rsidR="005E0B2B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336D4D">
        <w:rPr>
          <w:rFonts w:ascii="Times New Roman" w:hAnsi="Times New Roman" w:cs="Times New Roman"/>
          <w:color w:val="auto"/>
          <w:sz w:val="26"/>
          <w:szCs w:val="26"/>
        </w:rPr>
        <w:t xml:space="preserve"> high</w:t>
      </w:r>
      <w:r w:rsidR="005E0B2B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336D4D">
        <w:rPr>
          <w:rFonts w:ascii="Times New Roman" w:hAnsi="Times New Roman" w:cs="Times New Roman"/>
          <w:color w:val="auto"/>
          <w:sz w:val="26"/>
          <w:szCs w:val="26"/>
        </w:rPr>
        <w:t xml:space="preserve">impact initiatives. The </w:t>
      </w:r>
      <w:r w:rsidR="008B6843">
        <w:rPr>
          <w:rFonts w:ascii="Times New Roman" w:hAnsi="Times New Roman" w:cs="Times New Roman"/>
          <w:color w:val="auto"/>
          <w:sz w:val="26"/>
          <w:szCs w:val="26"/>
        </w:rPr>
        <w:t>proposed</w:t>
      </w:r>
      <w:r w:rsidR="00336D4D">
        <w:rPr>
          <w:rFonts w:ascii="Times New Roman" w:hAnsi="Times New Roman" w:cs="Times New Roman"/>
          <w:color w:val="auto"/>
          <w:sz w:val="26"/>
          <w:szCs w:val="26"/>
        </w:rPr>
        <w:t xml:space="preserve"> building </w:t>
      </w:r>
      <w:r w:rsidR="008B6843">
        <w:rPr>
          <w:rFonts w:ascii="Times New Roman" w:hAnsi="Times New Roman" w:cs="Times New Roman"/>
          <w:color w:val="auto"/>
          <w:sz w:val="26"/>
          <w:szCs w:val="26"/>
        </w:rPr>
        <w:t>will encompass</w:t>
      </w:r>
      <w:r w:rsidR="00336D4D">
        <w:rPr>
          <w:rFonts w:ascii="Times New Roman" w:hAnsi="Times New Roman" w:cs="Times New Roman"/>
          <w:color w:val="auto"/>
          <w:sz w:val="26"/>
          <w:szCs w:val="26"/>
        </w:rPr>
        <w:t xml:space="preserve"> approximately </w:t>
      </w:r>
      <w:r w:rsidR="007C0388">
        <w:rPr>
          <w:rFonts w:ascii="Times New Roman" w:hAnsi="Times New Roman" w:cs="Times New Roman"/>
          <w:color w:val="auto"/>
          <w:sz w:val="26"/>
          <w:szCs w:val="26"/>
        </w:rPr>
        <w:t>80,000</w:t>
      </w:r>
      <w:r w:rsidR="00F2643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36D4D">
        <w:rPr>
          <w:rFonts w:ascii="Times New Roman" w:hAnsi="Times New Roman" w:cs="Times New Roman"/>
          <w:color w:val="auto"/>
          <w:sz w:val="26"/>
          <w:szCs w:val="26"/>
        </w:rPr>
        <w:t xml:space="preserve">gross square feet and </w:t>
      </w:r>
      <w:r w:rsidR="008B6843">
        <w:rPr>
          <w:rFonts w:ascii="Times New Roman" w:hAnsi="Times New Roman" w:cs="Times New Roman"/>
          <w:color w:val="auto"/>
          <w:sz w:val="26"/>
          <w:szCs w:val="26"/>
        </w:rPr>
        <w:t xml:space="preserve">will </w:t>
      </w:r>
      <w:r w:rsidR="00336D4D">
        <w:rPr>
          <w:rFonts w:ascii="Times New Roman" w:hAnsi="Times New Roman" w:cs="Times New Roman"/>
          <w:color w:val="auto"/>
          <w:sz w:val="26"/>
          <w:szCs w:val="26"/>
        </w:rPr>
        <w:t>be located east of the Beckman Institute for Advanced Science and Technology</w:t>
      </w:r>
      <w:r w:rsidR="008B6843">
        <w:rPr>
          <w:rFonts w:ascii="Times New Roman" w:hAnsi="Times New Roman" w:cs="Times New Roman"/>
          <w:color w:val="auto"/>
          <w:sz w:val="26"/>
          <w:szCs w:val="26"/>
        </w:rPr>
        <w:t>, replacing its existing</w:t>
      </w:r>
      <w:r w:rsidR="00F6082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36D4D">
        <w:rPr>
          <w:rFonts w:ascii="Times New Roman" w:hAnsi="Times New Roman" w:cs="Times New Roman"/>
          <w:color w:val="auto"/>
          <w:sz w:val="26"/>
          <w:szCs w:val="26"/>
        </w:rPr>
        <w:t>parking lot and service drive entran</w:t>
      </w:r>
      <w:r w:rsidR="00336D4D" w:rsidRPr="007C0388">
        <w:rPr>
          <w:rFonts w:ascii="Times New Roman" w:hAnsi="Times New Roman" w:cs="Times New Roman"/>
          <w:color w:val="auto"/>
          <w:sz w:val="26"/>
          <w:szCs w:val="26"/>
        </w:rPr>
        <w:t>ce.</w:t>
      </w:r>
      <w:r w:rsidR="007C038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2CAFC743" w14:textId="4E00E845" w:rsidR="00F13CA4" w:rsidRDefault="00BC4D4C" w:rsidP="00F13CA4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F13CA4" w:rsidRPr="00521958">
        <w:rPr>
          <w:rFonts w:ascii="Times New Roman" w:hAnsi="Times New Roman" w:cs="Times New Roman"/>
          <w:sz w:val="26"/>
          <w:szCs w:val="26"/>
        </w:rPr>
        <w:t xml:space="preserve">For the project to proceed, it is necessary to amend the </w:t>
      </w:r>
      <w:r w:rsidR="00F13CA4">
        <w:rPr>
          <w:rFonts w:ascii="Times New Roman" w:hAnsi="Times New Roman" w:cs="Times New Roman"/>
          <w:sz w:val="26"/>
          <w:szCs w:val="26"/>
        </w:rPr>
        <w:t>p</w:t>
      </w:r>
      <w:r w:rsidR="00F13CA4" w:rsidRPr="00521958">
        <w:rPr>
          <w:rFonts w:ascii="Times New Roman" w:hAnsi="Times New Roman" w:cs="Times New Roman"/>
          <w:sz w:val="26"/>
          <w:szCs w:val="26"/>
        </w:rPr>
        <w:t xml:space="preserve">rofessional </w:t>
      </w:r>
      <w:r w:rsidR="00F13CA4">
        <w:rPr>
          <w:rFonts w:ascii="Times New Roman" w:hAnsi="Times New Roman" w:cs="Times New Roman"/>
          <w:sz w:val="26"/>
          <w:szCs w:val="26"/>
        </w:rPr>
        <w:t>s</w:t>
      </w:r>
      <w:r w:rsidR="00F13CA4" w:rsidRPr="00521958">
        <w:rPr>
          <w:rFonts w:ascii="Times New Roman" w:hAnsi="Times New Roman" w:cs="Times New Roman"/>
          <w:sz w:val="26"/>
          <w:szCs w:val="26"/>
        </w:rPr>
        <w:t xml:space="preserve">ervices </w:t>
      </w:r>
      <w:r w:rsidR="00F13CA4">
        <w:rPr>
          <w:rFonts w:ascii="Times New Roman" w:hAnsi="Times New Roman" w:cs="Times New Roman"/>
          <w:sz w:val="26"/>
          <w:szCs w:val="26"/>
        </w:rPr>
        <w:t>c</w:t>
      </w:r>
      <w:r w:rsidR="00F13CA4" w:rsidRPr="00521958">
        <w:rPr>
          <w:rFonts w:ascii="Times New Roman" w:hAnsi="Times New Roman" w:cs="Times New Roman"/>
          <w:sz w:val="26"/>
          <w:szCs w:val="26"/>
        </w:rPr>
        <w:t xml:space="preserve">onsultant contract. </w:t>
      </w:r>
      <w:r w:rsidR="00F13CA4">
        <w:rPr>
          <w:rFonts w:ascii="Times New Roman" w:hAnsi="Times New Roman" w:cs="Times New Roman"/>
          <w:color w:val="auto"/>
          <w:sz w:val="26"/>
          <w:szCs w:val="26"/>
        </w:rPr>
        <w:t xml:space="preserve">The selection of the Professional Services Consultant for this project was </w:t>
      </w:r>
      <w:r w:rsidR="00F13CA4" w:rsidRPr="000119AB">
        <w:rPr>
          <w:rFonts w:ascii="Times New Roman" w:hAnsi="Times New Roman" w:cs="Times New Roman"/>
          <w:color w:val="auto"/>
          <w:sz w:val="26"/>
          <w:szCs w:val="26"/>
        </w:rPr>
        <w:t xml:space="preserve">in accordance with the requirements and provisions of Public Act 87-673 </w:t>
      </w:r>
      <w:r w:rsidR="00F13CA4" w:rsidRPr="000119AB">
        <w:rPr>
          <w:rFonts w:ascii="Times New Roman" w:hAnsi="Times New Roman" w:cs="Times New Roman"/>
          <w:color w:val="auto"/>
          <w:sz w:val="26"/>
          <w:szCs w:val="26"/>
        </w:rPr>
        <w:lastRenderedPageBreak/>
        <w:t>(Architectural, Engineering and Land Surveying Qualifications-Based Selection Act)</w:t>
      </w:r>
      <w:r w:rsidR="00F13CA4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F13CA4" w:rsidRPr="000119AB">
        <w:rPr>
          <w:rStyle w:val="FootnoteReference"/>
          <w:rFonts w:ascii="Times New Roman" w:hAnsi="Times New Roman" w:cs="Times New Roman"/>
          <w:color w:val="auto"/>
          <w:sz w:val="26"/>
          <w:szCs w:val="26"/>
        </w:rPr>
        <w:footnoteReference w:id="2"/>
      </w:r>
    </w:p>
    <w:p w14:paraId="6E7C2356" w14:textId="4A3B033E" w:rsidR="00F13CA4" w:rsidRPr="00DC4300" w:rsidRDefault="00F13CA4" w:rsidP="00F13CA4">
      <w:pPr>
        <w:pStyle w:val="Default"/>
        <w:spacing w:line="480" w:lineRule="auto"/>
        <w:rPr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0B24BC"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Accordingly, t</w:t>
      </w:r>
      <w:r w:rsidRPr="00F10070">
        <w:rPr>
          <w:rFonts w:ascii="Times New Roman" w:hAnsi="Times New Roman" w:cs="Times New Roman"/>
          <w:sz w:val="26"/>
          <w:szCs w:val="26"/>
        </w:rPr>
        <w:t xml:space="preserve">he chancellor, University of Illinois Urbana-Champaign, and vice president, </w:t>
      </w:r>
      <w:r w:rsidRPr="00DC4300">
        <w:rPr>
          <w:rFonts w:ascii="Times New Roman" w:hAnsi="Times New Roman" w:cs="Times New Roman"/>
          <w:sz w:val="26"/>
          <w:szCs w:val="26"/>
        </w:rPr>
        <w:t>University of Illinois System, with the concurrence of the appropriate administrative officers</w:t>
      </w:r>
      <w:r w:rsidR="000B24BC">
        <w:rPr>
          <w:rFonts w:ascii="Times New Roman" w:hAnsi="Times New Roman" w:cs="Times New Roman"/>
          <w:sz w:val="26"/>
          <w:szCs w:val="26"/>
        </w:rPr>
        <w:t>,</w:t>
      </w:r>
      <w:r w:rsidRPr="00DC4300">
        <w:rPr>
          <w:rFonts w:ascii="Times New Roman" w:hAnsi="Times New Roman" w:cs="Times New Roman"/>
          <w:sz w:val="26"/>
          <w:szCs w:val="26"/>
        </w:rPr>
        <w:t xml:space="preserve"> </w:t>
      </w:r>
      <w:r w:rsidRPr="002A6B66">
        <w:rPr>
          <w:rFonts w:ascii="Times New Roman" w:hAnsi="Times New Roman" w:cs="Times New Roman"/>
          <w:sz w:val="26"/>
          <w:szCs w:val="26"/>
        </w:rPr>
        <w:t>recommends that Moody-Nolan</w:t>
      </w:r>
      <w:r w:rsidR="005E0B2B">
        <w:rPr>
          <w:rFonts w:ascii="Times New Roman" w:hAnsi="Times New Roman" w:cs="Times New Roman"/>
          <w:sz w:val="26"/>
          <w:szCs w:val="26"/>
        </w:rPr>
        <w:t>, Inc.</w:t>
      </w:r>
      <w:r w:rsidRPr="002A6B66">
        <w:rPr>
          <w:rFonts w:ascii="Times New Roman" w:hAnsi="Times New Roman" w:cs="Times New Roman"/>
          <w:sz w:val="26"/>
          <w:szCs w:val="26"/>
        </w:rPr>
        <w:t xml:space="preserve"> of Chicago, I</w:t>
      </w:r>
      <w:r w:rsidR="005E0B2B">
        <w:rPr>
          <w:rFonts w:ascii="Times New Roman" w:hAnsi="Times New Roman" w:cs="Times New Roman"/>
          <w:sz w:val="26"/>
          <w:szCs w:val="26"/>
        </w:rPr>
        <w:t>L</w:t>
      </w:r>
      <w:r w:rsidRPr="002A6B66">
        <w:rPr>
          <w:rFonts w:ascii="Times New Roman" w:hAnsi="Times New Roman" w:cs="Times New Roman"/>
          <w:sz w:val="26"/>
          <w:szCs w:val="26"/>
        </w:rPr>
        <w:t xml:space="preserve"> continue to be employed</w:t>
      </w:r>
      <w:r w:rsidR="00D81341">
        <w:rPr>
          <w:rFonts w:ascii="Times New Roman" w:hAnsi="Times New Roman" w:cs="Times New Roman"/>
          <w:sz w:val="26"/>
          <w:szCs w:val="26"/>
        </w:rPr>
        <w:t>,</w:t>
      </w:r>
      <w:r w:rsidRPr="002A6B66">
        <w:rPr>
          <w:rFonts w:ascii="Times New Roman" w:hAnsi="Times New Roman" w:cs="Times New Roman"/>
          <w:sz w:val="26"/>
          <w:szCs w:val="26"/>
        </w:rPr>
        <w:t xml:space="preserve"> and their contract amended for the professional services required for the schematic design</w:t>
      </w:r>
      <w:r>
        <w:rPr>
          <w:rFonts w:ascii="Times New Roman" w:hAnsi="Times New Roman" w:cs="Times New Roman"/>
          <w:sz w:val="26"/>
          <w:szCs w:val="26"/>
        </w:rPr>
        <w:t xml:space="preserve"> and</w:t>
      </w:r>
      <w:r w:rsidRPr="002A6B66">
        <w:rPr>
          <w:rFonts w:ascii="Times New Roman" w:hAnsi="Times New Roman" w:cs="Times New Roman"/>
          <w:sz w:val="26"/>
          <w:szCs w:val="26"/>
        </w:rPr>
        <w:t xml:space="preserve"> design development phases of the project. The firm’s fees will not exceed </w:t>
      </w:r>
      <w:r w:rsidRPr="00F85ECE">
        <w:rPr>
          <w:rFonts w:ascii="Times New Roman" w:hAnsi="Times New Roman" w:cs="Times New Roman"/>
          <w:sz w:val="26"/>
          <w:szCs w:val="26"/>
        </w:rPr>
        <w:t>$</w:t>
      </w:r>
      <w:r w:rsidRPr="006C4EF0">
        <w:rPr>
          <w:rFonts w:ascii="Times New Roman" w:hAnsi="Times New Roman" w:cs="Times New Roman"/>
          <w:sz w:val="26"/>
          <w:szCs w:val="26"/>
        </w:rPr>
        <w:t>3,901,300.</w:t>
      </w:r>
    </w:p>
    <w:p w14:paraId="37877690" w14:textId="2B649DD1" w:rsidR="0003135D" w:rsidRPr="0003135D" w:rsidRDefault="00FF7A5D" w:rsidP="00F13CA4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sz w:val="26"/>
        </w:rPr>
      </w:pPr>
      <w:r w:rsidRPr="00AD0702">
        <w:rPr>
          <w:rFonts w:ascii="Times New Roman" w:hAnsi="Times New Roman" w:cs="Times New Roman"/>
          <w:color w:val="auto"/>
          <w:sz w:val="26"/>
          <w:szCs w:val="26"/>
        </w:rPr>
        <w:tab/>
      </w:r>
      <w:r w:rsidR="0003135D" w:rsidRPr="008D223A">
        <w:rPr>
          <w:rFonts w:ascii="Times New Roman" w:hAnsi="Times New Roman" w:cs="Times New Roman"/>
          <w:sz w:val="26"/>
        </w:rPr>
        <w:t xml:space="preserve">The Board actions recommended in this item complies in all material respects with applicable State and federal laws, University of Illinois </w:t>
      </w:r>
      <w:r w:rsidR="0003135D" w:rsidRPr="008D223A">
        <w:rPr>
          <w:rFonts w:ascii="Times New Roman" w:hAnsi="Times New Roman" w:cs="Times New Roman"/>
          <w:i/>
          <w:sz w:val="26"/>
        </w:rPr>
        <w:t>Statutes</w:t>
      </w:r>
      <w:r w:rsidR="0003135D" w:rsidRPr="008D223A">
        <w:rPr>
          <w:rFonts w:ascii="Times New Roman" w:hAnsi="Times New Roman" w:cs="Times New Roman"/>
          <w:sz w:val="26"/>
        </w:rPr>
        <w:t xml:space="preserve">, </w:t>
      </w:r>
      <w:r w:rsidR="0003135D" w:rsidRPr="008D223A">
        <w:rPr>
          <w:rFonts w:ascii="Times New Roman" w:hAnsi="Times New Roman" w:cs="Times New Roman"/>
          <w:i/>
          <w:sz w:val="26"/>
        </w:rPr>
        <w:t>The General Rules Concerning University Organization and Procedure</w:t>
      </w:r>
      <w:r w:rsidR="0003135D" w:rsidRPr="008D223A">
        <w:rPr>
          <w:rFonts w:ascii="Times New Roman" w:hAnsi="Times New Roman" w:cs="Times New Roman"/>
          <w:sz w:val="26"/>
        </w:rPr>
        <w:t>, and Board of Trustees policies and directives.</w:t>
      </w:r>
    </w:p>
    <w:p w14:paraId="5F6CBA4A" w14:textId="5FFB0B9E" w:rsidR="00B46248" w:rsidRPr="008F6425" w:rsidRDefault="00FF7A5D" w:rsidP="00B46248">
      <w:pPr>
        <w:tabs>
          <w:tab w:val="left" w:pos="1440"/>
        </w:tabs>
        <w:spacing w:line="480" w:lineRule="auto"/>
        <w:rPr>
          <w:color w:val="000000"/>
          <w:szCs w:val="26"/>
          <w:u w:val="single"/>
        </w:rPr>
      </w:pPr>
      <w:r w:rsidRPr="00827A4F">
        <w:rPr>
          <w:szCs w:val="26"/>
        </w:rPr>
        <w:tab/>
      </w:r>
      <w:r w:rsidR="00B46248" w:rsidRPr="008F6425">
        <w:rPr>
          <w:color w:val="000000"/>
          <w:szCs w:val="26"/>
        </w:rPr>
        <w:t xml:space="preserve">Funds for this project are available from </w:t>
      </w:r>
      <w:r w:rsidR="00F6082F">
        <w:rPr>
          <w:color w:val="000000"/>
          <w:szCs w:val="26"/>
        </w:rPr>
        <w:t>the i</w:t>
      </w:r>
      <w:r w:rsidR="00F6082F" w:rsidRPr="008F6425">
        <w:rPr>
          <w:color w:val="000000"/>
          <w:szCs w:val="26"/>
        </w:rPr>
        <w:t xml:space="preserve">nstitutional </w:t>
      </w:r>
      <w:r w:rsidR="00B46248" w:rsidRPr="008F6425">
        <w:rPr>
          <w:color w:val="000000"/>
          <w:szCs w:val="26"/>
        </w:rPr>
        <w:t xml:space="preserve">funds </w:t>
      </w:r>
      <w:r w:rsidR="00F6082F">
        <w:rPr>
          <w:color w:val="000000"/>
          <w:szCs w:val="26"/>
        </w:rPr>
        <w:t xml:space="preserve">operating budget </w:t>
      </w:r>
      <w:r w:rsidR="00852423">
        <w:rPr>
          <w:color w:val="000000"/>
          <w:szCs w:val="26"/>
        </w:rPr>
        <w:t>of the U</w:t>
      </w:r>
      <w:r w:rsidR="000B24BC">
        <w:rPr>
          <w:color w:val="000000"/>
          <w:szCs w:val="26"/>
        </w:rPr>
        <w:t>niversity of Illinois Urbana-Champaign</w:t>
      </w:r>
      <w:r w:rsidR="00852423">
        <w:rPr>
          <w:color w:val="000000"/>
          <w:szCs w:val="26"/>
        </w:rPr>
        <w:t>.</w:t>
      </w:r>
    </w:p>
    <w:p w14:paraId="69339321" w14:textId="5FCF8853" w:rsidR="00B46248" w:rsidRPr="00E415C7" w:rsidRDefault="00B46248" w:rsidP="00B46248">
      <w:pPr>
        <w:spacing w:before="12"/>
        <w:ind w:right="69" w:firstLine="1440"/>
        <w:rPr>
          <w:szCs w:val="26"/>
        </w:rPr>
      </w:pPr>
      <w:r w:rsidRPr="00CC06D9">
        <w:rPr>
          <w:szCs w:val="26"/>
        </w:rPr>
        <w:t xml:space="preserve">The </w:t>
      </w:r>
      <w:r w:rsidR="00F6082F">
        <w:rPr>
          <w:szCs w:val="26"/>
        </w:rPr>
        <w:t>p</w:t>
      </w:r>
      <w:r w:rsidR="00F6082F" w:rsidRPr="00CC06D9">
        <w:rPr>
          <w:szCs w:val="26"/>
        </w:rPr>
        <w:t xml:space="preserve">resident </w:t>
      </w:r>
      <w:r w:rsidRPr="00CC06D9">
        <w:rPr>
          <w:szCs w:val="26"/>
        </w:rPr>
        <w:t xml:space="preserve">of the University </w:t>
      </w:r>
      <w:r w:rsidRPr="00351CA4">
        <w:rPr>
          <w:szCs w:val="26"/>
        </w:rPr>
        <w:t xml:space="preserve">of Illinois System </w:t>
      </w:r>
      <w:r w:rsidRPr="00CC06D9">
        <w:rPr>
          <w:szCs w:val="26"/>
        </w:rPr>
        <w:t>concurs.</w:t>
      </w:r>
    </w:p>
    <w:p w14:paraId="1A4AA70B" w14:textId="77777777" w:rsidR="00EE07A2" w:rsidRDefault="00EE07A2" w:rsidP="00B46248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14:paraId="69B7DC78" w14:textId="77777777" w:rsidR="00216C6A" w:rsidRDefault="00216C6A" w:rsidP="00B46248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9700" w:type="dxa"/>
        <w:tblLook w:val="04A0" w:firstRow="1" w:lastRow="0" w:firstColumn="1" w:lastColumn="0" w:noHBand="0" w:noVBand="1"/>
      </w:tblPr>
      <w:tblGrid>
        <w:gridCol w:w="3600"/>
        <w:gridCol w:w="2480"/>
        <w:gridCol w:w="1900"/>
        <w:gridCol w:w="1720"/>
      </w:tblGrid>
      <w:tr w:rsidR="00F27A43" w:rsidRPr="00F27A43" w14:paraId="2CFBA4E0" w14:textId="77777777" w:rsidTr="008E2A6E">
        <w:trPr>
          <w:trHeight w:val="330"/>
        </w:trPr>
        <w:tc>
          <w:tcPr>
            <w:tcW w:w="9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A4359" w14:textId="77777777" w:rsidR="00F27A43" w:rsidRDefault="00F27A43" w:rsidP="00F27A43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  <w:p w14:paraId="65093323" w14:textId="737C792E" w:rsidR="00F27A43" w:rsidRPr="00F27A43" w:rsidRDefault="00F27A43" w:rsidP="001F0487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Table 1: Diverse Vendor Participation</w:t>
            </w:r>
          </w:p>
        </w:tc>
      </w:tr>
      <w:tr w:rsidR="00F27A43" w:rsidRPr="00F27A43" w14:paraId="567C3947" w14:textId="77777777" w:rsidTr="00F27A43">
        <w:trPr>
          <w:trHeight w:val="960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CF0FE8A" w14:textId="77777777" w:rsidR="00F27A43" w:rsidRPr="00F27A43" w:rsidRDefault="00F27A43" w:rsidP="00F27A43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7A43">
              <w:rPr>
                <w:b/>
                <w:bCs/>
                <w:color w:val="000000"/>
                <w:sz w:val="24"/>
                <w:szCs w:val="24"/>
              </w:rPr>
              <w:t>Awarded Vendor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461D3D1" w14:textId="77777777" w:rsidR="00F27A43" w:rsidRPr="00F27A43" w:rsidRDefault="00F27A43" w:rsidP="00F27A43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7A43">
              <w:rPr>
                <w:b/>
                <w:bCs/>
                <w:color w:val="000000"/>
                <w:sz w:val="24"/>
                <w:szCs w:val="24"/>
              </w:rPr>
              <w:t>Prime Contract $ / Diverse Subcontractor Certification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807D10B" w14:textId="77777777" w:rsidR="00F27A43" w:rsidRPr="00F27A43" w:rsidRDefault="00F27A43" w:rsidP="00F27A43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7A43">
              <w:rPr>
                <w:b/>
                <w:bCs/>
                <w:color w:val="000000"/>
                <w:sz w:val="24"/>
                <w:szCs w:val="24"/>
              </w:rPr>
              <w:t>Diverse Subcontractor Value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6EEB5DD9" w14:textId="77777777" w:rsidR="00F27A43" w:rsidRPr="00F27A43" w:rsidRDefault="00F27A43" w:rsidP="00F27A43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7A43">
              <w:rPr>
                <w:b/>
                <w:bCs/>
                <w:color w:val="000000"/>
                <w:sz w:val="24"/>
                <w:szCs w:val="24"/>
              </w:rPr>
              <w:t>Subcontractor % of Work</w:t>
            </w:r>
          </w:p>
        </w:tc>
      </w:tr>
      <w:tr w:rsidR="00F27A43" w:rsidRPr="00F27A43" w14:paraId="1E04ECC6" w14:textId="77777777" w:rsidTr="00F27A43">
        <w:trPr>
          <w:trHeight w:val="315"/>
        </w:trPr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0316E6" w14:textId="2C9256AA" w:rsidR="00320BFD" w:rsidRDefault="00F27A43" w:rsidP="00320BFD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27A43">
              <w:rPr>
                <w:color w:val="000000"/>
                <w:sz w:val="24"/>
                <w:szCs w:val="24"/>
              </w:rPr>
              <w:t xml:space="preserve">Moody-Nolan, </w:t>
            </w:r>
            <w:r w:rsidR="00320BFD">
              <w:rPr>
                <w:color w:val="000000"/>
                <w:sz w:val="24"/>
                <w:szCs w:val="24"/>
              </w:rPr>
              <w:t>Inc.</w:t>
            </w:r>
          </w:p>
          <w:p w14:paraId="76AE44E9" w14:textId="484D42A9" w:rsidR="00F27A43" w:rsidRPr="00F27A43" w:rsidRDefault="00F27A43" w:rsidP="00320BFD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27A43">
              <w:rPr>
                <w:color w:val="000000"/>
                <w:sz w:val="24"/>
                <w:szCs w:val="24"/>
              </w:rPr>
              <w:t>Chicago, Illinois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6A2F9" w14:textId="0CFFB7CA" w:rsidR="00F27A43" w:rsidRPr="00F27A43" w:rsidRDefault="00F27A43" w:rsidP="00F27A43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27A43">
              <w:rPr>
                <w:color w:val="000000"/>
                <w:sz w:val="24"/>
                <w:szCs w:val="24"/>
              </w:rPr>
              <w:t>$</w:t>
            </w:r>
            <w:r w:rsidR="00747091">
              <w:rPr>
                <w:color w:val="000000"/>
                <w:sz w:val="24"/>
                <w:szCs w:val="24"/>
              </w:rPr>
              <w:t>3</w:t>
            </w:r>
            <w:r w:rsidRPr="00F27A43">
              <w:rPr>
                <w:color w:val="000000"/>
                <w:sz w:val="24"/>
                <w:szCs w:val="24"/>
              </w:rPr>
              <w:t>,</w:t>
            </w:r>
            <w:r w:rsidR="00747091">
              <w:rPr>
                <w:color w:val="000000"/>
                <w:sz w:val="24"/>
                <w:szCs w:val="24"/>
              </w:rPr>
              <w:t>901</w:t>
            </w:r>
            <w:r w:rsidRPr="00F27A43">
              <w:rPr>
                <w:color w:val="000000"/>
                <w:sz w:val="24"/>
                <w:szCs w:val="24"/>
              </w:rPr>
              <w:t>,</w:t>
            </w:r>
            <w:r w:rsidR="00747091">
              <w:rPr>
                <w:color w:val="000000"/>
                <w:sz w:val="24"/>
                <w:szCs w:val="24"/>
              </w:rPr>
              <w:t>3</w:t>
            </w:r>
            <w:r w:rsidRPr="00F27A43">
              <w:rPr>
                <w:color w:val="000000"/>
                <w:sz w:val="24"/>
                <w:szCs w:val="24"/>
              </w:rPr>
              <w:t xml:space="preserve">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6D58B" w14:textId="77777777" w:rsidR="00F27A43" w:rsidRPr="00F27A43" w:rsidRDefault="00F27A43" w:rsidP="00F27A43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27A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6AF9FB" w14:textId="77777777" w:rsidR="00F27A43" w:rsidRPr="00F27A43" w:rsidRDefault="00F27A43" w:rsidP="00F27A43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27A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27A43" w:rsidRPr="00F27A43" w14:paraId="0B517BA1" w14:textId="77777777" w:rsidTr="00F27A43">
        <w:trPr>
          <w:trHeight w:val="315"/>
        </w:trPr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FC328F" w14:textId="77777777" w:rsidR="00F27A43" w:rsidRPr="00F27A43" w:rsidRDefault="00F27A43" w:rsidP="00F27A43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27A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6E7F" w14:textId="77777777" w:rsidR="00F27A43" w:rsidRPr="00F27A43" w:rsidRDefault="00F27A43" w:rsidP="00F27A43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27A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7A9BF" w14:textId="77777777" w:rsidR="00F27A43" w:rsidRPr="00F27A43" w:rsidRDefault="00F27A43" w:rsidP="00F27A43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27A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357D349" w14:textId="77777777" w:rsidR="00F27A43" w:rsidRPr="00F27A43" w:rsidRDefault="00F27A43" w:rsidP="00F27A43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27A4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27A43" w:rsidRPr="00F27A43" w14:paraId="4E43455C" w14:textId="77777777" w:rsidTr="00F27A43">
        <w:trPr>
          <w:trHeight w:val="315"/>
        </w:trPr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007660" w14:textId="77777777" w:rsidR="00F27A43" w:rsidRPr="00F27A43" w:rsidRDefault="00F27A43" w:rsidP="00F27A43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27A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A2521" w14:textId="77777777" w:rsidR="00F27A43" w:rsidRPr="00F27A43" w:rsidRDefault="00F27A43" w:rsidP="00F27A43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27A43">
              <w:rPr>
                <w:color w:val="000000"/>
                <w:sz w:val="24"/>
                <w:szCs w:val="24"/>
              </w:rPr>
              <w:t>MBE (AFA)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FF3E2D" w14:textId="2D94837E" w:rsidR="00F27A43" w:rsidRPr="00F27A43" w:rsidRDefault="00F27A43" w:rsidP="00F27A43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27A43">
              <w:rPr>
                <w:color w:val="000000"/>
                <w:sz w:val="24"/>
                <w:szCs w:val="24"/>
              </w:rPr>
              <w:t>$</w:t>
            </w:r>
            <w:r w:rsidR="00747091">
              <w:rPr>
                <w:color w:val="000000"/>
                <w:sz w:val="24"/>
                <w:szCs w:val="24"/>
              </w:rPr>
              <w:t>534,005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801205D" w14:textId="330000B2" w:rsidR="00F27A43" w:rsidRPr="00F27A43" w:rsidRDefault="004068D4" w:rsidP="00F27A43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F27A43" w:rsidRPr="00F27A43">
              <w:rPr>
                <w:color w:val="000000"/>
                <w:sz w:val="24"/>
                <w:szCs w:val="24"/>
              </w:rPr>
              <w:t>%</w:t>
            </w:r>
          </w:p>
        </w:tc>
      </w:tr>
      <w:tr w:rsidR="00F27A43" w:rsidRPr="00F27A43" w14:paraId="5CBFBF69" w14:textId="77777777" w:rsidTr="00F27A43">
        <w:trPr>
          <w:trHeight w:val="315"/>
        </w:trPr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C8AF65" w14:textId="77777777" w:rsidR="00F27A43" w:rsidRPr="00F27A43" w:rsidRDefault="00F27A43" w:rsidP="00F27A43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27A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D686A" w14:textId="77777777" w:rsidR="00F27A43" w:rsidRPr="00F27A43" w:rsidRDefault="00F27A43" w:rsidP="00F27A43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27A43">
              <w:rPr>
                <w:color w:val="000000"/>
                <w:sz w:val="24"/>
                <w:szCs w:val="24"/>
              </w:rPr>
              <w:t>MBE (ASA)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9BA996" w14:textId="56114DB8" w:rsidR="00F27A43" w:rsidRPr="00F27A43" w:rsidRDefault="00F27A43" w:rsidP="00F27A43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27A43">
              <w:rPr>
                <w:color w:val="000000"/>
                <w:sz w:val="24"/>
                <w:szCs w:val="24"/>
              </w:rPr>
              <w:t>$</w:t>
            </w:r>
            <w:r w:rsidR="00747091">
              <w:rPr>
                <w:color w:val="000000"/>
                <w:sz w:val="24"/>
                <w:szCs w:val="24"/>
              </w:rPr>
              <w:t>92,188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0C5BBBB" w14:textId="77777777" w:rsidR="00F27A43" w:rsidRPr="00F27A43" w:rsidRDefault="00F27A43" w:rsidP="00F27A43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27A43">
              <w:rPr>
                <w:color w:val="000000"/>
                <w:sz w:val="24"/>
                <w:szCs w:val="24"/>
              </w:rPr>
              <w:t>2%</w:t>
            </w:r>
          </w:p>
        </w:tc>
      </w:tr>
      <w:tr w:rsidR="00F27A43" w:rsidRPr="00F27A43" w14:paraId="6D78367D" w14:textId="77777777" w:rsidTr="00F27A43">
        <w:trPr>
          <w:trHeight w:val="315"/>
        </w:trPr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1F0E1D" w14:textId="77777777" w:rsidR="00F27A43" w:rsidRPr="00F27A43" w:rsidRDefault="00F27A43" w:rsidP="00F27A43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27A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6D48C0" w14:textId="77777777" w:rsidR="00F27A43" w:rsidRPr="00F27A43" w:rsidRDefault="00F27A43" w:rsidP="00F27A43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27A43">
              <w:rPr>
                <w:color w:val="000000"/>
                <w:sz w:val="24"/>
                <w:szCs w:val="24"/>
              </w:rPr>
              <w:t>VOSB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8CBBE7" w14:textId="10064405" w:rsidR="00F27A43" w:rsidRPr="00F27A43" w:rsidRDefault="004068D4" w:rsidP="00F27A43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$112,813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1151B5" w14:textId="77777777" w:rsidR="00F27A43" w:rsidRPr="00F27A43" w:rsidRDefault="00F27A43" w:rsidP="00F27A43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27A43">
              <w:rPr>
                <w:color w:val="000000"/>
                <w:sz w:val="24"/>
                <w:szCs w:val="24"/>
              </w:rPr>
              <w:t>3%</w:t>
            </w:r>
          </w:p>
        </w:tc>
      </w:tr>
      <w:tr w:rsidR="00F27A43" w:rsidRPr="00F27A43" w14:paraId="5BD74450" w14:textId="77777777" w:rsidTr="00F27A43">
        <w:trPr>
          <w:trHeight w:val="315"/>
        </w:trPr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CF39EC" w14:textId="77777777" w:rsidR="00F27A43" w:rsidRPr="00F27A43" w:rsidRDefault="00F27A43" w:rsidP="00F27A43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27A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EDDB7E" w14:textId="77777777" w:rsidR="00F27A43" w:rsidRPr="00F27A43" w:rsidRDefault="00F27A43" w:rsidP="00F27A43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27A43">
              <w:rPr>
                <w:color w:val="000000"/>
                <w:sz w:val="24"/>
                <w:szCs w:val="24"/>
              </w:rPr>
              <w:t>WBE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0A328F" w14:textId="637C78E4" w:rsidR="00F27A43" w:rsidRPr="00F27A43" w:rsidRDefault="00F27A43" w:rsidP="00F27A43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27A43">
              <w:rPr>
                <w:color w:val="000000"/>
                <w:sz w:val="24"/>
                <w:szCs w:val="24"/>
              </w:rPr>
              <w:t>$</w:t>
            </w:r>
            <w:r w:rsidR="004068D4">
              <w:rPr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428438" w14:textId="5FA52873" w:rsidR="00F27A43" w:rsidRPr="00F27A43" w:rsidRDefault="004068D4" w:rsidP="00F27A43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27A43" w:rsidRPr="00F27A43">
              <w:rPr>
                <w:color w:val="000000"/>
                <w:sz w:val="24"/>
                <w:szCs w:val="24"/>
              </w:rPr>
              <w:t>%</w:t>
            </w:r>
          </w:p>
        </w:tc>
      </w:tr>
      <w:tr w:rsidR="00F27A43" w:rsidRPr="00F27A43" w14:paraId="565677B6" w14:textId="77777777" w:rsidTr="00F27A43">
        <w:trPr>
          <w:trHeight w:val="33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C64A772" w14:textId="77777777" w:rsidR="00F27A43" w:rsidRPr="00F27A43" w:rsidRDefault="00F27A43" w:rsidP="00F27A43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27A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C78C050" w14:textId="77777777" w:rsidR="00F27A43" w:rsidRPr="00F27A43" w:rsidRDefault="00F27A43" w:rsidP="00F27A43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7A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F76BFA9" w14:textId="1866924A" w:rsidR="00F27A43" w:rsidRPr="00F27A43" w:rsidRDefault="00F27A43" w:rsidP="00F27A43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7A43">
              <w:rPr>
                <w:b/>
                <w:bCs/>
                <w:color w:val="000000"/>
                <w:sz w:val="24"/>
                <w:szCs w:val="24"/>
              </w:rPr>
              <w:t>$</w:t>
            </w:r>
            <w:r w:rsidR="004068D4">
              <w:rPr>
                <w:b/>
                <w:bCs/>
                <w:color w:val="000000"/>
                <w:sz w:val="24"/>
                <w:szCs w:val="24"/>
              </w:rPr>
              <w:t>764,005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A3A750" w14:textId="15957631" w:rsidR="00F27A43" w:rsidRPr="00F27A43" w:rsidRDefault="004068D4" w:rsidP="00F27A43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  <w:r w:rsidR="00F27A43" w:rsidRPr="00F27A43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</w:tbl>
    <w:p w14:paraId="5BA27135" w14:textId="77777777" w:rsidR="00A43E05" w:rsidRDefault="00A43E05" w:rsidP="00B11C34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14:paraId="11652887" w14:textId="0F43F270" w:rsidR="00B11C34" w:rsidRPr="00521958" w:rsidRDefault="00B11C34" w:rsidP="00B11C34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14:paraId="0D1206B1" w14:textId="77777777" w:rsidR="00B11C34" w:rsidRPr="00521958" w:rsidRDefault="00B11C34" w:rsidP="00B11C34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14:paraId="276766FA" w14:textId="77777777" w:rsidR="00EE07A2" w:rsidRPr="00153D68" w:rsidRDefault="00EE07A2" w:rsidP="00B11C34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sectPr w:rsidR="00EE07A2" w:rsidRPr="00153D68" w:rsidSect="005E0B2B">
      <w:headerReference w:type="default" r:id="rId11"/>
      <w:type w:val="continuous"/>
      <w:pgSz w:w="12240" w:h="15840"/>
      <w:pgMar w:top="720" w:right="1440" w:bottom="1440" w:left="1440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20FB1" w14:textId="77777777" w:rsidR="00D21E28" w:rsidRDefault="00D21E28" w:rsidP="00621ED7">
      <w:r>
        <w:separator/>
      </w:r>
    </w:p>
  </w:endnote>
  <w:endnote w:type="continuationSeparator" w:id="0">
    <w:p w14:paraId="3E01CC1B" w14:textId="77777777" w:rsidR="00D21E28" w:rsidRDefault="00D21E28" w:rsidP="00621ED7">
      <w:r>
        <w:continuationSeparator/>
      </w:r>
    </w:p>
  </w:endnote>
  <w:endnote w:type="continuationNotice" w:id="1">
    <w:p w14:paraId="28CAB4CC" w14:textId="77777777" w:rsidR="00D21E28" w:rsidRDefault="00D21E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B478B" w14:textId="77777777" w:rsidR="00D21E28" w:rsidRDefault="00D21E28" w:rsidP="00621ED7">
      <w:r>
        <w:separator/>
      </w:r>
    </w:p>
  </w:footnote>
  <w:footnote w:type="continuationSeparator" w:id="0">
    <w:p w14:paraId="3190220B" w14:textId="77777777" w:rsidR="00D21E28" w:rsidRDefault="00D21E28" w:rsidP="00621ED7">
      <w:r>
        <w:continuationSeparator/>
      </w:r>
    </w:p>
  </w:footnote>
  <w:footnote w:type="continuationNotice" w:id="1">
    <w:p w14:paraId="4550D247" w14:textId="77777777" w:rsidR="00D21E28" w:rsidRDefault="00D21E28"/>
  </w:footnote>
  <w:footnote w:id="2">
    <w:p w14:paraId="4E073344" w14:textId="4CCDAFC7" w:rsidR="00F13CA4" w:rsidRPr="005E0B2B" w:rsidRDefault="00F13CA4" w:rsidP="00F13CA4">
      <w:pPr>
        <w:pStyle w:val="FootnoteText"/>
        <w:rPr>
          <w:sz w:val="26"/>
          <w:szCs w:val="26"/>
        </w:rPr>
      </w:pPr>
      <w:r w:rsidRPr="005E0B2B">
        <w:rPr>
          <w:sz w:val="26"/>
          <w:szCs w:val="26"/>
          <w:vertAlign w:val="superscript"/>
        </w:rPr>
        <w:footnoteRef/>
      </w:r>
      <w:r w:rsidRPr="005E0B2B">
        <w:rPr>
          <w:sz w:val="26"/>
          <w:szCs w:val="26"/>
        </w:rPr>
        <w:t xml:space="preserve"> A selection committee consisting of Anthony M. Battaglia (Facilities and Services, Capital Programs, </w:t>
      </w:r>
      <w:r w:rsidR="000B24BC" w:rsidRPr="005E0B2B">
        <w:rPr>
          <w:sz w:val="26"/>
          <w:szCs w:val="26"/>
        </w:rPr>
        <w:t>c</w:t>
      </w:r>
      <w:r w:rsidRPr="005E0B2B">
        <w:rPr>
          <w:sz w:val="26"/>
          <w:szCs w:val="26"/>
        </w:rPr>
        <w:t>hair)</w:t>
      </w:r>
      <w:r w:rsidR="000B24BC" w:rsidRPr="005E0B2B">
        <w:rPr>
          <w:sz w:val="26"/>
          <w:szCs w:val="26"/>
        </w:rPr>
        <w:t>;</w:t>
      </w:r>
      <w:r w:rsidRPr="005E0B2B">
        <w:rPr>
          <w:sz w:val="26"/>
          <w:szCs w:val="26"/>
        </w:rPr>
        <w:t xml:space="preserve"> James K. Sims (Facilities and Services, Engineering </w:t>
      </w:r>
      <w:r w:rsidR="005E0B2B">
        <w:rPr>
          <w:sz w:val="26"/>
          <w:szCs w:val="26"/>
        </w:rPr>
        <w:t>and</w:t>
      </w:r>
      <w:r w:rsidRPr="005E0B2B">
        <w:rPr>
          <w:sz w:val="26"/>
          <w:szCs w:val="26"/>
        </w:rPr>
        <w:t xml:space="preserve"> Construction Services)</w:t>
      </w:r>
      <w:r w:rsidR="000B24BC" w:rsidRPr="005E0B2B">
        <w:rPr>
          <w:sz w:val="26"/>
          <w:szCs w:val="26"/>
        </w:rPr>
        <w:t>;</w:t>
      </w:r>
      <w:r w:rsidRPr="005E0B2B">
        <w:rPr>
          <w:sz w:val="26"/>
          <w:szCs w:val="26"/>
        </w:rPr>
        <w:t xml:space="preserve"> Rohit Bhargava (Cancer Center at Illinois)</w:t>
      </w:r>
      <w:r w:rsidR="005E0B2B">
        <w:rPr>
          <w:sz w:val="26"/>
          <w:szCs w:val="26"/>
        </w:rPr>
        <w:t>;</w:t>
      </w:r>
      <w:r w:rsidRPr="005E0B2B">
        <w:rPr>
          <w:sz w:val="26"/>
          <w:szCs w:val="26"/>
        </w:rPr>
        <w:t xml:space="preserve"> Sandra E. Yoo (System Office of Capital Programs</w:t>
      </w:r>
      <w:r w:rsidR="000B24BC" w:rsidRPr="005E0B2B">
        <w:rPr>
          <w:sz w:val="26"/>
          <w:szCs w:val="26"/>
        </w:rPr>
        <w:t>,</w:t>
      </w:r>
      <w:r w:rsidRPr="005E0B2B">
        <w:rPr>
          <w:sz w:val="26"/>
          <w:szCs w:val="26"/>
        </w:rPr>
        <w:t xml:space="preserve"> Real Estate</w:t>
      </w:r>
      <w:r w:rsidR="000B24BC" w:rsidRPr="005E0B2B">
        <w:rPr>
          <w:sz w:val="26"/>
          <w:szCs w:val="26"/>
        </w:rPr>
        <w:t xml:space="preserve"> and Utility</w:t>
      </w:r>
      <w:r w:rsidRPr="005E0B2B">
        <w:rPr>
          <w:sz w:val="26"/>
          <w:szCs w:val="26"/>
        </w:rPr>
        <w:t xml:space="preserve"> Services)</w:t>
      </w:r>
      <w:r w:rsidR="000B24BC" w:rsidRPr="005E0B2B">
        <w:rPr>
          <w:sz w:val="26"/>
          <w:szCs w:val="26"/>
        </w:rPr>
        <w:t>;</w:t>
      </w:r>
      <w:r w:rsidRPr="005E0B2B">
        <w:rPr>
          <w:sz w:val="26"/>
          <w:szCs w:val="26"/>
        </w:rPr>
        <w:t xml:space="preserve"> and Dale Morrison (Office of Procurement Diversity); </w:t>
      </w:r>
      <w:r w:rsidR="000B24BC" w:rsidRPr="005E0B2B">
        <w:rPr>
          <w:sz w:val="26"/>
          <w:szCs w:val="26"/>
        </w:rPr>
        <w:t xml:space="preserve">and </w:t>
      </w:r>
      <w:r w:rsidRPr="005E0B2B">
        <w:rPr>
          <w:sz w:val="26"/>
          <w:szCs w:val="26"/>
        </w:rPr>
        <w:t>non-voting members Barry A. Schatz (Cancer Center at Illinois),</w:t>
      </w:r>
      <w:r w:rsidR="000B24BC" w:rsidRPr="005E0B2B">
        <w:rPr>
          <w:sz w:val="26"/>
          <w:szCs w:val="26"/>
        </w:rPr>
        <w:t xml:space="preserve"> and</w:t>
      </w:r>
      <w:r w:rsidRPr="005E0B2B">
        <w:rPr>
          <w:sz w:val="26"/>
          <w:szCs w:val="26"/>
        </w:rPr>
        <w:t xml:space="preserve"> Jonathan R. Hasselbring (Facilities and Services, Capital Programs) interviewed the following firms: HDR Architecture</w:t>
      </w:r>
      <w:r w:rsidR="00D81341" w:rsidRPr="005E0B2B">
        <w:rPr>
          <w:sz w:val="26"/>
          <w:szCs w:val="26"/>
        </w:rPr>
        <w:t>,</w:t>
      </w:r>
      <w:r w:rsidRPr="005E0B2B">
        <w:rPr>
          <w:sz w:val="26"/>
          <w:szCs w:val="26"/>
        </w:rPr>
        <w:t xml:space="preserve"> Inc., Chicago, IL; OWP/P Cannon Design</w:t>
      </w:r>
      <w:r w:rsidR="00D81341" w:rsidRPr="005E0B2B">
        <w:rPr>
          <w:sz w:val="26"/>
          <w:szCs w:val="26"/>
        </w:rPr>
        <w:t>,</w:t>
      </w:r>
      <w:r w:rsidRPr="005E0B2B">
        <w:rPr>
          <w:sz w:val="26"/>
          <w:szCs w:val="26"/>
        </w:rPr>
        <w:t xml:space="preserve"> Inc.</w:t>
      </w:r>
      <w:r w:rsidR="005E0B2B">
        <w:rPr>
          <w:sz w:val="26"/>
          <w:szCs w:val="26"/>
        </w:rPr>
        <w:t xml:space="preserve"> </w:t>
      </w:r>
      <w:r w:rsidRPr="005E0B2B">
        <w:rPr>
          <w:sz w:val="26"/>
          <w:szCs w:val="26"/>
        </w:rPr>
        <w:t>(d/b/a Cannon Design), Chicago, IL; Holabird &amp; Root</w:t>
      </w:r>
      <w:r w:rsidR="00D81341" w:rsidRPr="005E0B2B">
        <w:rPr>
          <w:sz w:val="26"/>
          <w:szCs w:val="26"/>
        </w:rPr>
        <w:t>,</w:t>
      </w:r>
      <w:r w:rsidRPr="005E0B2B">
        <w:rPr>
          <w:sz w:val="26"/>
          <w:szCs w:val="26"/>
        </w:rPr>
        <w:t xml:space="preserve"> LLC, Chicago, IL; Shive‐Hattery</w:t>
      </w:r>
      <w:r w:rsidR="00D81341" w:rsidRPr="005E0B2B">
        <w:rPr>
          <w:sz w:val="26"/>
          <w:szCs w:val="26"/>
        </w:rPr>
        <w:t>,</w:t>
      </w:r>
      <w:r w:rsidRPr="005E0B2B">
        <w:rPr>
          <w:sz w:val="26"/>
          <w:szCs w:val="26"/>
        </w:rPr>
        <w:t xml:space="preserve"> Inc.,</w:t>
      </w:r>
      <w:r w:rsidR="00D81341" w:rsidRPr="005E0B2B">
        <w:rPr>
          <w:sz w:val="26"/>
          <w:szCs w:val="26"/>
        </w:rPr>
        <w:t xml:space="preserve"> Chicago</w:t>
      </w:r>
      <w:r w:rsidRPr="005E0B2B">
        <w:rPr>
          <w:sz w:val="26"/>
          <w:szCs w:val="26"/>
        </w:rPr>
        <w:t>, IL; Smith Group</w:t>
      </w:r>
      <w:r w:rsidR="00D81341" w:rsidRPr="005E0B2B">
        <w:rPr>
          <w:sz w:val="26"/>
          <w:szCs w:val="26"/>
        </w:rPr>
        <w:t xml:space="preserve"> Worldwide</w:t>
      </w:r>
      <w:r w:rsidRPr="005E0B2B">
        <w:rPr>
          <w:sz w:val="26"/>
          <w:szCs w:val="26"/>
        </w:rPr>
        <w:t xml:space="preserve">, Inc., </w:t>
      </w:r>
      <w:r w:rsidR="00D81341" w:rsidRPr="005E0B2B">
        <w:rPr>
          <w:sz w:val="26"/>
          <w:szCs w:val="26"/>
        </w:rPr>
        <w:t>Grant Park</w:t>
      </w:r>
      <w:r w:rsidRPr="005E0B2B">
        <w:rPr>
          <w:sz w:val="26"/>
          <w:szCs w:val="26"/>
        </w:rPr>
        <w:t>, IL; Skidmore Owings &amp; Merrill LLP, Chicago, IL; Moody</w:t>
      </w:r>
      <w:r w:rsidR="00323FC7" w:rsidRPr="005E0B2B">
        <w:rPr>
          <w:sz w:val="26"/>
          <w:szCs w:val="26"/>
        </w:rPr>
        <w:t>-</w:t>
      </w:r>
      <w:r w:rsidRPr="005E0B2B">
        <w:rPr>
          <w:sz w:val="26"/>
          <w:szCs w:val="26"/>
        </w:rPr>
        <w:t xml:space="preserve">Nolan Inc., Chicago, IL; Perkins </w:t>
      </w:r>
      <w:r w:rsidR="00323FC7" w:rsidRPr="005E0B2B">
        <w:rPr>
          <w:sz w:val="26"/>
          <w:szCs w:val="26"/>
        </w:rPr>
        <w:t>+</w:t>
      </w:r>
      <w:r w:rsidRPr="005E0B2B">
        <w:rPr>
          <w:sz w:val="26"/>
          <w:szCs w:val="26"/>
        </w:rPr>
        <w:t xml:space="preserve"> Will, Inc., Chicago, IL. The committee recommended Moody</w:t>
      </w:r>
      <w:r w:rsidR="00D81341" w:rsidRPr="005E0B2B">
        <w:rPr>
          <w:sz w:val="26"/>
          <w:szCs w:val="26"/>
        </w:rPr>
        <w:t>-</w:t>
      </w:r>
      <w:r w:rsidRPr="005E0B2B">
        <w:rPr>
          <w:sz w:val="26"/>
          <w:szCs w:val="26"/>
        </w:rPr>
        <w:t>Nolan, Inc., Chicago, IL, as best meeting the criteria for the project.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32077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9F0D3C" w14:textId="498E5272" w:rsidR="005E0B2B" w:rsidRDefault="005E0B2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D8E840" w14:textId="77777777" w:rsidR="005E0B2B" w:rsidRDefault="005E0B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B1998"/>
    <w:multiLevelType w:val="hybridMultilevel"/>
    <w:tmpl w:val="33F25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161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A5D"/>
    <w:rsid w:val="00001358"/>
    <w:rsid w:val="000023DD"/>
    <w:rsid w:val="0001195D"/>
    <w:rsid w:val="000119AB"/>
    <w:rsid w:val="000168FA"/>
    <w:rsid w:val="00030A9F"/>
    <w:rsid w:val="0003135D"/>
    <w:rsid w:val="000444CE"/>
    <w:rsid w:val="000515D8"/>
    <w:rsid w:val="00064931"/>
    <w:rsid w:val="000771A3"/>
    <w:rsid w:val="000B24BC"/>
    <w:rsid w:val="000C111A"/>
    <w:rsid w:val="000C61F9"/>
    <w:rsid w:val="000D17A2"/>
    <w:rsid w:val="0012335C"/>
    <w:rsid w:val="00152464"/>
    <w:rsid w:val="00153D68"/>
    <w:rsid w:val="00166EE1"/>
    <w:rsid w:val="00190ED7"/>
    <w:rsid w:val="00191C16"/>
    <w:rsid w:val="00196FF1"/>
    <w:rsid w:val="001A236D"/>
    <w:rsid w:val="001B2571"/>
    <w:rsid w:val="001F0487"/>
    <w:rsid w:val="001F3D92"/>
    <w:rsid w:val="00206E57"/>
    <w:rsid w:val="002168D6"/>
    <w:rsid w:val="00216C6A"/>
    <w:rsid w:val="0022113C"/>
    <w:rsid w:val="002265A8"/>
    <w:rsid w:val="00232B87"/>
    <w:rsid w:val="00235E96"/>
    <w:rsid w:val="002379B8"/>
    <w:rsid w:val="00243E90"/>
    <w:rsid w:val="0025024E"/>
    <w:rsid w:val="00253994"/>
    <w:rsid w:val="00255F60"/>
    <w:rsid w:val="00264626"/>
    <w:rsid w:val="002740D4"/>
    <w:rsid w:val="00281157"/>
    <w:rsid w:val="00297A31"/>
    <w:rsid w:val="00297D90"/>
    <w:rsid w:val="002A0BE3"/>
    <w:rsid w:val="002B7FDA"/>
    <w:rsid w:val="002D75BA"/>
    <w:rsid w:val="00300404"/>
    <w:rsid w:val="00307C2C"/>
    <w:rsid w:val="00320BFD"/>
    <w:rsid w:val="00323FC7"/>
    <w:rsid w:val="00334B91"/>
    <w:rsid w:val="00336D4D"/>
    <w:rsid w:val="00344E38"/>
    <w:rsid w:val="003571C8"/>
    <w:rsid w:val="00377DE7"/>
    <w:rsid w:val="003819B2"/>
    <w:rsid w:val="00383E59"/>
    <w:rsid w:val="00392C7C"/>
    <w:rsid w:val="003C43AB"/>
    <w:rsid w:val="003D2B7D"/>
    <w:rsid w:val="003D53DD"/>
    <w:rsid w:val="003E68DE"/>
    <w:rsid w:val="003E7D18"/>
    <w:rsid w:val="003F1CFF"/>
    <w:rsid w:val="00401F3C"/>
    <w:rsid w:val="00402873"/>
    <w:rsid w:val="004054E2"/>
    <w:rsid w:val="004068D4"/>
    <w:rsid w:val="00412272"/>
    <w:rsid w:val="00413849"/>
    <w:rsid w:val="0044172B"/>
    <w:rsid w:val="0044381C"/>
    <w:rsid w:val="00443E35"/>
    <w:rsid w:val="00487449"/>
    <w:rsid w:val="004B44D1"/>
    <w:rsid w:val="004C2352"/>
    <w:rsid w:val="004C43C6"/>
    <w:rsid w:val="004C573E"/>
    <w:rsid w:val="004C6C5D"/>
    <w:rsid w:val="004D64AE"/>
    <w:rsid w:val="00510DAE"/>
    <w:rsid w:val="00512A7B"/>
    <w:rsid w:val="00515594"/>
    <w:rsid w:val="00526FEB"/>
    <w:rsid w:val="00543A5A"/>
    <w:rsid w:val="00543FF0"/>
    <w:rsid w:val="00552086"/>
    <w:rsid w:val="0055262D"/>
    <w:rsid w:val="0055392A"/>
    <w:rsid w:val="00561AD7"/>
    <w:rsid w:val="00563FD3"/>
    <w:rsid w:val="00583006"/>
    <w:rsid w:val="0058326F"/>
    <w:rsid w:val="005A2A07"/>
    <w:rsid w:val="005B47F0"/>
    <w:rsid w:val="005D2DB3"/>
    <w:rsid w:val="005E0B2B"/>
    <w:rsid w:val="005E4C84"/>
    <w:rsid w:val="005F3E60"/>
    <w:rsid w:val="00602FC4"/>
    <w:rsid w:val="00616DA3"/>
    <w:rsid w:val="00621ED7"/>
    <w:rsid w:val="00622ED4"/>
    <w:rsid w:val="00623618"/>
    <w:rsid w:val="006510D8"/>
    <w:rsid w:val="006606ED"/>
    <w:rsid w:val="00696D35"/>
    <w:rsid w:val="006B250A"/>
    <w:rsid w:val="006C7C3F"/>
    <w:rsid w:val="006C7E1D"/>
    <w:rsid w:val="006E21B4"/>
    <w:rsid w:val="006F7069"/>
    <w:rsid w:val="007072A5"/>
    <w:rsid w:val="0071009E"/>
    <w:rsid w:val="00710A22"/>
    <w:rsid w:val="00721FEC"/>
    <w:rsid w:val="00747091"/>
    <w:rsid w:val="0074718C"/>
    <w:rsid w:val="00786691"/>
    <w:rsid w:val="00793A3D"/>
    <w:rsid w:val="007A1E51"/>
    <w:rsid w:val="007A3ABF"/>
    <w:rsid w:val="007A4620"/>
    <w:rsid w:val="007B5F18"/>
    <w:rsid w:val="007B6CBC"/>
    <w:rsid w:val="007C0388"/>
    <w:rsid w:val="007D0E76"/>
    <w:rsid w:val="007E71D6"/>
    <w:rsid w:val="0080637C"/>
    <w:rsid w:val="00827A4F"/>
    <w:rsid w:val="008451D4"/>
    <w:rsid w:val="00852423"/>
    <w:rsid w:val="008531C0"/>
    <w:rsid w:val="0086289D"/>
    <w:rsid w:val="00864884"/>
    <w:rsid w:val="00870EDA"/>
    <w:rsid w:val="008A4D37"/>
    <w:rsid w:val="008B6843"/>
    <w:rsid w:val="008D06F1"/>
    <w:rsid w:val="008D223A"/>
    <w:rsid w:val="008D423F"/>
    <w:rsid w:val="008D4B78"/>
    <w:rsid w:val="008D5BFA"/>
    <w:rsid w:val="008E0E28"/>
    <w:rsid w:val="008E2A6E"/>
    <w:rsid w:val="008E35DA"/>
    <w:rsid w:val="00931BFB"/>
    <w:rsid w:val="00945429"/>
    <w:rsid w:val="00950533"/>
    <w:rsid w:val="00967202"/>
    <w:rsid w:val="00984947"/>
    <w:rsid w:val="009D01C2"/>
    <w:rsid w:val="009E216D"/>
    <w:rsid w:val="009E5BF3"/>
    <w:rsid w:val="00A07187"/>
    <w:rsid w:val="00A073DB"/>
    <w:rsid w:val="00A12C16"/>
    <w:rsid w:val="00A162B8"/>
    <w:rsid w:val="00A43E05"/>
    <w:rsid w:val="00A628EF"/>
    <w:rsid w:val="00A97998"/>
    <w:rsid w:val="00AA5162"/>
    <w:rsid w:val="00AD0702"/>
    <w:rsid w:val="00AE06F1"/>
    <w:rsid w:val="00AE11FC"/>
    <w:rsid w:val="00B0470E"/>
    <w:rsid w:val="00B11C34"/>
    <w:rsid w:val="00B46248"/>
    <w:rsid w:val="00B60DC9"/>
    <w:rsid w:val="00B61E20"/>
    <w:rsid w:val="00B631A3"/>
    <w:rsid w:val="00B64595"/>
    <w:rsid w:val="00BA20A6"/>
    <w:rsid w:val="00BC4D4C"/>
    <w:rsid w:val="00BF066B"/>
    <w:rsid w:val="00C1017D"/>
    <w:rsid w:val="00C339F8"/>
    <w:rsid w:val="00C474C6"/>
    <w:rsid w:val="00C57585"/>
    <w:rsid w:val="00CB26A0"/>
    <w:rsid w:val="00CB4FC9"/>
    <w:rsid w:val="00CB563B"/>
    <w:rsid w:val="00CD3146"/>
    <w:rsid w:val="00CD6984"/>
    <w:rsid w:val="00CE0F7F"/>
    <w:rsid w:val="00D02EDC"/>
    <w:rsid w:val="00D10B81"/>
    <w:rsid w:val="00D21E28"/>
    <w:rsid w:val="00D35DAD"/>
    <w:rsid w:val="00D40C4F"/>
    <w:rsid w:val="00D4515E"/>
    <w:rsid w:val="00D50164"/>
    <w:rsid w:val="00D549E8"/>
    <w:rsid w:val="00D8030C"/>
    <w:rsid w:val="00D81341"/>
    <w:rsid w:val="00D958CC"/>
    <w:rsid w:val="00DA1C5A"/>
    <w:rsid w:val="00DB34A0"/>
    <w:rsid w:val="00DB4E6D"/>
    <w:rsid w:val="00DB5E25"/>
    <w:rsid w:val="00DC4300"/>
    <w:rsid w:val="00DD07E4"/>
    <w:rsid w:val="00DD2C91"/>
    <w:rsid w:val="00DE14D0"/>
    <w:rsid w:val="00DE48DD"/>
    <w:rsid w:val="00DE48F4"/>
    <w:rsid w:val="00DF6DB2"/>
    <w:rsid w:val="00E000F7"/>
    <w:rsid w:val="00E33703"/>
    <w:rsid w:val="00E367A1"/>
    <w:rsid w:val="00E514B8"/>
    <w:rsid w:val="00E61FE4"/>
    <w:rsid w:val="00E63E6A"/>
    <w:rsid w:val="00E83BC3"/>
    <w:rsid w:val="00EA034F"/>
    <w:rsid w:val="00ED0B90"/>
    <w:rsid w:val="00ED4B3C"/>
    <w:rsid w:val="00EE07A2"/>
    <w:rsid w:val="00EE737B"/>
    <w:rsid w:val="00F00B41"/>
    <w:rsid w:val="00F0715A"/>
    <w:rsid w:val="00F10070"/>
    <w:rsid w:val="00F13CA4"/>
    <w:rsid w:val="00F2643A"/>
    <w:rsid w:val="00F27A43"/>
    <w:rsid w:val="00F43FE6"/>
    <w:rsid w:val="00F6082F"/>
    <w:rsid w:val="00F65D1C"/>
    <w:rsid w:val="00F661C8"/>
    <w:rsid w:val="00FA64C5"/>
    <w:rsid w:val="00FC06EA"/>
    <w:rsid w:val="00FD453F"/>
    <w:rsid w:val="00FF7A5D"/>
    <w:rsid w:val="00FF7CF5"/>
    <w:rsid w:val="44C3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3B7054"/>
  <w14:defaultImageDpi w14:val="0"/>
  <w15:docId w15:val="{6A61C5FB-780F-409F-A203-6EA30EA3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8D6"/>
    <w:pPr>
      <w:overflowPunct w:val="0"/>
      <w:autoSpaceDE w:val="0"/>
      <w:autoSpaceDN w:val="0"/>
      <w:adjustRightInd w:val="0"/>
      <w:spacing w:after="0" w:line="240" w:lineRule="auto"/>
    </w:pPr>
    <w:rPr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bdstyle1">
    <w:name w:val="bdstyle1"/>
    <w:basedOn w:val="Normal"/>
    <w:uiPriority w:val="99"/>
    <w:rsid w:val="002168D6"/>
    <w:pPr>
      <w:tabs>
        <w:tab w:val="left" w:pos="720"/>
        <w:tab w:val="left" w:pos="1440"/>
      </w:tabs>
      <w:ind w:left="1440" w:hanging="1440"/>
    </w:pPr>
  </w:style>
  <w:style w:type="paragraph" w:styleId="BalloonText">
    <w:name w:val="Balloon Text"/>
    <w:basedOn w:val="Normal"/>
    <w:link w:val="BalloonTextChar"/>
    <w:uiPriority w:val="99"/>
    <w:rsid w:val="00A12C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2C16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rsid w:val="00621ED7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21ED7"/>
    <w:rPr>
      <w:sz w:val="20"/>
      <w:szCs w:val="20"/>
    </w:rPr>
  </w:style>
  <w:style w:type="character" w:styleId="EndnoteReference">
    <w:name w:val="endnote reference"/>
    <w:basedOn w:val="DefaultParagraphFont"/>
    <w:uiPriority w:val="99"/>
    <w:rsid w:val="00621ED7"/>
    <w:rPr>
      <w:vertAlign w:val="superscript"/>
    </w:rPr>
  </w:style>
  <w:style w:type="paragraph" w:styleId="FootnoteText">
    <w:name w:val="footnote text"/>
    <w:basedOn w:val="Normal"/>
    <w:link w:val="FootnoteTextChar"/>
    <w:rsid w:val="00621ED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21ED7"/>
    <w:rPr>
      <w:sz w:val="20"/>
      <w:szCs w:val="20"/>
    </w:rPr>
  </w:style>
  <w:style w:type="character" w:styleId="FootnoteReference">
    <w:name w:val="footnote reference"/>
    <w:basedOn w:val="DefaultParagraphFont"/>
    <w:rsid w:val="00621ED7"/>
    <w:rPr>
      <w:vertAlign w:val="superscript"/>
    </w:rPr>
  </w:style>
  <w:style w:type="paragraph" w:customStyle="1" w:styleId="bdstyle2">
    <w:name w:val="bdstyle2"/>
    <w:basedOn w:val="Normal"/>
    <w:rsid w:val="007072A5"/>
    <w:pPr>
      <w:tabs>
        <w:tab w:val="left" w:pos="720"/>
        <w:tab w:val="left" w:pos="1440"/>
      </w:tabs>
      <w:spacing w:line="480" w:lineRule="auto"/>
      <w:ind w:firstLine="1440"/>
      <w:textAlignment w:val="baseline"/>
    </w:pPr>
  </w:style>
  <w:style w:type="paragraph" w:styleId="Revision">
    <w:name w:val="Revision"/>
    <w:hidden/>
    <w:uiPriority w:val="99"/>
    <w:semiHidden/>
    <w:rsid w:val="007A1E51"/>
    <w:pPr>
      <w:spacing w:after="0" w:line="240" w:lineRule="auto"/>
    </w:pPr>
    <w:rPr>
      <w:sz w:val="26"/>
      <w:szCs w:val="20"/>
    </w:rPr>
  </w:style>
  <w:style w:type="character" w:styleId="CommentReference">
    <w:name w:val="annotation reference"/>
    <w:basedOn w:val="DefaultParagraphFont"/>
    <w:uiPriority w:val="99"/>
    <w:rsid w:val="00CD31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D314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31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1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14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6510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0D8"/>
    <w:rPr>
      <w:sz w:val="26"/>
      <w:szCs w:val="20"/>
    </w:rPr>
  </w:style>
  <w:style w:type="paragraph" w:styleId="Footer">
    <w:name w:val="footer"/>
    <w:basedOn w:val="Normal"/>
    <w:link w:val="FooterChar"/>
    <w:uiPriority w:val="99"/>
    <w:rsid w:val="006510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0D8"/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EA1B5F1A97E4584059F469CAEFA19" ma:contentTypeVersion="8" ma:contentTypeDescription="Create a new document." ma:contentTypeScope="" ma:versionID="446d4a641046f0a254601720c7395915">
  <xsd:schema xmlns:xsd="http://www.w3.org/2001/XMLSchema" xmlns:xs="http://www.w3.org/2001/XMLSchema" xmlns:p="http://schemas.microsoft.com/office/2006/metadata/properties" xmlns:ns2="656b2e89-7ba0-4ae3-9c69-589402680fac" xmlns:ns3="348df4b5-255f-4530-aa47-c026b0329b7a" targetNamespace="http://schemas.microsoft.com/office/2006/metadata/properties" ma:root="true" ma:fieldsID="5ec1f137020183d26744c26bef5a7226" ns2:_="" ns3:_="">
    <xsd:import namespace="656b2e89-7ba0-4ae3-9c69-589402680fac"/>
    <xsd:import namespace="348df4b5-255f-4530-aa47-c026b0329b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b2e89-7ba0-4ae3-9c69-589402680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df4b5-255f-4530-aa47-c026b0329b7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7967CE-41AC-4FFE-B7FF-D322165970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1E8C48-18CC-43DD-8359-43AAF67FF3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8DCEA0-238A-4372-8F4D-3CE209F89A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814091-70D9-4E19-9542-972372410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b2e89-7ba0-4ae3-9c69-589402680fac"/>
    <ds:schemaRef ds:uri="348df4b5-255f-4530-aa47-c026b0329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Angiel, Jeff</dc:creator>
  <cp:keywords/>
  <dc:description/>
  <cp:lastModifiedBy>Williams, Aubrie</cp:lastModifiedBy>
  <cp:revision>7</cp:revision>
  <cp:lastPrinted>2018-02-09T16:21:00Z</cp:lastPrinted>
  <dcterms:created xsi:type="dcterms:W3CDTF">2025-03-03T16:45:00Z</dcterms:created>
  <dcterms:modified xsi:type="dcterms:W3CDTF">2025-03-20T18:29:00Z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0x0101007BAEA1B5F1A97E4584059F469CAEFA19</vt:lpwstr>
  </property>
</Properties>
</file>