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2D9F" w14:textId="77777777" w:rsidR="008D32EC" w:rsidRPr="008D32EC" w:rsidRDefault="008D32EC" w:rsidP="008D32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8D32EC"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16A90987" w14:textId="77777777" w:rsidR="008D32EC" w:rsidRPr="008D32EC" w:rsidRDefault="008D32EC" w:rsidP="008D3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D32EC">
        <w:rPr>
          <w:rFonts w:ascii="Times New Roman" w:eastAsia="Times New Roman" w:hAnsi="Times New Roman" w:cs="Times New Roman"/>
          <w:color w:val="FF0000"/>
          <w:sz w:val="26"/>
          <w:szCs w:val="26"/>
        </w:rPr>
        <w:t>March 20, 2025</w:t>
      </w:r>
    </w:p>
    <w:p w14:paraId="2679187D" w14:textId="7E4D7CCC" w:rsidR="00A4584E" w:rsidRPr="003730C3" w:rsidRDefault="00636CE5" w:rsidP="00663D70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22</w:t>
      </w:r>
    </w:p>
    <w:p w14:paraId="0EAD3161" w14:textId="77777777" w:rsidR="00A4584E" w:rsidRDefault="00A4584E" w:rsidP="004C1363">
      <w:pPr>
        <w:pStyle w:val="BodyText"/>
        <w:ind w:right="693"/>
        <w:jc w:val="right"/>
      </w:pPr>
    </w:p>
    <w:p w14:paraId="542CB1A7" w14:textId="77777777" w:rsidR="004C1363" w:rsidRPr="003730C3" w:rsidRDefault="004C1363" w:rsidP="004C1363">
      <w:pPr>
        <w:pStyle w:val="BodyText"/>
        <w:ind w:right="693"/>
        <w:jc w:val="right"/>
      </w:pPr>
    </w:p>
    <w:p w14:paraId="254C1208" w14:textId="77777777" w:rsidR="00A4584E" w:rsidRPr="007F09C5" w:rsidRDefault="00A4584E" w:rsidP="00163BCE">
      <w:pPr>
        <w:pStyle w:val="BodyText"/>
        <w:ind w:left="7200"/>
      </w:pPr>
      <w:r w:rsidRPr="007F09C5">
        <w:t xml:space="preserve">Board Meeting </w:t>
      </w:r>
    </w:p>
    <w:p w14:paraId="725C94CB" w14:textId="4FBCEF51" w:rsidR="00A4584E" w:rsidRPr="00EC517F" w:rsidRDefault="00383278" w:rsidP="00163BCE">
      <w:pPr>
        <w:pStyle w:val="BodyText"/>
        <w:ind w:left="7200"/>
      </w:pPr>
      <w:r>
        <w:t>March 20, 2025</w:t>
      </w:r>
    </w:p>
    <w:p w14:paraId="64C5326B" w14:textId="77777777" w:rsidR="00A4584E" w:rsidRPr="00163BCE" w:rsidRDefault="00A4584E" w:rsidP="004C1363">
      <w:pPr>
        <w:pStyle w:val="BodyText"/>
      </w:pPr>
    </w:p>
    <w:p w14:paraId="47B447E7" w14:textId="77777777" w:rsidR="004C1363" w:rsidRPr="00163BCE" w:rsidRDefault="004C1363" w:rsidP="004C1363">
      <w:pPr>
        <w:pStyle w:val="BodyText"/>
      </w:pPr>
    </w:p>
    <w:p w14:paraId="7C2C2AAE" w14:textId="77777777" w:rsidR="00A4584E" w:rsidRPr="0042451D" w:rsidRDefault="00A4584E" w:rsidP="0042451D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  <w:r w:rsidRPr="0042451D">
        <w:rPr>
          <w:rFonts w:ascii="Times New Roman" w:hAnsi="Times New Roman" w:cs="Times New Roman"/>
          <w:color w:val="auto"/>
        </w:rPr>
        <w:t>ROLL CALL</w:t>
      </w:r>
    </w:p>
    <w:p w14:paraId="456E400F" w14:textId="77777777" w:rsidR="00A4584E" w:rsidRPr="0042451D" w:rsidRDefault="00A4584E" w:rsidP="0042451D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</w:p>
    <w:p w14:paraId="319C5A30" w14:textId="6ACDD41D" w:rsidR="00A4584E" w:rsidRPr="0042451D" w:rsidRDefault="00F244B6" w:rsidP="0042451D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Hlk167290978"/>
      <w:r>
        <w:rPr>
          <w:rFonts w:ascii="Times New Roman" w:hAnsi="Times New Roman" w:cs="Times New Roman"/>
          <w:color w:val="auto"/>
        </w:rPr>
        <w:t>APPROVE</w:t>
      </w:r>
      <w:r w:rsidRPr="0042451D">
        <w:rPr>
          <w:rFonts w:ascii="Times New Roman" w:hAnsi="Times New Roman" w:cs="Times New Roman"/>
          <w:color w:val="auto"/>
        </w:rPr>
        <w:t xml:space="preserve"> </w:t>
      </w:r>
      <w:r w:rsidR="00B11E5A" w:rsidRPr="0042451D">
        <w:rPr>
          <w:rFonts w:ascii="Times New Roman" w:hAnsi="Times New Roman" w:cs="Times New Roman"/>
          <w:color w:val="auto"/>
        </w:rPr>
        <w:t>PROJECT BUDGET AND A</w:t>
      </w:r>
      <w:r w:rsidR="00A4584E" w:rsidRPr="0042451D">
        <w:rPr>
          <w:rFonts w:ascii="Times New Roman" w:hAnsi="Times New Roman" w:cs="Times New Roman"/>
          <w:color w:val="auto"/>
        </w:rPr>
        <w:t xml:space="preserve">WARD CONSTRUCTION CONTRACT FOR </w:t>
      </w:r>
      <w:r w:rsidR="00606CD2" w:rsidRPr="00606CD2">
        <w:rPr>
          <w:rFonts w:ascii="Times New Roman" w:hAnsi="Times New Roman" w:cs="Times New Roman"/>
          <w:color w:val="auto"/>
        </w:rPr>
        <w:t>UNDERGRADUATE LIBRARY REDEVELOPMEN</w:t>
      </w:r>
      <w:r w:rsidR="00606CD2">
        <w:rPr>
          <w:rFonts w:ascii="Times New Roman" w:hAnsi="Times New Roman" w:cs="Times New Roman"/>
          <w:color w:val="auto"/>
        </w:rPr>
        <w:t>T</w:t>
      </w:r>
      <w:r w:rsidR="00A4584E" w:rsidRPr="0042451D">
        <w:rPr>
          <w:rFonts w:ascii="Times New Roman" w:hAnsi="Times New Roman" w:cs="Times New Roman"/>
          <w:color w:val="auto"/>
        </w:rPr>
        <w:t>, URBANA</w:t>
      </w:r>
    </w:p>
    <w:bookmarkEnd w:id="2"/>
    <w:p w14:paraId="563CBC00" w14:textId="6A373F02" w:rsidR="00A4584E" w:rsidRPr="00163BCE" w:rsidRDefault="00A4584E" w:rsidP="00163BCE">
      <w:pPr>
        <w:pStyle w:val="Default"/>
        <w:rPr>
          <w:color w:val="auto"/>
          <w:sz w:val="26"/>
          <w:szCs w:val="26"/>
        </w:rPr>
      </w:pPr>
    </w:p>
    <w:p w14:paraId="2B8E8C7B" w14:textId="77777777" w:rsidR="00A4584E" w:rsidRPr="00163BCE" w:rsidRDefault="00A4584E" w:rsidP="00163BCE">
      <w:pPr>
        <w:pStyle w:val="BodyText"/>
      </w:pPr>
    </w:p>
    <w:p w14:paraId="16B0128B" w14:textId="38F6CE9E" w:rsidR="00A4584E" w:rsidRPr="00163BCE" w:rsidRDefault="00A4584E" w:rsidP="00163BCE">
      <w:pPr>
        <w:pStyle w:val="BodyText"/>
        <w:tabs>
          <w:tab w:val="left" w:pos="1440"/>
        </w:tabs>
        <w:ind w:left="1440" w:right="423" w:hanging="1440"/>
      </w:pPr>
      <w:r w:rsidRPr="00163BCE">
        <w:rPr>
          <w:b/>
        </w:rPr>
        <w:t>Action:</w:t>
      </w:r>
      <w:r w:rsidRPr="00163BCE">
        <w:rPr>
          <w:b/>
        </w:rPr>
        <w:tab/>
      </w:r>
      <w:r w:rsidR="00F244B6">
        <w:t>Approve</w:t>
      </w:r>
      <w:r w:rsidR="00F244B6" w:rsidRPr="00163BCE">
        <w:t xml:space="preserve"> </w:t>
      </w:r>
      <w:r w:rsidR="00B11E5A" w:rsidRPr="00163BCE">
        <w:t>Project Budget and A</w:t>
      </w:r>
      <w:r w:rsidRPr="00163BCE">
        <w:t xml:space="preserve">ward Construction Contract for </w:t>
      </w:r>
      <w:r w:rsidR="00606CD2">
        <w:t>Undergraduate Library Redevelopment</w:t>
      </w:r>
    </w:p>
    <w:p w14:paraId="7BC41963" w14:textId="77777777" w:rsidR="00A4584E" w:rsidRPr="00163BCE" w:rsidRDefault="00A4584E" w:rsidP="00163BCE">
      <w:pPr>
        <w:pStyle w:val="BodyText"/>
      </w:pPr>
    </w:p>
    <w:p w14:paraId="2F0D71A1" w14:textId="035E3E69" w:rsidR="00A4584E" w:rsidRPr="00163BCE" w:rsidRDefault="00A4584E" w:rsidP="002B1441">
      <w:pPr>
        <w:pStyle w:val="BodyText"/>
        <w:tabs>
          <w:tab w:val="left" w:pos="1440"/>
        </w:tabs>
        <w:ind w:left="1440" w:hanging="1440"/>
      </w:pPr>
      <w:r w:rsidRPr="00163BCE">
        <w:rPr>
          <w:b/>
        </w:rPr>
        <w:t>Funding:</w:t>
      </w:r>
      <w:r w:rsidRPr="00163BCE">
        <w:rPr>
          <w:b/>
        </w:rPr>
        <w:tab/>
      </w:r>
      <w:r w:rsidR="002B1441">
        <w:t>Institutional Funds Operating Budget, Academic Facilit</w:t>
      </w:r>
      <w:r w:rsidR="00924355">
        <w:t>ies</w:t>
      </w:r>
      <w:r w:rsidR="002B1441">
        <w:t xml:space="preserve"> Maintenance Fund Assessment, </w:t>
      </w:r>
      <w:r w:rsidR="00A202BD">
        <w:t>and Gift Funds</w:t>
      </w:r>
    </w:p>
    <w:p w14:paraId="167E82AA" w14:textId="77777777" w:rsidR="004C1363" w:rsidRDefault="004C1363" w:rsidP="00163BCE">
      <w:pPr>
        <w:pStyle w:val="BodyText"/>
      </w:pPr>
    </w:p>
    <w:p w14:paraId="55E1949F" w14:textId="77777777" w:rsidR="00663D70" w:rsidRPr="00163BCE" w:rsidRDefault="00663D70" w:rsidP="00163BCE">
      <w:pPr>
        <w:pStyle w:val="BodyText"/>
      </w:pPr>
    </w:p>
    <w:p w14:paraId="57712D91" w14:textId="370E2899" w:rsidR="0051045F" w:rsidRPr="002B1441" w:rsidRDefault="002B1441" w:rsidP="0051045F">
      <w:pPr>
        <w:pStyle w:val="BodyText"/>
        <w:spacing w:line="480" w:lineRule="auto"/>
        <w:ind w:firstLine="1440"/>
        <w:rPr>
          <w:i/>
          <w:iCs/>
        </w:rPr>
      </w:pPr>
      <w:r>
        <w:t xml:space="preserve">In January 2022, the Board </w:t>
      </w:r>
      <w:r w:rsidR="0030276E">
        <w:t xml:space="preserve">of Trustees </w:t>
      </w:r>
      <w:r>
        <w:t xml:space="preserve">approved the </w:t>
      </w:r>
      <w:r w:rsidR="0030276E">
        <w:t>Undergraduate Library Redevelopment</w:t>
      </w:r>
      <w:r w:rsidR="00A202BD">
        <w:t xml:space="preserve">’s design and </w:t>
      </w:r>
      <w:r w:rsidR="0030276E">
        <w:t xml:space="preserve">project </w:t>
      </w:r>
      <w:r>
        <w:t>budget of $50,198,160.</w:t>
      </w:r>
      <w:r w:rsidR="00663D70">
        <w:t xml:space="preserve"> </w:t>
      </w:r>
      <w:r>
        <w:t>The re</w:t>
      </w:r>
      <w:r w:rsidR="00A202BD">
        <w:t xml:space="preserve">novation’s </w:t>
      </w:r>
      <w:r>
        <w:t>design honors the original</w:t>
      </w:r>
      <w:r w:rsidR="00A202BD">
        <w:t xml:space="preserve"> and </w:t>
      </w:r>
      <w:r>
        <w:t xml:space="preserve">unique </w:t>
      </w:r>
      <w:r w:rsidR="00A202BD">
        <w:t xml:space="preserve">aesthetic </w:t>
      </w:r>
      <w:r>
        <w:t xml:space="preserve">of the Undergraduate Library as it transitions to its new role as the </w:t>
      </w:r>
      <w:r w:rsidR="0051045F">
        <w:t>A</w:t>
      </w:r>
      <w:r>
        <w:t xml:space="preserve">rchives and </w:t>
      </w:r>
      <w:r w:rsidR="0051045F">
        <w:t>S</w:t>
      </w:r>
      <w:r>
        <w:t xml:space="preserve">pecial </w:t>
      </w:r>
      <w:r w:rsidR="0051045F">
        <w:t>C</w:t>
      </w:r>
      <w:r>
        <w:t xml:space="preserve">ollections </w:t>
      </w:r>
      <w:r w:rsidR="00924355">
        <w:t>B</w:t>
      </w:r>
      <w:r>
        <w:t>uilding.</w:t>
      </w:r>
    </w:p>
    <w:p w14:paraId="20212B53" w14:textId="04ABBF74" w:rsidR="002B1441" w:rsidRDefault="002B1441" w:rsidP="002B1441">
      <w:pPr>
        <w:pStyle w:val="BodyText"/>
        <w:spacing w:line="480" w:lineRule="auto"/>
        <w:ind w:firstLine="1440"/>
      </w:pPr>
      <w:r>
        <w:t xml:space="preserve">In October 2020, a professional services consultant selection process was initiated to begin the </w:t>
      </w:r>
      <w:r w:rsidR="00924355">
        <w:t>c</w:t>
      </w:r>
      <w:r>
        <w:t xml:space="preserve">onceptualization, </w:t>
      </w:r>
      <w:r w:rsidR="00924355">
        <w:t>s</w:t>
      </w:r>
      <w:r>
        <w:t xml:space="preserve">chematic </w:t>
      </w:r>
      <w:r w:rsidR="00924355">
        <w:t>d</w:t>
      </w:r>
      <w:r>
        <w:t xml:space="preserve">esign, and </w:t>
      </w:r>
      <w:r w:rsidR="00924355">
        <w:t>d</w:t>
      </w:r>
      <w:r>
        <w:t xml:space="preserve">esign </w:t>
      </w:r>
      <w:r w:rsidR="00924355">
        <w:t>d</w:t>
      </w:r>
      <w:r>
        <w:t>evelopment phases. In July 2021, a professional services consultant contract with RATIO States, LLC d</w:t>
      </w:r>
      <w:r w:rsidR="00924355">
        <w:t>/</w:t>
      </w:r>
      <w:r>
        <w:t>b</w:t>
      </w:r>
      <w:r w:rsidR="00924355">
        <w:t>/</w:t>
      </w:r>
      <w:r>
        <w:t>a</w:t>
      </w:r>
      <w:r w:rsidR="00924355">
        <w:t xml:space="preserve"> </w:t>
      </w:r>
      <w:r>
        <w:t xml:space="preserve">RATIO States, PLLC, of Champaign, IL, for </w:t>
      </w:r>
      <w:r w:rsidR="00924355">
        <w:t>s</w:t>
      </w:r>
      <w:r>
        <w:t xml:space="preserve">chematic </w:t>
      </w:r>
      <w:r w:rsidR="00924355">
        <w:t>d</w:t>
      </w:r>
      <w:r>
        <w:t xml:space="preserve">esign and </w:t>
      </w:r>
      <w:r w:rsidR="00924355">
        <w:t>d</w:t>
      </w:r>
      <w:r>
        <w:t xml:space="preserve">esign </w:t>
      </w:r>
      <w:r w:rsidR="00924355">
        <w:t>d</w:t>
      </w:r>
      <w:r>
        <w:t>evelopment phase services was approved. In July 2022, the B</w:t>
      </w:r>
      <w:r w:rsidR="00924355">
        <w:t>oard</w:t>
      </w:r>
      <w:r>
        <w:t xml:space="preserve"> approved an amendment to the RATIO States, LLC d</w:t>
      </w:r>
      <w:r w:rsidR="00924355">
        <w:t>/</w:t>
      </w:r>
      <w:r>
        <w:t>b</w:t>
      </w:r>
      <w:r w:rsidR="00924355">
        <w:t>/</w:t>
      </w:r>
      <w:r>
        <w:t>a</w:t>
      </w:r>
      <w:r w:rsidR="00924355">
        <w:t xml:space="preserve"> </w:t>
      </w:r>
      <w:r>
        <w:t xml:space="preserve">RATIO States, PLLC professional services contract for the construction document, bidding, and construction administration phases </w:t>
      </w:r>
      <w:r>
        <w:lastRenderedPageBreak/>
        <w:t>of the project for a total amended contract value of $3,200,918.</w:t>
      </w:r>
    </w:p>
    <w:p w14:paraId="72805A11" w14:textId="2AA62BA5" w:rsidR="002B1441" w:rsidRDefault="002B1441" w:rsidP="002B1441">
      <w:pPr>
        <w:pStyle w:val="BodyText"/>
        <w:spacing w:line="480" w:lineRule="auto"/>
        <w:ind w:firstLine="1440"/>
      </w:pPr>
      <w:r>
        <w:t xml:space="preserve">In July 2023, </w:t>
      </w:r>
      <w:r w:rsidR="00E032DE">
        <w:t>bid</w:t>
      </w:r>
      <w:r w:rsidR="006A539B">
        <w:t>s</w:t>
      </w:r>
      <w:r w:rsidR="00E032DE">
        <w:t xml:space="preserve"> </w:t>
      </w:r>
      <w:r w:rsidR="00A202BD">
        <w:t xml:space="preserve">received </w:t>
      </w:r>
      <w:r w:rsidR="00E032DE">
        <w:t>for construction work were significantly higher than the project budget and were not awarded</w:t>
      </w:r>
      <w:r>
        <w:t>.</w:t>
      </w:r>
      <w:r w:rsidR="00663D70">
        <w:t xml:space="preserve"> </w:t>
      </w:r>
      <w:r w:rsidR="00E032DE">
        <w:t xml:space="preserve">Subsequently, the project team </w:t>
      </w:r>
      <w:r w:rsidR="00A202BD">
        <w:t xml:space="preserve">worked to </w:t>
      </w:r>
      <w:r w:rsidR="00E032DE">
        <w:t>revise the design to reduce cost</w:t>
      </w:r>
      <w:r>
        <w:t xml:space="preserve"> </w:t>
      </w:r>
      <w:r w:rsidR="004440EB">
        <w:t>while</w:t>
      </w:r>
      <w:r w:rsidR="00E032DE">
        <w:t xml:space="preserve"> still delivering </w:t>
      </w:r>
      <w:r w:rsidR="00A202BD">
        <w:t xml:space="preserve">on the </w:t>
      </w:r>
      <w:r w:rsidR="001101D1">
        <w:t xml:space="preserve">Undergraduate </w:t>
      </w:r>
      <w:r w:rsidR="00A202BD">
        <w:t xml:space="preserve">Library’s </w:t>
      </w:r>
      <w:r w:rsidR="00E032DE">
        <w:t>programmatic needs</w:t>
      </w:r>
      <w:r>
        <w:t xml:space="preserve">. </w:t>
      </w:r>
    </w:p>
    <w:p w14:paraId="1F6B89BC" w14:textId="1CD9AB18" w:rsidR="00B11E5A" w:rsidRPr="0030276E" w:rsidRDefault="00E032DE" w:rsidP="00163BCE">
      <w:pPr>
        <w:pStyle w:val="BodyText"/>
        <w:spacing w:line="480" w:lineRule="auto"/>
        <w:ind w:firstLine="1440"/>
        <w:rPr>
          <w:color w:val="000000"/>
        </w:rPr>
      </w:pPr>
      <w:r>
        <w:t xml:space="preserve">In May 2024, bids for the revised scope were received and, for the project to proceed, it is necessary to increase the </w:t>
      </w:r>
      <w:r w:rsidR="00B11E5A" w:rsidRPr="0030276E">
        <w:rPr>
          <w:color w:val="000000"/>
        </w:rPr>
        <w:t>project budget to $</w:t>
      </w:r>
      <w:r w:rsidR="00872459" w:rsidRPr="0030276E">
        <w:rPr>
          <w:color w:val="000000"/>
        </w:rPr>
        <w:t>65,198,160</w:t>
      </w:r>
      <w:r w:rsidR="00B11E5A" w:rsidRPr="0030276E">
        <w:rPr>
          <w:color w:val="000000"/>
        </w:rPr>
        <w:t>, an increase of $</w:t>
      </w:r>
      <w:r w:rsidR="00872459" w:rsidRPr="0030276E">
        <w:rPr>
          <w:color w:val="000000"/>
        </w:rPr>
        <w:t>15,000</w:t>
      </w:r>
      <w:r w:rsidR="00B11E5A" w:rsidRPr="0030276E">
        <w:rPr>
          <w:color w:val="000000"/>
        </w:rPr>
        <w:t>,</w:t>
      </w:r>
      <w:r w:rsidR="001D5C7B" w:rsidRPr="0030276E">
        <w:rPr>
          <w:color w:val="000000"/>
        </w:rPr>
        <w:t>000</w:t>
      </w:r>
      <w:r w:rsidR="00A4584E" w:rsidRPr="0030276E">
        <w:rPr>
          <w:color w:val="000000"/>
        </w:rPr>
        <w:t>.</w:t>
      </w:r>
      <w:r w:rsidR="00A31F88" w:rsidRPr="00A31F8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31F88" w:rsidRPr="00A31F88">
        <w:rPr>
          <w:color w:val="000000"/>
        </w:rPr>
        <w:t>Accordingly, the chancellor, University of Illinois Urbana-Champaign, and vice president, University of Illinois System, with the concurrence of the appropriate administrative officers, recommends that the Board approve the increase in the project budget to $65,198,160, an increase of $15,000,000.</w:t>
      </w:r>
    </w:p>
    <w:p w14:paraId="72974038" w14:textId="6585795B" w:rsidR="00A4584E" w:rsidRDefault="00B11E5A" w:rsidP="00A31F88">
      <w:pPr>
        <w:pStyle w:val="bdstyle2"/>
        <w:rPr>
          <w:i/>
          <w:iCs/>
          <w:color w:val="000000"/>
        </w:rPr>
      </w:pPr>
      <w:r w:rsidRPr="0030276E">
        <w:rPr>
          <w:color w:val="000000"/>
        </w:rPr>
        <w:t xml:space="preserve">Additionally, </w:t>
      </w:r>
      <w:r w:rsidRPr="0030276E">
        <w:t xml:space="preserve">for the project to proceed, </w:t>
      </w:r>
      <w:r w:rsidR="00A31F88">
        <w:t>t</w:t>
      </w:r>
      <w:r w:rsidR="00A31F88" w:rsidRPr="00D860B5">
        <w:t xml:space="preserve">he </w:t>
      </w:r>
      <w:r w:rsidR="00A31F88">
        <w:t>c</w:t>
      </w:r>
      <w:r w:rsidR="00A31F88" w:rsidRPr="00D860B5">
        <w:t xml:space="preserve">hancellor, University of Illinois Urbana-Champaign, and </w:t>
      </w:r>
      <w:r w:rsidR="00A31F88">
        <w:t>v</w:t>
      </w:r>
      <w:r w:rsidR="00A31F88" w:rsidRPr="00D860B5">
        <w:t xml:space="preserve">ice </w:t>
      </w:r>
      <w:r w:rsidR="00A31F88">
        <w:t>p</w:t>
      </w:r>
      <w:r w:rsidR="00A31F88" w:rsidRPr="00D860B5">
        <w:t>resident, University of Illinois</w:t>
      </w:r>
      <w:r w:rsidR="00A31F88">
        <w:t xml:space="preserve"> System</w:t>
      </w:r>
      <w:r w:rsidR="00A31F88" w:rsidRPr="00D860B5">
        <w:t xml:space="preserve">, with the </w:t>
      </w:r>
      <w:r w:rsidR="00A31F88" w:rsidRPr="008D223A">
        <w:t>concurrence of the appropriate administrative officers</w:t>
      </w:r>
      <w:r w:rsidR="00A31F88">
        <w:t>,</w:t>
      </w:r>
      <w:r w:rsidR="00A31F88" w:rsidRPr="00D860B5">
        <w:t xml:space="preserve"> recommends </w:t>
      </w:r>
      <w:r w:rsidR="00A31F88">
        <w:t xml:space="preserve">that </w:t>
      </w:r>
      <w:r w:rsidRPr="0030276E">
        <w:t>the following</w:t>
      </w:r>
      <w:r w:rsidR="00D72B0C" w:rsidRPr="0030276E">
        <w:t xml:space="preserve"> single-prime</w:t>
      </w:r>
      <w:r w:rsidRPr="0030276E">
        <w:t xml:space="preserve"> </w:t>
      </w:r>
      <w:r w:rsidR="00C15406" w:rsidRPr="0030276E">
        <w:t>contract</w:t>
      </w:r>
      <w:r w:rsidR="001101D1">
        <w:t xml:space="preserve"> </w:t>
      </w:r>
      <w:r w:rsidRPr="0030276E">
        <w:t>be awarded.</w:t>
      </w:r>
      <w:r w:rsidR="004C1363" w:rsidRPr="0030276E">
        <w:t xml:space="preserve"> </w:t>
      </w:r>
      <w:r w:rsidR="00A4584E" w:rsidRPr="0030276E">
        <w:rPr>
          <w:color w:val="000000"/>
        </w:rPr>
        <w:t xml:space="preserve">Competitive bidding procedures were conducted in accordance with the Illinois Procurement Code, and the award is to the lowest responsible bidder </w:t>
      </w:r>
      <w:r w:rsidR="001D5C7B" w:rsidRPr="0030276E">
        <w:rPr>
          <w:color w:val="000000"/>
        </w:rPr>
        <w:t>based on</w:t>
      </w:r>
      <w:r w:rsidR="00A4584E" w:rsidRPr="0030276E">
        <w:rPr>
          <w:color w:val="000000"/>
        </w:rPr>
        <w:t xml:space="preserve"> the base bid </w:t>
      </w:r>
      <w:r w:rsidR="001D5C7B" w:rsidRPr="0030276E">
        <w:rPr>
          <w:color w:val="000000"/>
        </w:rPr>
        <w:t>plus the acceptance of alternates 1, 2,</w:t>
      </w:r>
      <w:r w:rsidR="00872459" w:rsidRPr="0030276E">
        <w:rPr>
          <w:color w:val="000000"/>
        </w:rPr>
        <w:t xml:space="preserve"> 3</w:t>
      </w:r>
      <w:r w:rsidR="00924355">
        <w:rPr>
          <w:color w:val="000000"/>
        </w:rPr>
        <w:t>,</w:t>
      </w:r>
      <w:r w:rsidR="00872459" w:rsidRPr="0030276E">
        <w:rPr>
          <w:color w:val="000000"/>
        </w:rPr>
        <w:t xml:space="preserve"> </w:t>
      </w:r>
      <w:r w:rsidR="001D5C7B" w:rsidRPr="0030276E">
        <w:rPr>
          <w:color w:val="000000"/>
        </w:rPr>
        <w:t>and 4</w:t>
      </w:r>
      <w:r w:rsidR="00E032DE">
        <w:rPr>
          <w:color w:val="000000"/>
        </w:rPr>
        <w:t>.</w:t>
      </w:r>
      <w:r w:rsidR="004C1363" w:rsidRPr="00924355">
        <w:rPr>
          <w:rStyle w:val="FootnoteReference"/>
          <w:color w:val="000000"/>
        </w:rPr>
        <w:footnoteReference w:id="1"/>
      </w:r>
    </w:p>
    <w:p w14:paraId="61860283" w14:textId="77777777" w:rsidR="00A80B2E" w:rsidRDefault="00A80B2E" w:rsidP="00501A81">
      <w:pPr>
        <w:pStyle w:val="BodyText"/>
      </w:pPr>
    </w:p>
    <w:p w14:paraId="59AF492B" w14:textId="77777777" w:rsidR="00A80B2E" w:rsidRDefault="00A80B2E" w:rsidP="00501A81">
      <w:pPr>
        <w:pStyle w:val="BodyText"/>
      </w:pPr>
    </w:p>
    <w:p w14:paraId="23867F23" w14:textId="77777777" w:rsidR="00145C4E" w:rsidRDefault="00145C4E" w:rsidP="00501A81">
      <w:pPr>
        <w:pStyle w:val="BodyText"/>
      </w:pPr>
    </w:p>
    <w:p w14:paraId="101A99D9" w14:textId="77777777" w:rsidR="00145C4E" w:rsidRDefault="00145C4E" w:rsidP="00501A81">
      <w:pPr>
        <w:pStyle w:val="BodyText"/>
      </w:pPr>
    </w:p>
    <w:p w14:paraId="025DA2AE" w14:textId="77777777" w:rsidR="00A80B2E" w:rsidRDefault="00A80B2E" w:rsidP="00501A81">
      <w:pPr>
        <w:pStyle w:val="BodyText"/>
      </w:pPr>
    </w:p>
    <w:p w14:paraId="5DA641BB" w14:textId="77777777" w:rsidR="00A80B2E" w:rsidRDefault="00A80B2E" w:rsidP="00501A81">
      <w:pPr>
        <w:pStyle w:val="BodyText"/>
      </w:pPr>
    </w:p>
    <w:p w14:paraId="68BE518C" w14:textId="77777777" w:rsidR="00A80B2E" w:rsidRDefault="00A80B2E" w:rsidP="00501A81">
      <w:pPr>
        <w:pStyle w:val="BodyText"/>
      </w:pPr>
    </w:p>
    <w:p w14:paraId="713F2203" w14:textId="173AC802" w:rsidR="00872459" w:rsidRDefault="00501A81" w:rsidP="00501A81">
      <w:pPr>
        <w:pStyle w:val="BodyText"/>
      </w:pPr>
      <w:r>
        <w:t>Williams Brothers Construction Inc.</w:t>
      </w:r>
      <w:r>
        <w:tab/>
      </w:r>
      <w:r>
        <w:tab/>
        <w:t>Base Bid</w:t>
      </w:r>
      <w:r>
        <w:tab/>
        <w:t>$41,560,000</w:t>
      </w:r>
    </w:p>
    <w:p w14:paraId="5E965BDF" w14:textId="13FDD160" w:rsidR="00501A81" w:rsidRDefault="00501A81" w:rsidP="00501A81">
      <w:pPr>
        <w:pStyle w:val="BodyText"/>
      </w:pPr>
      <w:r>
        <w:t>Peoria</w:t>
      </w:r>
      <w:r w:rsidR="00924355">
        <w:t xml:space="preserve"> Heights</w:t>
      </w:r>
      <w:r>
        <w:t>, IL</w:t>
      </w:r>
      <w:r w:rsidR="00663D70">
        <w:t xml:space="preserve">                               </w:t>
      </w:r>
      <w:r w:rsidR="008113C3">
        <w:tab/>
      </w:r>
      <w:r w:rsidR="008113C3">
        <w:tab/>
      </w:r>
      <w:r>
        <w:t>Alternate 1</w:t>
      </w:r>
      <w:r>
        <w:tab/>
      </w:r>
      <w:r w:rsidR="00663D70">
        <w:t xml:space="preserve">    </w:t>
      </w:r>
      <w:r>
        <w:t xml:space="preserve"> </w:t>
      </w:r>
      <w:r w:rsidR="008113C3">
        <w:t xml:space="preserve">    </w:t>
      </w:r>
      <w:r>
        <w:t>55,000</w:t>
      </w:r>
    </w:p>
    <w:p w14:paraId="0A38F601" w14:textId="1D08D49B" w:rsidR="00501A81" w:rsidRDefault="00501A81" w:rsidP="00501A8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Alternate 2</w:t>
      </w:r>
      <w:r>
        <w:tab/>
      </w:r>
      <w:r w:rsidR="00663D70">
        <w:t xml:space="preserve">  </w:t>
      </w:r>
      <w:r w:rsidR="008113C3">
        <w:t xml:space="preserve">   </w:t>
      </w:r>
      <w:r w:rsidR="00663D70">
        <w:t xml:space="preserve">  </w:t>
      </w:r>
      <w:r>
        <w:t>128,000</w:t>
      </w:r>
    </w:p>
    <w:p w14:paraId="219365FC" w14:textId="3B19C502" w:rsidR="00501A81" w:rsidRDefault="00501A81" w:rsidP="00501A8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Alternate 3</w:t>
      </w:r>
      <w:r>
        <w:tab/>
      </w:r>
      <w:r w:rsidR="00663D70">
        <w:t xml:space="preserve">  </w:t>
      </w:r>
      <w:r w:rsidR="008113C3">
        <w:t xml:space="preserve">    </w:t>
      </w:r>
      <w:r w:rsidR="00663D70">
        <w:t xml:space="preserve">  </w:t>
      </w:r>
      <w:r>
        <w:t xml:space="preserve"> 75,000</w:t>
      </w:r>
    </w:p>
    <w:p w14:paraId="3C3B5108" w14:textId="51B4A386" w:rsidR="00A80B2E" w:rsidRDefault="00501A81" w:rsidP="00501A81">
      <w:pPr>
        <w:pStyle w:val="BodyText"/>
        <w:rPr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0B2E">
        <w:rPr>
          <w:u w:val="single"/>
        </w:rPr>
        <w:t>Alternate 4</w:t>
      </w:r>
      <w:r w:rsidRPr="00A80B2E">
        <w:rPr>
          <w:u w:val="single"/>
        </w:rPr>
        <w:tab/>
      </w:r>
      <w:r w:rsidR="00663D70">
        <w:rPr>
          <w:u w:val="single"/>
        </w:rPr>
        <w:t xml:space="preserve">     </w:t>
      </w:r>
      <w:r w:rsidR="008113C3">
        <w:rPr>
          <w:u w:val="single"/>
        </w:rPr>
        <w:t xml:space="preserve">   </w:t>
      </w:r>
      <w:r w:rsidRPr="00A80B2E">
        <w:rPr>
          <w:u w:val="single"/>
        </w:rPr>
        <w:t xml:space="preserve"> 60,000</w:t>
      </w:r>
    </w:p>
    <w:p w14:paraId="50933150" w14:textId="4F26FA4F" w:rsidR="00501A81" w:rsidRPr="00A80B2E" w:rsidRDefault="00501A81" w:rsidP="00A80B2E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0B2E">
        <w:t>Total</w:t>
      </w:r>
      <w:r w:rsidRPr="00A80B2E">
        <w:tab/>
      </w:r>
      <w:r w:rsidR="00663D70">
        <w:t xml:space="preserve">      </w:t>
      </w:r>
      <w:r w:rsidR="008113C3">
        <w:t xml:space="preserve">   </w:t>
      </w:r>
      <w:r w:rsidR="00663D70">
        <w:t xml:space="preserve"> </w:t>
      </w:r>
      <w:r w:rsidRPr="00A80B2E">
        <w:t xml:space="preserve"> $41,878,000</w:t>
      </w:r>
    </w:p>
    <w:p w14:paraId="4FA7CB60" w14:textId="77777777" w:rsidR="00872459" w:rsidRPr="002B1441" w:rsidRDefault="00872459" w:rsidP="00163BCE">
      <w:pPr>
        <w:pStyle w:val="BodyText"/>
        <w:spacing w:line="480" w:lineRule="auto"/>
        <w:ind w:firstLine="1440"/>
        <w:rPr>
          <w:i/>
          <w:iCs/>
        </w:rPr>
      </w:pPr>
    </w:p>
    <w:p w14:paraId="71833DFF" w14:textId="23B77422" w:rsidR="00B11E5A" w:rsidRPr="003D05DD" w:rsidRDefault="00B11E5A" w:rsidP="006A539B">
      <w:pPr>
        <w:pStyle w:val="BodyText"/>
        <w:spacing w:line="480" w:lineRule="auto"/>
        <w:ind w:firstLine="1440"/>
      </w:pPr>
      <w:r w:rsidRPr="003D05DD">
        <w:t>The Board action recommended in this item complies in all material</w:t>
      </w:r>
      <w:r w:rsidR="001D5C7B" w:rsidRPr="003D05DD">
        <w:t xml:space="preserve"> </w:t>
      </w:r>
      <w:r w:rsidRPr="003D05DD">
        <w:t xml:space="preserve">respects with applicable State and federal laws, University of Illinois </w:t>
      </w:r>
      <w:r w:rsidRPr="003D05DD">
        <w:rPr>
          <w:i/>
        </w:rPr>
        <w:t>Statutes</w:t>
      </w:r>
      <w:r w:rsidRPr="003D05DD">
        <w:t xml:space="preserve">, </w:t>
      </w:r>
      <w:r w:rsidRPr="003D05DD">
        <w:rPr>
          <w:i/>
        </w:rPr>
        <w:t>The General Rules Concerning University Organization and Procedure</w:t>
      </w:r>
      <w:r w:rsidRPr="003D05DD">
        <w:t xml:space="preserve">, and Board of </w:t>
      </w:r>
      <w:r w:rsidR="00B60A0D" w:rsidRPr="003D05DD">
        <w:t>T</w:t>
      </w:r>
      <w:r w:rsidRPr="003D05DD">
        <w:t>rustees policies and directives.</w:t>
      </w:r>
    </w:p>
    <w:p w14:paraId="469321DB" w14:textId="7C2B78BF" w:rsidR="00A4584E" w:rsidRPr="003730C3" w:rsidRDefault="00A4584E" w:rsidP="006A539B">
      <w:pPr>
        <w:pStyle w:val="BodyText"/>
        <w:spacing w:before="10" w:line="480" w:lineRule="auto"/>
        <w:ind w:right="68" w:firstLine="1440"/>
      </w:pPr>
      <w:r w:rsidRPr="003D05DD">
        <w:t xml:space="preserve">Funds for this project are available from </w:t>
      </w:r>
      <w:r w:rsidR="0030276E" w:rsidRPr="003D05DD">
        <w:t>I</w:t>
      </w:r>
      <w:r w:rsidRPr="003D05DD">
        <w:t>nstitutional</w:t>
      </w:r>
      <w:r w:rsidR="004440EB" w:rsidRPr="003D05DD">
        <w:t xml:space="preserve"> </w:t>
      </w:r>
      <w:r w:rsidR="00501A81" w:rsidRPr="003D05DD">
        <w:t xml:space="preserve">Funds </w:t>
      </w:r>
      <w:r w:rsidR="004440EB" w:rsidRPr="003D05DD">
        <w:t>Operating</w:t>
      </w:r>
      <w:r w:rsidR="004440EB" w:rsidRPr="003730C3">
        <w:t xml:space="preserve"> </w:t>
      </w:r>
      <w:r w:rsidR="00501A81">
        <w:t xml:space="preserve">Budget of the University of Illinois Urbana-Champaign, </w:t>
      </w:r>
      <w:r w:rsidR="006A539B">
        <w:t>Academic Facilit</w:t>
      </w:r>
      <w:r w:rsidR="00924355">
        <w:t>ies</w:t>
      </w:r>
      <w:r w:rsidR="006A539B">
        <w:t xml:space="preserve"> Maintenance Fund Assessment, </w:t>
      </w:r>
      <w:r w:rsidR="00501A81">
        <w:t xml:space="preserve">and </w:t>
      </w:r>
      <w:r w:rsidR="00924355">
        <w:t>g</w:t>
      </w:r>
      <w:r w:rsidR="0030276E">
        <w:t>ift</w:t>
      </w:r>
      <w:r w:rsidR="00501A81">
        <w:t xml:space="preserve"> funds.</w:t>
      </w:r>
    </w:p>
    <w:p w14:paraId="1586A9C0" w14:textId="2FBF0785" w:rsidR="00A4584E" w:rsidRDefault="00A4584E" w:rsidP="00A4584E">
      <w:pPr>
        <w:pStyle w:val="BodyText"/>
        <w:spacing w:before="40"/>
        <w:ind w:firstLine="1440"/>
        <w:jc w:val="both"/>
      </w:pPr>
      <w:r w:rsidRPr="00CC1607">
        <w:t xml:space="preserve">The </w:t>
      </w:r>
      <w:r w:rsidR="00501A81">
        <w:t>p</w:t>
      </w:r>
      <w:r w:rsidR="00501A81" w:rsidRPr="00CC1607">
        <w:t xml:space="preserve">resident </w:t>
      </w:r>
      <w:r w:rsidRPr="00CC1607">
        <w:t xml:space="preserve">of the University </w:t>
      </w:r>
      <w:r>
        <w:t xml:space="preserve">of Illinois System </w:t>
      </w:r>
      <w:r w:rsidRPr="00CC1607">
        <w:t>concurs.</w:t>
      </w:r>
    </w:p>
    <w:p w14:paraId="6A2AE065" w14:textId="77777777" w:rsidR="00A4584E" w:rsidRDefault="00A4584E" w:rsidP="00A4584E">
      <w:pPr>
        <w:pStyle w:val="BodyText"/>
        <w:spacing w:before="4"/>
      </w:pPr>
    </w:p>
    <w:p w14:paraId="51AF6DFD" w14:textId="77777777" w:rsidR="00DE2E34" w:rsidRDefault="00DE2E34">
      <w:r>
        <w:br w:type="page"/>
      </w:r>
    </w:p>
    <w:p w14:paraId="4D6A7D5E" w14:textId="77777777" w:rsidR="00DE2E34" w:rsidRDefault="00DE2E34">
      <w:pPr>
        <w:sectPr w:rsidR="00DE2E34" w:rsidSect="00663D70">
          <w:headerReference w:type="even" r:id="rId7"/>
          <w:headerReference w:type="default" r:id="rId8"/>
          <w:pgSz w:w="12240" w:h="15840"/>
          <w:pgMar w:top="720" w:right="1440" w:bottom="1440" w:left="1440" w:header="720" w:footer="720" w:gutter="0"/>
          <w:cols w:space="720"/>
          <w:titlePg/>
          <w:docGrid w:linePitch="299"/>
        </w:sectPr>
      </w:pPr>
    </w:p>
    <w:p w14:paraId="048A3575" w14:textId="14B12646" w:rsidR="00DE2E34" w:rsidRPr="00C15406" w:rsidRDefault="00DE2E34">
      <w:pPr>
        <w:rPr>
          <w:rFonts w:ascii="Times New Roman" w:hAnsi="Times New Roman" w:cs="Times New Roman"/>
          <w:sz w:val="26"/>
          <w:szCs w:val="26"/>
        </w:rPr>
      </w:pPr>
      <w:r w:rsidRPr="00C15406">
        <w:rPr>
          <w:rFonts w:ascii="Times New Roman" w:hAnsi="Times New Roman" w:cs="Times New Roman"/>
          <w:sz w:val="26"/>
          <w:szCs w:val="26"/>
        </w:rPr>
        <w:lastRenderedPageBreak/>
        <w:t xml:space="preserve">Table 1: Diverse Vendor </w:t>
      </w:r>
      <w:r>
        <w:rPr>
          <w:rFonts w:ascii="Times New Roman" w:hAnsi="Times New Roman" w:cs="Times New Roman"/>
          <w:sz w:val="26"/>
          <w:szCs w:val="26"/>
        </w:rPr>
        <w:t>Participation</w:t>
      </w:r>
    </w:p>
    <w:tbl>
      <w:tblPr>
        <w:tblW w:w="946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2114"/>
        <w:gridCol w:w="1820"/>
        <w:gridCol w:w="1820"/>
      </w:tblGrid>
      <w:tr w:rsidR="007F1F7C" w:rsidRPr="007F1F7C" w14:paraId="62138018" w14:textId="77777777" w:rsidTr="007F1F7C">
        <w:trPr>
          <w:trHeight w:val="1275"/>
        </w:trPr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F3A06" w14:textId="77777777" w:rsidR="007F1F7C" w:rsidRPr="007F1F7C" w:rsidRDefault="007F1F7C" w:rsidP="007F1F7C">
            <w:pPr>
              <w:pStyle w:val="BodyText"/>
              <w:spacing w:before="4"/>
              <w:rPr>
                <w:b/>
                <w:bCs/>
              </w:rPr>
            </w:pPr>
            <w:r w:rsidRPr="007F1F7C">
              <w:rPr>
                <w:b/>
                <w:bCs/>
              </w:rPr>
              <w:t>Awarded Vendor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1C714" w14:textId="77777777" w:rsidR="007F1F7C" w:rsidRPr="007F1F7C" w:rsidRDefault="007F1F7C" w:rsidP="007F1F7C">
            <w:pPr>
              <w:pStyle w:val="BodyText"/>
              <w:spacing w:before="4"/>
              <w:rPr>
                <w:b/>
                <w:bCs/>
              </w:rPr>
            </w:pPr>
            <w:r w:rsidRPr="007F1F7C">
              <w:rPr>
                <w:b/>
                <w:bCs/>
              </w:rPr>
              <w:t>Prime Contract $ / Diverse Subcontractor Certification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F2E60" w14:textId="77777777" w:rsidR="007F1F7C" w:rsidRPr="007F1F7C" w:rsidRDefault="007F1F7C" w:rsidP="007F1F7C">
            <w:pPr>
              <w:pStyle w:val="BodyText"/>
              <w:spacing w:before="4"/>
              <w:rPr>
                <w:b/>
                <w:bCs/>
              </w:rPr>
            </w:pPr>
            <w:r w:rsidRPr="007F1F7C">
              <w:rPr>
                <w:b/>
                <w:bCs/>
              </w:rPr>
              <w:t>Diverse Subcontractor Value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2BFC3" w14:textId="77777777" w:rsidR="007F1F7C" w:rsidRPr="007F1F7C" w:rsidRDefault="007F1F7C" w:rsidP="007F1F7C">
            <w:pPr>
              <w:pStyle w:val="BodyText"/>
              <w:spacing w:before="4"/>
              <w:rPr>
                <w:b/>
                <w:bCs/>
              </w:rPr>
            </w:pPr>
            <w:r w:rsidRPr="007F1F7C">
              <w:rPr>
                <w:b/>
                <w:bCs/>
              </w:rPr>
              <w:t>Subcontractor % of Work</w:t>
            </w:r>
          </w:p>
        </w:tc>
      </w:tr>
      <w:tr w:rsidR="007F1F7C" w:rsidRPr="007F1F7C" w14:paraId="6D960315" w14:textId="77777777" w:rsidTr="007F1F7C">
        <w:trPr>
          <w:trHeight w:val="630"/>
        </w:trPr>
        <w:tc>
          <w:tcPr>
            <w:tcW w:w="4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5F3E9" w14:textId="2EC002DE" w:rsidR="007F1F7C" w:rsidRPr="007F1F7C" w:rsidRDefault="007F1F7C" w:rsidP="007F1F7C">
            <w:pPr>
              <w:pStyle w:val="BodyText"/>
              <w:spacing w:before="4"/>
            </w:pPr>
            <w:r w:rsidRPr="007F1F7C">
              <w:t>Williams Brothers Construction</w:t>
            </w:r>
            <w:r w:rsidR="00924355">
              <w:t xml:space="preserve"> Inc.</w:t>
            </w:r>
            <w:r w:rsidRPr="007F1F7C">
              <w:t xml:space="preserve"> Peoria Heights, IL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E74B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 xml:space="preserve">$41,878,000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042E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540A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 </w:t>
            </w:r>
          </w:p>
        </w:tc>
      </w:tr>
      <w:tr w:rsidR="007F1F7C" w:rsidRPr="007F1F7C" w14:paraId="237134A2" w14:textId="77777777" w:rsidTr="007F1F7C">
        <w:trPr>
          <w:trHeight w:val="315"/>
        </w:trPr>
        <w:tc>
          <w:tcPr>
            <w:tcW w:w="4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3BC9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F4AEF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AA684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2DAD1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 </w:t>
            </w:r>
          </w:p>
        </w:tc>
      </w:tr>
      <w:tr w:rsidR="007F1F7C" w:rsidRPr="007F1F7C" w14:paraId="2A1637F9" w14:textId="77777777" w:rsidTr="007F1F7C">
        <w:trPr>
          <w:trHeight w:val="315"/>
        </w:trPr>
        <w:tc>
          <w:tcPr>
            <w:tcW w:w="4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CE0E0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C9CB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MBE (AFA)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311B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$2,415,000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DA22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6%</w:t>
            </w:r>
          </w:p>
        </w:tc>
      </w:tr>
      <w:tr w:rsidR="007F1F7C" w:rsidRPr="007F1F7C" w14:paraId="50D34909" w14:textId="77777777" w:rsidTr="007F1F7C">
        <w:trPr>
          <w:trHeight w:val="330"/>
        </w:trPr>
        <w:tc>
          <w:tcPr>
            <w:tcW w:w="4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E1B68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375A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MBE (HA)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E57FA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$1,524,100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1FB51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4%</w:t>
            </w:r>
          </w:p>
        </w:tc>
      </w:tr>
      <w:tr w:rsidR="007F1F7C" w:rsidRPr="007F1F7C" w14:paraId="3F9DF359" w14:textId="77777777" w:rsidTr="007F1F7C">
        <w:trPr>
          <w:trHeight w:val="315"/>
        </w:trPr>
        <w:tc>
          <w:tcPr>
            <w:tcW w:w="4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CCCA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E3826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VOSB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CF0AE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$1,257,000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A2C30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3%</w:t>
            </w:r>
          </w:p>
        </w:tc>
      </w:tr>
      <w:tr w:rsidR="007F1F7C" w:rsidRPr="007F1F7C" w14:paraId="0F0150B3" w14:textId="77777777" w:rsidTr="007F1F7C">
        <w:trPr>
          <w:trHeight w:val="315"/>
        </w:trPr>
        <w:tc>
          <w:tcPr>
            <w:tcW w:w="4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D62DE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 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A7B4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WMBE (AFA)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C820C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$385,000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0882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1%</w:t>
            </w:r>
          </w:p>
        </w:tc>
      </w:tr>
      <w:tr w:rsidR="007F1F7C" w:rsidRPr="007F1F7C" w14:paraId="1C314A9A" w14:textId="77777777" w:rsidTr="007F1F7C">
        <w:trPr>
          <w:trHeight w:val="315"/>
        </w:trPr>
        <w:tc>
          <w:tcPr>
            <w:tcW w:w="4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A50A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 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4B72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WBE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33F4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$8,269,500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BB74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20%</w:t>
            </w:r>
          </w:p>
        </w:tc>
      </w:tr>
      <w:tr w:rsidR="007F1F7C" w:rsidRPr="007F1F7C" w14:paraId="633E3543" w14:textId="77777777" w:rsidTr="007F1F7C">
        <w:trPr>
          <w:trHeight w:val="330"/>
        </w:trPr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7BA5B" w14:textId="77777777" w:rsidR="007F1F7C" w:rsidRPr="007F1F7C" w:rsidRDefault="007F1F7C" w:rsidP="007F1F7C">
            <w:pPr>
              <w:pStyle w:val="BodyText"/>
              <w:spacing w:before="4"/>
            </w:pPr>
            <w:r w:rsidRPr="007F1F7C">
              <w:t> 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08AF" w14:textId="77777777" w:rsidR="007F1F7C" w:rsidRPr="007F1F7C" w:rsidRDefault="007F1F7C" w:rsidP="007F1F7C">
            <w:pPr>
              <w:pStyle w:val="BodyText"/>
              <w:spacing w:before="4"/>
              <w:rPr>
                <w:b/>
                <w:bCs/>
              </w:rPr>
            </w:pPr>
            <w:r w:rsidRPr="007F1F7C">
              <w:rPr>
                <w:b/>
                <w:bCs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C9F6" w14:textId="77777777" w:rsidR="007F1F7C" w:rsidRPr="007F1F7C" w:rsidRDefault="007F1F7C" w:rsidP="007F1F7C">
            <w:pPr>
              <w:pStyle w:val="BodyText"/>
              <w:spacing w:before="4"/>
              <w:rPr>
                <w:b/>
                <w:bCs/>
              </w:rPr>
            </w:pPr>
            <w:r w:rsidRPr="007F1F7C">
              <w:rPr>
                <w:b/>
                <w:bCs/>
              </w:rPr>
              <w:t>$13,850,600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B889" w14:textId="77777777" w:rsidR="007F1F7C" w:rsidRPr="007F1F7C" w:rsidRDefault="007F1F7C" w:rsidP="007F1F7C">
            <w:pPr>
              <w:pStyle w:val="BodyText"/>
              <w:spacing w:before="4"/>
              <w:rPr>
                <w:b/>
                <w:bCs/>
              </w:rPr>
            </w:pPr>
            <w:r w:rsidRPr="007F1F7C">
              <w:rPr>
                <w:b/>
                <w:bCs/>
              </w:rPr>
              <w:t>33%</w:t>
            </w:r>
          </w:p>
        </w:tc>
      </w:tr>
    </w:tbl>
    <w:p w14:paraId="0307A12A" w14:textId="3E0C3F58" w:rsidR="003E5A4A" w:rsidRDefault="003E5A4A" w:rsidP="00940829">
      <w:pPr>
        <w:pStyle w:val="BodyText"/>
        <w:spacing w:before="4"/>
      </w:pPr>
    </w:p>
    <w:sectPr w:rsidR="003E5A4A" w:rsidSect="00C15406">
      <w:pgSz w:w="15840" w:h="12240" w:orient="landscape"/>
      <w:pgMar w:top="1440" w:right="1440" w:bottom="135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50D6E" w14:textId="77777777" w:rsidR="00C77A32" w:rsidRDefault="00C77A32" w:rsidP="00B11E5A">
      <w:pPr>
        <w:spacing w:after="0" w:line="240" w:lineRule="auto"/>
      </w:pPr>
      <w:r>
        <w:separator/>
      </w:r>
    </w:p>
  </w:endnote>
  <w:endnote w:type="continuationSeparator" w:id="0">
    <w:p w14:paraId="7C45832C" w14:textId="77777777" w:rsidR="00C77A32" w:rsidRDefault="00C77A32" w:rsidP="00B1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DD327" w14:textId="77777777" w:rsidR="00C77A32" w:rsidRDefault="00C77A32" w:rsidP="00B11E5A">
      <w:pPr>
        <w:spacing w:after="0" w:line="240" w:lineRule="auto"/>
      </w:pPr>
      <w:r>
        <w:separator/>
      </w:r>
    </w:p>
  </w:footnote>
  <w:footnote w:type="continuationSeparator" w:id="0">
    <w:p w14:paraId="4FFE1929" w14:textId="77777777" w:rsidR="00C77A32" w:rsidRDefault="00C77A32" w:rsidP="00B11E5A">
      <w:pPr>
        <w:spacing w:after="0" w:line="240" w:lineRule="auto"/>
      </w:pPr>
      <w:r>
        <w:continuationSeparator/>
      </w:r>
    </w:p>
  </w:footnote>
  <w:footnote w:id="1">
    <w:p w14:paraId="3B5AC37D" w14:textId="7A313F1B" w:rsidR="004C1363" w:rsidRPr="00663D70" w:rsidRDefault="004C1363" w:rsidP="00432E10">
      <w:pPr>
        <w:pStyle w:val="BodyText"/>
        <w:spacing w:line="259" w:lineRule="auto"/>
        <w:ind w:right="144"/>
      </w:pPr>
      <w:r w:rsidRPr="00663D70">
        <w:rPr>
          <w:rStyle w:val="FootnoteReference"/>
        </w:rPr>
        <w:footnoteRef/>
      </w:r>
      <w:r w:rsidRPr="00663D70">
        <w:t xml:space="preserve"> Description of Alternates: </w:t>
      </w:r>
      <w:r w:rsidR="00501A81" w:rsidRPr="00663D70">
        <w:t>Alt</w:t>
      </w:r>
      <w:r w:rsidR="00924355">
        <w:t>ernate</w:t>
      </w:r>
      <w:r w:rsidR="00501A81" w:rsidRPr="00663D70">
        <w:t xml:space="preserve"> </w:t>
      </w:r>
      <w:r w:rsidRPr="00663D70">
        <w:t>1</w:t>
      </w:r>
      <w:r w:rsidR="00924355">
        <w:t xml:space="preserve"> </w:t>
      </w:r>
      <w:r w:rsidR="00501A81" w:rsidRPr="00663D70">
        <w:t>-</w:t>
      </w:r>
      <w:r w:rsidR="00924355">
        <w:t xml:space="preserve"> </w:t>
      </w:r>
      <w:r w:rsidR="00501A81" w:rsidRPr="00663D70">
        <w:t>P</w:t>
      </w:r>
      <w:r w:rsidR="00432E10" w:rsidRPr="00663D70">
        <w:t>rovide movable concrete planters with ornamental trees at Plaza Level</w:t>
      </w:r>
      <w:r w:rsidR="00163BCE" w:rsidRPr="00663D70">
        <w:t>;</w:t>
      </w:r>
      <w:r w:rsidRPr="00663D70">
        <w:t xml:space="preserve"> </w:t>
      </w:r>
      <w:r w:rsidR="00501A81" w:rsidRPr="00663D70">
        <w:t>Alt</w:t>
      </w:r>
      <w:r w:rsidR="00924355">
        <w:t>ernate</w:t>
      </w:r>
      <w:r w:rsidR="00501A81" w:rsidRPr="00663D70">
        <w:t xml:space="preserve"> </w:t>
      </w:r>
      <w:r w:rsidRPr="00663D70">
        <w:t>2</w:t>
      </w:r>
      <w:r w:rsidR="00924355">
        <w:t xml:space="preserve"> </w:t>
      </w:r>
      <w:r w:rsidR="00501A81" w:rsidRPr="00663D70">
        <w:t>-</w:t>
      </w:r>
      <w:r w:rsidR="00924355">
        <w:t xml:space="preserve"> </w:t>
      </w:r>
      <w:r w:rsidR="00501A81" w:rsidRPr="00663D70">
        <w:t>P</w:t>
      </w:r>
      <w:r w:rsidR="00432E10" w:rsidRPr="00663D70">
        <w:t>rovide new 5</w:t>
      </w:r>
      <w:r w:rsidR="00924355">
        <w:t xml:space="preserve"> foot</w:t>
      </w:r>
      <w:r w:rsidR="00432E10" w:rsidRPr="00663D70">
        <w:t xml:space="preserve"> benches at the Plaza Level</w:t>
      </w:r>
      <w:r w:rsidR="00501A81" w:rsidRPr="00663D70">
        <w:t>;</w:t>
      </w:r>
      <w:r w:rsidRPr="00663D70">
        <w:t xml:space="preserve"> </w:t>
      </w:r>
      <w:r w:rsidR="00501A81" w:rsidRPr="00663D70">
        <w:t>Alt</w:t>
      </w:r>
      <w:r w:rsidR="00924355">
        <w:t>ernate</w:t>
      </w:r>
      <w:r w:rsidR="00501A81" w:rsidRPr="00663D70">
        <w:t xml:space="preserve"> </w:t>
      </w:r>
      <w:r w:rsidR="00432E10" w:rsidRPr="00663D70">
        <w:t>3</w:t>
      </w:r>
      <w:r w:rsidR="00924355">
        <w:t xml:space="preserve"> </w:t>
      </w:r>
      <w:r w:rsidR="00501A81" w:rsidRPr="00663D70">
        <w:t>-</w:t>
      </w:r>
      <w:r w:rsidR="00924355">
        <w:t xml:space="preserve"> </w:t>
      </w:r>
      <w:r w:rsidR="00432E10" w:rsidRPr="00663D70">
        <w:t xml:space="preserve">Remove existing pavers at the Lower-Level Courtyard, prep subgrade and provide new pavers; </w:t>
      </w:r>
      <w:r w:rsidR="00501A81" w:rsidRPr="00663D70">
        <w:t>Alt</w:t>
      </w:r>
      <w:r w:rsidR="00924355">
        <w:t xml:space="preserve">ernate 4 </w:t>
      </w:r>
      <w:r w:rsidR="00501A81" w:rsidRPr="00663D70">
        <w:t>-</w:t>
      </w:r>
      <w:r w:rsidR="00924355">
        <w:t xml:space="preserve"> </w:t>
      </w:r>
      <w:r w:rsidR="00432E10" w:rsidRPr="00663D70">
        <w:t>Provide two folding glass panel partitions at Room 1020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9077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332CD0" w14:textId="06CEB812" w:rsidR="00291A6F" w:rsidRDefault="00291A6F">
        <w:pPr>
          <w:pStyle w:val="Header"/>
          <w:jc w:val="center"/>
        </w:pPr>
        <w:r w:rsidRPr="00291A6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91A6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91A6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291A6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91A6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3A1BF7C" w14:textId="77777777" w:rsidR="00291A6F" w:rsidRPr="00291A6F" w:rsidRDefault="00291A6F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A571" w14:textId="6F0FB7D3" w:rsidR="00291A6F" w:rsidRPr="00291A6F" w:rsidRDefault="00291A6F">
    <w:pPr>
      <w:pStyle w:val="Header"/>
      <w:jc w:val="center"/>
      <w:rPr>
        <w:rFonts w:ascii="Times New Roman" w:hAnsi="Times New Roman" w:cs="Times New Roman"/>
        <w:sz w:val="26"/>
        <w:szCs w:val="26"/>
      </w:rPr>
    </w:pPr>
  </w:p>
  <w:p w14:paraId="753023EF" w14:textId="77777777" w:rsidR="00291A6F" w:rsidRPr="00291A6F" w:rsidRDefault="00291A6F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0NzU1MzcwNTE1M7RU0lEKTi0uzszPAykwrAUAojvTuCwAAAA="/>
  </w:docVars>
  <w:rsids>
    <w:rsidRoot w:val="00A4584E"/>
    <w:rsid w:val="00017FA4"/>
    <w:rsid w:val="00035964"/>
    <w:rsid w:val="00053D97"/>
    <w:rsid w:val="00064050"/>
    <w:rsid w:val="0006688F"/>
    <w:rsid w:val="000953C6"/>
    <w:rsid w:val="000C5E7A"/>
    <w:rsid w:val="001101D1"/>
    <w:rsid w:val="00116CAC"/>
    <w:rsid w:val="00140BA6"/>
    <w:rsid w:val="00145C4E"/>
    <w:rsid w:val="001511D0"/>
    <w:rsid w:val="00163BCE"/>
    <w:rsid w:val="00186624"/>
    <w:rsid w:val="001A0073"/>
    <w:rsid w:val="001D5C7B"/>
    <w:rsid w:val="001E40DB"/>
    <w:rsid w:val="0022558C"/>
    <w:rsid w:val="002417CA"/>
    <w:rsid w:val="00245FBA"/>
    <w:rsid w:val="002637BE"/>
    <w:rsid w:val="00275C69"/>
    <w:rsid w:val="002801B1"/>
    <w:rsid w:val="00283E05"/>
    <w:rsid w:val="00291A6F"/>
    <w:rsid w:val="002A559A"/>
    <w:rsid w:val="002B1441"/>
    <w:rsid w:val="0030276E"/>
    <w:rsid w:val="00316BEC"/>
    <w:rsid w:val="00335B54"/>
    <w:rsid w:val="00361D9F"/>
    <w:rsid w:val="00371DBD"/>
    <w:rsid w:val="00383278"/>
    <w:rsid w:val="003922D5"/>
    <w:rsid w:val="003B6472"/>
    <w:rsid w:val="003D05DD"/>
    <w:rsid w:val="003D3E1B"/>
    <w:rsid w:val="003E5A4A"/>
    <w:rsid w:val="0042451D"/>
    <w:rsid w:val="00432E10"/>
    <w:rsid w:val="004440EB"/>
    <w:rsid w:val="00460C29"/>
    <w:rsid w:val="00464D06"/>
    <w:rsid w:val="004903BB"/>
    <w:rsid w:val="00490EA3"/>
    <w:rsid w:val="004C1363"/>
    <w:rsid w:val="00500BE2"/>
    <w:rsid w:val="00501A81"/>
    <w:rsid w:val="0051045F"/>
    <w:rsid w:val="00527964"/>
    <w:rsid w:val="00544A8F"/>
    <w:rsid w:val="00550203"/>
    <w:rsid w:val="00563880"/>
    <w:rsid w:val="00573F79"/>
    <w:rsid w:val="005866E4"/>
    <w:rsid w:val="00586A16"/>
    <w:rsid w:val="00592BC4"/>
    <w:rsid w:val="005B4929"/>
    <w:rsid w:val="005C05EB"/>
    <w:rsid w:val="005C388B"/>
    <w:rsid w:val="005E7CC4"/>
    <w:rsid w:val="00602DFA"/>
    <w:rsid w:val="00605A69"/>
    <w:rsid w:val="00606CD2"/>
    <w:rsid w:val="00636CE5"/>
    <w:rsid w:val="00663D70"/>
    <w:rsid w:val="00666D84"/>
    <w:rsid w:val="0067085F"/>
    <w:rsid w:val="006708C4"/>
    <w:rsid w:val="006A5032"/>
    <w:rsid w:val="006A539B"/>
    <w:rsid w:val="006C7C3F"/>
    <w:rsid w:val="006D5C4A"/>
    <w:rsid w:val="006E6E08"/>
    <w:rsid w:val="006E7419"/>
    <w:rsid w:val="00713509"/>
    <w:rsid w:val="0072284D"/>
    <w:rsid w:val="007778FB"/>
    <w:rsid w:val="00782295"/>
    <w:rsid w:val="00791BDE"/>
    <w:rsid w:val="007B62F5"/>
    <w:rsid w:val="007C6AF7"/>
    <w:rsid w:val="007D265A"/>
    <w:rsid w:val="007D7C04"/>
    <w:rsid w:val="007F1F7C"/>
    <w:rsid w:val="00804D27"/>
    <w:rsid w:val="008113C3"/>
    <w:rsid w:val="00812F43"/>
    <w:rsid w:val="00827FD6"/>
    <w:rsid w:val="0084337A"/>
    <w:rsid w:val="00870A7B"/>
    <w:rsid w:val="008715FA"/>
    <w:rsid w:val="00872459"/>
    <w:rsid w:val="008847FF"/>
    <w:rsid w:val="008D32EC"/>
    <w:rsid w:val="008F7B58"/>
    <w:rsid w:val="00912DA6"/>
    <w:rsid w:val="00924355"/>
    <w:rsid w:val="00940829"/>
    <w:rsid w:val="009413AE"/>
    <w:rsid w:val="00945BDB"/>
    <w:rsid w:val="00981E96"/>
    <w:rsid w:val="009954DD"/>
    <w:rsid w:val="009B06C1"/>
    <w:rsid w:val="009D7A63"/>
    <w:rsid w:val="009F11C4"/>
    <w:rsid w:val="009F4EA5"/>
    <w:rsid w:val="00A202BD"/>
    <w:rsid w:val="00A31F88"/>
    <w:rsid w:val="00A4584E"/>
    <w:rsid w:val="00A53DAC"/>
    <w:rsid w:val="00A66FA9"/>
    <w:rsid w:val="00A74943"/>
    <w:rsid w:val="00A80B2E"/>
    <w:rsid w:val="00AE7A7D"/>
    <w:rsid w:val="00B02583"/>
    <w:rsid w:val="00B11E5A"/>
    <w:rsid w:val="00B15FDD"/>
    <w:rsid w:val="00B53AA9"/>
    <w:rsid w:val="00B60A0D"/>
    <w:rsid w:val="00BD40A1"/>
    <w:rsid w:val="00BD6D89"/>
    <w:rsid w:val="00BE15F2"/>
    <w:rsid w:val="00C15406"/>
    <w:rsid w:val="00C20B4A"/>
    <w:rsid w:val="00C51CFF"/>
    <w:rsid w:val="00C6322C"/>
    <w:rsid w:val="00C77A32"/>
    <w:rsid w:val="00C822DF"/>
    <w:rsid w:val="00CD2144"/>
    <w:rsid w:val="00CF2160"/>
    <w:rsid w:val="00D44071"/>
    <w:rsid w:val="00D5572A"/>
    <w:rsid w:val="00D72B0C"/>
    <w:rsid w:val="00D73A4F"/>
    <w:rsid w:val="00D946DA"/>
    <w:rsid w:val="00DE2E34"/>
    <w:rsid w:val="00E032DE"/>
    <w:rsid w:val="00E53DF4"/>
    <w:rsid w:val="00E60D58"/>
    <w:rsid w:val="00E60F93"/>
    <w:rsid w:val="00E63285"/>
    <w:rsid w:val="00E97F65"/>
    <w:rsid w:val="00EA3A9F"/>
    <w:rsid w:val="00EC2993"/>
    <w:rsid w:val="00EC43E0"/>
    <w:rsid w:val="00EC517F"/>
    <w:rsid w:val="00ED220A"/>
    <w:rsid w:val="00EF498E"/>
    <w:rsid w:val="00F0113C"/>
    <w:rsid w:val="00F244B6"/>
    <w:rsid w:val="00F4260A"/>
    <w:rsid w:val="00F55E0C"/>
    <w:rsid w:val="00F8257A"/>
    <w:rsid w:val="00FA199B"/>
    <w:rsid w:val="00F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4ABEF"/>
  <w15:chartTrackingRefBased/>
  <w15:docId w15:val="{4C85148F-7FE5-482B-93C9-72544535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84E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45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4584E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bdheading1">
    <w:name w:val="bdheading1"/>
    <w:basedOn w:val="Normal"/>
    <w:next w:val="Heading2"/>
    <w:rsid w:val="00A45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 Bold" w:eastAsia="Times New Roman" w:hAnsi="Times New Roman Bold" w:cs="Times New Roman"/>
      <w:b/>
      <w:sz w:val="60"/>
      <w:szCs w:val="20"/>
    </w:rPr>
  </w:style>
  <w:style w:type="paragraph" w:customStyle="1" w:styleId="bdstyle2">
    <w:name w:val="bdstyle2"/>
    <w:basedOn w:val="Normal"/>
    <w:uiPriority w:val="99"/>
    <w:rsid w:val="00A4584E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A45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A45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5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584E"/>
    <w:rPr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584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5A"/>
    <w:rPr>
      <w:kern w:val="0"/>
      <w14:ligatures w14:val="none"/>
    </w:rPr>
  </w:style>
  <w:style w:type="paragraph" w:styleId="Revision">
    <w:name w:val="Revision"/>
    <w:hidden/>
    <w:uiPriority w:val="99"/>
    <w:semiHidden/>
    <w:rsid w:val="00C51CFF"/>
    <w:pPr>
      <w:spacing w:after="0" w:line="240" w:lineRule="auto"/>
    </w:pPr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3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36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C136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41"/>
    <w:rPr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43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1EBE-0074-460A-B8DF-7B6C3AFE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Roessler, Mark</dc:creator>
  <cp:keywords/>
  <dc:description/>
  <cp:lastModifiedBy>Williams, Aubrie</cp:lastModifiedBy>
  <cp:revision>11</cp:revision>
  <dcterms:created xsi:type="dcterms:W3CDTF">2025-02-11T20:24:00Z</dcterms:created>
  <dcterms:modified xsi:type="dcterms:W3CDTF">2025-03-20T18:29:00Z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1f4ebf0a534094326b557e6827ed65a25a05d383677ed371915590f46cf5b8ff</vt:lpwstr>
  </property>
</Properties>
</file>