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51A9" w14:textId="77777777" w:rsidR="008862A6" w:rsidRPr="008862A6" w:rsidRDefault="008862A6" w:rsidP="008862A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8862A6">
        <w:rPr>
          <w:rFonts w:eastAsia="Times New Roman"/>
          <w:color w:val="FF0000"/>
          <w:szCs w:val="26"/>
        </w:rPr>
        <w:t>Approved by the Board of Trustees</w:t>
      </w:r>
    </w:p>
    <w:bookmarkEnd w:id="0"/>
    <w:bookmarkEnd w:id="1"/>
    <w:p w14:paraId="3448724C" w14:textId="77777777" w:rsidR="008862A6" w:rsidRPr="008862A6" w:rsidRDefault="008862A6" w:rsidP="008862A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8862A6">
        <w:rPr>
          <w:rFonts w:eastAsia="Times New Roman"/>
          <w:color w:val="FF0000"/>
          <w:szCs w:val="26"/>
        </w:rPr>
        <w:t>March 20, 2025</w:t>
      </w:r>
    </w:p>
    <w:p w14:paraId="6E36DDA8" w14:textId="205B03A5" w:rsidR="002F2D48" w:rsidRPr="006F284F" w:rsidRDefault="004B76E4"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color w:val="000000"/>
          <w:sz w:val="60"/>
          <w:szCs w:val="60"/>
        </w:rPr>
      </w:pPr>
      <w:r>
        <w:rPr>
          <w:rFonts w:eastAsia="Times New Roman"/>
          <w:b/>
          <w:color w:val="000000"/>
          <w:sz w:val="60"/>
          <w:szCs w:val="60"/>
        </w:rPr>
        <w:t>25</w:t>
      </w:r>
      <w:r w:rsidR="00D743A9">
        <w:rPr>
          <w:rFonts w:eastAsia="Times New Roman"/>
          <w:b/>
          <w:color w:val="000000"/>
          <w:sz w:val="60"/>
          <w:szCs w:val="60"/>
        </w:rPr>
        <w:t xml:space="preserve"> </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32FFA9D2" w:rsidR="002F2D48" w:rsidRPr="006F284F" w:rsidRDefault="002F2D48" w:rsidP="00D743A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March 2</w:t>
      </w:r>
      <w:r w:rsidR="00814D1D">
        <w:rPr>
          <w:rFonts w:eastAsia="Times New Roman"/>
          <w:szCs w:val="26"/>
        </w:rPr>
        <w:t>0</w:t>
      </w:r>
      <w:r w:rsidRPr="006F284F">
        <w:rPr>
          <w:rFonts w:eastAsia="Times New Roman"/>
          <w:szCs w:val="26"/>
        </w:rPr>
        <w:t>, 202</w:t>
      </w:r>
      <w:r w:rsidR="00814D1D">
        <w:rPr>
          <w:rFonts w:eastAsia="Times New Roman"/>
          <w:szCs w:val="26"/>
        </w:rPr>
        <w:t>5</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r w:rsidRPr="006F284F">
        <w:rPr>
          <w:rFonts w:eastAsia="Times New Roman"/>
          <w:color w:val="000000"/>
          <w:szCs w:val="26"/>
        </w:rPr>
        <w:t>ROLL CALL</w:t>
      </w:r>
    </w:p>
    <w:p w14:paraId="2A62A203"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24EE0D3B" w14:textId="77777777" w:rsidR="002F2D48" w:rsidRPr="00D7330E" w:rsidRDefault="002F2D48" w:rsidP="002F2D48">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3"/>
        <w:rPr>
          <w:rFonts w:eastAsia="Times New Roman"/>
          <w:color w:val="000000"/>
          <w:szCs w:val="26"/>
        </w:rPr>
      </w:pPr>
      <w:r w:rsidRPr="00D7330E">
        <w:rPr>
          <w:rFonts w:eastAsia="Times New Roman"/>
          <w:color w:val="000000"/>
          <w:szCs w:val="26"/>
        </w:rPr>
        <w:t>PURCHASE RECOMMENDATIONS</w:t>
      </w:r>
    </w:p>
    <w:p w14:paraId="5B7E567D"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eastAsia="Times New Roman"/>
          <w:color w:val="000000"/>
          <w:szCs w:val="26"/>
        </w:rPr>
      </w:pPr>
    </w:p>
    <w:p w14:paraId="18C8F33F" w14:textId="68A1BA9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D7330E">
        <w:rPr>
          <w:rFonts w:eastAsia="Times New Roman"/>
          <w:color w:val="000000"/>
          <w:szCs w:val="26"/>
        </w:rPr>
        <w:t xml:space="preserve">Following are purchase recommendations proposed by each </w:t>
      </w:r>
      <w:r w:rsidR="00814D1D" w:rsidRPr="00D7330E">
        <w:rPr>
          <w:rFonts w:eastAsia="Times New Roman"/>
          <w:color w:val="000000"/>
          <w:szCs w:val="26"/>
        </w:rPr>
        <w:t>u</w:t>
      </w:r>
      <w:r w:rsidRPr="00D7330E">
        <w:rPr>
          <w:rFonts w:eastAsia="Times New Roman"/>
          <w:color w:val="000000"/>
          <w:szCs w:val="26"/>
        </w:rPr>
        <w:t>niversity and the System Office.</w:t>
      </w:r>
      <w:r w:rsidR="00D743A9" w:rsidRPr="00D7330E">
        <w:rPr>
          <w:rFonts w:eastAsia="Times New Roman"/>
          <w:color w:val="000000"/>
          <w:szCs w:val="26"/>
        </w:rPr>
        <w:t xml:space="preserve"> </w:t>
      </w:r>
      <w:r w:rsidRPr="00D7330E">
        <w:rPr>
          <w:rFonts w:eastAsia="Times New Roman"/>
          <w:color w:val="000000"/>
          <w:szCs w:val="26"/>
        </w:rPr>
        <w:t>The purchases are to be funded from State appropriations or institutional funds as appropriate.</w:t>
      </w:r>
      <w:r w:rsidR="00D743A9" w:rsidRPr="00D7330E">
        <w:rPr>
          <w:rFonts w:eastAsia="Times New Roman"/>
          <w:color w:val="000000"/>
          <w:szCs w:val="26"/>
        </w:rPr>
        <w:t xml:space="preserve"> </w:t>
      </w:r>
      <w:r w:rsidRPr="00D7330E">
        <w:rPr>
          <w:rFonts w:eastAsia="Times New Roman"/>
          <w:color w:val="000000"/>
          <w:szCs w:val="26"/>
        </w:rPr>
        <w:t>Unless otherwise specified or indicated, purchases are based on the lowest acceptable bid.</w:t>
      </w:r>
      <w:r w:rsidR="00D743A9" w:rsidRPr="00D7330E">
        <w:rPr>
          <w:rFonts w:eastAsia="Times New Roman"/>
          <w:color w:val="000000"/>
          <w:szCs w:val="26"/>
        </w:rPr>
        <w:t xml:space="preserve"> </w:t>
      </w:r>
      <w:r w:rsidRPr="00D7330E">
        <w:rPr>
          <w:rFonts w:eastAsia="Times New Roman"/>
          <w:color w:val="000000"/>
          <w:szCs w:val="26"/>
        </w:rPr>
        <w:t xml:space="preserve">The </w:t>
      </w:r>
      <w:r w:rsidR="00814D1D" w:rsidRPr="00D7330E">
        <w:rPr>
          <w:rFonts w:eastAsia="Times New Roman"/>
          <w:color w:val="000000"/>
          <w:szCs w:val="26"/>
        </w:rPr>
        <w:t>v</w:t>
      </w:r>
      <w:r w:rsidRPr="00D7330E">
        <w:rPr>
          <w:rFonts w:eastAsia="Times New Roman"/>
          <w:color w:val="000000"/>
          <w:szCs w:val="26"/>
        </w:rPr>
        <w:t xml:space="preserve">ice </w:t>
      </w:r>
      <w:r w:rsidR="00814D1D" w:rsidRPr="00D7330E">
        <w:rPr>
          <w:rFonts w:eastAsia="Times New Roman"/>
          <w:color w:val="000000"/>
          <w:szCs w:val="26"/>
        </w:rPr>
        <w:t>p</w:t>
      </w:r>
      <w:r w:rsidRPr="00D7330E">
        <w:rPr>
          <w:rFonts w:eastAsia="Times New Roman"/>
          <w:color w:val="000000"/>
          <w:szCs w:val="26"/>
        </w:rPr>
        <w:t>resident</w:t>
      </w:r>
      <w:r w:rsidR="00814D1D" w:rsidRPr="00D7330E">
        <w:rPr>
          <w:rFonts w:eastAsia="Times New Roman"/>
          <w:color w:val="000000"/>
          <w:szCs w:val="26"/>
        </w:rPr>
        <w:t>/c</w:t>
      </w:r>
      <w:r w:rsidRPr="00D7330E">
        <w:rPr>
          <w:rFonts w:eastAsia="Times New Roman"/>
          <w:color w:val="000000"/>
          <w:szCs w:val="26"/>
        </w:rPr>
        <w:t xml:space="preserve">hief </w:t>
      </w:r>
      <w:r w:rsidR="00814D1D" w:rsidRPr="00D7330E">
        <w:rPr>
          <w:rFonts w:eastAsia="Times New Roman"/>
          <w:color w:val="000000"/>
          <w:szCs w:val="26"/>
        </w:rPr>
        <w:t>f</w:t>
      </w:r>
      <w:r w:rsidRPr="00D7330E">
        <w:rPr>
          <w:rFonts w:eastAsia="Times New Roman"/>
          <w:color w:val="000000"/>
          <w:szCs w:val="26"/>
        </w:rPr>
        <w:t xml:space="preserve">inancial </w:t>
      </w:r>
      <w:r w:rsidR="00814D1D" w:rsidRPr="00D7330E">
        <w:rPr>
          <w:rFonts w:eastAsia="Times New Roman"/>
          <w:color w:val="000000"/>
          <w:szCs w:val="26"/>
        </w:rPr>
        <w:t>o</w:t>
      </w:r>
      <w:r w:rsidRPr="00D7330E">
        <w:rPr>
          <w:rFonts w:eastAsia="Times New Roman"/>
          <w:color w:val="000000"/>
          <w:szCs w:val="26"/>
        </w:rPr>
        <w:t xml:space="preserve">fficer and </w:t>
      </w:r>
      <w:r w:rsidR="00814D1D" w:rsidRPr="00D7330E">
        <w:rPr>
          <w:rFonts w:eastAsia="Times New Roman"/>
          <w:color w:val="000000"/>
          <w:szCs w:val="26"/>
        </w:rPr>
        <w:t>c</w:t>
      </w:r>
      <w:r w:rsidRPr="00D7330E">
        <w:rPr>
          <w:rFonts w:eastAsia="Times New Roman"/>
          <w:color w:val="000000"/>
          <w:szCs w:val="26"/>
        </w:rPr>
        <w:t xml:space="preserve">omptroller has approved all purchases to be funded from State appropriations in accordance with the </w:t>
      </w:r>
      <w:r w:rsidRPr="00D7330E">
        <w:rPr>
          <w:rFonts w:eastAsia="Times New Roman"/>
          <w:i/>
          <w:color w:val="000000"/>
          <w:szCs w:val="26"/>
        </w:rPr>
        <w:t xml:space="preserve">Bylaws of the Board of Trustees </w:t>
      </w:r>
      <w:r w:rsidRPr="00D7330E">
        <w:rPr>
          <w:rFonts w:eastAsia="Times New Roman"/>
          <w:color w:val="000000"/>
          <w:szCs w:val="26"/>
        </w:rPr>
        <w:t xml:space="preserve">and the </w:t>
      </w:r>
      <w:r w:rsidRPr="00D7330E">
        <w:rPr>
          <w:rFonts w:eastAsia="Times New Roman"/>
          <w:i/>
          <w:color w:val="000000"/>
          <w:szCs w:val="26"/>
        </w:rPr>
        <w:t>General Rules Concerning University Organization and Procedure.</w:t>
      </w:r>
    </w:p>
    <w:p w14:paraId="702878B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5BAB4970" w14:textId="43D7B87D"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 xml:space="preserve">The Board action recommended in this item complies in all material respects with applicable State and </w:t>
      </w:r>
      <w:r w:rsidR="00814D1D" w:rsidRPr="00D7330E">
        <w:rPr>
          <w:rFonts w:eastAsia="Times New Roman"/>
          <w:color w:val="000000"/>
          <w:szCs w:val="26"/>
        </w:rPr>
        <w:t>f</w:t>
      </w:r>
      <w:r w:rsidRPr="00D7330E">
        <w:rPr>
          <w:rFonts w:eastAsia="Times New Roman"/>
          <w:color w:val="000000"/>
          <w:szCs w:val="26"/>
        </w:rPr>
        <w:t xml:space="preserve">ederal laws, University of Illinois </w:t>
      </w:r>
      <w:r w:rsidRPr="00D7330E">
        <w:rPr>
          <w:rFonts w:eastAsia="Times New Roman"/>
          <w:i/>
          <w:color w:val="000000"/>
          <w:szCs w:val="26"/>
        </w:rPr>
        <w:t>Statutes</w:t>
      </w:r>
      <w:r w:rsidRPr="00D7330E">
        <w:rPr>
          <w:rFonts w:eastAsia="Times New Roman"/>
          <w:iCs/>
          <w:color w:val="000000"/>
          <w:szCs w:val="26"/>
        </w:rPr>
        <w:t xml:space="preserve">, </w:t>
      </w:r>
      <w:r w:rsidRPr="00D7330E">
        <w:rPr>
          <w:rFonts w:eastAsia="Times New Roman"/>
          <w:i/>
          <w:color w:val="000000"/>
          <w:szCs w:val="26"/>
        </w:rPr>
        <w:t>The General Rules Concerning University Organization and Procedure</w:t>
      </w:r>
      <w:r w:rsidRPr="00D7330E">
        <w:rPr>
          <w:rFonts w:eastAsia="Times New Roman"/>
          <w:color w:val="000000"/>
          <w:szCs w:val="26"/>
        </w:rPr>
        <w:t>, and Board of Trustees policies and directives.</w:t>
      </w:r>
    </w:p>
    <w:p w14:paraId="552D226E"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3F8EC082" w14:textId="77777777" w:rsidR="002F2D48" w:rsidRPr="00D7330E"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D7330E">
        <w:rPr>
          <w:rFonts w:eastAsia="Times New Roman"/>
          <w:color w:val="000000"/>
          <w:szCs w:val="26"/>
        </w:rPr>
        <w:t>The president of the University of Illinois System concurs.</w:t>
      </w:r>
    </w:p>
    <w:p w14:paraId="19EA8323" w14:textId="54B584C5" w:rsidR="00252F86" w:rsidRPr="00D7330E" w:rsidRDefault="00252F86"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Pr="00D7330E" w:rsidRDefault="00252F86" w:rsidP="00252F86">
      <w:pPr>
        <w:spacing w:after="0" w:line="240" w:lineRule="auto"/>
        <w:jc w:val="center"/>
        <w:rPr>
          <w:b/>
          <w:szCs w:val="26"/>
        </w:rPr>
      </w:pPr>
      <w:r w:rsidRPr="00D7330E">
        <w:rPr>
          <w:b/>
          <w:szCs w:val="26"/>
        </w:rPr>
        <w:t>PURCHASES RECOMMENDED</w:t>
      </w:r>
    </w:p>
    <w:p w14:paraId="5FEB6345" w14:textId="77777777" w:rsidR="006722F9" w:rsidRPr="00D7330E"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3467FE" w:rsidRPr="00D7330E" w14:paraId="49A49E7C" w14:textId="77777777" w:rsidTr="00435D78">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3467FE" w:rsidRPr="004B76E4" w14:paraId="5EF041D2" w14:textId="77777777" w:rsidTr="00AD5E89">
              <w:trPr>
                <w:trHeight w:val="114"/>
              </w:trPr>
              <w:tc>
                <w:tcPr>
                  <w:tcW w:w="9454" w:type="dxa"/>
                  <w:tcBorders>
                    <w:top w:val="single" w:sz="18" w:space="0" w:color="auto"/>
                    <w:bottom w:val="single" w:sz="18" w:space="0" w:color="auto"/>
                  </w:tcBorders>
                </w:tcPr>
                <w:p w14:paraId="4B60E2F9" w14:textId="77777777" w:rsidR="003467FE" w:rsidRPr="004B76E4" w:rsidRDefault="003467FE" w:rsidP="003467FE">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4B76E4">
                    <w:rPr>
                      <w:rFonts w:eastAsia="Times New Roman"/>
                      <w:b/>
                      <w:szCs w:val="26"/>
                    </w:rPr>
                    <w:t>University of Illinois Urbana-Champaign</w:t>
                  </w:r>
                </w:p>
              </w:tc>
            </w:tr>
          </w:tbl>
          <w:p w14:paraId="755B464B" w14:textId="77777777" w:rsidR="003467FE" w:rsidRPr="004B76E4" w:rsidRDefault="003467FE" w:rsidP="00091CFA">
            <w:pPr>
              <w:pStyle w:val="NoSpacing"/>
              <w:rPr>
                <w:spacing w:val="-3"/>
                <w:sz w:val="26"/>
                <w:szCs w:val="26"/>
              </w:rPr>
            </w:pPr>
          </w:p>
        </w:tc>
      </w:tr>
      <w:tr w:rsidR="003467FE" w:rsidRPr="005C2A7C" w14:paraId="434E2894" w14:textId="77777777" w:rsidTr="003D112A">
        <w:trPr>
          <w:trHeight w:val="120"/>
        </w:trPr>
        <w:tc>
          <w:tcPr>
            <w:tcW w:w="342" w:type="dxa"/>
          </w:tcPr>
          <w:p w14:paraId="401F0F7F" w14:textId="48615C1C" w:rsidR="003467FE" w:rsidRPr="004B76E4" w:rsidRDefault="009F2BE9" w:rsidP="003467FE">
            <w:pPr>
              <w:pStyle w:val="NoSpacing"/>
              <w:rPr>
                <w:sz w:val="26"/>
                <w:szCs w:val="26"/>
              </w:rPr>
            </w:pPr>
            <w:r w:rsidRPr="004B76E4">
              <w:rPr>
                <w:sz w:val="26"/>
                <w:szCs w:val="26"/>
              </w:rPr>
              <w:t>1</w:t>
            </w:r>
          </w:p>
        </w:tc>
        <w:tc>
          <w:tcPr>
            <w:tcW w:w="990" w:type="dxa"/>
            <w:vAlign w:val="center"/>
          </w:tcPr>
          <w:p w14:paraId="02A261B8" w14:textId="29A726F5" w:rsidR="003467FE" w:rsidRPr="004B76E4" w:rsidRDefault="003467FE" w:rsidP="003467FE">
            <w:pPr>
              <w:pStyle w:val="NoSpacing"/>
              <w:rPr>
                <w:sz w:val="26"/>
                <w:szCs w:val="26"/>
              </w:rPr>
            </w:pPr>
            <w:r w:rsidRPr="004B76E4">
              <w:rPr>
                <w:sz w:val="26"/>
                <w:szCs w:val="26"/>
              </w:rPr>
              <w:t>Unit</w:t>
            </w:r>
          </w:p>
        </w:tc>
        <w:tc>
          <w:tcPr>
            <w:tcW w:w="8118" w:type="dxa"/>
            <w:vAlign w:val="center"/>
          </w:tcPr>
          <w:p w14:paraId="62D78F6B" w14:textId="77777777" w:rsidR="003467FE" w:rsidRPr="004B76E4" w:rsidRDefault="003467FE" w:rsidP="003467FE">
            <w:pPr>
              <w:pStyle w:val="NoSpacing"/>
              <w:rPr>
                <w:sz w:val="26"/>
                <w:szCs w:val="26"/>
              </w:rPr>
            </w:pPr>
            <w:r w:rsidRPr="004B76E4">
              <w:rPr>
                <w:sz w:val="26"/>
                <w:szCs w:val="26"/>
              </w:rPr>
              <w:t>Division of Intercollegiate Athletics (DIA)</w:t>
            </w:r>
          </w:p>
          <w:p w14:paraId="2A8B7682" w14:textId="0C8E4166" w:rsidR="009F2BE9" w:rsidRPr="004B76E4" w:rsidRDefault="009F2BE9" w:rsidP="003467FE">
            <w:pPr>
              <w:pStyle w:val="NoSpacing"/>
              <w:rPr>
                <w:spacing w:val="-3"/>
                <w:sz w:val="26"/>
                <w:szCs w:val="26"/>
              </w:rPr>
            </w:pPr>
          </w:p>
        </w:tc>
      </w:tr>
      <w:tr w:rsidR="003467FE" w:rsidRPr="005C2A7C" w14:paraId="045AD206" w14:textId="77777777" w:rsidTr="003D112A">
        <w:trPr>
          <w:trHeight w:val="120"/>
        </w:trPr>
        <w:tc>
          <w:tcPr>
            <w:tcW w:w="342" w:type="dxa"/>
          </w:tcPr>
          <w:p w14:paraId="24249C79" w14:textId="77777777" w:rsidR="003467FE" w:rsidRPr="005C2A7C" w:rsidRDefault="003467FE" w:rsidP="003467FE">
            <w:pPr>
              <w:pStyle w:val="NoSpacing"/>
              <w:rPr>
                <w:sz w:val="26"/>
                <w:szCs w:val="26"/>
                <w:highlight w:val="yellow"/>
              </w:rPr>
            </w:pPr>
          </w:p>
        </w:tc>
        <w:tc>
          <w:tcPr>
            <w:tcW w:w="990" w:type="dxa"/>
            <w:vAlign w:val="center"/>
          </w:tcPr>
          <w:p w14:paraId="2B938F25" w14:textId="486FA8F7" w:rsidR="003467FE" w:rsidRPr="004B76E4" w:rsidRDefault="003467FE" w:rsidP="003467FE">
            <w:pPr>
              <w:pStyle w:val="NoSpacing"/>
              <w:rPr>
                <w:sz w:val="26"/>
                <w:szCs w:val="26"/>
              </w:rPr>
            </w:pPr>
            <w:r w:rsidRPr="004B76E4">
              <w:rPr>
                <w:sz w:val="26"/>
                <w:szCs w:val="26"/>
              </w:rPr>
              <w:t>Item</w:t>
            </w:r>
          </w:p>
        </w:tc>
        <w:tc>
          <w:tcPr>
            <w:tcW w:w="8118" w:type="dxa"/>
            <w:vAlign w:val="center"/>
          </w:tcPr>
          <w:p w14:paraId="2F5DABC9" w14:textId="77777777" w:rsidR="003467FE" w:rsidRPr="004B76E4" w:rsidRDefault="003467FE" w:rsidP="003467FE">
            <w:pPr>
              <w:pStyle w:val="NoSpacing"/>
              <w:rPr>
                <w:sz w:val="26"/>
                <w:szCs w:val="26"/>
              </w:rPr>
            </w:pPr>
            <w:r w:rsidRPr="004B76E4">
              <w:rPr>
                <w:sz w:val="26"/>
                <w:szCs w:val="26"/>
              </w:rPr>
              <w:t>An agreement to provide services to DIA in connection with the activation and fulfillment of student-athlete name, image and likeness agreements.</w:t>
            </w:r>
          </w:p>
          <w:p w14:paraId="56E75954" w14:textId="7EB1ED6F" w:rsidR="009F2BE9" w:rsidRPr="004B76E4" w:rsidRDefault="009F2BE9" w:rsidP="003467FE">
            <w:pPr>
              <w:pStyle w:val="NoSpacing"/>
              <w:rPr>
                <w:spacing w:val="-3"/>
                <w:sz w:val="26"/>
                <w:szCs w:val="26"/>
              </w:rPr>
            </w:pPr>
          </w:p>
        </w:tc>
      </w:tr>
      <w:tr w:rsidR="003467FE" w:rsidRPr="005C2A7C" w14:paraId="06257AC0" w14:textId="77777777" w:rsidTr="003D112A">
        <w:trPr>
          <w:trHeight w:val="120"/>
        </w:trPr>
        <w:tc>
          <w:tcPr>
            <w:tcW w:w="342" w:type="dxa"/>
          </w:tcPr>
          <w:p w14:paraId="74E53859" w14:textId="77777777" w:rsidR="003467FE" w:rsidRPr="005C2A7C" w:rsidRDefault="003467FE" w:rsidP="003467FE">
            <w:pPr>
              <w:pStyle w:val="NoSpacing"/>
              <w:rPr>
                <w:sz w:val="26"/>
                <w:szCs w:val="26"/>
                <w:highlight w:val="yellow"/>
              </w:rPr>
            </w:pPr>
          </w:p>
        </w:tc>
        <w:tc>
          <w:tcPr>
            <w:tcW w:w="990" w:type="dxa"/>
            <w:vAlign w:val="center"/>
          </w:tcPr>
          <w:p w14:paraId="18AFA971" w14:textId="249C2B4A" w:rsidR="009F2BE9" w:rsidRPr="004B76E4" w:rsidRDefault="003467FE" w:rsidP="009F2BE9">
            <w:pPr>
              <w:pStyle w:val="NoSpacing"/>
              <w:rPr>
                <w:sz w:val="26"/>
                <w:szCs w:val="26"/>
              </w:rPr>
            </w:pPr>
            <w:r w:rsidRPr="004B76E4">
              <w:rPr>
                <w:sz w:val="26"/>
                <w:szCs w:val="26"/>
              </w:rPr>
              <w:t>Cost</w:t>
            </w:r>
          </w:p>
        </w:tc>
        <w:tc>
          <w:tcPr>
            <w:tcW w:w="8118" w:type="dxa"/>
            <w:vAlign w:val="center"/>
          </w:tcPr>
          <w:p w14:paraId="26041850" w14:textId="1E2E1106" w:rsidR="009F2BE9" w:rsidRPr="004B76E4" w:rsidRDefault="003467FE" w:rsidP="003467FE">
            <w:pPr>
              <w:pStyle w:val="NoSpacing"/>
              <w:rPr>
                <w:sz w:val="26"/>
                <w:szCs w:val="26"/>
              </w:rPr>
            </w:pPr>
            <w:r w:rsidRPr="004B76E4">
              <w:rPr>
                <w:sz w:val="26"/>
                <w:szCs w:val="26"/>
              </w:rPr>
              <w:t xml:space="preserve">Estimated $4,250,000 </w:t>
            </w:r>
          </w:p>
        </w:tc>
      </w:tr>
      <w:tr w:rsidR="003467FE" w:rsidRPr="005C2A7C" w14:paraId="42DA9C07" w14:textId="77777777" w:rsidTr="003D112A">
        <w:trPr>
          <w:trHeight w:val="120"/>
        </w:trPr>
        <w:tc>
          <w:tcPr>
            <w:tcW w:w="342" w:type="dxa"/>
          </w:tcPr>
          <w:p w14:paraId="66E2C860" w14:textId="77777777" w:rsidR="003467FE" w:rsidRPr="005C2A7C" w:rsidRDefault="003467FE" w:rsidP="003467FE">
            <w:pPr>
              <w:pStyle w:val="NoSpacing"/>
              <w:rPr>
                <w:sz w:val="26"/>
                <w:szCs w:val="26"/>
                <w:highlight w:val="yellow"/>
              </w:rPr>
            </w:pPr>
          </w:p>
        </w:tc>
        <w:tc>
          <w:tcPr>
            <w:tcW w:w="990" w:type="dxa"/>
            <w:vAlign w:val="center"/>
          </w:tcPr>
          <w:p w14:paraId="25859120" w14:textId="77777777" w:rsidR="009F2BE9" w:rsidRPr="004B76E4" w:rsidRDefault="009F2BE9" w:rsidP="003467FE">
            <w:pPr>
              <w:pStyle w:val="NoSpacing"/>
              <w:rPr>
                <w:sz w:val="26"/>
                <w:szCs w:val="26"/>
              </w:rPr>
            </w:pPr>
          </w:p>
          <w:p w14:paraId="3B3063CF" w14:textId="77777777" w:rsidR="003467FE" w:rsidRPr="004B76E4" w:rsidRDefault="003467FE" w:rsidP="003467FE">
            <w:pPr>
              <w:pStyle w:val="NoSpacing"/>
              <w:rPr>
                <w:sz w:val="26"/>
                <w:szCs w:val="26"/>
              </w:rPr>
            </w:pPr>
            <w:r w:rsidRPr="004B76E4">
              <w:rPr>
                <w:sz w:val="26"/>
                <w:szCs w:val="26"/>
              </w:rPr>
              <w:t>Vendor</w:t>
            </w:r>
          </w:p>
          <w:p w14:paraId="252E06A9" w14:textId="56DE3434" w:rsidR="009F2BE9" w:rsidRPr="004B76E4" w:rsidRDefault="009F2BE9" w:rsidP="003467FE">
            <w:pPr>
              <w:pStyle w:val="NoSpacing"/>
              <w:rPr>
                <w:sz w:val="26"/>
                <w:szCs w:val="26"/>
              </w:rPr>
            </w:pPr>
          </w:p>
        </w:tc>
        <w:tc>
          <w:tcPr>
            <w:tcW w:w="8118" w:type="dxa"/>
            <w:vAlign w:val="center"/>
          </w:tcPr>
          <w:p w14:paraId="4AF24A74" w14:textId="77777777" w:rsidR="009F2BE9" w:rsidRPr="004B76E4" w:rsidRDefault="009F2BE9" w:rsidP="003467FE">
            <w:pPr>
              <w:pStyle w:val="NoSpacing"/>
              <w:rPr>
                <w:sz w:val="26"/>
                <w:szCs w:val="26"/>
              </w:rPr>
            </w:pPr>
          </w:p>
          <w:p w14:paraId="5F9A65B1" w14:textId="77777777" w:rsidR="003467FE" w:rsidRPr="004B76E4" w:rsidRDefault="003467FE" w:rsidP="003467FE">
            <w:pPr>
              <w:pStyle w:val="NoSpacing"/>
              <w:rPr>
                <w:sz w:val="26"/>
                <w:szCs w:val="26"/>
              </w:rPr>
            </w:pPr>
            <w:r w:rsidRPr="004B76E4">
              <w:rPr>
                <w:sz w:val="26"/>
                <w:szCs w:val="26"/>
              </w:rPr>
              <w:t xml:space="preserve">ICON Collective, Inc. </w:t>
            </w:r>
            <w:r w:rsidRPr="004B76E4">
              <w:rPr>
                <w:sz w:val="26"/>
                <w:szCs w:val="26"/>
              </w:rPr>
              <w:tab/>
              <w:t xml:space="preserve">Champaign, IL       </w:t>
            </w:r>
          </w:p>
          <w:p w14:paraId="71C23791" w14:textId="101D3120" w:rsidR="009F2BE9" w:rsidRPr="004B76E4" w:rsidRDefault="009F2BE9" w:rsidP="003467FE">
            <w:pPr>
              <w:pStyle w:val="NoSpacing"/>
              <w:rPr>
                <w:spacing w:val="-3"/>
                <w:sz w:val="26"/>
                <w:szCs w:val="26"/>
              </w:rPr>
            </w:pPr>
          </w:p>
        </w:tc>
      </w:tr>
      <w:tr w:rsidR="003467FE" w:rsidRPr="00D7330E" w14:paraId="7C36760D" w14:textId="77777777" w:rsidTr="003D112A">
        <w:trPr>
          <w:trHeight w:val="120"/>
        </w:trPr>
        <w:tc>
          <w:tcPr>
            <w:tcW w:w="342" w:type="dxa"/>
          </w:tcPr>
          <w:p w14:paraId="789D9EA0" w14:textId="77777777" w:rsidR="003467FE" w:rsidRPr="005C2A7C" w:rsidRDefault="003467FE" w:rsidP="003467FE">
            <w:pPr>
              <w:pStyle w:val="NoSpacing"/>
              <w:rPr>
                <w:sz w:val="26"/>
                <w:szCs w:val="26"/>
                <w:highlight w:val="yellow"/>
              </w:rPr>
            </w:pPr>
          </w:p>
        </w:tc>
        <w:tc>
          <w:tcPr>
            <w:tcW w:w="990" w:type="dxa"/>
            <w:vAlign w:val="center"/>
          </w:tcPr>
          <w:p w14:paraId="51DB620D" w14:textId="77777777" w:rsidR="003467FE" w:rsidRPr="004B76E4" w:rsidRDefault="003467FE" w:rsidP="003467FE">
            <w:pPr>
              <w:pStyle w:val="NoSpacing"/>
              <w:rPr>
                <w:sz w:val="26"/>
                <w:szCs w:val="26"/>
              </w:rPr>
            </w:pPr>
          </w:p>
        </w:tc>
        <w:tc>
          <w:tcPr>
            <w:tcW w:w="8118" w:type="dxa"/>
            <w:vAlign w:val="center"/>
          </w:tcPr>
          <w:p w14:paraId="74BBF74B" w14:textId="6E8AA5A7" w:rsidR="003467FE" w:rsidRPr="004B76E4" w:rsidRDefault="003467FE" w:rsidP="003467FE">
            <w:pPr>
              <w:spacing w:before="120" w:after="120"/>
              <w:rPr>
                <w:szCs w:val="26"/>
              </w:rPr>
            </w:pPr>
            <w:r w:rsidRPr="004B76E4">
              <w:rPr>
                <w:szCs w:val="26"/>
              </w:rPr>
              <w:t xml:space="preserve">ICON Collective, Inc. was formed with a mission of “offer[ing] meaningful NIL partnerships to Fighting Illini student-athletes for their participation in community service initiatives in the local Champaign-Urbana community and beyond.” ICON Collective, Inc. has demonstrated commendable performance in providing those services to Fighting Illini student-athletes, </w:t>
            </w:r>
            <w:r w:rsidRPr="004B76E4">
              <w:rPr>
                <w:szCs w:val="26"/>
              </w:rPr>
              <w:lastRenderedPageBreak/>
              <w:t>contributing in part to the recent success of Fighting Illini athletics teams and individual student-athletes.</w:t>
            </w:r>
          </w:p>
          <w:p w14:paraId="6A0AF513" w14:textId="77777777" w:rsidR="003467FE" w:rsidRPr="004B76E4" w:rsidRDefault="003467FE" w:rsidP="003467FE">
            <w:pPr>
              <w:spacing w:before="120" w:after="120"/>
              <w:rPr>
                <w:szCs w:val="26"/>
              </w:rPr>
            </w:pPr>
            <w:r w:rsidRPr="004B76E4">
              <w:rPr>
                <w:szCs w:val="26"/>
              </w:rPr>
              <w:t>If and to the extent that the University is permitted to enter into, or offer to enter into, a publicity rights agreement with a prospective or current student-athlete, then DIA will engage ICON Collective, Inc. to provide similar marketing services to and on behalf of DIA in connection with the community-based activation and fulfillment of such publicity rights agreement(s).</w:t>
            </w:r>
          </w:p>
          <w:p w14:paraId="4168CB6B" w14:textId="22994F79" w:rsidR="003467FE" w:rsidRPr="004B76E4" w:rsidRDefault="003467FE" w:rsidP="003467FE">
            <w:pPr>
              <w:rPr>
                <w:szCs w:val="26"/>
              </w:rPr>
            </w:pPr>
            <w:bookmarkStart w:id="2" w:name="_Hlk192669023"/>
            <w:r w:rsidRPr="004B76E4">
              <w:rPr>
                <w:szCs w:val="26"/>
              </w:rPr>
              <w:t>This agreement will be for an initial term of up to twenty-seven (27) months, expiring June 30, 2027</w:t>
            </w:r>
            <w:bookmarkStart w:id="3" w:name="_Hlk192668815"/>
            <w:r w:rsidRPr="004B76E4">
              <w:rPr>
                <w:szCs w:val="26"/>
              </w:rPr>
              <w:t xml:space="preserve">. </w:t>
            </w:r>
            <w:bookmarkEnd w:id="2"/>
            <w:r w:rsidRPr="004B76E4">
              <w:rPr>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bookmarkEnd w:id="3"/>
          </w:p>
          <w:p w14:paraId="684D655C" w14:textId="6C50A8D3" w:rsidR="003467FE" w:rsidRPr="004B76E4" w:rsidRDefault="003467FE" w:rsidP="003467FE">
            <w:pPr>
              <w:pStyle w:val="NoSpacing"/>
              <w:rPr>
                <w:sz w:val="26"/>
                <w:szCs w:val="26"/>
              </w:rPr>
            </w:pPr>
            <w:r w:rsidRPr="004B76E4">
              <w:rPr>
                <w:b/>
                <w:sz w:val="26"/>
                <w:szCs w:val="26"/>
              </w:rPr>
              <w:t xml:space="preserve">Business Enterprise Program (BEP) </w:t>
            </w:r>
            <w:r w:rsidRPr="004B76E4">
              <w:rPr>
                <w:bCs/>
                <w:sz w:val="26"/>
                <w:szCs w:val="26"/>
              </w:rPr>
              <w:t>goals are not established for contracts which are exempt from the requirements of the Illinois Procurement Code.</w:t>
            </w:r>
          </w:p>
        </w:tc>
      </w:tr>
      <w:tr w:rsidR="003467FE" w:rsidRPr="00D7330E" w14:paraId="2FEF6ADF" w14:textId="77777777" w:rsidTr="003D112A">
        <w:trPr>
          <w:trHeight w:val="120"/>
        </w:trPr>
        <w:tc>
          <w:tcPr>
            <w:tcW w:w="342" w:type="dxa"/>
          </w:tcPr>
          <w:p w14:paraId="7217E3B4" w14:textId="77777777" w:rsidR="003467FE" w:rsidRPr="00D7330E" w:rsidRDefault="003467FE" w:rsidP="003467FE">
            <w:pPr>
              <w:pStyle w:val="NoSpacing"/>
              <w:rPr>
                <w:sz w:val="26"/>
                <w:szCs w:val="26"/>
              </w:rPr>
            </w:pPr>
          </w:p>
        </w:tc>
        <w:tc>
          <w:tcPr>
            <w:tcW w:w="990" w:type="dxa"/>
            <w:vAlign w:val="center"/>
          </w:tcPr>
          <w:p w14:paraId="19875A0B" w14:textId="77777777" w:rsidR="003467FE" w:rsidRPr="00353536" w:rsidRDefault="003467FE" w:rsidP="003467FE">
            <w:pPr>
              <w:pStyle w:val="NoSpacing"/>
              <w:rPr>
                <w:sz w:val="26"/>
                <w:szCs w:val="26"/>
              </w:rPr>
            </w:pPr>
          </w:p>
        </w:tc>
        <w:tc>
          <w:tcPr>
            <w:tcW w:w="8118" w:type="dxa"/>
            <w:vAlign w:val="center"/>
          </w:tcPr>
          <w:p w14:paraId="78960FF7" w14:textId="77777777" w:rsidR="003467FE" w:rsidRDefault="003467FE" w:rsidP="003467FE">
            <w:pPr>
              <w:pStyle w:val="NoSpacing"/>
              <w:rPr>
                <w:sz w:val="26"/>
                <w:szCs w:val="26"/>
              </w:rPr>
            </w:pPr>
          </w:p>
        </w:tc>
      </w:tr>
      <w:tr w:rsidR="00091CFA" w:rsidRPr="00D7330E" w14:paraId="3E8AF208" w14:textId="77777777" w:rsidTr="00F21A6D">
        <w:trPr>
          <w:trHeight w:val="120"/>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D7330E" w14:paraId="209C5A9A" w14:textId="77777777" w:rsidTr="0025577D">
              <w:trPr>
                <w:trHeight w:val="114"/>
              </w:trPr>
              <w:tc>
                <w:tcPr>
                  <w:tcW w:w="9454" w:type="dxa"/>
                  <w:tcBorders>
                    <w:top w:val="single" w:sz="18" w:space="0" w:color="auto"/>
                    <w:bottom w:val="single" w:sz="18" w:space="0" w:color="auto"/>
                  </w:tcBorders>
                </w:tcPr>
                <w:p w14:paraId="55B87639" w14:textId="33D80CD6" w:rsidR="00091CFA" w:rsidRPr="00D7330E"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University of Illinois</w:t>
                  </w:r>
                  <w:r w:rsidR="00130E3F" w:rsidRPr="00D7330E">
                    <w:rPr>
                      <w:rFonts w:eastAsia="Times New Roman"/>
                      <w:b/>
                      <w:szCs w:val="26"/>
                    </w:rPr>
                    <w:t xml:space="preserve"> </w:t>
                  </w:r>
                  <w:r w:rsidR="001B58A7" w:rsidRPr="00D7330E">
                    <w:rPr>
                      <w:rFonts w:eastAsia="Times New Roman"/>
                      <w:b/>
                      <w:szCs w:val="26"/>
                    </w:rPr>
                    <w:t>Chicago</w:t>
                  </w:r>
                </w:p>
              </w:tc>
            </w:tr>
          </w:tbl>
          <w:p w14:paraId="107DA0B5" w14:textId="77777777" w:rsidR="00091CFA" w:rsidRPr="00D7330E" w:rsidRDefault="00091CFA" w:rsidP="00091CFA">
            <w:pPr>
              <w:pStyle w:val="NoSpacing"/>
              <w:rPr>
                <w:spacing w:val="-3"/>
                <w:sz w:val="26"/>
                <w:szCs w:val="26"/>
              </w:rPr>
            </w:pPr>
          </w:p>
        </w:tc>
      </w:tr>
      <w:tr w:rsidR="00B775E6" w:rsidRPr="00D7330E" w14:paraId="6FAD3153" w14:textId="77777777" w:rsidTr="0009228A">
        <w:trPr>
          <w:trHeight w:val="150"/>
        </w:trPr>
        <w:tc>
          <w:tcPr>
            <w:tcW w:w="342" w:type="dxa"/>
            <w:tcBorders>
              <w:bottom w:val="double" w:sz="4" w:space="0" w:color="auto"/>
            </w:tcBorders>
          </w:tcPr>
          <w:p w14:paraId="414628F7" w14:textId="20D82571" w:rsidR="00B775E6" w:rsidRPr="00D7330E" w:rsidRDefault="00056A33" w:rsidP="00B775E6">
            <w:pPr>
              <w:pStyle w:val="NoSpacing"/>
              <w:rPr>
                <w:sz w:val="26"/>
                <w:szCs w:val="26"/>
              </w:rPr>
            </w:pPr>
            <w:r>
              <w:rPr>
                <w:sz w:val="26"/>
                <w:szCs w:val="26"/>
              </w:rPr>
              <w:t>2</w:t>
            </w:r>
          </w:p>
        </w:tc>
        <w:tc>
          <w:tcPr>
            <w:tcW w:w="990" w:type="dxa"/>
            <w:tcBorders>
              <w:bottom w:val="double" w:sz="4" w:space="0" w:color="auto"/>
            </w:tcBorders>
            <w:shd w:val="clear" w:color="auto" w:fill="auto"/>
          </w:tcPr>
          <w:p w14:paraId="3B9E5490" w14:textId="4969B5B4" w:rsidR="00B775E6" w:rsidRPr="00D7330E" w:rsidRDefault="00B775E6" w:rsidP="00B775E6">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441EE111" w14:textId="2C055B53" w:rsidR="00A44D7C" w:rsidRPr="00D7330E" w:rsidRDefault="001B58A7" w:rsidP="00B775E6">
            <w:pPr>
              <w:spacing w:after="0" w:line="240" w:lineRule="auto"/>
              <w:jc w:val="both"/>
              <w:rPr>
                <w:szCs w:val="26"/>
              </w:rPr>
            </w:pPr>
            <w:r w:rsidRPr="00D7330E">
              <w:rPr>
                <w:spacing w:val="-3"/>
                <w:szCs w:val="26"/>
              </w:rPr>
              <w:t>UI Hospital and Clinics</w:t>
            </w:r>
          </w:p>
        </w:tc>
      </w:tr>
      <w:tr w:rsidR="00B775E6" w:rsidRPr="00D7330E" w14:paraId="56000687" w14:textId="77777777" w:rsidTr="0009228A">
        <w:trPr>
          <w:trHeight w:val="150"/>
        </w:trPr>
        <w:tc>
          <w:tcPr>
            <w:tcW w:w="342" w:type="dxa"/>
            <w:tcBorders>
              <w:top w:val="double" w:sz="4" w:space="0" w:color="auto"/>
            </w:tcBorders>
          </w:tcPr>
          <w:p w14:paraId="3242B2D0" w14:textId="77777777" w:rsidR="00B775E6" w:rsidRPr="00D7330E" w:rsidRDefault="00B775E6" w:rsidP="00B775E6">
            <w:pPr>
              <w:pStyle w:val="NoSpacing"/>
              <w:rPr>
                <w:sz w:val="26"/>
                <w:szCs w:val="26"/>
              </w:rPr>
            </w:pPr>
          </w:p>
        </w:tc>
        <w:tc>
          <w:tcPr>
            <w:tcW w:w="990" w:type="dxa"/>
            <w:tcBorders>
              <w:top w:val="double" w:sz="4" w:space="0" w:color="auto"/>
            </w:tcBorders>
            <w:shd w:val="clear" w:color="auto" w:fill="auto"/>
          </w:tcPr>
          <w:p w14:paraId="426D2FF5" w14:textId="77777777" w:rsidR="00F53FA1" w:rsidRPr="00D7330E" w:rsidRDefault="00F53FA1" w:rsidP="00B775E6">
            <w:pPr>
              <w:pStyle w:val="NoSpacing"/>
              <w:rPr>
                <w:sz w:val="26"/>
                <w:szCs w:val="26"/>
              </w:rPr>
            </w:pPr>
          </w:p>
          <w:p w14:paraId="43D29374" w14:textId="2AED385E" w:rsidR="00B775E6" w:rsidRPr="00D7330E" w:rsidRDefault="00B775E6" w:rsidP="00B775E6">
            <w:pPr>
              <w:pStyle w:val="NoSpacing"/>
              <w:rPr>
                <w:sz w:val="26"/>
                <w:szCs w:val="26"/>
              </w:rPr>
            </w:pPr>
            <w:r w:rsidRPr="00D7330E">
              <w:rPr>
                <w:sz w:val="26"/>
                <w:szCs w:val="26"/>
              </w:rPr>
              <w:t>Item</w:t>
            </w:r>
            <w:r w:rsidR="00D743A9" w:rsidRPr="00D7330E">
              <w:rPr>
                <w:sz w:val="26"/>
                <w:szCs w:val="26"/>
              </w:rPr>
              <w:t xml:space="preserve">   </w:t>
            </w:r>
          </w:p>
        </w:tc>
        <w:tc>
          <w:tcPr>
            <w:tcW w:w="8118" w:type="dxa"/>
            <w:tcBorders>
              <w:top w:val="double" w:sz="4" w:space="0" w:color="auto"/>
            </w:tcBorders>
            <w:shd w:val="clear" w:color="auto" w:fill="auto"/>
          </w:tcPr>
          <w:p w14:paraId="2B0CD1E0" w14:textId="77777777" w:rsidR="00F53FA1" w:rsidRPr="00D7330E" w:rsidRDefault="00F53FA1" w:rsidP="00F53FA1">
            <w:pPr>
              <w:pStyle w:val="NoSpacing"/>
              <w:rPr>
                <w:sz w:val="26"/>
                <w:szCs w:val="26"/>
              </w:rPr>
            </w:pPr>
          </w:p>
          <w:p w14:paraId="4B75999A" w14:textId="77777777" w:rsidR="00A44D7C" w:rsidRPr="00D7330E" w:rsidRDefault="001B58A7" w:rsidP="00A44D7C">
            <w:pPr>
              <w:spacing w:after="0" w:line="240" w:lineRule="auto"/>
              <w:rPr>
                <w:szCs w:val="26"/>
              </w:rPr>
            </w:pPr>
            <w:r w:rsidRPr="00D7330E">
              <w:rPr>
                <w:szCs w:val="26"/>
              </w:rPr>
              <w:t>Purchase of Specialty Pharmaceutical Livtencity for UI Hospital and Clinics</w:t>
            </w:r>
          </w:p>
          <w:p w14:paraId="006FA455" w14:textId="306B38DB" w:rsidR="001B58A7" w:rsidRPr="00D7330E" w:rsidRDefault="001B58A7" w:rsidP="00A44D7C">
            <w:pPr>
              <w:spacing w:after="0" w:line="240" w:lineRule="auto"/>
              <w:rPr>
                <w:rFonts w:eastAsia="Times New Roman"/>
                <w:b/>
                <w:color w:val="000000"/>
                <w:szCs w:val="26"/>
              </w:rPr>
            </w:pPr>
          </w:p>
        </w:tc>
      </w:tr>
      <w:tr w:rsidR="00B775E6" w:rsidRPr="00D7330E" w14:paraId="156E60B7" w14:textId="77777777" w:rsidTr="005274CF">
        <w:trPr>
          <w:trHeight w:val="150"/>
        </w:trPr>
        <w:tc>
          <w:tcPr>
            <w:tcW w:w="342" w:type="dxa"/>
          </w:tcPr>
          <w:p w14:paraId="07998497" w14:textId="59FE1609" w:rsidR="00B775E6" w:rsidRPr="00D7330E" w:rsidRDefault="00B775E6" w:rsidP="00B775E6">
            <w:pPr>
              <w:pStyle w:val="NoSpacing"/>
              <w:rPr>
                <w:sz w:val="26"/>
                <w:szCs w:val="26"/>
              </w:rPr>
            </w:pPr>
            <w:r w:rsidRPr="00D7330E">
              <w:rPr>
                <w:sz w:val="26"/>
                <w:szCs w:val="26"/>
              </w:rPr>
              <w:t xml:space="preserve"> </w:t>
            </w:r>
          </w:p>
        </w:tc>
        <w:tc>
          <w:tcPr>
            <w:tcW w:w="990" w:type="dxa"/>
            <w:shd w:val="clear" w:color="auto" w:fill="auto"/>
          </w:tcPr>
          <w:p w14:paraId="278055F8" w14:textId="33B6CEC7" w:rsidR="00B775E6" w:rsidRPr="00D7330E" w:rsidRDefault="00B775E6" w:rsidP="00B775E6">
            <w:pPr>
              <w:pStyle w:val="NoSpacing"/>
              <w:rPr>
                <w:sz w:val="26"/>
                <w:szCs w:val="26"/>
              </w:rPr>
            </w:pPr>
            <w:r w:rsidRPr="00D7330E">
              <w:rPr>
                <w:sz w:val="26"/>
                <w:szCs w:val="26"/>
              </w:rPr>
              <w:t>Cost</w:t>
            </w:r>
          </w:p>
        </w:tc>
        <w:tc>
          <w:tcPr>
            <w:tcW w:w="8118" w:type="dxa"/>
            <w:shd w:val="clear" w:color="auto" w:fill="auto"/>
          </w:tcPr>
          <w:p w14:paraId="49D9E390" w14:textId="77777777" w:rsidR="00125422" w:rsidRPr="00D7330E" w:rsidRDefault="001B58A7" w:rsidP="00125422">
            <w:pPr>
              <w:spacing w:after="0" w:line="240" w:lineRule="auto"/>
              <w:rPr>
                <w:spacing w:val="-3"/>
                <w:szCs w:val="26"/>
              </w:rPr>
            </w:pPr>
            <w:r w:rsidRPr="00D7330E">
              <w:rPr>
                <w:spacing w:val="-3"/>
                <w:szCs w:val="26"/>
              </w:rPr>
              <w:t xml:space="preserve">$5,000,000 (estimated) </w:t>
            </w:r>
          </w:p>
          <w:p w14:paraId="016EDF05" w14:textId="4C38C190" w:rsidR="001B58A7" w:rsidRPr="00D7330E" w:rsidRDefault="001B58A7" w:rsidP="00125422">
            <w:pPr>
              <w:spacing w:after="0" w:line="240" w:lineRule="auto"/>
              <w:rPr>
                <w:rFonts w:eastAsia="Times New Roman"/>
                <w:b/>
                <w:color w:val="000000"/>
                <w:szCs w:val="26"/>
              </w:rPr>
            </w:pPr>
          </w:p>
        </w:tc>
      </w:tr>
      <w:tr w:rsidR="00B775E6" w:rsidRPr="00D7330E" w14:paraId="305870E5" w14:textId="77777777" w:rsidTr="005274CF">
        <w:trPr>
          <w:trHeight w:val="150"/>
        </w:trPr>
        <w:tc>
          <w:tcPr>
            <w:tcW w:w="342" w:type="dxa"/>
          </w:tcPr>
          <w:p w14:paraId="6DAC217B" w14:textId="77777777" w:rsidR="00B775E6" w:rsidRPr="00D7330E" w:rsidRDefault="00B775E6" w:rsidP="00B775E6">
            <w:pPr>
              <w:pStyle w:val="NoSpacing"/>
              <w:rPr>
                <w:sz w:val="26"/>
                <w:szCs w:val="26"/>
              </w:rPr>
            </w:pPr>
          </w:p>
        </w:tc>
        <w:tc>
          <w:tcPr>
            <w:tcW w:w="990" w:type="dxa"/>
            <w:shd w:val="clear" w:color="auto" w:fill="auto"/>
          </w:tcPr>
          <w:p w14:paraId="7F8D6EBB" w14:textId="58E05C92" w:rsidR="00B775E6" w:rsidRPr="00D7330E" w:rsidRDefault="00B775E6" w:rsidP="00B775E6">
            <w:pPr>
              <w:pStyle w:val="NoSpacing"/>
              <w:rPr>
                <w:sz w:val="26"/>
                <w:szCs w:val="26"/>
              </w:rPr>
            </w:pPr>
            <w:r w:rsidRPr="00D7330E">
              <w:rPr>
                <w:sz w:val="26"/>
                <w:szCs w:val="26"/>
              </w:rPr>
              <w:t>Vendor</w:t>
            </w:r>
          </w:p>
        </w:tc>
        <w:tc>
          <w:tcPr>
            <w:tcW w:w="8118" w:type="dxa"/>
            <w:shd w:val="clear" w:color="auto" w:fill="auto"/>
          </w:tcPr>
          <w:p w14:paraId="70063CF7" w14:textId="57984F01" w:rsidR="001B58A7" w:rsidRPr="00D7330E" w:rsidRDefault="001B58A7" w:rsidP="001B58A7">
            <w:pPr>
              <w:spacing w:after="0" w:line="240" w:lineRule="auto"/>
              <w:jc w:val="both"/>
              <w:rPr>
                <w:szCs w:val="26"/>
              </w:rPr>
            </w:pPr>
            <w:r w:rsidRPr="00D7330E">
              <w:rPr>
                <w:bCs/>
                <w:szCs w:val="26"/>
              </w:rPr>
              <w:t>Cardinal Health Inc.</w:t>
            </w:r>
            <w:r w:rsidR="00D743A9" w:rsidRPr="00D7330E">
              <w:rPr>
                <w:bCs/>
                <w:szCs w:val="26"/>
              </w:rPr>
              <w:t xml:space="preserve">                             </w:t>
            </w:r>
            <w:r w:rsidR="00CE007B" w:rsidRPr="00D7330E">
              <w:rPr>
                <w:bCs/>
                <w:szCs w:val="26"/>
              </w:rPr>
              <w:t xml:space="preserve"> </w:t>
            </w:r>
            <w:r w:rsidRPr="00D7330E">
              <w:rPr>
                <w:bCs/>
                <w:szCs w:val="26"/>
              </w:rPr>
              <w:t>Dublin, Ohio</w:t>
            </w:r>
          </w:p>
          <w:p w14:paraId="6FDDF04B" w14:textId="180639B8" w:rsidR="00B775E6" w:rsidRPr="00D7330E" w:rsidRDefault="00B775E6" w:rsidP="00B775E6">
            <w:pPr>
              <w:rPr>
                <w:rFonts w:eastAsia="Times New Roman"/>
                <w:bCs/>
                <w:iCs/>
                <w:szCs w:val="26"/>
              </w:rPr>
            </w:pPr>
          </w:p>
        </w:tc>
      </w:tr>
      <w:tr w:rsidR="00B775E6" w:rsidRPr="00D7330E" w14:paraId="76979B6C" w14:textId="77777777" w:rsidTr="00056A33">
        <w:trPr>
          <w:trHeight w:val="4599"/>
        </w:trPr>
        <w:tc>
          <w:tcPr>
            <w:tcW w:w="342" w:type="dxa"/>
          </w:tcPr>
          <w:p w14:paraId="10350B94" w14:textId="77777777" w:rsidR="00B775E6" w:rsidRPr="00D7330E" w:rsidRDefault="00B775E6" w:rsidP="00B775E6">
            <w:pPr>
              <w:pStyle w:val="NoSpacing"/>
              <w:rPr>
                <w:sz w:val="26"/>
                <w:szCs w:val="26"/>
              </w:rPr>
            </w:pPr>
          </w:p>
        </w:tc>
        <w:tc>
          <w:tcPr>
            <w:tcW w:w="990" w:type="dxa"/>
            <w:shd w:val="clear" w:color="auto" w:fill="auto"/>
          </w:tcPr>
          <w:p w14:paraId="5E09DAD8" w14:textId="77777777" w:rsidR="00B775E6" w:rsidRPr="00D7330E" w:rsidRDefault="00B775E6" w:rsidP="00B775E6">
            <w:pPr>
              <w:pStyle w:val="NoSpacing"/>
              <w:rPr>
                <w:sz w:val="26"/>
                <w:szCs w:val="26"/>
              </w:rPr>
            </w:pPr>
          </w:p>
        </w:tc>
        <w:tc>
          <w:tcPr>
            <w:tcW w:w="8118" w:type="dxa"/>
            <w:shd w:val="clear" w:color="auto" w:fill="auto"/>
          </w:tcPr>
          <w:p w14:paraId="1427E9CF" w14:textId="77777777" w:rsidR="001B58A7" w:rsidRPr="00D7330E" w:rsidRDefault="001B58A7" w:rsidP="001B58A7">
            <w:pPr>
              <w:jc w:val="both"/>
              <w:rPr>
                <w:szCs w:val="26"/>
              </w:rPr>
            </w:pPr>
            <w:r w:rsidRPr="00D7330E">
              <w:rPr>
                <w:szCs w:val="26"/>
              </w:rPr>
              <w:t>Livtencity is a medication used to treat adult and pediatric patients with post-transplant cytomegalovirus (CMV) infection/disease that does not respond to treatment with other pharmaceuticals. CMV is a major cause of morbidity and mortality in solid organ transplant recipients.</w:t>
            </w:r>
          </w:p>
          <w:p w14:paraId="1A2EF673" w14:textId="09FE14CE" w:rsidR="001B58A7" w:rsidRPr="00D7330E" w:rsidRDefault="001B58A7" w:rsidP="00CE007B">
            <w:pPr>
              <w:spacing w:after="0" w:line="240" w:lineRule="auto"/>
              <w:jc w:val="both"/>
              <w:rPr>
                <w:rFonts w:ascii="Calibri" w:hAnsi="Calibri"/>
                <w:szCs w:val="26"/>
              </w:rPr>
            </w:pPr>
            <w:r w:rsidRPr="00D7330E">
              <w:rPr>
                <w:szCs w:val="26"/>
              </w:rPr>
              <w:t>The manufacturer of Livtencity, Takeda, has licensed exclusive distribution rights to Cardinal Health.</w:t>
            </w:r>
            <w:r w:rsidR="00D743A9" w:rsidRPr="00D7330E">
              <w:rPr>
                <w:szCs w:val="26"/>
              </w:rPr>
              <w:t xml:space="preserve"> </w:t>
            </w:r>
            <w:r w:rsidRPr="00D7330E">
              <w:rPr>
                <w:szCs w:val="26"/>
              </w:rPr>
              <w:t xml:space="preserve"> These products can only be obtained through Cardinal.</w:t>
            </w:r>
          </w:p>
          <w:p w14:paraId="61D29BAA" w14:textId="77777777" w:rsidR="00CE007B" w:rsidRPr="00D7330E" w:rsidRDefault="00CE007B" w:rsidP="00CE007B">
            <w:pPr>
              <w:spacing w:after="0" w:line="240" w:lineRule="auto"/>
              <w:jc w:val="both"/>
              <w:rPr>
                <w:rFonts w:ascii="Calibri" w:hAnsi="Calibri"/>
                <w:szCs w:val="26"/>
              </w:rPr>
            </w:pPr>
          </w:p>
          <w:p w14:paraId="2F9392BF" w14:textId="2FEA131A" w:rsidR="001B58A7" w:rsidRPr="00D7330E" w:rsidRDefault="001B58A7" w:rsidP="00CE007B">
            <w:pPr>
              <w:jc w:val="both"/>
              <w:rPr>
                <w:szCs w:val="26"/>
              </w:rPr>
            </w:pPr>
            <w:r w:rsidRPr="00D7330E">
              <w:rPr>
                <w:szCs w:val="26"/>
              </w:rPr>
              <w:t>This purchase is exempt from competitive selection procedures in accordance with the Illinois Procurement Code (30ILCS 500/1-13(b-5)).</w:t>
            </w:r>
          </w:p>
          <w:p w14:paraId="3B1D8582" w14:textId="4B7170A5" w:rsidR="00B775E6" w:rsidRPr="00D7330E" w:rsidRDefault="001B58A7" w:rsidP="001B58A7">
            <w:pPr>
              <w:spacing w:after="0" w:line="240" w:lineRule="auto"/>
              <w:rPr>
                <w:rFonts w:eastAsia="Times New Roman"/>
                <w:b/>
                <w:color w:val="000000"/>
                <w:szCs w:val="26"/>
              </w:rPr>
            </w:pPr>
            <w:r w:rsidRPr="00D7330E">
              <w:rPr>
                <w:rFonts w:eastAsia="Times New Roman"/>
                <w:b/>
                <w:color w:val="000000"/>
                <w:szCs w:val="26"/>
              </w:rPr>
              <w:t xml:space="preserve">Business Enterprise Program (BEP) </w:t>
            </w:r>
            <w:r w:rsidRPr="00D7330E">
              <w:rPr>
                <w:rFonts w:eastAsia="Times New Roman"/>
                <w:bCs/>
                <w:color w:val="000000"/>
                <w:szCs w:val="26"/>
              </w:rPr>
              <w:t>goals are not established for contracts which are exempt from the requirements of the Illinois Procurement Code.</w:t>
            </w:r>
          </w:p>
        </w:tc>
      </w:tr>
      <w:tr w:rsidR="00A44D7C" w:rsidRPr="00D7330E" w14:paraId="720DDE9A" w14:textId="77777777" w:rsidTr="00B62DED">
        <w:trPr>
          <w:trHeight w:val="150"/>
        </w:trPr>
        <w:tc>
          <w:tcPr>
            <w:tcW w:w="342" w:type="dxa"/>
          </w:tcPr>
          <w:p w14:paraId="105A1895" w14:textId="77777777" w:rsidR="00A44D7C" w:rsidRPr="00D7330E" w:rsidRDefault="00A44D7C" w:rsidP="00B775E6">
            <w:pPr>
              <w:pStyle w:val="NoSpacing"/>
              <w:rPr>
                <w:sz w:val="26"/>
                <w:szCs w:val="26"/>
              </w:rPr>
            </w:pPr>
          </w:p>
        </w:tc>
        <w:tc>
          <w:tcPr>
            <w:tcW w:w="990" w:type="dxa"/>
            <w:shd w:val="clear" w:color="auto" w:fill="auto"/>
          </w:tcPr>
          <w:p w14:paraId="6B6DC0F3" w14:textId="77777777" w:rsidR="00A44D7C" w:rsidRPr="00D7330E" w:rsidRDefault="00A44D7C" w:rsidP="00B775E6">
            <w:pPr>
              <w:pStyle w:val="NoSpacing"/>
              <w:rPr>
                <w:sz w:val="26"/>
                <w:szCs w:val="26"/>
              </w:rPr>
            </w:pPr>
          </w:p>
        </w:tc>
        <w:tc>
          <w:tcPr>
            <w:tcW w:w="8118" w:type="dxa"/>
            <w:shd w:val="clear" w:color="auto" w:fill="auto"/>
          </w:tcPr>
          <w:p w14:paraId="6C902CA6" w14:textId="77777777" w:rsidR="00A44D7C" w:rsidRPr="00D7330E" w:rsidRDefault="00A44D7C" w:rsidP="00B775E6">
            <w:pPr>
              <w:spacing w:after="0" w:line="240" w:lineRule="auto"/>
              <w:rPr>
                <w:rFonts w:eastAsia="Times New Roman"/>
                <w:b/>
                <w:color w:val="000000"/>
                <w:szCs w:val="26"/>
              </w:rPr>
            </w:pPr>
          </w:p>
        </w:tc>
      </w:tr>
      <w:tr w:rsidR="00B62DED" w:rsidRPr="00D7330E" w14:paraId="32B5CC71" w14:textId="77777777" w:rsidTr="00B62DED">
        <w:trPr>
          <w:trHeight w:val="150"/>
        </w:trPr>
        <w:tc>
          <w:tcPr>
            <w:tcW w:w="342" w:type="dxa"/>
            <w:tcBorders>
              <w:bottom w:val="double" w:sz="4" w:space="0" w:color="auto"/>
            </w:tcBorders>
          </w:tcPr>
          <w:p w14:paraId="3D30F3BF" w14:textId="556C7764" w:rsidR="00B62DED" w:rsidRPr="00D7330E" w:rsidRDefault="00056A33" w:rsidP="00B62DED">
            <w:pPr>
              <w:pStyle w:val="NoSpacing"/>
              <w:rPr>
                <w:sz w:val="26"/>
                <w:szCs w:val="26"/>
              </w:rPr>
            </w:pPr>
            <w:r>
              <w:rPr>
                <w:sz w:val="26"/>
                <w:szCs w:val="26"/>
              </w:rPr>
              <w:t>3</w:t>
            </w:r>
          </w:p>
        </w:tc>
        <w:tc>
          <w:tcPr>
            <w:tcW w:w="990" w:type="dxa"/>
            <w:tcBorders>
              <w:bottom w:val="double" w:sz="4" w:space="0" w:color="auto"/>
            </w:tcBorders>
            <w:shd w:val="clear" w:color="auto" w:fill="auto"/>
          </w:tcPr>
          <w:p w14:paraId="1A03B7FC" w14:textId="22796A4E" w:rsidR="00B62DED" w:rsidRPr="00D7330E" w:rsidRDefault="00B62DED" w:rsidP="00B62DED">
            <w:pPr>
              <w:pStyle w:val="NoSpacing"/>
              <w:rPr>
                <w:sz w:val="26"/>
                <w:szCs w:val="26"/>
              </w:rPr>
            </w:pPr>
            <w:r w:rsidRPr="00D7330E">
              <w:rPr>
                <w:sz w:val="26"/>
                <w:szCs w:val="26"/>
              </w:rPr>
              <w:t>Unit</w:t>
            </w:r>
          </w:p>
        </w:tc>
        <w:tc>
          <w:tcPr>
            <w:tcW w:w="8118" w:type="dxa"/>
            <w:tcBorders>
              <w:bottom w:val="double" w:sz="4" w:space="0" w:color="auto"/>
            </w:tcBorders>
            <w:shd w:val="clear" w:color="auto" w:fill="auto"/>
          </w:tcPr>
          <w:p w14:paraId="1BB610F8" w14:textId="723C6CD2" w:rsidR="00F53FA1" w:rsidRPr="00D7330E" w:rsidRDefault="00CE007B" w:rsidP="00F53FA1">
            <w:pPr>
              <w:spacing w:after="0" w:line="240" w:lineRule="auto"/>
              <w:rPr>
                <w:szCs w:val="26"/>
              </w:rPr>
            </w:pPr>
            <w:r w:rsidRPr="00D7330E">
              <w:rPr>
                <w:spacing w:val="-3"/>
                <w:szCs w:val="26"/>
              </w:rPr>
              <w:t>UI Hospital and Clinics</w:t>
            </w:r>
          </w:p>
        </w:tc>
      </w:tr>
      <w:tr w:rsidR="00B62DED" w:rsidRPr="00D7330E" w14:paraId="1B3E5FB1" w14:textId="77777777" w:rsidTr="00B62DED">
        <w:trPr>
          <w:trHeight w:val="150"/>
        </w:trPr>
        <w:tc>
          <w:tcPr>
            <w:tcW w:w="342" w:type="dxa"/>
            <w:tcBorders>
              <w:top w:val="double" w:sz="4" w:space="0" w:color="auto"/>
            </w:tcBorders>
          </w:tcPr>
          <w:p w14:paraId="1045557B" w14:textId="77777777" w:rsidR="00B62DED" w:rsidRPr="00D7330E" w:rsidRDefault="00B62DED" w:rsidP="00B62DED">
            <w:pPr>
              <w:pStyle w:val="NoSpacing"/>
              <w:rPr>
                <w:sz w:val="26"/>
                <w:szCs w:val="26"/>
              </w:rPr>
            </w:pPr>
          </w:p>
        </w:tc>
        <w:tc>
          <w:tcPr>
            <w:tcW w:w="990" w:type="dxa"/>
            <w:tcBorders>
              <w:top w:val="double" w:sz="4" w:space="0" w:color="auto"/>
            </w:tcBorders>
            <w:shd w:val="clear" w:color="auto" w:fill="auto"/>
          </w:tcPr>
          <w:p w14:paraId="26EFF7DF" w14:textId="77777777" w:rsidR="00B62DED" w:rsidRPr="00D7330E" w:rsidRDefault="00B62DED" w:rsidP="00B62DED">
            <w:pPr>
              <w:pStyle w:val="NoSpacing"/>
              <w:rPr>
                <w:sz w:val="26"/>
                <w:szCs w:val="26"/>
              </w:rPr>
            </w:pPr>
          </w:p>
          <w:p w14:paraId="4EED015C" w14:textId="4E92E9D7" w:rsidR="00B62DED" w:rsidRPr="00D7330E" w:rsidRDefault="00B62DED" w:rsidP="00B62DED">
            <w:pPr>
              <w:pStyle w:val="NoSpacing"/>
              <w:rPr>
                <w:sz w:val="26"/>
                <w:szCs w:val="26"/>
              </w:rPr>
            </w:pPr>
            <w:r w:rsidRPr="00D7330E">
              <w:rPr>
                <w:sz w:val="26"/>
                <w:szCs w:val="26"/>
              </w:rPr>
              <w:t>Item</w:t>
            </w:r>
            <w:r w:rsidR="00D743A9" w:rsidRPr="00D7330E">
              <w:rPr>
                <w:sz w:val="26"/>
                <w:szCs w:val="26"/>
              </w:rPr>
              <w:t xml:space="preserve">   </w:t>
            </w:r>
          </w:p>
        </w:tc>
        <w:tc>
          <w:tcPr>
            <w:tcW w:w="8118" w:type="dxa"/>
            <w:tcBorders>
              <w:top w:val="double" w:sz="4" w:space="0" w:color="auto"/>
            </w:tcBorders>
            <w:shd w:val="clear" w:color="auto" w:fill="auto"/>
          </w:tcPr>
          <w:p w14:paraId="0C12D5BC" w14:textId="77777777" w:rsidR="00F53FA1" w:rsidRPr="00D7330E" w:rsidRDefault="00F53FA1" w:rsidP="00F53FA1">
            <w:pPr>
              <w:spacing w:after="0" w:line="240" w:lineRule="auto"/>
              <w:rPr>
                <w:szCs w:val="26"/>
              </w:rPr>
            </w:pPr>
          </w:p>
          <w:p w14:paraId="755A10AB" w14:textId="123319C8" w:rsidR="00B62DED" w:rsidRPr="00D7330E" w:rsidRDefault="00CE007B" w:rsidP="00F53FA1">
            <w:pPr>
              <w:spacing w:after="0" w:line="240" w:lineRule="auto"/>
              <w:rPr>
                <w:szCs w:val="26"/>
              </w:rPr>
            </w:pPr>
            <w:r w:rsidRPr="00D7330E">
              <w:rPr>
                <w:szCs w:val="26"/>
              </w:rPr>
              <w:t>Purchase of Implants and Accessories for Intraocular Lens Insertion Through Ophthalmic Microsurgery for UI Hospital and Clinics</w:t>
            </w:r>
          </w:p>
        </w:tc>
      </w:tr>
      <w:tr w:rsidR="00B62DED" w:rsidRPr="00D7330E" w14:paraId="5BED4C76" w14:textId="77777777" w:rsidTr="005274CF">
        <w:trPr>
          <w:trHeight w:val="150"/>
        </w:trPr>
        <w:tc>
          <w:tcPr>
            <w:tcW w:w="342" w:type="dxa"/>
          </w:tcPr>
          <w:p w14:paraId="10E2A38A" w14:textId="5B543CD6" w:rsidR="00B62DED" w:rsidRPr="00D7330E" w:rsidRDefault="00B62DED" w:rsidP="00B62DED">
            <w:pPr>
              <w:pStyle w:val="NoSpacing"/>
              <w:rPr>
                <w:sz w:val="26"/>
                <w:szCs w:val="26"/>
              </w:rPr>
            </w:pPr>
            <w:r w:rsidRPr="00D7330E">
              <w:rPr>
                <w:sz w:val="26"/>
                <w:szCs w:val="26"/>
              </w:rPr>
              <w:t xml:space="preserve"> </w:t>
            </w:r>
          </w:p>
        </w:tc>
        <w:tc>
          <w:tcPr>
            <w:tcW w:w="990" w:type="dxa"/>
            <w:shd w:val="clear" w:color="auto" w:fill="auto"/>
          </w:tcPr>
          <w:p w14:paraId="49AEB987" w14:textId="77777777" w:rsidR="00B62DED" w:rsidRPr="00D7330E" w:rsidRDefault="00B62DED" w:rsidP="00B62DED">
            <w:pPr>
              <w:pStyle w:val="NoSpacing"/>
              <w:rPr>
                <w:sz w:val="26"/>
                <w:szCs w:val="26"/>
              </w:rPr>
            </w:pPr>
          </w:p>
          <w:p w14:paraId="61A8AB0A" w14:textId="4F105D70" w:rsidR="00B62DED" w:rsidRPr="00D7330E" w:rsidRDefault="00B62DED" w:rsidP="00B62DED">
            <w:pPr>
              <w:pStyle w:val="NoSpacing"/>
              <w:rPr>
                <w:sz w:val="26"/>
                <w:szCs w:val="26"/>
              </w:rPr>
            </w:pPr>
            <w:r w:rsidRPr="00D7330E">
              <w:rPr>
                <w:sz w:val="26"/>
                <w:szCs w:val="26"/>
              </w:rPr>
              <w:t>Cost</w:t>
            </w:r>
          </w:p>
        </w:tc>
        <w:tc>
          <w:tcPr>
            <w:tcW w:w="8118" w:type="dxa"/>
            <w:shd w:val="clear" w:color="auto" w:fill="auto"/>
          </w:tcPr>
          <w:p w14:paraId="0D5BD169" w14:textId="77777777" w:rsidR="00AC3D48" w:rsidRPr="00D7330E" w:rsidRDefault="00AC3D48" w:rsidP="00AC3D48">
            <w:pPr>
              <w:pStyle w:val="NoSpacing"/>
              <w:rPr>
                <w:spacing w:val="-3"/>
                <w:sz w:val="26"/>
                <w:szCs w:val="26"/>
              </w:rPr>
            </w:pPr>
          </w:p>
          <w:p w14:paraId="0F3CA79C" w14:textId="77777777" w:rsidR="00AC3D48" w:rsidRPr="00D7330E" w:rsidRDefault="00CE007B" w:rsidP="00AC3D48">
            <w:pPr>
              <w:pStyle w:val="NoSpacing"/>
              <w:rPr>
                <w:spacing w:val="-3"/>
                <w:sz w:val="26"/>
                <w:szCs w:val="26"/>
              </w:rPr>
            </w:pPr>
            <w:r w:rsidRPr="00D7330E">
              <w:rPr>
                <w:spacing w:val="-3"/>
                <w:sz w:val="26"/>
                <w:szCs w:val="26"/>
              </w:rPr>
              <w:t xml:space="preserve">$7,500,000 (estimated) </w:t>
            </w:r>
          </w:p>
          <w:p w14:paraId="1EB68A88" w14:textId="31AE823E" w:rsidR="00CE007B" w:rsidRPr="00D7330E" w:rsidRDefault="00CE007B" w:rsidP="00AC3D48">
            <w:pPr>
              <w:pStyle w:val="NoSpacing"/>
              <w:rPr>
                <w:spacing w:val="-3"/>
                <w:sz w:val="26"/>
                <w:szCs w:val="26"/>
              </w:rPr>
            </w:pPr>
          </w:p>
        </w:tc>
      </w:tr>
      <w:tr w:rsidR="00B62DED" w:rsidRPr="00D7330E" w14:paraId="14F23DCF" w14:textId="77777777" w:rsidTr="005274CF">
        <w:trPr>
          <w:trHeight w:val="150"/>
        </w:trPr>
        <w:tc>
          <w:tcPr>
            <w:tcW w:w="342" w:type="dxa"/>
          </w:tcPr>
          <w:p w14:paraId="793BFB49" w14:textId="77777777" w:rsidR="00B62DED" w:rsidRPr="00D7330E" w:rsidRDefault="00B62DED" w:rsidP="00B62DED">
            <w:pPr>
              <w:pStyle w:val="NoSpacing"/>
              <w:rPr>
                <w:sz w:val="26"/>
                <w:szCs w:val="26"/>
              </w:rPr>
            </w:pPr>
          </w:p>
        </w:tc>
        <w:tc>
          <w:tcPr>
            <w:tcW w:w="990" w:type="dxa"/>
            <w:shd w:val="clear" w:color="auto" w:fill="auto"/>
          </w:tcPr>
          <w:p w14:paraId="0D2417A2" w14:textId="41DD7305" w:rsidR="00B62DED" w:rsidRPr="00D7330E" w:rsidRDefault="00B62DED" w:rsidP="00B62DED">
            <w:pPr>
              <w:pStyle w:val="NoSpacing"/>
              <w:rPr>
                <w:sz w:val="26"/>
                <w:szCs w:val="26"/>
              </w:rPr>
            </w:pPr>
            <w:r w:rsidRPr="00D7330E">
              <w:rPr>
                <w:sz w:val="26"/>
                <w:szCs w:val="26"/>
              </w:rPr>
              <w:t>Vendor</w:t>
            </w:r>
          </w:p>
        </w:tc>
        <w:tc>
          <w:tcPr>
            <w:tcW w:w="8118" w:type="dxa"/>
            <w:shd w:val="clear" w:color="auto" w:fill="auto"/>
          </w:tcPr>
          <w:p w14:paraId="242ECA90" w14:textId="101DB03E" w:rsidR="00CE007B" w:rsidRPr="00D7330E" w:rsidRDefault="00CE007B" w:rsidP="00D7330E">
            <w:pPr>
              <w:spacing w:after="0" w:line="240" w:lineRule="auto"/>
              <w:rPr>
                <w:szCs w:val="26"/>
              </w:rPr>
            </w:pPr>
            <w:r w:rsidRPr="00D7330E">
              <w:rPr>
                <w:bCs/>
                <w:szCs w:val="26"/>
              </w:rPr>
              <w:t>Alcon Laboratories, Inc.</w:t>
            </w:r>
            <w:r w:rsidR="00D743A9" w:rsidRPr="00D7330E">
              <w:rPr>
                <w:bCs/>
                <w:szCs w:val="26"/>
              </w:rPr>
              <w:t xml:space="preserve">                    </w:t>
            </w:r>
            <w:r w:rsidRPr="00D7330E">
              <w:rPr>
                <w:bCs/>
                <w:szCs w:val="26"/>
              </w:rPr>
              <w:t>Fort Worth, Texas</w:t>
            </w:r>
          </w:p>
          <w:p w14:paraId="3CAB5BEC" w14:textId="7D719844" w:rsidR="00AC3D48" w:rsidRPr="00D7330E" w:rsidRDefault="00AC3D48" w:rsidP="00D7330E">
            <w:pPr>
              <w:pStyle w:val="NoSpacing"/>
              <w:rPr>
                <w:sz w:val="26"/>
                <w:szCs w:val="26"/>
              </w:rPr>
            </w:pPr>
          </w:p>
        </w:tc>
      </w:tr>
      <w:tr w:rsidR="00B62DED" w:rsidRPr="00D7330E" w14:paraId="115FCF9D" w14:textId="77777777" w:rsidTr="005274CF">
        <w:trPr>
          <w:trHeight w:val="150"/>
        </w:trPr>
        <w:tc>
          <w:tcPr>
            <w:tcW w:w="342" w:type="dxa"/>
          </w:tcPr>
          <w:p w14:paraId="30BF5D04" w14:textId="77777777" w:rsidR="00B62DED" w:rsidRPr="00D7330E" w:rsidRDefault="00B62DED" w:rsidP="00B62DED">
            <w:pPr>
              <w:pStyle w:val="NoSpacing"/>
              <w:rPr>
                <w:sz w:val="26"/>
                <w:szCs w:val="26"/>
              </w:rPr>
            </w:pPr>
          </w:p>
        </w:tc>
        <w:tc>
          <w:tcPr>
            <w:tcW w:w="990" w:type="dxa"/>
            <w:shd w:val="clear" w:color="auto" w:fill="auto"/>
          </w:tcPr>
          <w:p w14:paraId="38602CA2" w14:textId="77777777" w:rsidR="00B62DED" w:rsidRPr="00D7330E" w:rsidRDefault="00B62DED" w:rsidP="00B62DED">
            <w:pPr>
              <w:pStyle w:val="NoSpacing"/>
              <w:rPr>
                <w:sz w:val="26"/>
                <w:szCs w:val="26"/>
              </w:rPr>
            </w:pPr>
          </w:p>
        </w:tc>
        <w:tc>
          <w:tcPr>
            <w:tcW w:w="8118" w:type="dxa"/>
            <w:shd w:val="clear" w:color="auto" w:fill="auto"/>
          </w:tcPr>
          <w:p w14:paraId="586F2A9F" w14:textId="6031F6B9" w:rsidR="00CE007B" w:rsidRPr="00D7330E" w:rsidRDefault="00CE007B" w:rsidP="00D7330E">
            <w:pPr>
              <w:rPr>
                <w:szCs w:val="26"/>
              </w:rPr>
            </w:pPr>
            <w:r w:rsidRPr="00D7330E">
              <w:rPr>
                <w:szCs w:val="26"/>
              </w:rPr>
              <w:t>UI Health has been using Alcon lenses and insertion equipment for more than 13 years.</w:t>
            </w:r>
            <w:r w:rsidR="00D743A9" w:rsidRPr="00D7330E">
              <w:rPr>
                <w:szCs w:val="26"/>
              </w:rPr>
              <w:t xml:space="preserve"> </w:t>
            </w:r>
            <w:r w:rsidRPr="00D7330E">
              <w:rPr>
                <w:szCs w:val="26"/>
              </w:rPr>
              <w:t>In FY2024, over 1,300 cataract surgical cases used Alcon interocular lenses. The lenses are inserted in a one-step process which results in greater patient tolerance, ease of insertion and reduced procedure time. These surgical cases are done on an outpatient basis, primarily in the Hospital’s Specialty Care Building.</w:t>
            </w:r>
            <w:r w:rsidR="00D743A9" w:rsidRPr="00D7330E">
              <w:rPr>
                <w:szCs w:val="26"/>
              </w:rPr>
              <w:t xml:space="preserve"> </w:t>
            </w:r>
          </w:p>
          <w:p w14:paraId="3BC2F080" w14:textId="77777777" w:rsidR="00CE007B" w:rsidRPr="00D7330E" w:rsidRDefault="00CE007B" w:rsidP="00D7330E">
            <w:pPr>
              <w:rPr>
                <w:szCs w:val="26"/>
              </w:rPr>
            </w:pPr>
            <w:r w:rsidRPr="00D7330E">
              <w:rPr>
                <w:szCs w:val="26"/>
              </w:rPr>
              <w:t>This purchase is exempt from competitive selection procedures in accordance with the Illinois Procurement Code (30ILCS 500/1-13(b-5)).</w:t>
            </w:r>
          </w:p>
          <w:p w14:paraId="5C9D15F2" w14:textId="1DFA557A" w:rsidR="00354DFE" w:rsidRPr="00D7330E" w:rsidRDefault="00CE007B" w:rsidP="00D7330E">
            <w:pPr>
              <w:widowControl w:val="0"/>
              <w:tabs>
                <w:tab w:val="left" w:pos="2622"/>
                <w:tab w:val="left" w:pos="2682"/>
              </w:tabs>
              <w:autoSpaceDE w:val="0"/>
              <w:autoSpaceDN w:val="0"/>
              <w:spacing w:before="238" w:after="0" w:line="240" w:lineRule="auto"/>
              <w:ind w:right="850"/>
              <w:rPr>
                <w:szCs w:val="26"/>
              </w:rPr>
            </w:pPr>
            <w:r w:rsidRPr="00D7330E">
              <w:rPr>
                <w:rFonts w:eastAsia="Times New Roman"/>
                <w:b/>
                <w:color w:val="000000"/>
                <w:szCs w:val="26"/>
              </w:rPr>
              <w:t xml:space="preserve">Business Enterprise Program (BEP) </w:t>
            </w:r>
            <w:r w:rsidRPr="00D7330E">
              <w:rPr>
                <w:rFonts w:eastAsia="Times New Roman"/>
                <w:bCs/>
                <w:color w:val="000000"/>
                <w:szCs w:val="26"/>
              </w:rPr>
              <w:t>goals are not established for contracts which are exempt from the requirements of the Illinois Procurement Code.</w:t>
            </w:r>
          </w:p>
        </w:tc>
      </w:tr>
      <w:tr w:rsidR="00B62DED" w:rsidRPr="00D7330E" w14:paraId="53EC36B2" w14:textId="77777777" w:rsidTr="00F53FA1">
        <w:trPr>
          <w:trHeight w:val="150"/>
        </w:trPr>
        <w:tc>
          <w:tcPr>
            <w:tcW w:w="342" w:type="dxa"/>
          </w:tcPr>
          <w:p w14:paraId="7B4E2F25" w14:textId="77777777" w:rsidR="00B62DED" w:rsidRPr="00D7330E" w:rsidRDefault="00B62DED" w:rsidP="00B62DED">
            <w:pPr>
              <w:pStyle w:val="NoSpacing"/>
              <w:rPr>
                <w:sz w:val="26"/>
                <w:szCs w:val="26"/>
              </w:rPr>
            </w:pPr>
          </w:p>
        </w:tc>
        <w:tc>
          <w:tcPr>
            <w:tcW w:w="990" w:type="dxa"/>
            <w:shd w:val="clear" w:color="auto" w:fill="auto"/>
          </w:tcPr>
          <w:p w14:paraId="0173AA1D" w14:textId="77777777" w:rsidR="00B62DED" w:rsidRPr="00D7330E" w:rsidRDefault="00B62DED" w:rsidP="00B62DED">
            <w:pPr>
              <w:pStyle w:val="NoSpacing"/>
              <w:rPr>
                <w:sz w:val="26"/>
                <w:szCs w:val="26"/>
              </w:rPr>
            </w:pPr>
          </w:p>
        </w:tc>
        <w:tc>
          <w:tcPr>
            <w:tcW w:w="8118" w:type="dxa"/>
            <w:shd w:val="clear" w:color="auto" w:fill="auto"/>
          </w:tcPr>
          <w:p w14:paraId="4D51BDD3" w14:textId="77777777" w:rsidR="00B62DED" w:rsidRPr="00D7330E" w:rsidRDefault="00B62DED" w:rsidP="00B62DED">
            <w:pPr>
              <w:spacing w:after="0" w:line="240" w:lineRule="auto"/>
              <w:ind w:left="1478"/>
              <w:rPr>
                <w:rFonts w:eastAsia="Times New Roman"/>
                <w:b/>
                <w:color w:val="000000"/>
                <w:szCs w:val="26"/>
              </w:rPr>
            </w:pPr>
          </w:p>
        </w:tc>
      </w:tr>
      <w:tr w:rsidR="00F052D8" w:rsidRPr="00D7330E" w14:paraId="6B2BEDBF" w14:textId="77777777" w:rsidTr="003E1FA3">
        <w:trPr>
          <w:trHeight w:val="333"/>
        </w:trPr>
        <w:tc>
          <w:tcPr>
            <w:tcW w:w="342" w:type="dxa"/>
          </w:tcPr>
          <w:p w14:paraId="2E72356C" w14:textId="77777777" w:rsidR="00F052D8" w:rsidRPr="00D7330E" w:rsidRDefault="00F052D8" w:rsidP="00F052D8">
            <w:pPr>
              <w:pStyle w:val="NoSpacing"/>
              <w:jc w:val="both"/>
              <w:rPr>
                <w:sz w:val="26"/>
                <w:szCs w:val="26"/>
              </w:rPr>
            </w:pPr>
          </w:p>
        </w:tc>
        <w:tc>
          <w:tcPr>
            <w:tcW w:w="990" w:type="dxa"/>
            <w:shd w:val="clear" w:color="auto" w:fill="auto"/>
          </w:tcPr>
          <w:p w14:paraId="6E7830BF" w14:textId="77777777" w:rsidR="00F052D8" w:rsidRPr="00D7330E" w:rsidRDefault="00F052D8" w:rsidP="00F052D8">
            <w:pPr>
              <w:pStyle w:val="NoSpacing"/>
              <w:jc w:val="both"/>
              <w:rPr>
                <w:sz w:val="26"/>
                <w:szCs w:val="26"/>
              </w:rPr>
            </w:pPr>
          </w:p>
        </w:tc>
        <w:tc>
          <w:tcPr>
            <w:tcW w:w="8118" w:type="dxa"/>
            <w:shd w:val="clear" w:color="auto" w:fill="auto"/>
          </w:tcPr>
          <w:p w14:paraId="13F2F84A" w14:textId="49028681" w:rsidR="00F052D8" w:rsidRPr="00D7330E" w:rsidRDefault="00D743A9" w:rsidP="00F052D8">
            <w:pPr>
              <w:spacing w:after="0"/>
              <w:jc w:val="both"/>
              <w:rPr>
                <w:szCs w:val="26"/>
              </w:rPr>
            </w:pPr>
            <w:r w:rsidRPr="00D7330E">
              <w:rPr>
                <w:rFonts w:eastAsia="Times New Roman"/>
                <w:b/>
                <w:color w:val="000000"/>
                <w:szCs w:val="26"/>
              </w:rPr>
              <w:t xml:space="preserve">        </w:t>
            </w:r>
            <w:r w:rsidR="00F052D8" w:rsidRPr="00D7330E">
              <w:rPr>
                <w:rFonts w:eastAsia="Times New Roman"/>
                <w:b/>
                <w:color w:val="000000"/>
                <w:szCs w:val="26"/>
              </w:rPr>
              <w:t xml:space="preserve"> RENEWAL OPTIONS RECOMMENDED</w:t>
            </w:r>
          </w:p>
        </w:tc>
      </w:tr>
      <w:tr w:rsidR="00F052D8" w:rsidRPr="00D7330E" w14:paraId="3B7F5514" w14:textId="77777777" w:rsidTr="003E1FA3">
        <w:trPr>
          <w:trHeight w:val="333"/>
        </w:trPr>
        <w:tc>
          <w:tcPr>
            <w:tcW w:w="342" w:type="dxa"/>
          </w:tcPr>
          <w:p w14:paraId="2CC7D3AD" w14:textId="77777777" w:rsidR="00F052D8" w:rsidRPr="00D7330E" w:rsidRDefault="00F052D8" w:rsidP="00F052D8">
            <w:pPr>
              <w:pStyle w:val="NoSpacing"/>
              <w:jc w:val="both"/>
              <w:rPr>
                <w:sz w:val="26"/>
                <w:szCs w:val="26"/>
              </w:rPr>
            </w:pPr>
          </w:p>
        </w:tc>
        <w:tc>
          <w:tcPr>
            <w:tcW w:w="990" w:type="dxa"/>
            <w:shd w:val="clear" w:color="auto" w:fill="auto"/>
          </w:tcPr>
          <w:p w14:paraId="09106E5D" w14:textId="77777777" w:rsidR="00F052D8" w:rsidRPr="00D7330E" w:rsidRDefault="00F052D8" w:rsidP="00F052D8">
            <w:pPr>
              <w:pStyle w:val="NoSpacing"/>
              <w:jc w:val="both"/>
              <w:rPr>
                <w:sz w:val="26"/>
                <w:szCs w:val="26"/>
              </w:rPr>
            </w:pPr>
          </w:p>
        </w:tc>
        <w:tc>
          <w:tcPr>
            <w:tcW w:w="8118" w:type="dxa"/>
            <w:shd w:val="clear" w:color="auto" w:fill="auto"/>
          </w:tcPr>
          <w:p w14:paraId="5666A972" w14:textId="1B571B1A" w:rsidR="00F052D8" w:rsidRPr="00D7330E" w:rsidRDefault="00F052D8" w:rsidP="00F052D8">
            <w:pPr>
              <w:spacing w:after="0"/>
              <w:jc w:val="both"/>
              <w:rPr>
                <w:szCs w:val="26"/>
              </w:rPr>
            </w:pPr>
          </w:p>
        </w:tc>
      </w:tr>
      <w:tr w:rsidR="00F052D8" w:rsidRPr="00D7330E" w14:paraId="3B87A92D" w14:textId="77777777" w:rsidTr="003E1FA3">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052D8" w:rsidRPr="00D7330E" w14:paraId="2A83060F" w14:textId="77777777" w:rsidTr="00701ADE">
              <w:trPr>
                <w:trHeight w:val="114"/>
              </w:trPr>
              <w:tc>
                <w:tcPr>
                  <w:tcW w:w="9454" w:type="dxa"/>
                  <w:tcBorders>
                    <w:top w:val="single" w:sz="18" w:space="0" w:color="auto"/>
                    <w:bottom w:val="single" w:sz="18" w:space="0" w:color="auto"/>
                  </w:tcBorders>
                </w:tcPr>
                <w:p w14:paraId="41F68CC4" w14:textId="7BACF72B" w:rsidR="00F052D8" w:rsidRPr="00D7330E" w:rsidRDefault="00F052D8" w:rsidP="00F052D8">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University of Illinois Urbana-Champaign</w:t>
                  </w:r>
                </w:p>
              </w:tc>
            </w:tr>
          </w:tbl>
          <w:p w14:paraId="385F4FDD" w14:textId="77777777" w:rsidR="00F052D8" w:rsidRPr="00D7330E" w:rsidRDefault="00F052D8" w:rsidP="00F052D8">
            <w:pPr>
              <w:spacing w:after="0"/>
              <w:jc w:val="both"/>
              <w:rPr>
                <w:szCs w:val="26"/>
              </w:rPr>
            </w:pPr>
          </w:p>
        </w:tc>
      </w:tr>
      <w:tr w:rsidR="00F052D8" w:rsidRPr="00D7330E" w14:paraId="7A096C94" w14:textId="77777777" w:rsidTr="003E1FA3">
        <w:trPr>
          <w:trHeight w:val="333"/>
        </w:trPr>
        <w:tc>
          <w:tcPr>
            <w:tcW w:w="342" w:type="dxa"/>
            <w:tcBorders>
              <w:bottom w:val="double" w:sz="4" w:space="0" w:color="auto"/>
            </w:tcBorders>
          </w:tcPr>
          <w:p w14:paraId="7CCA554E" w14:textId="07A1B1A5" w:rsidR="00F052D8" w:rsidRPr="00D7330E" w:rsidRDefault="00056A33" w:rsidP="00F052D8">
            <w:pPr>
              <w:pStyle w:val="NoSpacing"/>
              <w:jc w:val="both"/>
              <w:rPr>
                <w:sz w:val="26"/>
                <w:szCs w:val="26"/>
              </w:rPr>
            </w:pPr>
            <w:r>
              <w:rPr>
                <w:sz w:val="26"/>
                <w:szCs w:val="26"/>
              </w:rPr>
              <w:t>4</w:t>
            </w:r>
          </w:p>
        </w:tc>
        <w:tc>
          <w:tcPr>
            <w:tcW w:w="990" w:type="dxa"/>
            <w:tcBorders>
              <w:bottom w:val="double" w:sz="4" w:space="0" w:color="auto"/>
            </w:tcBorders>
            <w:shd w:val="clear" w:color="auto" w:fill="auto"/>
          </w:tcPr>
          <w:p w14:paraId="7937997A" w14:textId="74F70072" w:rsidR="00F052D8" w:rsidRPr="00D7330E" w:rsidRDefault="00F052D8" w:rsidP="00F052D8">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6507DF2B" w14:textId="4F30EC6A" w:rsidR="00F052D8" w:rsidRPr="00D7330E" w:rsidRDefault="00616398" w:rsidP="00F052D8">
            <w:pPr>
              <w:spacing w:after="0"/>
              <w:jc w:val="both"/>
              <w:rPr>
                <w:szCs w:val="26"/>
              </w:rPr>
            </w:pPr>
            <w:r w:rsidRPr="00D7330E">
              <w:rPr>
                <w:szCs w:val="26"/>
              </w:rPr>
              <w:t>Division of Intercollegiate Athletics (DIA)</w:t>
            </w:r>
          </w:p>
        </w:tc>
      </w:tr>
      <w:tr w:rsidR="00F052D8" w:rsidRPr="00D7330E" w14:paraId="0BBEAEF1" w14:textId="77777777" w:rsidTr="003E1FA3">
        <w:trPr>
          <w:trHeight w:val="333"/>
        </w:trPr>
        <w:tc>
          <w:tcPr>
            <w:tcW w:w="342" w:type="dxa"/>
            <w:tcBorders>
              <w:top w:val="double" w:sz="4" w:space="0" w:color="auto"/>
            </w:tcBorders>
          </w:tcPr>
          <w:p w14:paraId="37049EC9" w14:textId="77777777" w:rsidR="00F052D8" w:rsidRPr="00D7330E" w:rsidRDefault="00F052D8" w:rsidP="00F052D8">
            <w:pPr>
              <w:pStyle w:val="NoSpacing"/>
              <w:jc w:val="both"/>
              <w:rPr>
                <w:sz w:val="26"/>
                <w:szCs w:val="26"/>
              </w:rPr>
            </w:pPr>
          </w:p>
        </w:tc>
        <w:tc>
          <w:tcPr>
            <w:tcW w:w="990" w:type="dxa"/>
            <w:tcBorders>
              <w:top w:val="double" w:sz="4" w:space="0" w:color="auto"/>
            </w:tcBorders>
            <w:shd w:val="clear" w:color="auto" w:fill="auto"/>
          </w:tcPr>
          <w:p w14:paraId="42D904FC" w14:textId="77777777" w:rsidR="00F052D8" w:rsidRPr="00D7330E" w:rsidRDefault="00F052D8" w:rsidP="00F052D8">
            <w:pPr>
              <w:pStyle w:val="NoSpacing"/>
              <w:rPr>
                <w:sz w:val="26"/>
                <w:szCs w:val="26"/>
              </w:rPr>
            </w:pPr>
          </w:p>
          <w:p w14:paraId="474C636E" w14:textId="1AA0FCDC" w:rsidR="00F052D8" w:rsidRPr="00D7330E" w:rsidRDefault="00F052D8" w:rsidP="00F052D8">
            <w:pPr>
              <w:pStyle w:val="NoSpacing"/>
              <w:jc w:val="both"/>
              <w:rPr>
                <w:sz w:val="26"/>
                <w:szCs w:val="26"/>
              </w:rPr>
            </w:pPr>
            <w:r w:rsidRPr="00D7330E">
              <w:rPr>
                <w:sz w:val="26"/>
                <w:szCs w:val="26"/>
              </w:rPr>
              <w:lastRenderedPageBreak/>
              <w:t>Item</w:t>
            </w:r>
          </w:p>
        </w:tc>
        <w:tc>
          <w:tcPr>
            <w:tcW w:w="8118" w:type="dxa"/>
            <w:tcBorders>
              <w:top w:val="double" w:sz="4" w:space="0" w:color="auto"/>
            </w:tcBorders>
            <w:shd w:val="clear" w:color="auto" w:fill="auto"/>
          </w:tcPr>
          <w:p w14:paraId="3F2F7796" w14:textId="77777777" w:rsidR="00F052D8" w:rsidRPr="00D7330E" w:rsidRDefault="00F052D8" w:rsidP="00F052D8">
            <w:pPr>
              <w:pStyle w:val="NoSpacing"/>
              <w:rPr>
                <w:sz w:val="26"/>
                <w:szCs w:val="26"/>
              </w:rPr>
            </w:pPr>
          </w:p>
          <w:p w14:paraId="588F47B4" w14:textId="785F0DCB" w:rsidR="00F052D8" w:rsidRPr="00D7330E" w:rsidRDefault="00616398" w:rsidP="00F052D8">
            <w:pPr>
              <w:spacing w:after="0"/>
              <w:jc w:val="both"/>
              <w:rPr>
                <w:szCs w:val="26"/>
              </w:rPr>
            </w:pPr>
            <w:r w:rsidRPr="00D7330E">
              <w:rPr>
                <w:szCs w:val="26"/>
              </w:rPr>
              <w:lastRenderedPageBreak/>
              <w:t>Renewal option for internal Travel Agency, for the period August 11, 2025, through August 10, 2030.</w:t>
            </w:r>
          </w:p>
        </w:tc>
      </w:tr>
      <w:tr w:rsidR="00F052D8" w:rsidRPr="00D7330E" w14:paraId="6AD4E238" w14:textId="77777777" w:rsidTr="003E1FA3">
        <w:trPr>
          <w:trHeight w:val="333"/>
        </w:trPr>
        <w:tc>
          <w:tcPr>
            <w:tcW w:w="342" w:type="dxa"/>
          </w:tcPr>
          <w:p w14:paraId="1903403F" w14:textId="77777777" w:rsidR="00F052D8" w:rsidRPr="00D7330E" w:rsidRDefault="00F052D8" w:rsidP="00F052D8">
            <w:pPr>
              <w:pStyle w:val="NoSpacing"/>
              <w:jc w:val="both"/>
              <w:rPr>
                <w:sz w:val="26"/>
                <w:szCs w:val="26"/>
              </w:rPr>
            </w:pPr>
          </w:p>
        </w:tc>
        <w:tc>
          <w:tcPr>
            <w:tcW w:w="990" w:type="dxa"/>
            <w:shd w:val="clear" w:color="auto" w:fill="auto"/>
          </w:tcPr>
          <w:p w14:paraId="2D113813" w14:textId="77777777" w:rsidR="00F052D8" w:rsidRPr="00D7330E" w:rsidRDefault="00F052D8" w:rsidP="00F052D8">
            <w:pPr>
              <w:pStyle w:val="NoSpacing"/>
              <w:rPr>
                <w:sz w:val="26"/>
                <w:szCs w:val="26"/>
              </w:rPr>
            </w:pPr>
          </w:p>
          <w:p w14:paraId="2CC4803D" w14:textId="08A0F491" w:rsidR="00F052D8" w:rsidRPr="00D7330E" w:rsidRDefault="00F052D8" w:rsidP="00F052D8">
            <w:pPr>
              <w:pStyle w:val="NoSpacing"/>
              <w:jc w:val="both"/>
              <w:rPr>
                <w:sz w:val="26"/>
                <w:szCs w:val="26"/>
              </w:rPr>
            </w:pPr>
            <w:r w:rsidRPr="00D7330E">
              <w:rPr>
                <w:sz w:val="26"/>
                <w:szCs w:val="26"/>
              </w:rPr>
              <w:t>Cost</w:t>
            </w:r>
          </w:p>
        </w:tc>
        <w:tc>
          <w:tcPr>
            <w:tcW w:w="8118" w:type="dxa"/>
            <w:shd w:val="clear" w:color="auto" w:fill="auto"/>
          </w:tcPr>
          <w:p w14:paraId="27B14898" w14:textId="77777777" w:rsidR="00F052D8" w:rsidRPr="00D7330E" w:rsidRDefault="00F052D8" w:rsidP="00F052D8">
            <w:pPr>
              <w:pStyle w:val="NoSpacing"/>
              <w:rPr>
                <w:sz w:val="26"/>
                <w:szCs w:val="26"/>
              </w:rPr>
            </w:pPr>
          </w:p>
          <w:p w14:paraId="0978655A" w14:textId="200C6BC4" w:rsidR="00F052D8" w:rsidRPr="00D7330E" w:rsidRDefault="00616398" w:rsidP="00616398">
            <w:pPr>
              <w:tabs>
                <w:tab w:val="left" w:pos="-720"/>
                <w:tab w:val="left" w:pos="0"/>
                <w:tab w:val="left" w:pos="720"/>
                <w:tab w:val="left" w:pos="1080"/>
                <w:tab w:val="left" w:pos="1440"/>
              </w:tabs>
              <w:suppressAutoHyphens/>
              <w:jc w:val="both"/>
              <w:rPr>
                <w:szCs w:val="26"/>
              </w:rPr>
            </w:pPr>
            <w:r w:rsidRPr="00D7330E">
              <w:rPr>
                <w:szCs w:val="26"/>
              </w:rPr>
              <w:t xml:space="preserve">$51,257,189 (Estimated) </w:t>
            </w:r>
          </w:p>
        </w:tc>
      </w:tr>
      <w:tr w:rsidR="00F052D8" w:rsidRPr="00D7330E" w14:paraId="0E234F1E" w14:textId="77777777" w:rsidTr="003E1FA3">
        <w:trPr>
          <w:trHeight w:val="333"/>
        </w:trPr>
        <w:tc>
          <w:tcPr>
            <w:tcW w:w="342" w:type="dxa"/>
          </w:tcPr>
          <w:p w14:paraId="0B2E18D9" w14:textId="77777777" w:rsidR="00F052D8" w:rsidRPr="00D7330E" w:rsidRDefault="00F052D8" w:rsidP="00F052D8">
            <w:pPr>
              <w:pStyle w:val="NoSpacing"/>
              <w:jc w:val="both"/>
              <w:rPr>
                <w:sz w:val="26"/>
                <w:szCs w:val="26"/>
              </w:rPr>
            </w:pPr>
          </w:p>
        </w:tc>
        <w:tc>
          <w:tcPr>
            <w:tcW w:w="990" w:type="dxa"/>
            <w:shd w:val="clear" w:color="auto" w:fill="auto"/>
          </w:tcPr>
          <w:p w14:paraId="027BE1C7" w14:textId="21D312FA" w:rsidR="00F052D8" w:rsidRPr="00D7330E" w:rsidRDefault="00F052D8" w:rsidP="00F052D8">
            <w:pPr>
              <w:pStyle w:val="NoSpacing"/>
              <w:jc w:val="both"/>
              <w:rPr>
                <w:sz w:val="26"/>
                <w:szCs w:val="26"/>
              </w:rPr>
            </w:pPr>
            <w:r w:rsidRPr="00D7330E">
              <w:rPr>
                <w:sz w:val="26"/>
                <w:szCs w:val="26"/>
              </w:rPr>
              <w:t>Vendor</w:t>
            </w:r>
          </w:p>
        </w:tc>
        <w:tc>
          <w:tcPr>
            <w:tcW w:w="8118" w:type="dxa"/>
            <w:shd w:val="clear" w:color="auto" w:fill="auto"/>
          </w:tcPr>
          <w:p w14:paraId="00F8E766" w14:textId="59F1E04F" w:rsidR="00F052D8" w:rsidRPr="00D7330E" w:rsidRDefault="00616398" w:rsidP="00616398">
            <w:pPr>
              <w:pStyle w:val="Heading2"/>
              <w:rPr>
                <w:rFonts w:ascii="Times New Roman" w:hAnsi="Times New Roman"/>
                <w:b w:val="0"/>
                <w:i w:val="0"/>
                <w:sz w:val="26"/>
                <w:szCs w:val="26"/>
              </w:rPr>
            </w:pPr>
            <w:r w:rsidRPr="00D7330E">
              <w:rPr>
                <w:rFonts w:ascii="Times New Roman" w:hAnsi="Times New Roman"/>
                <w:b w:val="0"/>
                <w:i w:val="0"/>
                <w:sz w:val="26"/>
                <w:szCs w:val="26"/>
              </w:rPr>
              <w:t>Anthony Travel, LLC.</w:t>
            </w:r>
            <w:r w:rsidR="00D743A9" w:rsidRPr="00D7330E">
              <w:rPr>
                <w:rFonts w:ascii="Times New Roman" w:hAnsi="Times New Roman"/>
                <w:b w:val="0"/>
                <w:i w:val="0"/>
                <w:sz w:val="26"/>
                <w:szCs w:val="26"/>
              </w:rPr>
              <w:t xml:space="preserve">                            </w:t>
            </w:r>
            <w:r w:rsidRPr="00D7330E">
              <w:rPr>
                <w:rFonts w:ascii="Times New Roman" w:hAnsi="Times New Roman"/>
                <w:b w:val="0"/>
                <w:i w:val="0"/>
                <w:sz w:val="26"/>
                <w:szCs w:val="26"/>
              </w:rPr>
              <w:t xml:space="preserve"> Dallas, TX</w:t>
            </w:r>
            <w:r w:rsidR="00D743A9" w:rsidRPr="00D7330E">
              <w:rPr>
                <w:rFonts w:ascii="Times New Roman" w:hAnsi="Times New Roman"/>
                <w:b w:val="0"/>
                <w:i w:val="0"/>
                <w:sz w:val="26"/>
                <w:szCs w:val="26"/>
              </w:rPr>
              <w:t xml:space="preserve">  </w:t>
            </w:r>
            <w:r w:rsidR="00D743A9" w:rsidRPr="00D7330E">
              <w:rPr>
                <w:sz w:val="26"/>
                <w:szCs w:val="26"/>
              </w:rPr>
              <w:t xml:space="preserve"> </w:t>
            </w:r>
            <w:r w:rsidR="00F052D8" w:rsidRPr="00D7330E">
              <w:rPr>
                <w:sz w:val="26"/>
                <w:szCs w:val="26"/>
              </w:rPr>
              <w:t xml:space="preserve"> </w:t>
            </w:r>
          </w:p>
          <w:p w14:paraId="65913175" w14:textId="77777777" w:rsidR="00F052D8" w:rsidRPr="00D7330E" w:rsidRDefault="00F052D8" w:rsidP="00F052D8">
            <w:pPr>
              <w:spacing w:after="0"/>
              <w:jc w:val="both"/>
              <w:rPr>
                <w:szCs w:val="26"/>
              </w:rPr>
            </w:pPr>
          </w:p>
        </w:tc>
      </w:tr>
      <w:tr w:rsidR="00F052D8" w:rsidRPr="00D7330E" w14:paraId="0F8FD728" w14:textId="77777777" w:rsidTr="003E1FA3">
        <w:trPr>
          <w:trHeight w:val="333"/>
        </w:trPr>
        <w:tc>
          <w:tcPr>
            <w:tcW w:w="342" w:type="dxa"/>
          </w:tcPr>
          <w:p w14:paraId="57958A15" w14:textId="77777777" w:rsidR="00F052D8" w:rsidRPr="00D7330E" w:rsidRDefault="00F052D8" w:rsidP="00F052D8">
            <w:pPr>
              <w:pStyle w:val="NoSpacing"/>
              <w:jc w:val="both"/>
              <w:rPr>
                <w:sz w:val="26"/>
                <w:szCs w:val="26"/>
              </w:rPr>
            </w:pPr>
          </w:p>
        </w:tc>
        <w:tc>
          <w:tcPr>
            <w:tcW w:w="990" w:type="dxa"/>
            <w:shd w:val="clear" w:color="auto" w:fill="auto"/>
          </w:tcPr>
          <w:p w14:paraId="1EDF1F5F" w14:textId="77777777" w:rsidR="00F052D8" w:rsidRPr="00D7330E" w:rsidRDefault="00F052D8" w:rsidP="00F052D8">
            <w:pPr>
              <w:pStyle w:val="NoSpacing"/>
              <w:jc w:val="both"/>
              <w:rPr>
                <w:sz w:val="26"/>
                <w:szCs w:val="26"/>
              </w:rPr>
            </w:pPr>
          </w:p>
        </w:tc>
        <w:tc>
          <w:tcPr>
            <w:tcW w:w="8118" w:type="dxa"/>
            <w:shd w:val="clear" w:color="auto" w:fill="auto"/>
          </w:tcPr>
          <w:p w14:paraId="45D5D349" w14:textId="7C8D4FCE" w:rsidR="00616398" w:rsidRPr="00D7330E" w:rsidRDefault="00616398" w:rsidP="00616398">
            <w:pPr>
              <w:rPr>
                <w:szCs w:val="26"/>
              </w:rPr>
            </w:pPr>
            <w:r w:rsidRPr="00D7330E">
              <w:rPr>
                <w:szCs w:val="26"/>
              </w:rPr>
              <w:t>This will exercise all five renewal options.</w:t>
            </w:r>
            <w:r w:rsidR="00D743A9" w:rsidRPr="00D7330E">
              <w:rPr>
                <w:szCs w:val="26"/>
              </w:rPr>
              <w:t xml:space="preserve"> </w:t>
            </w:r>
            <w:r w:rsidRPr="00D7330E">
              <w:rPr>
                <w:szCs w:val="26"/>
              </w:rPr>
              <w:t>The Board of Trustees approved change orders on May 20, 2021, for an estimated $26,000,000, and July 10, 2024, for an estimated $11,000,000 more for the remaining term of the contract.</w:t>
            </w:r>
            <w:r w:rsidR="00D743A9" w:rsidRPr="00D7330E">
              <w:rPr>
                <w:szCs w:val="26"/>
              </w:rPr>
              <w:t xml:space="preserve"> </w:t>
            </w:r>
            <w:r w:rsidRPr="00D7330E">
              <w:rPr>
                <w:szCs w:val="26"/>
              </w:rPr>
              <w:t>Competitive bidding procedures were followed in accordance with the Illinois Procurement Code.</w:t>
            </w:r>
          </w:p>
          <w:p w14:paraId="371760BA" w14:textId="597157B5" w:rsidR="00616398" w:rsidRPr="00D7330E" w:rsidRDefault="00616398" w:rsidP="00616398">
            <w:pPr>
              <w:pStyle w:val="BodyText"/>
              <w:ind w:right="15"/>
              <w:rPr>
                <w:sz w:val="26"/>
                <w:szCs w:val="26"/>
              </w:rPr>
            </w:pPr>
            <w:r w:rsidRPr="00D7330E">
              <w:rPr>
                <w:sz w:val="26"/>
                <w:szCs w:val="26"/>
              </w:rPr>
              <w:t>Anthony Travel, LLC will provide comprehensive travel agency services as well as a dedicated full-time in-house representative(s) located on site at DIA.</w:t>
            </w:r>
            <w:r w:rsidR="00D743A9" w:rsidRPr="00D7330E">
              <w:rPr>
                <w:sz w:val="26"/>
                <w:szCs w:val="26"/>
              </w:rPr>
              <w:t xml:space="preserve"> </w:t>
            </w:r>
            <w:r w:rsidRPr="00D7330E">
              <w:rPr>
                <w:sz w:val="26"/>
                <w:szCs w:val="26"/>
              </w:rPr>
              <w:t>Anthony Travel, LLC provides a complete travel management program, including a dedicated service representative, high level customer service, online reservation capabilities and cost savings related to travel expenses.</w:t>
            </w:r>
            <w:r w:rsidR="00D743A9" w:rsidRPr="00D7330E">
              <w:rPr>
                <w:sz w:val="26"/>
                <w:szCs w:val="26"/>
              </w:rPr>
              <w:t xml:space="preserve"> </w:t>
            </w:r>
            <w:r w:rsidRPr="00D7330E">
              <w:rPr>
                <w:sz w:val="26"/>
                <w:szCs w:val="26"/>
              </w:rPr>
              <w:t>Previously, these services were performed by internal staff and use of the University’s system online booking tool.</w:t>
            </w:r>
            <w:r w:rsidR="00D743A9" w:rsidRPr="00D7330E">
              <w:rPr>
                <w:sz w:val="26"/>
                <w:szCs w:val="26"/>
              </w:rPr>
              <w:t xml:space="preserve"> </w:t>
            </w:r>
            <w:r w:rsidRPr="00D7330E">
              <w:rPr>
                <w:sz w:val="26"/>
                <w:szCs w:val="26"/>
              </w:rPr>
              <w:t>Anthony Travel will not be responsible for any local travel, commercial air, or NCAA travel when directed by the NCAA.</w:t>
            </w:r>
          </w:p>
          <w:p w14:paraId="16E684CF" w14:textId="77777777" w:rsidR="00616398" w:rsidRPr="00D7330E" w:rsidRDefault="00616398" w:rsidP="00616398">
            <w:pPr>
              <w:rPr>
                <w:szCs w:val="26"/>
              </w:rPr>
            </w:pPr>
          </w:p>
          <w:p w14:paraId="2481A662" w14:textId="37D75CE4" w:rsidR="00616398" w:rsidRPr="00D7330E" w:rsidRDefault="00616398" w:rsidP="00616398">
            <w:pPr>
              <w:rPr>
                <w:szCs w:val="26"/>
              </w:rPr>
            </w:pPr>
            <w:bookmarkStart w:id="4" w:name="_Hlk126671218"/>
            <w:r w:rsidRPr="00D7330E">
              <w:rPr>
                <w:szCs w:val="26"/>
              </w:rPr>
              <w:t>The vendor has demonstrated satisfactory performance in fulfilling the terms and conditions of their contract.</w:t>
            </w:r>
            <w:r w:rsidR="00D743A9" w:rsidRPr="00D7330E">
              <w:rPr>
                <w:szCs w:val="26"/>
              </w:rPr>
              <w:t xml:space="preserve"> </w:t>
            </w:r>
            <w:r w:rsidRPr="00D7330E">
              <w:rPr>
                <w:szCs w:val="26"/>
              </w:rPr>
              <w:t>After negotiations with the vendor, pricing, for the remaining 5 years, will only increase by 2%.</w:t>
            </w:r>
          </w:p>
          <w:bookmarkEnd w:id="4"/>
          <w:p w14:paraId="70C34DE2" w14:textId="68BB8038" w:rsidR="00F052D8" w:rsidRPr="00D7330E" w:rsidRDefault="00F052D8" w:rsidP="00F052D8">
            <w:pPr>
              <w:spacing w:after="0"/>
              <w:jc w:val="both"/>
              <w:rPr>
                <w:szCs w:val="26"/>
              </w:rPr>
            </w:pPr>
          </w:p>
        </w:tc>
      </w:tr>
      <w:tr w:rsidR="00F9182A" w:rsidRPr="00D7330E" w14:paraId="69BB627E" w14:textId="77777777" w:rsidTr="00745F73">
        <w:trPr>
          <w:trHeight w:val="333"/>
        </w:trPr>
        <w:tc>
          <w:tcPr>
            <w:tcW w:w="342" w:type="dxa"/>
          </w:tcPr>
          <w:p w14:paraId="51C0FF68" w14:textId="7C6D375C" w:rsidR="00F9182A" w:rsidRPr="00D7330E" w:rsidRDefault="00F9182A" w:rsidP="00F9182A">
            <w:pPr>
              <w:pStyle w:val="NoSpacing"/>
              <w:jc w:val="both"/>
              <w:rPr>
                <w:sz w:val="26"/>
                <w:szCs w:val="26"/>
              </w:rPr>
            </w:pPr>
          </w:p>
        </w:tc>
        <w:tc>
          <w:tcPr>
            <w:tcW w:w="990" w:type="dxa"/>
            <w:shd w:val="clear" w:color="auto" w:fill="auto"/>
            <w:vAlign w:val="center"/>
          </w:tcPr>
          <w:p w14:paraId="741312C4" w14:textId="09722E77" w:rsidR="00F9182A" w:rsidRPr="00D7330E" w:rsidRDefault="00F9182A" w:rsidP="00F9182A">
            <w:pPr>
              <w:pStyle w:val="NoSpacing"/>
              <w:jc w:val="both"/>
              <w:rPr>
                <w:sz w:val="26"/>
                <w:szCs w:val="26"/>
              </w:rPr>
            </w:pPr>
          </w:p>
        </w:tc>
        <w:tc>
          <w:tcPr>
            <w:tcW w:w="8118" w:type="dxa"/>
            <w:shd w:val="clear" w:color="auto" w:fill="auto"/>
            <w:vAlign w:val="center"/>
          </w:tcPr>
          <w:p w14:paraId="1AC3EF2D" w14:textId="6D69A880" w:rsidR="00F9182A" w:rsidRPr="00D7330E" w:rsidRDefault="00F9182A" w:rsidP="00F9182A">
            <w:pPr>
              <w:spacing w:after="0"/>
              <w:jc w:val="both"/>
              <w:rPr>
                <w:szCs w:val="26"/>
              </w:rPr>
            </w:pPr>
          </w:p>
        </w:tc>
      </w:tr>
      <w:tr w:rsidR="00F9182A" w:rsidRPr="00D7330E" w14:paraId="62B4CDCC" w14:textId="77777777" w:rsidTr="00B03C9B">
        <w:trPr>
          <w:trHeight w:val="333"/>
        </w:trPr>
        <w:tc>
          <w:tcPr>
            <w:tcW w:w="9450" w:type="dxa"/>
            <w:gridSpan w:val="3"/>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9182A" w:rsidRPr="00D7330E" w14:paraId="6F242305" w14:textId="77777777" w:rsidTr="00701ADE">
              <w:trPr>
                <w:trHeight w:val="114"/>
              </w:trPr>
              <w:tc>
                <w:tcPr>
                  <w:tcW w:w="9454" w:type="dxa"/>
                  <w:tcBorders>
                    <w:top w:val="single" w:sz="18" w:space="0" w:color="auto"/>
                    <w:bottom w:val="single" w:sz="18" w:space="0" w:color="auto"/>
                  </w:tcBorders>
                </w:tcPr>
                <w:p w14:paraId="1028251A" w14:textId="6DFA8920" w:rsidR="00F9182A" w:rsidRPr="00D7330E" w:rsidRDefault="00F9182A" w:rsidP="00F9182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University of Illinois System Office</w:t>
                  </w:r>
                </w:p>
              </w:tc>
            </w:tr>
          </w:tbl>
          <w:p w14:paraId="4CEE07FA" w14:textId="77777777" w:rsidR="00F9182A" w:rsidRPr="00D7330E" w:rsidRDefault="00F9182A" w:rsidP="00F9182A">
            <w:pPr>
              <w:spacing w:after="0"/>
              <w:jc w:val="both"/>
              <w:rPr>
                <w:szCs w:val="26"/>
              </w:rPr>
            </w:pPr>
          </w:p>
        </w:tc>
      </w:tr>
      <w:tr w:rsidR="00F9182A" w:rsidRPr="00D7330E" w14:paraId="241580D9" w14:textId="77777777" w:rsidTr="003E1FA3">
        <w:trPr>
          <w:trHeight w:val="333"/>
        </w:trPr>
        <w:tc>
          <w:tcPr>
            <w:tcW w:w="342" w:type="dxa"/>
          </w:tcPr>
          <w:p w14:paraId="39E7186C" w14:textId="77777777" w:rsidR="00F9182A" w:rsidRPr="00D7330E" w:rsidRDefault="00F9182A" w:rsidP="00F9182A">
            <w:pPr>
              <w:pStyle w:val="NoSpacing"/>
              <w:jc w:val="both"/>
              <w:rPr>
                <w:sz w:val="26"/>
                <w:szCs w:val="26"/>
              </w:rPr>
            </w:pPr>
          </w:p>
        </w:tc>
        <w:tc>
          <w:tcPr>
            <w:tcW w:w="990" w:type="dxa"/>
            <w:shd w:val="clear" w:color="auto" w:fill="auto"/>
          </w:tcPr>
          <w:p w14:paraId="71A0B6CE" w14:textId="77777777" w:rsidR="00F9182A" w:rsidRPr="00D7330E" w:rsidRDefault="00F9182A" w:rsidP="00F9182A">
            <w:pPr>
              <w:pStyle w:val="NoSpacing"/>
              <w:jc w:val="both"/>
              <w:rPr>
                <w:sz w:val="26"/>
                <w:szCs w:val="26"/>
              </w:rPr>
            </w:pPr>
          </w:p>
        </w:tc>
        <w:tc>
          <w:tcPr>
            <w:tcW w:w="8118" w:type="dxa"/>
            <w:shd w:val="clear" w:color="auto" w:fill="auto"/>
          </w:tcPr>
          <w:p w14:paraId="3D91F94B" w14:textId="77777777" w:rsidR="00F9182A" w:rsidRPr="00D7330E" w:rsidRDefault="00F9182A" w:rsidP="00F9182A">
            <w:pPr>
              <w:spacing w:after="0"/>
              <w:jc w:val="both"/>
              <w:rPr>
                <w:szCs w:val="26"/>
              </w:rPr>
            </w:pPr>
          </w:p>
        </w:tc>
      </w:tr>
      <w:tr w:rsidR="00F9182A" w:rsidRPr="00D7330E" w14:paraId="753958E9" w14:textId="77777777" w:rsidTr="003E1FA3">
        <w:trPr>
          <w:trHeight w:val="333"/>
        </w:trPr>
        <w:tc>
          <w:tcPr>
            <w:tcW w:w="342" w:type="dxa"/>
            <w:tcBorders>
              <w:bottom w:val="double" w:sz="4" w:space="0" w:color="auto"/>
            </w:tcBorders>
          </w:tcPr>
          <w:p w14:paraId="702FBEB8" w14:textId="758F697E" w:rsidR="00F9182A" w:rsidRPr="00D7330E" w:rsidRDefault="00056A33" w:rsidP="00F9182A">
            <w:pPr>
              <w:pStyle w:val="NoSpacing"/>
              <w:jc w:val="both"/>
              <w:rPr>
                <w:sz w:val="26"/>
                <w:szCs w:val="26"/>
              </w:rPr>
            </w:pPr>
            <w:r>
              <w:rPr>
                <w:sz w:val="26"/>
                <w:szCs w:val="26"/>
              </w:rPr>
              <w:t>5</w:t>
            </w:r>
          </w:p>
        </w:tc>
        <w:tc>
          <w:tcPr>
            <w:tcW w:w="990" w:type="dxa"/>
            <w:tcBorders>
              <w:bottom w:val="double" w:sz="4" w:space="0" w:color="auto"/>
            </w:tcBorders>
            <w:shd w:val="clear" w:color="auto" w:fill="auto"/>
          </w:tcPr>
          <w:p w14:paraId="72B49EAA" w14:textId="1B983C50" w:rsidR="00F9182A" w:rsidRPr="00D7330E" w:rsidRDefault="00F9182A" w:rsidP="00F9182A">
            <w:pPr>
              <w:pStyle w:val="NoSpacing"/>
              <w:jc w:val="both"/>
              <w:rPr>
                <w:sz w:val="26"/>
                <w:szCs w:val="26"/>
              </w:rPr>
            </w:pPr>
            <w:r w:rsidRPr="00D7330E">
              <w:rPr>
                <w:sz w:val="26"/>
                <w:szCs w:val="26"/>
              </w:rPr>
              <w:t>Unit</w:t>
            </w:r>
          </w:p>
        </w:tc>
        <w:tc>
          <w:tcPr>
            <w:tcW w:w="8118" w:type="dxa"/>
            <w:tcBorders>
              <w:bottom w:val="double" w:sz="4" w:space="0" w:color="auto"/>
            </w:tcBorders>
            <w:shd w:val="clear" w:color="auto" w:fill="auto"/>
          </w:tcPr>
          <w:p w14:paraId="1637C97C" w14:textId="7C918B00" w:rsidR="00F9182A" w:rsidRPr="00D7330E" w:rsidRDefault="00F9182A" w:rsidP="00F9182A">
            <w:pPr>
              <w:spacing w:after="0"/>
              <w:jc w:val="both"/>
              <w:rPr>
                <w:szCs w:val="26"/>
              </w:rPr>
            </w:pPr>
            <w:r w:rsidRPr="00D7330E">
              <w:rPr>
                <w:szCs w:val="26"/>
              </w:rPr>
              <w:t>Consortium of Academic and Research Libraries in Illinois (CARLI)</w:t>
            </w:r>
          </w:p>
        </w:tc>
      </w:tr>
      <w:tr w:rsidR="00F9182A" w:rsidRPr="00D7330E" w14:paraId="01AB1587" w14:textId="77777777" w:rsidTr="00F076EC">
        <w:trPr>
          <w:trHeight w:val="510"/>
        </w:trPr>
        <w:tc>
          <w:tcPr>
            <w:tcW w:w="342" w:type="dxa"/>
            <w:tcBorders>
              <w:top w:val="double" w:sz="4" w:space="0" w:color="auto"/>
            </w:tcBorders>
          </w:tcPr>
          <w:p w14:paraId="321A36F7" w14:textId="77777777" w:rsidR="00F9182A" w:rsidRPr="00D7330E" w:rsidRDefault="00F9182A" w:rsidP="00F9182A">
            <w:pPr>
              <w:pStyle w:val="NoSpacing"/>
              <w:rPr>
                <w:sz w:val="26"/>
                <w:szCs w:val="26"/>
              </w:rPr>
            </w:pPr>
          </w:p>
        </w:tc>
        <w:tc>
          <w:tcPr>
            <w:tcW w:w="990" w:type="dxa"/>
            <w:tcBorders>
              <w:top w:val="double" w:sz="4" w:space="0" w:color="auto"/>
            </w:tcBorders>
            <w:shd w:val="clear" w:color="auto" w:fill="auto"/>
          </w:tcPr>
          <w:p w14:paraId="1AA2A11E" w14:textId="77777777" w:rsidR="00F9182A" w:rsidRPr="00D7330E" w:rsidRDefault="00F9182A" w:rsidP="00F9182A">
            <w:pPr>
              <w:pStyle w:val="NoSpacing"/>
              <w:rPr>
                <w:sz w:val="26"/>
                <w:szCs w:val="26"/>
              </w:rPr>
            </w:pPr>
          </w:p>
          <w:p w14:paraId="32BB7C3F" w14:textId="6C0BCAA5" w:rsidR="00F9182A" w:rsidRPr="00D7330E" w:rsidRDefault="00F9182A" w:rsidP="00F9182A">
            <w:pPr>
              <w:pStyle w:val="NoSpacing"/>
              <w:rPr>
                <w:sz w:val="26"/>
                <w:szCs w:val="26"/>
              </w:rPr>
            </w:pPr>
            <w:r w:rsidRPr="00D7330E">
              <w:rPr>
                <w:sz w:val="26"/>
                <w:szCs w:val="26"/>
              </w:rPr>
              <w:t>Item</w:t>
            </w:r>
          </w:p>
        </w:tc>
        <w:tc>
          <w:tcPr>
            <w:tcW w:w="8118" w:type="dxa"/>
            <w:tcBorders>
              <w:top w:val="double" w:sz="4" w:space="0" w:color="auto"/>
            </w:tcBorders>
            <w:shd w:val="clear" w:color="auto" w:fill="auto"/>
            <w:vAlign w:val="center"/>
          </w:tcPr>
          <w:p w14:paraId="3172DB01" w14:textId="77777777" w:rsidR="00F9182A" w:rsidRPr="00D7330E" w:rsidRDefault="00F9182A" w:rsidP="00F9182A">
            <w:pPr>
              <w:pStyle w:val="NoSpacing"/>
              <w:rPr>
                <w:sz w:val="26"/>
                <w:szCs w:val="26"/>
              </w:rPr>
            </w:pPr>
          </w:p>
          <w:p w14:paraId="5D9A408C" w14:textId="76E799B2" w:rsidR="00F9182A" w:rsidRPr="00D7330E" w:rsidRDefault="00F9182A" w:rsidP="00F9182A">
            <w:pPr>
              <w:pStyle w:val="NoSpacing"/>
              <w:rPr>
                <w:sz w:val="26"/>
                <w:szCs w:val="26"/>
              </w:rPr>
            </w:pPr>
            <w:r w:rsidRPr="00D7330E">
              <w:rPr>
                <w:color w:val="000000"/>
                <w:sz w:val="26"/>
                <w:szCs w:val="26"/>
              </w:rPr>
              <w:t>Renewal of an Annual License of Full-Text Journal Article databases Academic Search Complete Business Source Premier. Services will be for a two (2) year period beginning July 1, 2025, through June 30, 2027; renewal 5 and 6 of 8 available. There are two (2), one (1) year renewal options remaining.</w:t>
            </w:r>
          </w:p>
        </w:tc>
      </w:tr>
      <w:tr w:rsidR="00F9182A" w:rsidRPr="00D7330E" w14:paraId="796AD199" w14:textId="77777777" w:rsidTr="005274CF">
        <w:trPr>
          <w:trHeight w:val="150"/>
        </w:trPr>
        <w:tc>
          <w:tcPr>
            <w:tcW w:w="342" w:type="dxa"/>
          </w:tcPr>
          <w:p w14:paraId="568FF330" w14:textId="77777777" w:rsidR="00F9182A" w:rsidRPr="00D7330E" w:rsidRDefault="00F9182A" w:rsidP="00F9182A">
            <w:pPr>
              <w:pStyle w:val="NoSpacing"/>
              <w:rPr>
                <w:sz w:val="26"/>
                <w:szCs w:val="26"/>
              </w:rPr>
            </w:pPr>
          </w:p>
        </w:tc>
        <w:tc>
          <w:tcPr>
            <w:tcW w:w="990" w:type="dxa"/>
            <w:shd w:val="clear" w:color="auto" w:fill="auto"/>
          </w:tcPr>
          <w:p w14:paraId="50127206" w14:textId="77777777" w:rsidR="00F9182A" w:rsidRPr="00D7330E" w:rsidRDefault="00F9182A" w:rsidP="00F9182A">
            <w:pPr>
              <w:pStyle w:val="NoSpacing"/>
              <w:rPr>
                <w:sz w:val="26"/>
                <w:szCs w:val="26"/>
              </w:rPr>
            </w:pPr>
          </w:p>
          <w:p w14:paraId="6B716F1F" w14:textId="6EAD2A2B" w:rsidR="00F9182A" w:rsidRPr="00D7330E" w:rsidRDefault="00F9182A" w:rsidP="00F9182A">
            <w:pPr>
              <w:pStyle w:val="NoSpacing"/>
              <w:rPr>
                <w:sz w:val="26"/>
                <w:szCs w:val="26"/>
              </w:rPr>
            </w:pPr>
            <w:r w:rsidRPr="00D7330E">
              <w:rPr>
                <w:sz w:val="26"/>
                <w:szCs w:val="26"/>
              </w:rPr>
              <w:t>Cost</w:t>
            </w:r>
          </w:p>
        </w:tc>
        <w:tc>
          <w:tcPr>
            <w:tcW w:w="8118" w:type="dxa"/>
            <w:shd w:val="clear" w:color="auto" w:fill="auto"/>
          </w:tcPr>
          <w:p w14:paraId="396167A1" w14:textId="77777777" w:rsidR="00F9182A" w:rsidRPr="00D7330E" w:rsidRDefault="00F9182A" w:rsidP="00F9182A">
            <w:pPr>
              <w:spacing w:after="0"/>
              <w:rPr>
                <w:szCs w:val="26"/>
              </w:rPr>
            </w:pPr>
          </w:p>
          <w:p w14:paraId="027F587B" w14:textId="77777777" w:rsidR="00F9182A" w:rsidRPr="00D7330E" w:rsidRDefault="00F9182A" w:rsidP="00F9182A">
            <w:pPr>
              <w:tabs>
                <w:tab w:val="left" w:pos="-720"/>
                <w:tab w:val="left" w:pos="0"/>
                <w:tab w:val="left" w:pos="720"/>
                <w:tab w:val="left" w:pos="1080"/>
                <w:tab w:val="left" w:pos="1440"/>
              </w:tabs>
              <w:suppressAutoHyphens/>
              <w:jc w:val="both"/>
              <w:rPr>
                <w:szCs w:val="26"/>
              </w:rPr>
            </w:pPr>
            <w:r w:rsidRPr="00D7330E">
              <w:rPr>
                <w:szCs w:val="26"/>
              </w:rPr>
              <w:t>Renewal 5 &amp; 6 of 8 $3,498,410 Estimated; Term 7/1/2025 – 6/30/2027</w:t>
            </w:r>
          </w:p>
          <w:p w14:paraId="79C0EDAC" w14:textId="6A722373" w:rsidR="00F9182A" w:rsidRPr="00D7330E" w:rsidRDefault="00F9182A" w:rsidP="00F9182A">
            <w:pPr>
              <w:tabs>
                <w:tab w:val="left" w:pos="-720"/>
                <w:tab w:val="left" w:pos="0"/>
                <w:tab w:val="left" w:pos="720"/>
                <w:tab w:val="left" w:pos="1080"/>
                <w:tab w:val="left" w:pos="1440"/>
              </w:tabs>
              <w:suppressAutoHyphens/>
              <w:jc w:val="both"/>
              <w:rPr>
                <w:szCs w:val="26"/>
              </w:rPr>
            </w:pPr>
            <w:r w:rsidRPr="00D7330E">
              <w:rPr>
                <w:szCs w:val="26"/>
              </w:rPr>
              <w:t>Renewals Remaining: 2 one-year renewal options –$3.5M estimated</w:t>
            </w:r>
          </w:p>
        </w:tc>
      </w:tr>
      <w:tr w:rsidR="00F9182A" w:rsidRPr="00D7330E" w14:paraId="76B3DC5C" w14:textId="77777777" w:rsidTr="005274CF">
        <w:trPr>
          <w:trHeight w:val="150"/>
        </w:trPr>
        <w:tc>
          <w:tcPr>
            <w:tcW w:w="342" w:type="dxa"/>
          </w:tcPr>
          <w:p w14:paraId="22094E1C" w14:textId="77777777" w:rsidR="00F9182A" w:rsidRPr="00D7330E" w:rsidRDefault="00F9182A" w:rsidP="00F9182A">
            <w:pPr>
              <w:pStyle w:val="NoSpacing"/>
              <w:rPr>
                <w:sz w:val="26"/>
                <w:szCs w:val="26"/>
              </w:rPr>
            </w:pPr>
          </w:p>
        </w:tc>
        <w:tc>
          <w:tcPr>
            <w:tcW w:w="990" w:type="dxa"/>
            <w:shd w:val="clear" w:color="auto" w:fill="auto"/>
          </w:tcPr>
          <w:p w14:paraId="5A06501A" w14:textId="2D1A961B" w:rsidR="00F9182A" w:rsidRPr="00D7330E" w:rsidRDefault="00F9182A" w:rsidP="00F9182A">
            <w:pPr>
              <w:pStyle w:val="NoSpacing"/>
              <w:rPr>
                <w:sz w:val="26"/>
                <w:szCs w:val="26"/>
              </w:rPr>
            </w:pPr>
            <w:r w:rsidRPr="00D7330E">
              <w:rPr>
                <w:sz w:val="26"/>
                <w:szCs w:val="26"/>
              </w:rPr>
              <w:t>Vendor</w:t>
            </w:r>
          </w:p>
        </w:tc>
        <w:tc>
          <w:tcPr>
            <w:tcW w:w="8118" w:type="dxa"/>
            <w:shd w:val="clear" w:color="auto" w:fill="auto"/>
          </w:tcPr>
          <w:p w14:paraId="698C3D75" w14:textId="67E461BC" w:rsidR="00F9182A" w:rsidRPr="00D7330E" w:rsidRDefault="00F9182A" w:rsidP="00F9182A">
            <w:pPr>
              <w:pStyle w:val="Heading2"/>
              <w:spacing w:before="0" w:after="0"/>
              <w:rPr>
                <w:rFonts w:ascii="Times New Roman" w:hAnsi="Times New Roman"/>
                <w:b w:val="0"/>
                <w:i w:val="0"/>
                <w:sz w:val="26"/>
                <w:szCs w:val="26"/>
              </w:rPr>
            </w:pPr>
            <w:r w:rsidRPr="00D7330E">
              <w:rPr>
                <w:rFonts w:ascii="Times New Roman" w:hAnsi="Times New Roman"/>
                <w:b w:val="0"/>
                <w:i w:val="0"/>
                <w:sz w:val="26"/>
                <w:szCs w:val="26"/>
              </w:rPr>
              <w:t>EBSCO Information Services, LLC                  Birmingham, AL</w:t>
            </w:r>
          </w:p>
          <w:p w14:paraId="3F3BDDAC" w14:textId="77777777" w:rsidR="00F9182A" w:rsidRPr="00D7330E" w:rsidRDefault="00F9182A" w:rsidP="00F9182A">
            <w:pPr>
              <w:spacing w:after="0"/>
              <w:rPr>
                <w:szCs w:val="26"/>
              </w:rPr>
            </w:pPr>
          </w:p>
        </w:tc>
      </w:tr>
      <w:tr w:rsidR="00F9182A" w:rsidRPr="00D7330E" w14:paraId="25A50CAA" w14:textId="77777777" w:rsidTr="005274CF">
        <w:trPr>
          <w:trHeight w:val="150"/>
        </w:trPr>
        <w:tc>
          <w:tcPr>
            <w:tcW w:w="342" w:type="dxa"/>
          </w:tcPr>
          <w:p w14:paraId="7B8DEF62" w14:textId="77777777" w:rsidR="00F9182A" w:rsidRPr="00D7330E" w:rsidRDefault="00F9182A" w:rsidP="00F9182A">
            <w:pPr>
              <w:pStyle w:val="NoSpacing"/>
              <w:rPr>
                <w:sz w:val="26"/>
                <w:szCs w:val="26"/>
              </w:rPr>
            </w:pPr>
          </w:p>
        </w:tc>
        <w:tc>
          <w:tcPr>
            <w:tcW w:w="990" w:type="dxa"/>
            <w:shd w:val="clear" w:color="auto" w:fill="auto"/>
          </w:tcPr>
          <w:p w14:paraId="0F256E21" w14:textId="77777777" w:rsidR="00F9182A" w:rsidRPr="00D7330E" w:rsidRDefault="00F9182A" w:rsidP="00F9182A">
            <w:pPr>
              <w:pStyle w:val="NoSpacing"/>
              <w:rPr>
                <w:sz w:val="26"/>
                <w:szCs w:val="26"/>
              </w:rPr>
            </w:pPr>
          </w:p>
        </w:tc>
        <w:tc>
          <w:tcPr>
            <w:tcW w:w="8118" w:type="dxa"/>
            <w:shd w:val="clear" w:color="auto" w:fill="auto"/>
          </w:tcPr>
          <w:p w14:paraId="7FC0050B" w14:textId="3C5067E5" w:rsidR="00F9182A" w:rsidRPr="00D7330E" w:rsidRDefault="00F9182A" w:rsidP="00F9182A">
            <w:pPr>
              <w:overflowPunct w:val="0"/>
              <w:autoSpaceDE w:val="0"/>
              <w:autoSpaceDN w:val="0"/>
              <w:adjustRightInd w:val="0"/>
              <w:textAlignment w:val="baseline"/>
              <w:rPr>
                <w:szCs w:val="26"/>
              </w:rPr>
            </w:pPr>
            <w:r w:rsidRPr="00D7330E">
              <w:rPr>
                <w:szCs w:val="26"/>
              </w:rPr>
              <w:t>Exempt from competitive selection procedures in accordance with the Illinois Procurement Code (30 ILCS 500/1-13).</w:t>
            </w:r>
          </w:p>
          <w:p w14:paraId="67D0593C" w14:textId="1E0F38C6" w:rsidR="00F9182A" w:rsidRPr="00D7330E" w:rsidRDefault="00F9182A" w:rsidP="00F9182A">
            <w:pPr>
              <w:rPr>
                <w:szCs w:val="26"/>
              </w:rPr>
            </w:pPr>
            <w:r w:rsidRPr="00D7330E">
              <w:rPr>
                <w:szCs w:val="26"/>
              </w:rPr>
              <w:t>EBSCO Information Services, LLC has been contracted to provide access to CARLI members for the following products: - Academic Search Complete - Business Source Premier - Consumer Health Complete - Humanities Source Ultimate - Medline Ultimate – Military &amp; Government Collection – Time Magazine Archive – Child Development &amp; Adolescent Studies – Family &amp; Society Studies Worldwide – Family Studies Abstracts – Left Index – Novelist Plus – Urban Studies Abstracts – Violence &amp; Abuse Abstracts – Women’s Studies International</w:t>
            </w:r>
          </w:p>
          <w:p w14:paraId="707C1F02" w14:textId="413228B4" w:rsidR="00F9182A" w:rsidRPr="00D7330E" w:rsidRDefault="00F9182A" w:rsidP="00F9182A">
            <w:pPr>
              <w:rPr>
                <w:szCs w:val="26"/>
              </w:rPr>
            </w:pPr>
            <w:r w:rsidRPr="00D7330E">
              <w:rPr>
                <w:szCs w:val="26"/>
              </w:rPr>
              <w:t>This subscription is being paid through funds appropriated by the State</w:t>
            </w:r>
          </w:p>
          <w:p w14:paraId="29FE8E47" w14:textId="64BE733B" w:rsidR="00F9182A" w:rsidRPr="00D7330E" w:rsidRDefault="00F9182A" w:rsidP="00F9182A">
            <w:pPr>
              <w:spacing w:after="0"/>
              <w:rPr>
                <w:szCs w:val="26"/>
              </w:rPr>
            </w:pPr>
            <w:r w:rsidRPr="00D7330E">
              <w:rPr>
                <w:b/>
                <w:bCs/>
                <w:szCs w:val="26"/>
              </w:rPr>
              <w:t xml:space="preserve">Business Enterprise Program (BEP) </w:t>
            </w:r>
            <w:r w:rsidRPr="00D7330E">
              <w:rPr>
                <w:szCs w:val="26"/>
              </w:rPr>
              <w:t>goals are not established for contracts that are exempt from the requirements of the IL Procurement Code.</w:t>
            </w:r>
          </w:p>
        </w:tc>
      </w:tr>
      <w:tr w:rsidR="00F9182A" w:rsidRPr="00D7330E" w14:paraId="5FD7F5D8" w14:textId="77777777" w:rsidTr="00F076EC">
        <w:trPr>
          <w:trHeight w:val="150"/>
        </w:trPr>
        <w:tc>
          <w:tcPr>
            <w:tcW w:w="342" w:type="dxa"/>
          </w:tcPr>
          <w:p w14:paraId="53D146A3" w14:textId="77777777" w:rsidR="00F9182A" w:rsidRPr="00D7330E" w:rsidRDefault="00F9182A" w:rsidP="00F9182A">
            <w:pPr>
              <w:pStyle w:val="NoSpacing"/>
              <w:rPr>
                <w:sz w:val="26"/>
                <w:szCs w:val="26"/>
              </w:rPr>
            </w:pPr>
          </w:p>
        </w:tc>
        <w:tc>
          <w:tcPr>
            <w:tcW w:w="990" w:type="dxa"/>
            <w:shd w:val="clear" w:color="auto" w:fill="auto"/>
          </w:tcPr>
          <w:p w14:paraId="1E8FCBAF" w14:textId="77777777" w:rsidR="00F9182A" w:rsidRPr="00D7330E" w:rsidRDefault="00F9182A" w:rsidP="00F9182A">
            <w:pPr>
              <w:pStyle w:val="NoSpacing"/>
              <w:rPr>
                <w:sz w:val="26"/>
                <w:szCs w:val="26"/>
              </w:rPr>
            </w:pPr>
          </w:p>
        </w:tc>
        <w:tc>
          <w:tcPr>
            <w:tcW w:w="8118" w:type="dxa"/>
            <w:shd w:val="clear" w:color="auto" w:fill="auto"/>
          </w:tcPr>
          <w:p w14:paraId="0D85C4B4" w14:textId="77777777" w:rsidR="00F9182A" w:rsidRPr="00D7330E" w:rsidRDefault="00F9182A" w:rsidP="00F9182A">
            <w:pPr>
              <w:spacing w:after="0"/>
              <w:rPr>
                <w:szCs w:val="26"/>
              </w:rPr>
            </w:pPr>
          </w:p>
        </w:tc>
      </w:tr>
    </w:tbl>
    <w:p w14:paraId="6D38BF61" w14:textId="19CF0242" w:rsidR="009F2BE9" w:rsidRDefault="009F2BE9">
      <w:pPr>
        <w:spacing w:after="0" w:line="240" w:lineRule="auto"/>
        <w:rPr>
          <w:szCs w:val="26"/>
        </w:rPr>
      </w:pPr>
    </w:p>
    <w:p w14:paraId="6B589C85" w14:textId="77777777" w:rsidR="00D743A9" w:rsidRPr="00D7330E" w:rsidRDefault="00D743A9" w:rsidP="0004567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1440"/>
        <w:textAlignment w:val="baseline"/>
        <w:rPr>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881246" w:rsidRPr="00D7330E" w14:paraId="00DCA86F" w14:textId="77777777" w:rsidTr="008856C6">
        <w:trPr>
          <w:trHeight w:val="567"/>
        </w:trPr>
        <w:tc>
          <w:tcPr>
            <w:tcW w:w="342" w:type="dxa"/>
          </w:tcPr>
          <w:p w14:paraId="2FED4914" w14:textId="77777777" w:rsidR="00881246" w:rsidRPr="00D7330E" w:rsidRDefault="00881246" w:rsidP="005274CF">
            <w:pPr>
              <w:pStyle w:val="NoSpacing"/>
              <w:jc w:val="both"/>
              <w:rPr>
                <w:sz w:val="26"/>
                <w:szCs w:val="26"/>
              </w:rPr>
            </w:pPr>
          </w:p>
        </w:tc>
        <w:tc>
          <w:tcPr>
            <w:tcW w:w="990" w:type="dxa"/>
          </w:tcPr>
          <w:p w14:paraId="3D1945D4" w14:textId="77777777" w:rsidR="00881246" w:rsidRPr="00D7330E" w:rsidRDefault="00881246" w:rsidP="005274CF">
            <w:pPr>
              <w:pStyle w:val="NoSpacing"/>
              <w:jc w:val="both"/>
              <w:rPr>
                <w:sz w:val="26"/>
                <w:szCs w:val="26"/>
              </w:rPr>
            </w:pPr>
          </w:p>
        </w:tc>
        <w:tc>
          <w:tcPr>
            <w:tcW w:w="8118" w:type="dxa"/>
          </w:tcPr>
          <w:p w14:paraId="35405A80" w14:textId="2B034A45" w:rsidR="00881246" w:rsidRPr="00D7330E" w:rsidRDefault="0081669D" w:rsidP="00F4792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szCs w:val="26"/>
              </w:rPr>
            </w:pPr>
            <w:r w:rsidRPr="00D7330E">
              <w:rPr>
                <w:rFonts w:eastAsia="Times New Roman"/>
                <w:b/>
                <w:color w:val="000000"/>
                <w:szCs w:val="26"/>
              </w:rPr>
              <w:tab/>
            </w:r>
            <w:r w:rsidR="00D743A9" w:rsidRPr="00D7330E">
              <w:rPr>
                <w:rFonts w:eastAsia="Times New Roman"/>
                <w:b/>
                <w:color w:val="000000"/>
                <w:szCs w:val="26"/>
              </w:rPr>
              <w:t xml:space="preserve">        </w:t>
            </w:r>
            <w:r w:rsidR="00D6273A" w:rsidRPr="00D7330E">
              <w:rPr>
                <w:rFonts w:eastAsia="Times New Roman"/>
                <w:b/>
                <w:color w:val="000000"/>
                <w:szCs w:val="26"/>
              </w:rPr>
              <w:t xml:space="preserve"> </w:t>
            </w:r>
            <w:r w:rsidRPr="00D7330E">
              <w:rPr>
                <w:rFonts w:eastAsia="Times New Roman"/>
                <w:b/>
                <w:color w:val="000000"/>
                <w:szCs w:val="26"/>
              </w:rPr>
              <w:t xml:space="preserve">CHANGE ORDER </w:t>
            </w:r>
            <w:r w:rsidR="00881246" w:rsidRPr="00D7330E">
              <w:rPr>
                <w:rFonts w:eastAsia="Times New Roman"/>
                <w:b/>
                <w:color w:val="000000"/>
                <w:szCs w:val="26"/>
              </w:rPr>
              <w:t>RECOMMENDED</w:t>
            </w: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FE4204" w:rsidRPr="00D7330E" w14:paraId="23EE4603" w14:textId="77777777" w:rsidTr="00503D31">
        <w:trPr>
          <w:trHeight w:val="114"/>
        </w:trPr>
        <w:tc>
          <w:tcPr>
            <w:tcW w:w="9454" w:type="dxa"/>
            <w:tcBorders>
              <w:top w:val="single" w:sz="18" w:space="0" w:color="auto"/>
              <w:bottom w:val="single" w:sz="18" w:space="0" w:color="auto"/>
            </w:tcBorders>
          </w:tcPr>
          <w:p w14:paraId="3F8672C8" w14:textId="095A9AC0" w:rsidR="00FE4204" w:rsidRPr="00D7330E" w:rsidRDefault="00FE4204" w:rsidP="00503D31">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bookmarkStart w:id="5" w:name="_Hlk190079908"/>
            <w:r w:rsidRPr="00D7330E">
              <w:rPr>
                <w:rFonts w:eastAsia="Times New Roman"/>
                <w:b/>
                <w:szCs w:val="26"/>
              </w:rPr>
              <w:t>University of Illinois</w:t>
            </w:r>
            <w:r w:rsidR="008856C6" w:rsidRPr="00D7330E">
              <w:rPr>
                <w:rFonts w:eastAsia="Times New Roman"/>
                <w:b/>
                <w:szCs w:val="26"/>
              </w:rPr>
              <w:t xml:space="preserve"> </w:t>
            </w:r>
            <w:r w:rsidR="002F2D48" w:rsidRPr="00D7330E">
              <w:rPr>
                <w:rFonts w:eastAsia="Times New Roman"/>
                <w:b/>
                <w:szCs w:val="26"/>
              </w:rPr>
              <w:t>Urbana-Champaign</w:t>
            </w:r>
          </w:p>
        </w:tc>
      </w:tr>
    </w:tbl>
    <w:tbl>
      <w:tblPr>
        <w:tblW w:w="9360" w:type="dxa"/>
        <w:tblLayout w:type="fixed"/>
        <w:tblCellMar>
          <w:left w:w="72" w:type="dxa"/>
          <w:right w:w="72" w:type="dxa"/>
        </w:tblCellMar>
        <w:tblLook w:val="0000" w:firstRow="0" w:lastRow="0" w:firstColumn="0" w:lastColumn="0" w:noHBand="0" w:noVBand="0"/>
      </w:tblPr>
      <w:tblGrid>
        <w:gridCol w:w="450"/>
        <w:gridCol w:w="990"/>
        <w:gridCol w:w="7920"/>
      </w:tblGrid>
      <w:tr w:rsidR="00F6377E" w:rsidRPr="00D7330E" w14:paraId="3BB2299D" w14:textId="77777777" w:rsidTr="00BD5FE0">
        <w:trPr>
          <w:trHeight w:val="120"/>
        </w:trPr>
        <w:tc>
          <w:tcPr>
            <w:tcW w:w="450" w:type="dxa"/>
            <w:tcBorders>
              <w:bottom w:val="double" w:sz="6" w:space="0" w:color="auto"/>
            </w:tcBorders>
          </w:tcPr>
          <w:bookmarkEnd w:id="5"/>
          <w:p w14:paraId="1F8AFA6C" w14:textId="64B98A0D" w:rsidR="00F6377E" w:rsidRPr="00D7330E" w:rsidRDefault="00056A33" w:rsidP="00F6377E">
            <w:pPr>
              <w:pStyle w:val="NoSpacing"/>
              <w:rPr>
                <w:sz w:val="26"/>
                <w:szCs w:val="26"/>
              </w:rPr>
            </w:pPr>
            <w:r>
              <w:rPr>
                <w:sz w:val="26"/>
                <w:szCs w:val="26"/>
              </w:rPr>
              <w:t>6</w:t>
            </w:r>
          </w:p>
        </w:tc>
        <w:tc>
          <w:tcPr>
            <w:tcW w:w="990" w:type="dxa"/>
            <w:tcBorders>
              <w:bottom w:val="double" w:sz="6" w:space="0" w:color="auto"/>
            </w:tcBorders>
          </w:tcPr>
          <w:p w14:paraId="31B5CEDC" w14:textId="77777777" w:rsidR="00F6377E" w:rsidRPr="00D7330E" w:rsidRDefault="00F6377E" w:rsidP="00F6377E">
            <w:pPr>
              <w:pStyle w:val="NoSpacing"/>
              <w:rPr>
                <w:sz w:val="26"/>
                <w:szCs w:val="26"/>
              </w:rPr>
            </w:pPr>
            <w:r w:rsidRPr="00D7330E">
              <w:rPr>
                <w:sz w:val="26"/>
                <w:szCs w:val="26"/>
              </w:rPr>
              <w:t>Unit</w:t>
            </w:r>
          </w:p>
        </w:tc>
        <w:tc>
          <w:tcPr>
            <w:tcW w:w="7920" w:type="dxa"/>
            <w:tcBorders>
              <w:bottom w:val="double" w:sz="6" w:space="0" w:color="auto"/>
            </w:tcBorders>
          </w:tcPr>
          <w:p w14:paraId="26CDAEA8" w14:textId="76C8C80A" w:rsidR="00F6377E" w:rsidRPr="00D7330E" w:rsidRDefault="002F2D48" w:rsidP="00F6377E">
            <w:pPr>
              <w:pStyle w:val="NoSpacing"/>
              <w:rPr>
                <w:sz w:val="26"/>
                <w:szCs w:val="26"/>
              </w:rPr>
            </w:pPr>
            <w:r w:rsidRPr="00D7330E">
              <w:rPr>
                <w:sz w:val="26"/>
                <w:szCs w:val="26"/>
              </w:rPr>
              <w:t>Division of Intercollegiate Athletics</w:t>
            </w:r>
            <w:r w:rsidR="007B6A11" w:rsidRPr="00D7330E">
              <w:rPr>
                <w:sz w:val="26"/>
                <w:szCs w:val="26"/>
              </w:rPr>
              <w:t xml:space="preserve"> (DIA)</w:t>
            </w:r>
          </w:p>
        </w:tc>
      </w:tr>
      <w:tr w:rsidR="00F6377E" w:rsidRPr="00D7330E" w14:paraId="55FAE87F" w14:textId="77777777" w:rsidTr="00BD5FE0">
        <w:trPr>
          <w:trHeight w:val="648"/>
        </w:trPr>
        <w:tc>
          <w:tcPr>
            <w:tcW w:w="450" w:type="dxa"/>
          </w:tcPr>
          <w:p w14:paraId="3CF349EC" w14:textId="77777777" w:rsidR="00F6377E" w:rsidRPr="00D7330E" w:rsidRDefault="00F6377E" w:rsidP="00F6377E">
            <w:pPr>
              <w:pStyle w:val="NoSpacing"/>
              <w:rPr>
                <w:sz w:val="26"/>
                <w:szCs w:val="26"/>
              </w:rPr>
            </w:pPr>
          </w:p>
        </w:tc>
        <w:tc>
          <w:tcPr>
            <w:tcW w:w="990" w:type="dxa"/>
          </w:tcPr>
          <w:p w14:paraId="5C67AD10" w14:textId="77777777" w:rsidR="00F6377E" w:rsidRPr="00D7330E" w:rsidRDefault="00F6377E" w:rsidP="00F6377E">
            <w:pPr>
              <w:pStyle w:val="NoSpacing"/>
              <w:rPr>
                <w:sz w:val="26"/>
                <w:szCs w:val="26"/>
              </w:rPr>
            </w:pPr>
          </w:p>
          <w:p w14:paraId="10671FD9" w14:textId="77777777" w:rsidR="00F6377E" w:rsidRPr="00D7330E" w:rsidRDefault="00F6377E" w:rsidP="00F6377E">
            <w:pPr>
              <w:pStyle w:val="NoSpacing"/>
              <w:rPr>
                <w:sz w:val="26"/>
                <w:szCs w:val="26"/>
              </w:rPr>
            </w:pPr>
            <w:r w:rsidRPr="00D7330E">
              <w:rPr>
                <w:sz w:val="26"/>
                <w:szCs w:val="26"/>
              </w:rPr>
              <w:t>Item</w:t>
            </w:r>
          </w:p>
        </w:tc>
        <w:tc>
          <w:tcPr>
            <w:tcW w:w="7920" w:type="dxa"/>
            <w:vAlign w:val="center"/>
          </w:tcPr>
          <w:p w14:paraId="7AE818BC" w14:textId="77777777" w:rsidR="002F2D48" w:rsidRPr="00D7330E" w:rsidRDefault="002F2D48" w:rsidP="00F6377E">
            <w:pPr>
              <w:pStyle w:val="NoSpacing"/>
              <w:rPr>
                <w:sz w:val="26"/>
                <w:szCs w:val="26"/>
              </w:rPr>
            </w:pPr>
          </w:p>
          <w:p w14:paraId="5F3D83EC" w14:textId="4CE405EC" w:rsidR="00F6377E" w:rsidRPr="00D7330E" w:rsidRDefault="007B6A11" w:rsidP="00F6377E">
            <w:pPr>
              <w:pStyle w:val="NoSpacing"/>
              <w:rPr>
                <w:sz w:val="26"/>
                <w:szCs w:val="26"/>
              </w:rPr>
            </w:pPr>
            <w:r w:rsidRPr="00D7330E">
              <w:rPr>
                <w:sz w:val="26"/>
                <w:szCs w:val="26"/>
              </w:rPr>
              <w:t>Big 10 Conference Officiating Fees</w:t>
            </w:r>
          </w:p>
        </w:tc>
      </w:tr>
      <w:tr w:rsidR="00F6377E" w:rsidRPr="00D7330E" w14:paraId="29935A0B" w14:textId="77777777" w:rsidTr="00BD5FE0">
        <w:trPr>
          <w:trHeight w:val="315"/>
        </w:trPr>
        <w:tc>
          <w:tcPr>
            <w:tcW w:w="450" w:type="dxa"/>
          </w:tcPr>
          <w:p w14:paraId="15B64255" w14:textId="77777777" w:rsidR="00F6377E" w:rsidRPr="00D7330E" w:rsidRDefault="00F6377E" w:rsidP="00F6377E">
            <w:pPr>
              <w:pStyle w:val="NoSpacing"/>
              <w:rPr>
                <w:sz w:val="26"/>
                <w:szCs w:val="26"/>
              </w:rPr>
            </w:pPr>
          </w:p>
        </w:tc>
        <w:tc>
          <w:tcPr>
            <w:tcW w:w="990" w:type="dxa"/>
          </w:tcPr>
          <w:p w14:paraId="0C1B6377" w14:textId="77777777" w:rsidR="00F6377E" w:rsidRPr="00D7330E" w:rsidRDefault="00F6377E" w:rsidP="00F6377E">
            <w:pPr>
              <w:pStyle w:val="NoSpacing"/>
              <w:rPr>
                <w:sz w:val="26"/>
                <w:szCs w:val="26"/>
              </w:rPr>
            </w:pPr>
          </w:p>
          <w:p w14:paraId="11C382A2" w14:textId="77777777" w:rsidR="00F6377E" w:rsidRPr="00D7330E" w:rsidRDefault="00F6377E" w:rsidP="00F6377E">
            <w:pPr>
              <w:pStyle w:val="NoSpacing"/>
              <w:rPr>
                <w:sz w:val="26"/>
                <w:szCs w:val="26"/>
              </w:rPr>
            </w:pPr>
            <w:r w:rsidRPr="00D7330E">
              <w:rPr>
                <w:sz w:val="26"/>
                <w:szCs w:val="26"/>
              </w:rPr>
              <w:t>Cost</w:t>
            </w:r>
          </w:p>
        </w:tc>
        <w:tc>
          <w:tcPr>
            <w:tcW w:w="7920" w:type="dxa"/>
          </w:tcPr>
          <w:p w14:paraId="6526F004" w14:textId="77777777" w:rsidR="001B4A24" w:rsidRPr="00D7330E" w:rsidRDefault="001B4A24" w:rsidP="001B4A24">
            <w:pPr>
              <w:pStyle w:val="NoSpacing"/>
              <w:rPr>
                <w:sz w:val="26"/>
                <w:szCs w:val="26"/>
              </w:rPr>
            </w:pPr>
          </w:p>
          <w:tbl>
            <w:tblPr>
              <w:tblpPr w:leftFromText="180" w:rightFromText="180" w:vertAnchor="text" w:horzAnchor="margin" w:tblpY="-48"/>
              <w:tblOverlap w:val="never"/>
              <w:tblW w:w="6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710"/>
              <w:gridCol w:w="1620"/>
              <w:gridCol w:w="1620"/>
            </w:tblGrid>
            <w:tr w:rsidR="007B6A11" w:rsidRPr="00D7330E" w14:paraId="3AEBCFDF" w14:textId="77777777" w:rsidTr="00714DED">
              <w:tc>
                <w:tcPr>
                  <w:tcW w:w="1885" w:type="dxa"/>
                </w:tcPr>
                <w:p w14:paraId="4FF88D70" w14:textId="77777777" w:rsidR="007B6A11" w:rsidRPr="00D7330E" w:rsidRDefault="007B6A11" w:rsidP="007B6A11">
                  <w:pPr>
                    <w:pStyle w:val="NoSpacing"/>
                    <w:jc w:val="center"/>
                    <w:rPr>
                      <w:b/>
                      <w:sz w:val="26"/>
                      <w:szCs w:val="26"/>
                    </w:rPr>
                  </w:pPr>
                  <w:r w:rsidRPr="00D7330E">
                    <w:rPr>
                      <w:b/>
                      <w:sz w:val="26"/>
                      <w:szCs w:val="26"/>
                    </w:rPr>
                    <w:t>Contract Term</w:t>
                  </w:r>
                </w:p>
              </w:tc>
              <w:tc>
                <w:tcPr>
                  <w:tcW w:w="1710" w:type="dxa"/>
                </w:tcPr>
                <w:p w14:paraId="0D56CF9E" w14:textId="77777777" w:rsidR="007B6A11" w:rsidRPr="00D7330E" w:rsidRDefault="007B6A11" w:rsidP="007B6A11">
                  <w:pPr>
                    <w:pStyle w:val="NoSpacing"/>
                    <w:jc w:val="center"/>
                    <w:rPr>
                      <w:b/>
                      <w:sz w:val="26"/>
                      <w:szCs w:val="26"/>
                    </w:rPr>
                  </w:pPr>
                  <w:r w:rsidRPr="00D7330E">
                    <w:rPr>
                      <w:b/>
                      <w:sz w:val="26"/>
                      <w:szCs w:val="26"/>
                    </w:rPr>
                    <w:t>Original Amount</w:t>
                  </w:r>
                </w:p>
                <w:p w14:paraId="56679047" w14:textId="77777777" w:rsidR="007B6A11" w:rsidRPr="00D7330E" w:rsidRDefault="007B6A11" w:rsidP="007B6A11">
                  <w:pPr>
                    <w:pStyle w:val="NoSpacing"/>
                    <w:jc w:val="center"/>
                    <w:rPr>
                      <w:b/>
                      <w:sz w:val="26"/>
                      <w:szCs w:val="26"/>
                    </w:rPr>
                  </w:pPr>
                  <w:r w:rsidRPr="00D7330E">
                    <w:rPr>
                      <w:b/>
                      <w:sz w:val="26"/>
                      <w:szCs w:val="26"/>
                    </w:rPr>
                    <w:t>(est.)</w:t>
                  </w:r>
                </w:p>
              </w:tc>
              <w:tc>
                <w:tcPr>
                  <w:tcW w:w="1620" w:type="dxa"/>
                </w:tcPr>
                <w:p w14:paraId="5E16D041" w14:textId="77777777" w:rsidR="007B6A11" w:rsidRPr="00D7330E" w:rsidRDefault="007B6A11" w:rsidP="007B6A11">
                  <w:pPr>
                    <w:pStyle w:val="NoSpacing"/>
                    <w:jc w:val="center"/>
                    <w:rPr>
                      <w:b/>
                      <w:sz w:val="26"/>
                      <w:szCs w:val="26"/>
                    </w:rPr>
                  </w:pPr>
                  <w:r w:rsidRPr="00D7330E">
                    <w:rPr>
                      <w:b/>
                      <w:sz w:val="26"/>
                      <w:szCs w:val="26"/>
                    </w:rPr>
                    <w:t>Change Order</w:t>
                  </w:r>
                </w:p>
                <w:p w14:paraId="2C402D00" w14:textId="77777777" w:rsidR="007B6A11" w:rsidRPr="00D7330E" w:rsidRDefault="007B6A11" w:rsidP="007B6A11">
                  <w:pPr>
                    <w:pStyle w:val="NoSpacing"/>
                    <w:jc w:val="center"/>
                    <w:rPr>
                      <w:b/>
                      <w:sz w:val="26"/>
                      <w:szCs w:val="26"/>
                    </w:rPr>
                  </w:pPr>
                  <w:r w:rsidRPr="00D7330E">
                    <w:rPr>
                      <w:b/>
                      <w:sz w:val="26"/>
                      <w:szCs w:val="26"/>
                    </w:rPr>
                    <w:t>(est.)</w:t>
                  </w:r>
                </w:p>
              </w:tc>
              <w:tc>
                <w:tcPr>
                  <w:tcW w:w="1620" w:type="dxa"/>
                </w:tcPr>
                <w:p w14:paraId="350B153E" w14:textId="77777777" w:rsidR="007B6A11" w:rsidRPr="00D7330E" w:rsidRDefault="007B6A11" w:rsidP="007B6A11">
                  <w:pPr>
                    <w:pStyle w:val="NoSpacing"/>
                    <w:jc w:val="center"/>
                    <w:rPr>
                      <w:b/>
                      <w:sz w:val="26"/>
                      <w:szCs w:val="26"/>
                    </w:rPr>
                  </w:pPr>
                  <w:r w:rsidRPr="00D7330E">
                    <w:rPr>
                      <w:b/>
                      <w:sz w:val="26"/>
                      <w:szCs w:val="26"/>
                    </w:rPr>
                    <w:t>New Total</w:t>
                  </w:r>
                </w:p>
                <w:p w14:paraId="053AC6DD" w14:textId="77777777" w:rsidR="007B6A11" w:rsidRPr="00D7330E" w:rsidRDefault="007B6A11" w:rsidP="007B6A11">
                  <w:pPr>
                    <w:pStyle w:val="NoSpacing"/>
                    <w:jc w:val="center"/>
                    <w:rPr>
                      <w:b/>
                      <w:sz w:val="26"/>
                      <w:szCs w:val="26"/>
                    </w:rPr>
                  </w:pPr>
                  <w:r w:rsidRPr="00D7330E">
                    <w:rPr>
                      <w:b/>
                      <w:sz w:val="26"/>
                      <w:szCs w:val="26"/>
                    </w:rPr>
                    <w:t>(est.)</w:t>
                  </w:r>
                </w:p>
              </w:tc>
            </w:tr>
            <w:tr w:rsidR="007B6A11" w:rsidRPr="00D7330E" w14:paraId="31DBE16B" w14:textId="77777777" w:rsidTr="00714DED">
              <w:tc>
                <w:tcPr>
                  <w:tcW w:w="1885" w:type="dxa"/>
                </w:tcPr>
                <w:p w14:paraId="039271B6" w14:textId="77777777" w:rsidR="007B6A11" w:rsidRPr="00D7330E" w:rsidRDefault="007B6A11" w:rsidP="007B6A11">
                  <w:pPr>
                    <w:pStyle w:val="NoSpacing"/>
                    <w:jc w:val="center"/>
                    <w:rPr>
                      <w:sz w:val="26"/>
                      <w:szCs w:val="26"/>
                    </w:rPr>
                  </w:pPr>
                  <w:r w:rsidRPr="00D7330E">
                    <w:rPr>
                      <w:sz w:val="26"/>
                      <w:szCs w:val="26"/>
                    </w:rPr>
                    <w:t>7/1/23 – 6/30/28</w:t>
                  </w:r>
                </w:p>
              </w:tc>
              <w:tc>
                <w:tcPr>
                  <w:tcW w:w="1710" w:type="dxa"/>
                </w:tcPr>
                <w:p w14:paraId="24210279" w14:textId="77777777" w:rsidR="007B6A11" w:rsidRPr="00D7330E" w:rsidRDefault="007B6A11" w:rsidP="007B6A11">
                  <w:pPr>
                    <w:pStyle w:val="NoSpacing"/>
                    <w:jc w:val="center"/>
                    <w:rPr>
                      <w:sz w:val="26"/>
                      <w:szCs w:val="26"/>
                    </w:rPr>
                  </w:pPr>
                  <w:r w:rsidRPr="00D7330E">
                    <w:rPr>
                      <w:sz w:val="26"/>
                      <w:szCs w:val="26"/>
                    </w:rPr>
                    <w:t>$4,950,000</w:t>
                  </w:r>
                </w:p>
              </w:tc>
              <w:tc>
                <w:tcPr>
                  <w:tcW w:w="1620" w:type="dxa"/>
                </w:tcPr>
                <w:p w14:paraId="2168AE01" w14:textId="77777777" w:rsidR="007B6A11" w:rsidRPr="00D7330E" w:rsidRDefault="007B6A11" w:rsidP="007B6A11">
                  <w:pPr>
                    <w:pStyle w:val="NoSpacing"/>
                    <w:jc w:val="center"/>
                    <w:rPr>
                      <w:sz w:val="26"/>
                      <w:szCs w:val="26"/>
                    </w:rPr>
                  </w:pPr>
                  <w:r w:rsidRPr="00D7330E">
                    <w:rPr>
                      <w:sz w:val="26"/>
                      <w:szCs w:val="26"/>
                    </w:rPr>
                    <w:t>$440,000</w:t>
                  </w:r>
                </w:p>
              </w:tc>
              <w:tc>
                <w:tcPr>
                  <w:tcW w:w="1620" w:type="dxa"/>
                </w:tcPr>
                <w:p w14:paraId="47E8323B" w14:textId="77777777" w:rsidR="007B6A11" w:rsidRPr="00D7330E" w:rsidRDefault="007B6A11" w:rsidP="007B6A11">
                  <w:pPr>
                    <w:pStyle w:val="NoSpacing"/>
                    <w:jc w:val="center"/>
                    <w:rPr>
                      <w:sz w:val="26"/>
                      <w:szCs w:val="26"/>
                    </w:rPr>
                  </w:pPr>
                  <w:r w:rsidRPr="00D7330E">
                    <w:rPr>
                      <w:sz w:val="26"/>
                      <w:szCs w:val="26"/>
                    </w:rPr>
                    <w:t>$5,390,000</w:t>
                  </w:r>
                </w:p>
              </w:tc>
            </w:tr>
          </w:tbl>
          <w:p w14:paraId="3B6194B9" w14:textId="35E5E7C0" w:rsidR="00934FC6" w:rsidRPr="00D7330E" w:rsidRDefault="00934FC6" w:rsidP="001B4A24">
            <w:pPr>
              <w:tabs>
                <w:tab w:val="left" w:pos="-720"/>
                <w:tab w:val="left" w:pos="0"/>
                <w:tab w:val="left" w:pos="720"/>
                <w:tab w:val="left" w:pos="1080"/>
                <w:tab w:val="left" w:pos="1440"/>
              </w:tabs>
              <w:suppressAutoHyphens/>
              <w:jc w:val="both"/>
              <w:rPr>
                <w:szCs w:val="26"/>
              </w:rPr>
            </w:pPr>
          </w:p>
        </w:tc>
      </w:tr>
      <w:tr w:rsidR="00F6377E" w:rsidRPr="00D7330E" w14:paraId="766A4E98" w14:textId="77777777" w:rsidTr="00BD5FE0">
        <w:trPr>
          <w:trHeight w:val="150"/>
        </w:trPr>
        <w:tc>
          <w:tcPr>
            <w:tcW w:w="450" w:type="dxa"/>
          </w:tcPr>
          <w:p w14:paraId="14F233DC" w14:textId="77777777" w:rsidR="00F6377E" w:rsidRPr="00D7330E" w:rsidRDefault="00F6377E" w:rsidP="00F6377E">
            <w:pPr>
              <w:pStyle w:val="NoSpacing"/>
              <w:rPr>
                <w:sz w:val="26"/>
                <w:szCs w:val="26"/>
              </w:rPr>
            </w:pPr>
          </w:p>
        </w:tc>
        <w:tc>
          <w:tcPr>
            <w:tcW w:w="990" w:type="dxa"/>
            <w:shd w:val="clear" w:color="auto" w:fill="auto"/>
          </w:tcPr>
          <w:p w14:paraId="7C865FCA" w14:textId="77777777" w:rsidR="001B4A24" w:rsidRPr="00D7330E" w:rsidRDefault="001B4A24" w:rsidP="00F6377E">
            <w:pPr>
              <w:pStyle w:val="NoSpacing"/>
              <w:rPr>
                <w:sz w:val="26"/>
                <w:szCs w:val="26"/>
              </w:rPr>
            </w:pPr>
          </w:p>
          <w:p w14:paraId="14DFD6F3" w14:textId="4072507B" w:rsidR="00F6377E" w:rsidRPr="00D7330E" w:rsidRDefault="00F6377E" w:rsidP="00F6377E">
            <w:pPr>
              <w:pStyle w:val="NoSpacing"/>
              <w:rPr>
                <w:sz w:val="26"/>
                <w:szCs w:val="26"/>
              </w:rPr>
            </w:pPr>
            <w:r w:rsidRPr="00D7330E">
              <w:rPr>
                <w:sz w:val="26"/>
                <w:szCs w:val="26"/>
              </w:rPr>
              <w:t>Vendor</w:t>
            </w:r>
          </w:p>
        </w:tc>
        <w:tc>
          <w:tcPr>
            <w:tcW w:w="7920" w:type="dxa"/>
            <w:shd w:val="clear" w:color="auto" w:fill="auto"/>
          </w:tcPr>
          <w:p w14:paraId="5CD7DBEA" w14:textId="727DDB6D" w:rsidR="001B4A24" w:rsidRPr="00D7330E" w:rsidRDefault="007B6A11" w:rsidP="007B6A11">
            <w:pPr>
              <w:pStyle w:val="Heading2"/>
              <w:rPr>
                <w:rFonts w:ascii="Times New Roman" w:hAnsi="Times New Roman"/>
                <w:b w:val="0"/>
                <w:i w:val="0"/>
                <w:sz w:val="26"/>
                <w:szCs w:val="26"/>
              </w:rPr>
            </w:pPr>
            <w:r w:rsidRPr="00D7330E">
              <w:rPr>
                <w:rFonts w:ascii="Times New Roman" w:hAnsi="Times New Roman"/>
                <w:b w:val="0"/>
                <w:i w:val="0"/>
                <w:sz w:val="26"/>
                <w:szCs w:val="26"/>
              </w:rPr>
              <w:t>Big 10 Conference</w:t>
            </w:r>
            <w:r w:rsidR="00D743A9" w:rsidRPr="00D7330E">
              <w:rPr>
                <w:rFonts w:ascii="Times New Roman" w:hAnsi="Times New Roman"/>
                <w:b w:val="0"/>
                <w:i w:val="0"/>
                <w:sz w:val="26"/>
                <w:szCs w:val="26"/>
              </w:rPr>
              <w:t xml:space="preserve">                           </w:t>
            </w:r>
            <w:r w:rsidRPr="00D7330E">
              <w:rPr>
                <w:rFonts w:ascii="Times New Roman" w:hAnsi="Times New Roman"/>
                <w:b w:val="0"/>
                <w:i w:val="0"/>
                <w:sz w:val="26"/>
                <w:szCs w:val="26"/>
              </w:rPr>
              <w:t>Rosemont, IL</w:t>
            </w:r>
            <w:r w:rsidR="001B4A24" w:rsidRPr="00D7330E">
              <w:rPr>
                <w:sz w:val="26"/>
                <w:szCs w:val="26"/>
              </w:rPr>
              <w:t xml:space="preserve"> </w:t>
            </w:r>
          </w:p>
          <w:p w14:paraId="14D2CF60" w14:textId="77777777" w:rsidR="00F6377E" w:rsidRPr="00D7330E" w:rsidRDefault="00F6377E" w:rsidP="00F6377E">
            <w:pPr>
              <w:pStyle w:val="NoSpacing"/>
              <w:jc w:val="both"/>
              <w:rPr>
                <w:sz w:val="26"/>
                <w:szCs w:val="26"/>
              </w:rPr>
            </w:pPr>
          </w:p>
        </w:tc>
      </w:tr>
      <w:tr w:rsidR="00F6377E" w:rsidRPr="00D7330E" w14:paraId="0CC80085" w14:textId="77777777" w:rsidTr="00BD5FE0">
        <w:trPr>
          <w:trHeight w:val="150"/>
        </w:trPr>
        <w:tc>
          <w:tcPr>
            <w:tcW w:w="450" w:type="dxa"/>
          </w:tcPr>
          <w:p w14:paraId="67560A50" w14:textId="77777777" w:rsidR="00F6377E" w:rsidRPr="00D7330E" w:rsidRDefault="00F6377E" w:rsidP="00F6377E">
            <w:pPr>
              <w:pStyle w:val="NoSpacing"/>
              <w:rPr>
                <w:sz w:val="26"/>
                <w:szCs w:val="26"/>
              </w:rPr>
            </w:pPr>
          </w:p>
        </w:tc>
        <w:tc>
          <w:tcPr>
            <w:tcW w:w="990" w:type="dxa"/>
            <w:shd w:val="clear" w:color="auto" w:fill="auto"/>
          </w:tcPr>
          <w:p w14:paraId="6AD68AE2" w14:textId="77777777" w:rsidR="00F6377E" w:rsidRPr="00D7330E" w:rsidRDefault="00F6377E" w:rsidP="00F6377E">
            <w:pPr>
              <w:pStyle w:val="NoSpacing"/>
              <w:rPr>
                <w:sz w:val="26"/>
                <w:szCs w:val="26"/>
              </w:rPr>
            </w:pPr>
          </w:p>
        </w:tc>
        <w:tc>
          <w:tcPr>
            <w:tcW w:w="7920" w:type="dxa"/>
            <w:shd w:val="clear" w:color="auto" w:fill="auto"/>
          </w:tcPr>
          <w:p w14:paraId="2C7A22A4" w14:textId="77777777" w:rsidR="007B6A11" w:rsidRPr="00D7330E" w:rsidRDefault="007B6A11" w:rsidP="007B6A11">
            <w:pPr>
              <w:rPr>
                <w:szCs w:val="26"/>
              </w:rPr>
            </w:pPr>
            <w:r w:rsidRPr="00D7330E">
              <w:rPr>
                <w:szCs w:val="26"/>
              </w:rPr>
              <w:t>This purchase is exempt from the usual selection process of the procurement code because the procurement expenditure is for events or activities paid for exclusively by revenues generated by the event or activity, gifts, or donations for the event or activity, private grants, or any combination thereof, per 30 ILCS 500 / 1-13(b)(2).</w:t>
            </w:r>
          </w:p>
          <w:p w14:paraId="648FB43C" w14:textId="77777777" w:rsidR="007B6A11" w:rsidRPr="00D7330E" w:rsidRDefault="007B6A11" w:rsidP="007B6A11">
            <w:pPr>
              <w:pStyle w:val="BodyText"/>
              <w:spacing w:line="20" w:lineRule="exact"/>
              <w:ind w:left="186" w:right="15"/>
              <w:rPr>
                <w:sz w:val="26"/>
                <w:szCs w:val="26"/>
              </w:rPr>
            </w:pPr>
          </w:p>
          <w:p w14:paraId="780246A6" w14:textId="37FA5A9A" w:rsidR="007B6A11" w:rsidRPr="00E935EC" w:rsidRDefault="007B6A11" w:rsidP="007B6A11">
            <w:pPr>
              <w:pStyle w:val="BodyText"/>
              <w:ind w:right="15"/>
              <w:rPr>
                <w:szCs w:val="26"/>
              </w:rPr>
            </w:pPr>
            <w:r w:rsidRPr="00D7330E">
              <w:rPr>
                <w:sz w:val="26"/>
                <w:szCs w:val="26"/>
              </w:rPr>
              <w:t>On June 6, 2018, an announcement of an Exempt Purchase was posted to provide compensation to officials at Big 10 Conference events.</w:t>
            </w:r>
            <w:r w:rsidR="00D743A9" w:rsidRPr="00D7330E">
              <w:rPr>
                <w:sz w:val="26"/>
                <w:szCs w:val="26"/>
              </w:rPr>
              <w:t xml:space="preserve"> </w:t>
            </w:r>
            <w:r w:rsidRPr="00D7330E">
              <w:rPr>
                <w:sz w:val="26"/>
                <w:szCs w:val="26"/>
              </w:rPr>
              <w:t xml:space="preserve">The Big </w:t>
            </w:r>
            <w:r w:rsidRPr="00D7330E">
              <w:rPr>
                <w:sz w:val="26"/>
                <w:szCs w:val="26"/>
              </w:rPr>
              <w:lastRenderedPageBreak/>
              <w:t>10 Conference provides officials for athletic events throughout the year.</w:t>
            </w:r>
            <w:r w:rsidR="00D743A9" w:rsidRPr="00D7330E">
              <w:rPr>
                <w:sz w:val="26"/>
                <w:szCs w:val="26"/>
              </w:rPr>
              <w:t xml:space="preserve"> </w:t>
            </w:r>
            <w:r w:rsidRPr="00D7330E">
              <w:rPr>
                <w:sz w:val="26"/>
                <w:szCs w:val="26"/>
              </w:rPr>
              <w:t xml:space="preserve">The fees associated with this purchase are to pay for those officials at the events. </w:t>
            </w:r>
            <w:r w:rsidR="00E935EC" w:rsidRPr="00E935EC">
              <w:rPr>
                <w:szCs w:val="26"/>
              </w:rPr>
              <w:t xml:space="preserve">DIA is currently in the second year of the original 5-year term with the Big 10 Conference. It is estimated an additional $440,000 is needed for the remainder of the contract </w:t>
            </w:r>
            <w:r w:rsidR="005D3635" w:rsidRPr="00E935EC">
              <w:rPr>
                <w:szCs w:val="26"/>
              </w:rPr>
              <w:t>term,</w:t>
            </w:r>
            <w:r w:rsidR="00E935EC" w:rsidRPr="00E935EC">
              <w:rPr>
                <w:szCs w:val="26"/>
              </w:rPr>
              <w:t xml:space="preserve"> bringing the grand total to $5,390,000.</w:t>
            </w:r>
          </w:p>
          <w:p w14:paraId="0A5D3AE1" w14:textId="107F69A6" w:rsidR="007B6A11" w:rsidRPr="00D7330E" w:rsidRDefault="007B6A11" w:rsidP="007B6A11">
            <w:pPr>
              <w:pStyle w:val="BodyText"/>
              <w:spacing w:before="1"/>
              <w:rPr>
                <w:sz w:val="26"/>
                <w:szCs w:val="26"/>
              </w:rPr>
            </w:pPr>
            <w:r w:rsidRPr="00D7330E">
              <w:rPr>
                <w:b/>
                <w:sz w:val="26"/>
                <w:szCs w:val="26"/>
              </w:rPr>
              <w:t xml:space="preserve">Business Enterprise Program (BEP) </w:t>
            </w:r>
            <w:r w:rsidRPr="00D7330E">
              <w:rPr>
                <w:bCs/>
                <w:sz w:val="26"/>
                <w:szCs w:val="26"/>
              </w:rPr>
              <w:t>goals are not established for contracts which are exempt from the requirements of the Illinois Procurement Code.</w:t>
            </w:r>
          </w:p>
          <w:p w14:paraId="28D84B28" w14:textId="47874BF7" w:rsidR="00080C61" w:rsidRPr="00D7330E" w:rsidRDefault="00080C61" w:rsidP="001B4A24">
            <w:pPr>
              <w:pStyle w:val="NoSpacing"/>
              <w:tabs>
                <w:tab w:val="left" w:pos="975"/>
              </w:tabs>
              <w:rPr>
                <w:color w:val="000000"/>
                <w:sz w:val="26"/>
                <w:szCs w:val="26"/>
              </w:rPr>
            </w:pPr>
          </w:p>
        </w:tc>
      </w:tr>
      <w:tr w:rsidR="002F2D48" w:rsidRPr="00D7330E" w14:paraId="31D27605" w14:textId="77777777" w:rsidTr="00BD5FE0">
        <w:trPr>
          <w:trHeight w:val="432"/>
        </w:trPr>
        <w:tc>
          <w:tcPr>
            <w:tcW w:w="450" w:type="dxa"/>
            <w:tcBorders>
              <w:bottom w:val="single" w:sz="18" w:space="0" w:color="auto"/>
            </w:tcBorders>
          </w:tcPr>
          <w:p w14:paraId="4B44AAE9" w14:textId="77777777" w:rsidR="002F2D48" w:rsidRPr="00D7330E" w:rsidRDefault="002F2D48" w:rsidP="00F6377E">
            <w:pPr>
              <w:pStyle w:val="NoSpacing"/>
              <w:rPr>
                <w:sz w:val="26"/>
                <w:szCs w:val="26"/>
              </w:rPr>
            </w:pPr>
          </w:p>
        </w:tc>
        <w:tc>
          <w:tcPr>
            <w:tcW w:w="990" w:type="dxa"/>
            <w:tcBorders>
              <w:bottom w:val="single" w:sz="18" w:space="0" w:color="auto"/>
            </w:tcBorders>
          </w:tcPr>
          <w:p w14:paraId="245D903A" w14:textId="77777777" w:rsidR="002F2D48" w:rsidRPr="00D7330E" w:rsidRDefault="002F2D48" w:rsidP="00F6377E">
            <w:pPr>
              <w:pStyle w:val="NoSpacing"/>
              <w:rPr>
                <w:sz w:val="26"/>
                <w:szCs w:val="26"/>
              </w:rPr>
            </w:pPr>
          </w:p>
        </w:tc>
        <w:tc>
          <w:tcPr>
            <w:tcW w:w="7920" w:type="dxa"/>
            <w:tcBorders>
              <w:bottom w:val="single" w:sz="18" w:space="0" w:color="auto"/>
            </w:tcBorders>
          </w:tcPr>
          <w:p w14:paraId="3472C3E8" w14:textId="77777777" w:rsidR="00080C61" w:rsidRPr="00D7330E" w:rsidRDefault="00080C61" w:rsidP="00080C61">
            <w:pPr>
              <w:tabs>
                <w:tab w:val="left" w:pos="-720"/>
                <w:tab w:val="left" w:pos="9090"/>
              </w:tabs>
              <w:suppressAutoHyphens/>
              <w:overflowPunct w:val="0"/>
              <w:autoSpaceDE w:val="0"/>
              <w:autoSpaceDN w:val="0"/>
              <w:adjustRightInd w:val="0"/>
              <w:spacing w:after="0" w:line="240" w:lineRule="auto"/>
              <w:textAlignment w:val="baseline"/>
              <w:rPr>
                <w:szCs w:val="26"/>
              </w:rPr>
            </w:pPr>
          </w:p>
        </w:tc>
      </w:tr>
    </w:tbl>
    <w:p w14:paraId="33C686F8" w14:textId="6BA49FE8" w:rsidR="00D743A9" w:rsidRPr="00D7330E" w:rsidRDefault="00D743A9" w:rsidP="002C343C">
      <w:pPr>
        <w:pStyle w:val="NoSpacing"/>
        <w:rPr>
          <w:rFonts w:eastAsia="Times New Roman"/>
          <w:sz w:val="26"/>
          <w:szCs w:val="26"/>
        </w:rPr>
      </w:pPr>
    </w:p>
    <w:p w14:paraId="25977787" w14:textId="3512E0AE" w:rsidR="009F2BE9" w:rsidRDefault="009F2BE9">
      <w:pPr>
        <w:spacing w:after="0" w:line="240" w:lineRule="auto"/>
        <w:rPr>
          <w:rFonts w:eastAsia="Times New Roman"/>
          <w:szCs w:val="26"/>
        </w:rPr>
      </w:pPr>
      <w:r>
        <w:rPr>
          <w:rFonts w:eastAsia="Times New Roman"/>
          <w:szCs w:val="26"/>
        </w:rPr>
        <w:br w:type="page"/>
      </w:r>
    </w:p>
    <w:p w14:paraId="4A063824" w14:textId="77777777" w:rsidR="0076023D" w:rsidRPr="00D7330E"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D7330E" w14:paraId="0F237B4F" w14:textId="77777777" w:rsidTr="002A641F">
        <w:trPr>
          <w:cantSplit/>
          <w:trHeight w:val="314"/>
        </w:trPr>
        <w:tc>
          <w:tcPr>
            <w:tcW w:w="7595" w:type="dxa"/>
            <w:gridSpan w:val="2"/>
          </w:tcPr>
          <w:p w14:paraId="70768D9C" w14:textId="77777777" w:rsidR="009412F7" w:rsidRPr="00D7330E"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D7330E">
              <w:rPr>
                <w:rFonts w:eastAsia="Times New Roman"/>
                <w:b/>
                <w:szCs w:val="26"/>
              </w:rPr>
              <w:t>SUMMARY OF PURCHASES</w:t>
            </w:r>
          </w:p>
        </w:tc>
      </w:tr>
      <w:tr w:rsidR="00056A33" w:rsidRPr="00D7330E" w14:paraId="693757C2" w14:textId="77777777" w:rsidTr="00A05784">
        <w:trPr>
          <w:trHeight w:val="394"/>
        </w:trPr>
        <w:tc>
          <w:tcPr>
            <w:tcW w:w="5693" w:type="dxa"/>
          </w:tcPr>
          <w:p w14:paraId="31E68B58" w14:textId="27970201" w:rsidR="00056A33" w:rsidRPr="00D7330E" w:rsidRDefault="00056A33" w:rsidP="009412F7">
            <w:pPr>
              <w:overflowPunct w:val="0"/>
              <w:autoSpaceDE w:val="0"/>
              <w:autoSpaceDN w:val="0"/>
              <w:adjustRightInd w:val="0"/>
              <w:spacing w:after="0" w:line="240" w:lineRule="auto"/>
              <w:textAlignment w:val="baseline"/>
              <w:rPr>
                <w:rFonts w:eastAsia="Times New Roman"/>
                <w:szCs w:val="26"/>
              </w:rPr>
            </w:pPr>
            <w:r>
              <w:rPr>
                <w:rFonts w:eastAsia="Times New Roman"/>
                <w:szCs w:val="26"/>
              </w:rPr>
              <w:t>University of Illinois Urbana-Champaign</w:t>
            </w:r>
          </w:p>
        </w:tc>
        <w:tc>
          <w:tcPr>
            <w:tcW w:w="1902" w:type="dxa"/>
            <w:shd w:val="clear" w:color="auto" w:fill="auto"/>
          </w:tcPr>
          <w:p w14:paraId="747C8CED" w14:textId="7EE4A8E5" w:rsidR="00056A33" w:rsidRDefault="00056A33" w:rsidP="00AD2AF9">
            <w:pPr>
              <w:overflowPunct w:val="0"/>
              <w:autoSpaceDE w:val="0"/>
              <w:autoSpaceDN w:val="0"/>
              <w:adjustRightInd w:val="0"/>
              <w:spacing w:after="0" w:line="240" w:lineRule="auto"/>
              <w:textAlignment w:val="baseline"/>
              <w:rPr>
                <w:rFonts w:eastAsia="Times New Roman"/>
                <w:szCs w:val="26"/>
              </w:rPr>
            </w:pPr>
            <w:r>
              <w:rPr>
                <w:rFonts w:eastAsia="Times New Roman"/>
                <w:szCs w:val="26"/>
              </w:rPr>
              <w:t>$   4,250,000</w:t>
            </w:r>
          </w:p>
        </w:tc>
      </w:tr>
      <w:tr w:rsidR="00361DE1" w:rsidRPr="00D7330E" w14:paraId="5E95681F" w14:textId="77777777" w:rsidTr="00A05784">
        <w:trPr>
          <w:trHeight w:val="394"/>
        </w:trPr>
        <w:tc>
          <w:tcPr>
            <w:tcW w:w="5693" w:type="dxa"/>
          </w:tcPr>
          <w:p w14:paraId="568ECDE7" w14:textId="024F9036" w:rsidR="00361DE1" w:rsidRPr="00D7330E" w:rsidRDefault="00361DE1" w:rsidP="009412F7">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University of Illinois </w:t>
            </w:r>
            <w:r w:rsidR="00D0692B" w:rsidRPr="00D7330E">
              <w:rPr>
                <w:rFonts w:eastAsia="Times New Roman"/>
                <w:szCs w:val="26"/>
              </w:rPr>
              <w:t>Chicago</w:t>
            </w:r>
          </w:p>
        </w:tc>
        <w:tc>
          <w:tcPr>
            <w:tcW w:w="1902" w:type="dxa"/>
            <w:shd w:val="clear" w:color="auto" w:fill="auto"/>
          </w:tcPr>
          <w:p w14:paraId="3F7DF7BA" w14:textId="2FF0458E" w:rsidR="00361DE1" w:rsidRPr="00D7330E" w:rsidRDefault="00F9182A" w:rsidP="00AD2AF9">
            <w:pPr>
              <w:overflowPunct w:val="0"/>
              <w:autoSpaceDE w:val="0"/>
              <w:autoSpaceDN w:val="0"/>
              <w:adjustRightInd w:val="0"/>
              <w:spacing w:after="0" w:line="240" w:lineRule="auto"/>
              <w:textAlignment w:val="baseline"/>
              <w:rPr>
                <w:rFonts w:eastAsia="Times New Roman"/>
                <w:szCs w:val="26"/>
              </w:rPr>
            </w:pPr>
            <w:r>
              <w:rPr>
                <w:rFonts w:eastAsia="Times New Roman"/>
                <w:szCs w:val="26"/>
              </w:rPr>
              <w:t>$ 1</w:t>
            </w:r>
            <w:r w:rsidR="006F0C9D">
              <w:rPr>
                <w:rFonts w:eastAsia="Times New Roman"/>
                <w:szCs w:val="26"/>
              </w:rPr>
              <w:t>2</w:t>
            </w:r>
            <w:r>
              <w:rPr>
                <w:rFonts w:eastAsia="Times New Roman"/>
                <w:szCs w:val="26"/>
              </w:rPr>
              <w:t>,</w:t>
            </w:r>
            <w:r w:rsidR="006F0C9D">
              <w:rPr>
                <w:rFonts w:eastAsia="Times New Roman"/>
                <w:szCs w:val="26"/>
              </w:rPr>
              <w:t>5</w:t>
            </w:r>
            <w:r>
              <w:rPr>
                <w:rFonts w:eastAsia="Times New Roman"/>
                <w:szCs w:val="26"/>
              </w:rPr>
              <w:t>00,000</w:t>
            </w:r>
          </w:p>
        </w:tc>
      </w:tr>
      <w:tr w:rsidR="002C343C" w:rsidRPr="00D7330E" w14:paraId="5EDFE55C" w14:textId="77777777" w:rsidTr="00A05784">
        <w:trPr>
          <w:trHeight w:val="394"/>
        </w:trPr>
        <w:tc>
          <w:tcPr>
            <w:tcW w:w="5693" w:type="dxa"/>
          </w:tcPr>
          <w:p w14:paraId="2B5B80EA" w14:textId="77777777" w:rsidR="002C343C" w:rsidRPr="00D7330E"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3006AE46" w14:textId="706D64DA" w:rsidR="002C343C" w:rsidRPr="00D7330E" w:rsidRDefault="002C343C" w:rsidP="009412F7">
            <w:pPr>
              <w:overflowPunct w:val="0"/>
              <w:autoSpaceDE w:val="0"/>
              <w:autoSpaceDN w:val="0"/>
              <w:adjustRightInd w:val="0"/>
              <w:spacing w:after="0" w:line="240" w:lineRule="auto"/>
              <w:textAlignment w:val="baseline"/>
              <w:rPr>
                <w:rFonts w:eastAsia="Times New Roman"/>
                <w:szCs w:val="26"/>
              </w:rPr>
            </w:pPr>
            <w:r w:rsidRPr="00D7330E">
              <w:rPr>
                <w:rFonts w:eastAsia="Times New Roman"/>
                <w:color w:val="000000"/>
                <w:szCs w:val="26"/>
              </w:rPr>
              <w:t>Grand Total</w:t>
            </w:r>
          </w:p>
        </w:tc>
        <w:tc>
          <w:tcPr>
            <w:tcW w:w="1902" w:type="dxa"/>
            <w:shd w:val="clear" w:color="auto" w:fill="auto"/>
          </w:tcPr>
          <w:p w14:paraId="0B588B2D" w14:textId="670231B1" w:rsidR="002C343C" w:rsidRPr="00D7330E" w:rsidRDefault="00D0692B" w:rsidP="002A641F">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sidR="006F0C9D">
              <w:rPr>
                <w:rFonts w:eastAsia="Times New Roman"/>
                <w:szCs w:val="26"/>
              </w:rPr>
              <w:t>16</w:t>
            </w:r>
            <w:r w:rsidR="00F9182A">
              <w:rPr>
                <w:rFonts w:eastAsia="Times New Roman"/>
                <w:szCs w:val="26"/>
              </w:rPr>
              <w:t>,</w:t>
            </w:r>
            <w:r w:rsidR="006F0C9D">
              <w:rPr>
                <w:rFonts w:eastAsia="Times New Roman"/>
                <w:szCs w:val="26"/>
              </w:rPr>
              <w:t>750</w:t>
            </w:r>
            <w:r w:rsidR="00F9182A">
              <w:rPr>
                <w:rFonts w:eastAsia="Times New Roman"/>
                <w:szCs w:val="26"/>
              </w:rPr>
              <w:t>,000</w:t>
            </w:r>
          </w:p>
        </w:tc>
      </w:tr>
      <w:tr w:rsidR="00A53454" w:rsidRPr="00D7330E" w14:paraId="5E40F003" w14:textId="77777777" w:rsidTr="00A05784">
        <w:trPr>
          <w:trHeight w:val="394"/>
        </w:trPr>
        <w:tc>
          <w:tcPr>
            <w:tcW w:w="5693" w:type="dxa"/>
          </w:tcPr>
          <w:p w14:paraId="6F8FE53B" w14:textId="77777777" w:rsidR="00A53454" w:rsidRPr="00D7330E"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D7330E"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r w:rsidR="00A53454" w:rsidRPr="00D7330E" w14:paraId="35D8E633" w14:textId="77777777" w:rsidTr="00520C04">
        <w:trPr>
          <w:trHeight w:val="394"/>
        </w:trPr>
        <w:tc>
          <w:tcPr>
            <w:tcW w:w="7595" w:type="dxa"/>
            <w:gridSpan w:val="2"/>
          </w:tcPr>
          <w:p w14:paraId="22DDE64D" w14:textId="7BED404F" w:rsidR="00A53454" w:rsidRPr="00D7330E" w:rsidRDefault="00A53454" w:rsidP="00A53454">
            <w:pPr>
              <w:overflowPunct w:val="0"/>
              <w:autoSpaceDE w:val="0"/>
              <w:autoSpaceDN w:val="0"/>
              <w:adjustRightInd w:val="0"/>
              <w:spacing w:after="0" w:line="240" w:lineRule="auto"/>
              <w:jc w:val="center"/>
              <w:textAlignment w:val="baseline"/>
              <w:rPr>
                <w:rFonts w:eastAsia="Times New Roman"/>
                <w:szCs w:val="26"/>
                <w:highlight w:val="yellow"/>
              </w:rPr>
            </w:pPr>
            <w:r w:rsidRPr="00D7330E">
              <w:rPr>
                <w:rFonts w:eastAsia="Times New Roman"/>
                <w:b/>
                <w:szCs w:val="26"/>
              </w:rPr>
              <w:t xml:space="preserve">SUMMARY OF </w:t>
            </w:r>
            <w:r w:rsidR="00540E60" w:rsidRPr="00D7330E">
              <w:rPr>
                <w:rFonts w:eastAsia="Times New Roman"/>
                <w:b/>
                <w:szCs w:val="26"/>
              </w:rPr>
              <w:t>RENEWALS</w:t>
            </w:r>
          </w:p>
        </w:tc>
      </w:tr>
      <w:tr w:rsidR="00A53454" w:rsidRPr="00D7330E" w14:paraId="15952539" w14:textId="77777777" w:rsidTr="00A05784">
        <w:trPr>
          <w:trHeight w:val="394"/>
        </w:trPr>
        <w:tc>
          <w:tcPr>
            <w:tcW w:w="5693" w:type="dxa"/>
          </w:tcPr>
          <w:p w14:paraId="04CC1882" w14:textId="5E165618" w:rsidR="00A53454" w:rsidRPr="00D7330E" w:rsidRDefault="00A53454"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bCs/>
                <w:szCs w:val="26"/>
              </w:rPr>
              <w:t>University of Illinois Urbana-Champaign</w:t>
            </w:r>
          </w:p>
        </w:tc>
        <w:tc>
          <w:tcPr>
            <w:tcW w:w="1902" w:type="dxa"/>
            <w:shd w:val="clear" w:color="auto" w:fill="auto"/>
          </w:tcPr>
          <w:p w14:paraId="24D4DFA9" w14:textId="4B928F9A" w:rsidR="00A53454" w:rsidRPr="00D7330E" w:rsidRDefault="00A53454"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xml:space="preserve">$ </w:t>
            </w:r>
            <w:r w:rsidR="00D0692B" w:rsidRPr="00D7330E">
              <w:rPr>
                <w:rFonts w:eastAsia="Times New Roman"/>
                <w:szCs w:val="26"/>
              </w:rPr>
              <w:t>51,257,189</w:t>
            </w:r>
          </w:p>
        </w:tc>
      </w:tr>
      <w:tr w:rsidR="002F2D48" w:rsidRPr="00D7330E" w14:paraId="2083E0F6" w14:textId="77777777" w:rsidTr="00A05784">
        <w:trPr>
          <w:trHeight w:val="394"/>
        </w:trPr>
        <w:tc>
          <w:tcPr>
            <w:tcW w:w="5693" w:type="dxa"/>
          </w:tcPr>
          <w:p w14:paraId="354A678D" w14:textId="14764640" w:rsidR="002F2D48" w:rsidRPr="00D7330E" w:rsidRDefault="002F2D48"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szCs w:val="26"/>
              </w:rPr>
              <w:t xml:space="preserve">University of Illinois </w:t>
            </w:r>
            <w:r w:rsidR="00D0692B" w:rsidRPr="00D7330E">
              <w:rPr>
                <w:rFonts w:eastAsia="Times New Roman"/>
                <w:szCs w:val="26"/>
              </w:rPr>
              <w:t>System Office</w:t>
            </w:r>
          </w:p>
        </w:tc>
        <w:tc>
          <w:tcPr>
            <w:tcW w:w="1902" w:type="dxa"/>
            <w:shd w:val="clear" w:color="auto" w:fill="auto"/>
          </w:tcPr>
          <w:p w14:paraId="027368B0" w14:textId="5F6005EB" w:rsidR="002F2D48" w:rsidRPr="00D7330E" w:rsidRDefault="0097228A"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D743A9" w:rsidRPr="00D7330E">
              <w:rPr>
                <w:rFonts w:eastAsia="Times New Roman"/>
                <w:szCs w:val="26"/>
              </w:rPr>
              <w:t xml:space="preserve"> </w:t>
            </w:r>
            <w:r w:rsidR="006F0C9D">
              <w:rPr>
                <w:rFonts w:eastAsia="Times New Roman"/>
                <w:szCs w:val="26"/>
              </w:rPr>
              <w:t xml:space="preserve">  </w:t>
            </w:r>
            <w:r w:rsidR="00D0692B" w:rsidRPr="00D7330E">
              <w:rPr>
                <w:rFonts w:eastAsia="Times New Roman"/>
                <w:szCs w:val="26"/>
              </w:rPr>
              <w:t>3,498,410</w:t>
            </w:r>
            <w:r w:rsidRPr="00D7330E">
              <w:rPr>
                <w:rFonts w:eastAsia="Times New Roman"/>
                <w:szCs w:val="26"/>
              </w:rPr>
              <w:t xml:space="preserve"> </w:t>
            </w:r>
          </w:p>
        </w:tc>
      </w:tr>
      <w:tr w:rsidR="00540E60" w:rsidRPr="00D7330E" w14:paraId="777789C8" w14:textId="77777777" w:rsidTr="00A05784">
        <w:trPr>
          <w:trHeight w:val="394"/>
        </w:trPr>
        <w:tc>
          <w:tcPr>
            <w:tcW w:w="5693" w:type="dxa"/>
          </w:tcPr>
          <w:p w14:paraId="577EC4B0" w14:textId="77777777" w:rsidR="00540E60" w:rsidRPr="00D7330E" w:rsidRDefault="00540E60" w:rsidP="00540E6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72CC3A56" w14:textId="354C73D9" w:rsidR="00540E60" w:rsidRPr="00D7330E" w:rsidRDefault="00540E60" w:rsidP="00540E60">
            <w:pPr>
              <w:overflowPunct w:val="0"/>
              <w:autoSpaceDE w:val="0"/>
              <w:autoSpaceDN w:val="0"/>
              <w:adjustRightInd w:val="0"/>
              <w:spacing w:after="0" w:line="240" w:lineRule="auto"/>
              <w:textAlignment w:val="baseline"/>
              <w:rPr>
                <w:rFonts w:eastAsia="Times New Roman"/>
                <w:bCs/>
                <w:szCs w:val="26"/>
              </w:rPr>
            </w:pPr>
            <w:r w:rsidRPr="00D7330E">
              <w:rPr>
                <w:rFonts w:eastAsia="Times New Roman"/>
                <w:color w:val="000000"/>
                <w:szCs w:val="26"/>
              </w:rPr>
              <w:t>Grand Total</w:t>
            </w:r>
          </w:p>
        </w:tc>
        <w:tc>
          <w:tcPr>
            <w:tcW w:w="1902" w:type="dxa"/>
            <w:shd w:val="clear" w:color="auto" w:fill="auto"/>
          </w:tcPr>
          <w:p w14:paraId="1FE6E1F7" w14:textId="71FE13D9" w:rsidR="00540E60" w:rsidRPr="00D7330E" w:rsidRDefault="00F3539B"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D0692B" w:rsidRPr="00D7330E">
              <w:rPr>
                <w:rFonts w:eastAsia="Times New Roman"/>
                <w:szCs w:val="26"/>
              </w:rPr>
              <w:t xml:space="preserve"> 54,755,599</w:t>
            </w:r>
          </w:p>
        </w:tc>
      </w:tr>
      <w:tr w:rsidR="00540E60" w:rsidRPr="00D7330E" w14:paraId="1AF35B9C" w14:textId="77777777" w:rsidTr="00A05784">
        <w:trPr>
          <w:trHeight w:val="394"/>
        </w:trPr>
        <w:tc>
          <w:tcPr>
            <w:tcW w:w="5693" w:type="dxa"/>
          </w:tcPr>
          <w:p w14:paraId="77DAE2C5" w14:textId="77777777" w:rsidR="00540E60" w:rsidRPr="00D7330E" w:rsidRDefault="00540E60" w:rsidP="00A53454">
            <w:pPr>
              <w:overflowPunct w:val="0"/>
              <w:autoSpaceDE w:val="0"/>
              <w:autoSpaceDN w:val="0"/>
              <w:adjustRightInd w:val="0"/>
              <w:spacing w:after="0" w:line="240" w:lineRule="auto"/>
              <w:textAlignment w:val="baseline"/>
              <w:rPr>
                <w:rFonts w:eastAsia="Times New Roman"/>
                <w:bCs/>
                <w:szCs w:val="26"/>
              </w:rPr>
            </w:pPr>
          </w:p>
        </w:tc>
        <w:tc>
          <w:tcPr>
            <w:tcW w:w="1902" w:type="dxa"/>
            <w:shd w:val="clear" w:color="auto" w:fill="auto"/>
          </w:tcPr>
          <w:p w14:paraId="233A9F06" w14:textId="77777777" w:rsidR="00540E60" w:rsidRPr="00D7330E" w:rsidRDefault="00540E60" w:rsidP="00A53454">
            <w:pPr>
              <w:overflowPunct w:val="0"/>
              <w:autoSpaceDE w:val="0"/>
              <w:autoSpaceDN w:val="0"/>
              <w:adjustRightInd w:val="0"/>
              <w:spacing w:after="0" w:line="240" w:lineRule="auto"/>
              <w:textAlignment w:val="baseline"/>
              <w:rPr>
                <w:rFonts w:eastAsia="Times New Roman"/>
                <w:szCs w:val="26"/>
              </w:rPr>
            </w:pPr>
          </w:p>
        </w:tc>
      </w:tr>
      <w:tr w:rsidR="00A53454" w:rsidRPr="00D7330E" w14:paraId="61494642" w14:textId="77777777" w:rsidTr="00FC7ED3">
        <w:trPr>
          <w:trHeight w:val="350"/>
        </w:trPr>
        <w:tc>
          <w:tcPr>
            <w:tcW w:w="7595" w:type="dxa"/>
            <w:gridSpan w:val="2"/>
          </w:tcPr>
          <w:p w14:paraId="7DB9F06B" w14:textId="2C629E05" w:rsidR="00A53454" w:rsidRPr="00D7330E" w:rsidRDefault="00A53454" w:rsidP="00A53454">
            <w:pPr>
              <w:overflowPunct w:val="0"/>
              <w:autoSpaceDE w:val="0"/>
              <w:autoSpaceDN w:val="0"/>
              <w:adjustRightInd w:val="0"/>
              <w:spacing w:after="0" w:line="240" w:lineRule="auto"/>
              <w:jc w:val="center"/>
              <w:textAlignment w:val="baseline"/>
              <w:rPr>
                <w:rFonts w:eastAsia="Times New Roman"/>
                <w:szCs w:val="26"/>
              </w:rPr>
            </w:pPr>
            <w:r w:rsidRPr="00D7330E">
              <w:rPr>
                <w:rFonts w:eastAsia="Times New Roman"/>
                <w:b/>
                <w:szCs w:val="26"/>
              </w:rPr>
              <w:t>SUMMARY OF CHANGE ORDERS</w:t>
            </w:r>
          </w:p>
        </w:tc>
      </w:tr>
      <w:tr w:rsidR="002F2D48" w:rsidRPr="00D7330E" w14:paraId="76E5AA4B" w14:textId="77777777" w:rsidTr="00A05784">
        <w:trPr>
          <w:trHeight w:val="350"/>
        </w:trPr>
        <w:tc>
          <w:tcPr>
            <w:tcW w:w="5693" w:type="dxa"/>
          </w:tcPr>
          <w:p w14:paraId="173C473F" w14:textId="5D867FB7" w:rsidR="002F2D48" w:rsidRPr="00D7330E" w:rsidRDefault="002F2D48"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bCs/>
                <w:szCs w:val="26"/>
              </w:rPr>
              <w:t>University of Illinois Urbana-Champaign</w:t>
            </w:r>
          </w:p>
        </w:tc>
        <w:tc>
          <w:tcPr>
            <w:tcW w:w="1902" w:type="dxa"/>
            <w:shd w:val="clear" w:color="auto" w:fill="auto"/>
          </w:tcPr>
          <w:p w14:paraId="7E8607C9" w14:textId="7EE3E9DB" w:rsidR="002F2D48" w:rsidRPr="00D7330E" w:rsidRDefault="00E935EC"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$ 440</w:t>
            </w:r>
            <w:r>
              <w:rPr>
                <w:rFonts w:eastAsia="Times New Roman"/>
                <w:szCs w:val="26"/>
              </w:rPr>
              <w:t>,</w:t>
            </w:r>
            <w:r w:rsidRPr="00D7330E">
              <w:rPr>
                <w:rFonts w:eastAsia="Times New Roman"/>
                <w:szCs w:val="26"/>
              </w:rPr>
              <w:t>000</w:t>
            </w:r>
          </w:p>
        </w:tc>
      </w:tr>
      <w:tr w:rsidR="00A53454" w:rsidRPr="00D7330E" w14:paraId="5449BA2F" w14:textId="77777777" w:rsidTr="00A05784">
        <w:trPr>
          <w:trHeight w:val="350"/>
        </w:trPr>
        <w:tc>
          <w:tcPr>
            <w:tcW w:w="5693" w:type="dxa"/>
          </w:tcPr>
          <w:p w14:paraId="41FBB381" w14:textId="359E226F" w:rsidR="00A53454" w:rsidRPr="00D7330E"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Recommended from Institutional Funds</w:t>
            </w:r>
          </w:p>
          <w:p w14:paraId="14C85AB8" w14:textId="702231E1" w:rsidR="00A53454" w:rsidRPr="00D7330E" w:rsidRDefault="00A53454" w:rsidP="00A5345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D7330E">
              <w:rPr>
                <w:rFonts w:eastAsia="Times New Roman"/>
                <w:color w:val="000000"/>
                <w:szCs w:val="26"/>
              </w:rPr>
              <w:t>Grand Total</w:t>
            </w:r>
          </w:p>
        </w:tc>
        <w:tc>
          <w:tcPr>
            <w:tcW w:w="1902" w:type="dxa"/>
            <w:shd w:val="clear" w:color="auto" w:fill="auto"/>
          </w:tcPr>
          <w:p w14:paraId="654CF46C" w14:textId="048694AD" w:rsidR="00CC0310" w:rsidRPr="00D7330E" w:rsidRDefault="00540E60" w:rsidP="00A53454">
            <w:pPr>
              <w:overflowPunct w:val="0"/>
              <w:autoSpaceDE w:val="0"/>
              <w:autoSpaceDN w:val="0"/>
              <w:adjustRightInd w:val="0"/>
              <w:spacing w:after="0" w:line="240" w:lineRule="auto"/>
              <w:textAlignment w:val="baseline"/>
              <w:rPr>
                <w:rFonts w:eastAsia="Times New Roman"/>
                <w:szCs w:val="26"/>
              </w:rPr>
            </w:pPr>
            <w:r w:rsidRPr="00D7330E">
              <w:rPr>
                <w:rFonts w:eastAsia="Times New Roman"/>
                <w:szCs w:val="26"/>
              </w:rPr>
              <w:t>$</w:t>
            </w:r>
            <w:r w:rsidR="00D743A9" w:rsidRPr="00D7330E">
              <w:rPr>
                <w:rFonts w:eastAsia="Times New Roman"/>
                <w:szCs w:val="26"/>
              </w:rPr>
              <w:t xml:space="preserve"> </w:t>
            </w:r>
            <w:r w:rsidR="00D0692B" w:rsidRPr="00D7330E">
              <w:rPr>
                <w:rFonts w:eastAsia="Times New Roman"/>
                <w:szCs w:val="26"/>
              </w:rPr>
              <w:t>440</w:t>
            </w:r>
            <w:r w:rsidR="00E935EC">
              <w:rPr>
                <w:rFonts w:eastAsia="Times New Roman"/>
                <w:szCs w:val="26"/>
              </w:rPr>
              <w:t>,</w:t>
            </w:r>
            <w:r w:rsidR="00D0692B" w:rsidRPr="00D7330E">
              <w:rPr>
                <w:rFonts w:eastAsia="Times New Roman"/>
                <w:szCs w:val="26"/>
              </w:rPr>
              <w:t>000</w:t>
            </w:r>
          </w:p>
        </w:tc>
      </w:tr>
    </w:tbl>
    <w:p w14:paraId="15036B6A" w14:textId="3F3C87CA" w:rsidR="00B55900" w:rsidRPr="00353536" w:rsidRDefault="00B55900" w:rsidP="009F2BE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9F2BE9">
      <w:headerReference w:type="default" r:id="rId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EF62" w14:textId="77777777" w:rsidR="00DC54AD" w:rsidRDefault="00DC54AD" w:rsidP="00A817DF">
      <w:pPr>
        <w:spacing w:after="0" w:line="240" w:lineRule="auto"/>
      </w:pPr>
      <w:r>
        <w:separator/>
      </w:r>
    </w:p>
  </w:endnote>
  <w:endnote w:type="continuationSeparator" w:id="0">
    <w:p w14:paraId="1DC998C2" w14:textId="77777777" w:rsidR="00DC54AD" w:rsidRDefault="00DC54AD"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8EFBD" w14:textId="77777777" w:rsidR="00DC54AD" w:rsidRDefault="00DC54AD" w:rsidP="00A817DF">
      <w:pPr>
        <w:spacing w:after="0" w:line="240" w:lineRule="auto"/>
      </w:pPr>
      <w:r>
        <w:separator/>
      </w:r>
    </w:p>
  </w:footnote>
  <w:footnote w:type="continuationSeparator" w:id="0">
    <w:p w14:paraId="1C9CBF2A" w14:textId="77777777" w:rsidR="00DC54AD" w:rsidRDefault="00DC54AD"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157269"/>
      <w:docPartObj>
        <w:docPartGallery w:val="Page Numbers (Top of Page)"/>
        <w:docPartUnique/>
      </w:docPartObj>
    </w:sdtPr>
    <w:sdtEndPr>
      <w:rPr>
        <w:noProof/>
      </w:rPr>
    </w:sdtEndPr>
    <w:sdtContent>
      <w:p w14:paraId="7F465E28" w14:textId="727D5BB8" w:rsidR="009F2BE9" w:rsidRDefault="009F2BE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53F6F3" w14:textId="4D0621AA"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2052"/>
    <w:rsid w:val="000143EE"/>
    <w:rsid w:val="00015DC9"/>
    <w:rsid w:val="00040E89"/>
    <w:rsid w:val="00044FA0"/>
    <w:rsid w:val="00045674"/>
    <w:rsid w:val="00050736"/>
    <w:rsid w:val="00056A33"/>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9781F"/>
    <w:rsid w:val="000A0032"/>
    <w:rsid w:val="000A16D9"/>
    <w:rsid w:val="000B04AB"/>
    <w:rsid w:val="000B3155"/>
    <w:rsid w:val="000B3742"/>
    <w:rsid w:val="000B5B85"/>
    <w:rsid w:val="000B69D6"/>
    <w:rsid w:val="000C2912"/>
    <w:rsid w:val="000C364E"/>
    <w:rsid w:val="000C6006"/>
    <w:rsid w:val="000D35D5"/>
    <w:rsid w:val="000D5BC3"/>
    <w:rsid w:val="000D6281"/>
    <w:rsid w:val="000E15C9"/>
    <w:rsid w:val="000E2851"/>
    <w:rsid w:val="000E51D1"/>
    <w:rsid w:val="000F53D3"/>
    <w:rsid w:val="000F72ED"/>
    <w:rsid w:val="00112E2B"/>
    <w:rsid w:val="00114F6C"/>
    <w:rsid w:val="00124B96"/>
    <w:rsid w:val="00125422"/>
    <w:rsid w:val="00130E3F"/>
    <w:rsid w:val="00141D9C"/>
    <w:rsid w:val="00151197"/>
    <w:rsid w:val="00152827"/>
    <w:rsid w:val="001610D8"/>
    <w:rsid w:val="00162A4C"/>
    <w:rsid w:val="00165B0B"/>
    <w:rsid w:val="00172D76"/>
    <w:rsid w:val="001730D7"/>
    <w:rsid w:val="00182841"/>
    <w:rsid w:val="00184765"/>
    <w:rsid w:val="00196069"/>
    <w:rsid w:val="001A0B41"/>
    <w:rsid w:val="001A31BF"/>
    <w:rsid w:val="001A33EE"/>
    <w:rsid w:val="001A4080"/>
    <w:rsid w:val="001A5F67"/>
    <w:rsid w:val="001B2AC1"/>
    <w:rsid w:val="001B4A24"/>
    <w:rsid w:val="001B4AC0"/>
    <w:rsid w:val="001B4D8B"/>
    <w:rsid w:val="001B58A7"/>
    <w:rsid w:val="001B762B"/>
    <w:rsid w:val="001D3AA7"/>
    <w:rsid w:val="001D650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E0B93"/>
    <w:rsid w:val="002E1375"/>
    <w:rsid w:val="002E31C2"/>
    <w:rsid w:val="002E44F4"/>
    <w:rsid w:val="002F04D8"/>
    <w:rsid w:val="002F2D48"/>
    <w:rsid w:val="002F4DAF"/>
    <w:rsid w:val="003045AE"/>
    <w:rsid w:val="00306B06"/>
    <w:rsid w:val="00307B8F"/>
    <w:rsid w:val="00307D0C"/>
    <w:rsid w:val="00314933"/>
    <w:rsid w:val="00315A3D"/>
    <w:rsid w:val="003175D4"/>
    <w:rsid w:val="00317DD0"/>
    <w:rsid w:val="00333ECF"/>
    <w:rsid w:val="003376C9"/>
    <w:rsid w:val="00343729"/>
    <w:rsid w:val="003467FE"/>
    <w:rsid w:val="00346ABB"/>
    <w:rsid w:val="00353536"/>
    <w:rsid w:val="00354DFE"/>
    <w:rsid w:val="00357D48"/>
    <w:rsid w:val="00361DE1"/>
    <w:rsid w:val="00372028"/>
    <w:rsid w:val="00380E12"/>
    <w:rsid w:val="003900FD"/>
    <w:rsid w:val="003907E9"/>
    <w:rsid w:val="00390FC0"/>
    <w:rsid w:val="0039204D"/>
    <w:rsid w:val="00395D90"/>
    <w:rsid w:val="003A175C"/>
    <w:rsid w:val="003A2088"/>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505E"/>
    <w:rsid w:val="00416087"/>
    <w:rsid w:val="00420B03"/>
    <w:rsid w:val="00425BB7"/>
    <w:rsid w:val="00426458"/>
    <w:rsid w:val="00427DA3"/>
    <w:rsid w:val="00431751"/>
    <w:rsid w:val="00435F85"/>
    <w:rsid w:val="00437797"/>
    <w:rsid w:val="00450F9C"/>
    <w:rsid w:val="00457CDE"/>
    <w:rsid w:val="00464D6F"/>
    <w:rsid w:val="00467717"/>
    <w:rsid w:val="00470228"/>
    <w:rsid w:val="0047290A"/>
    <w:rsid w:val="00477568"/>
    <w:rsid w:val="00480227"/>
    <w:rsid w:val="00481670"/>
    <w:rsid w:val="0048342A"/>
    <w:rsid w:val="00487510"/>
    <w:rsid w:val="004A1335"/>
    <w:rsid w:val="004A6CB4"/>
    <w:rsid w:val="004A7669"/>
    <w:rsid w:val="004A7B2E"/>
    <w:rsid w:val="004B23AD"/>
    <w:rsid w:val="004B2BDA"/>
    <w:rsid w:val="004B76E4"/>
    <w:rsid w:val="004C0608"/>
    <w:rsid w:val="004C43B8"/>
    <w:rsid w:val="004E2F4F"/>
    <w:rsid w:val="004F31D7"/>
    <w:rsid w:val="004F787F"/>
    <w:rsid w:val="005122F2"/>
    <w:rsid w:val="005145D8"/>
    <w:rsid w:val="00517741"/>
    <w:rsid w:val="00525289"/>
    <w:rsid w:val="00525D4A"/>
    <w:rsid w:val="00526A44"/>
    <w:rsid w:val="00537F38"/>
    <w:rsid w:val="00540E60"/>
    <w:rsid w:val="00542702"/>
    <w:rsid w:val="00543A5A"/>
    <w:rsid w:val="00552EB0"/>
    <w:rsid w:val="00555371"/>
    <w:rsid w:val="0057172C"/>
    <w:rsid w:val="005733AC"/>
    <w:rsid w:val="00573A23"/>
    <w:rsid w:val="005745EF"/>
    <w:rsid w:val="005917CC"/>
    <w:rsid w:val="005978EE"/>
    <w:rsid w:val="005C2A7C"/>
    <w:rsid w:val="005C38D7"/>
    <w:rsid w:val="005C393C"/>
    <w:rsid w:val="005C45AE"/>
    <w:rsid w:val="005D08FB"/>
    <w:rsid w:val="005D3635"/>
    <w:rsid w:val="005D66E5"/>
    <w:rsid w:val="005D6E7E"/>
    <w:rsid w:val="005E0483"/>
    <w:rsid w:val="005E0799"/>
    <w:rsid w:val="005E6979"/>
    <w:rsid w:val="005E70D5"/>
    <w:rsid w:val="00602119"/>
    <w:rsid w:val="0060572F"/>
    <w:rsid w:val="006059B6"/>
    <w:rsid w:val="00606D2C"/>
    <w:rsid w:val="00610227"/>
    <w:rsid w:val="00616398"/>
    <w:rsid w:val="00621395"/>
    <w:rsid w:val="00631E2A"/>
    <w:rsid w:val="00652AC9"/>
    <w:rsid w:val="00652B42"/>
    <w:rsid w:val="00652F1D"/>
    <w:rsid w:val="00660DBC"/>
    <w:rsid w:val="00664CE2"/>
    <w:rsid w:val="006718D0"/>
    <w:rsid w:val="006722F9"/>
    <w:rsid w:val="006745F9"/>
    <w:rsid w:val="00694F56"/>
    <w:rsid w:val="00696A30"/>
    <w:rsid w:val="00697A43"/>
    <w:rsid w:val="006A2B59"/>
    <w:rsid w:val="006A4606"/>
    <w:rsid w:val="006A498C"/>
    <w:rsid w:val="006A4FD8"/>
    <w:rsid w:val="006A5B1A"/>
    <w:rsid w:val="006A77EA"/>
    <w:rsid w:val="006B133B"/>
    <w:rsid w:val="006B4216"/>
    <w:rsid w:val="006C0830"/>
    <w:rsid w:val="006C5858"/>
    <w:rsid w:val="006D4B9B"/>
    <w:rsid w:val="006D7B82"/>
    <w:rsid w:val="006E2C01"/>
    <w:rsid w:val="006F037C"/>
    <w:rsid w:val="006F0C9D"/>
    <w:rsid w:val="006F4DF5"/>
    <w:rsid w:val="006F53BA"/>
    <w:rsid w:val="00703E4D"/>
    <w:rsid w:val="00711A18"/>
    <w:rsid w:val="00725371"/>
    <w:rsid w:val="00725DF2"/>
    <w:rsid w:val="00755CE8"/>
    <w:rsid w:val="0076023D"/>
    <w:rsid w:val="0076251E"/>
    <w:rsid w:val="007666D1"/>
    <w:rsid w:val="00767D48"/>
    <w:rsid w:val="0077417A"/>
    <w:rsid w:val="00777270"/>
    <w:rsid w:val="007801FE"/>
    <w:rsid w:val="00780A50"/>
    <w:rsid w:val="00790C45"/>
    <w:rsid w:val="007928FD"/>
    <w:rsid w:val="007955CD"/>
    <w:rsid w:val="00795EBC"/>
    <w:rsid w:val="007A02CB"/>
    <w:rsid w:val="007A46D4"/>
    <w:rsid w:val="007B49EB"/>
    <w:rsid w:val="007B6A11"/>
    <w:rsid w:val="007C715E"/>
    <w:rsid w:val="007D2DAF"/>
    <w:rsid w:val="007D384F"/>
    <w:rsid w:val="007E11BA"/>
    <w:rsid w:val="007E5C88"/>
    <w:rsid w:val="007F0D35"/>
    <w:rsid w:val="007F1BA7"/>
    <w:rsid w:val="007F2C48"/>
    <w:rsid w:val="00800461"/>
    <w:rsid w:val="00802220"/>
    <w:rsid w:val="00803F05"/>
    <w:rsid w:val="00804CCE"/>
    <w:rsid w:val="00806DE8"/>
    <w:rsid w:val="00814D1D"/>
    <w:rsid w:val="0081669D"/>
    <w:rsid w:val="00821EB7"/>
    <w:rsid w:val="00822060"/>
    <w:rsid w:val="00824193"/>
    <w:rsid w:val="008327E0"/>
    <w:rsid w:val="008331ED"/>
    <w:rsid w:val="00833E5D"/>
    <w:rsid w:val="00834684"/>
    <w:rsid w:val="00837CEB"/>
    <w:rsid w:val="00840758"/>
    <w:rsid w:val="00850E03"/>
    <w:rsid w:val="00852D8E"/>
    <w:rsid w:val="00856201"/>
    <w:rsid w:val="0086174B"/>
    <w:rsid w:val="00862ECF"/>
    <w:rsid w:val="00866607"/>
    <w:rsid w:val="008667B4"/>
    <w:rsid w:val="0088073D"/>
    <w:rsid w:val="00881246"/>
    <w:rsid w:val="008856C6"/>
    <w:rsid w:val="008862A6"/>
    <w:rsid w:val="00890239"/>
    <w:rsid w:val="00896404"/>
    <w:rsid w:val="008A0A3A"/>
    <w:rsid w:val="008A49BE"/>
    <w:rsid w:val="008A5F5A"/>
    <w:rsid w:val="008A76F6"/>
    <w:rsid w:val="008B1803"/>
    <w:rsid w:val="008C5291"/>
    <w:rsid w:val="008D3D78"/>
    <w:rsid w:val="008E48B9"/>
    <w:rsid w:val="0090482B"/>
    <w:rsid w:val="009112AA"/>
    <w:rsid w:val="009140AC"/>
    <w:rsid w:val="00916E9E"/>
    <w:rsid w:val="0091703F"/>
    <w:rsid w:val="009208B6"/>
    <w:rsid w:val="0092193D"/>
    <w:rsid w:val="00923084"/>
    <w:rsid w:val="009239A5"/>
    <w:rsid w:val="0093137B"/>
    <w:rsid w:val="00932F29"/>
    <w:rsid w:val="00934E68"/>
    <w:rsid w:val="00934FC6"/>
    <w:rsid w:val="00937704"/>
    <w:rsid w:val="009412F7"/>
    <w:rsid w:val="009433E2"/>
    <w:rsid w:val="0094759E"/>
    <w:rsid w:val="00947D9A"/>
    <w:rsid w:val="0095135F"/>
    <w:rsid w:val="00951987"/>
    <w:rsid w:val="00956A39"/>
    <w:rsid w:val="00960894"/>
    <w:rsid w:val="00964369"/>
    <w:rsid w:val="0097228A"/>
    <w:rsid w:val="0097563B"/>
    <w:rsid w:val="00995CB6"/>
    <w:rsid w:val="00996840"/>
    <w:rsid w:val="00996A1C"/>
    <w:rsid w:val="00997329"/>
    <w:rsid w:val="00997940"/>
    <w:rsid w:val="009B1FAA"/>
    <w:rsid w:val="009C04C5"/>
    <w:rsid w:val="009C37EA"/>
    <w:rsid w:val="009C42A4"/>
    <w:rsid w:val="009C5207"/>
    <w:rsid w:val="009D191D"/>
    <w:rsid w:val="009D210B"/>
    <w:rsid w:val="009D6C8E"/>
    <w:rsid w:val="009E6403"/>
    <w:rsid w:val="009F0658"/>
    <w:rsid w:val="009F2BE9"/>
    <w:rsid w:val="009F4C20"/>
    <w:rsid w:val="009F54F9"/>
    <w:rsid w:val="009F7098"/>
    <w:rsid w:val="009F7C35"/>
    <w:rsid w:val="00A036DB"/>
    <w:rsid w:val="00A0766E"/>
    <w:rsid w:val="00A10CC8"/>
    <w:rsid w:val="00A11DA2"/>
    <w:rsid w:val="00A15B6B"/>
    <w:rsid w:val="00A16291"/>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6BCE"/>
    <w:rsid w:val="00AE5100"/>
    <w:rsid w:val="00AE655F"/>
    <w:rsid w:val="00AE6FCA"/>
    <w:rsid w:val="00AE7E41"/>
    <w:rsid w:val="00AF1920"/>
    <w:rsid w:val="00AF7580"/>
    <w:rsid w:val="00AF7A7C"/>
    <w:rsid w:val="00B07E57"/>
    <w:rsid w:val="00B16D5F"/>
    <w:rsid w:val="00B175A3"/>
    <w:rsid w:val="00B32B03"/>
    <w:rsid w:val="00B34107"/>
    <w:rsid w:val="00B37520"/>
    <w:rsid w:val="00B42D4C"/>
    <w:rsid w:val="00B51B04"/>
    <w:rsid w:val="00B53ECD"/>
    <w:rsid w:val="00B557C9"/>
    <w:rsid w:val="00B55900"/>
    <w:rsid w:val="00B57AE3"/>
    <w:rsid w:val="00B61A02"/>
    <w:rsid w:val="00B62DED"/>
    <w:rsid w:val="00B64B99"/>
    <w:rsid w:val="00B64FF8"/>
    <w:rsid w:val="00B7436F"/>
    <w:rsid w:val="00B74CD2"/>
    <w:rsid w:val="00B75F06"/>
    <w:rsid w:val="00B775E6"/>
    <w:rsid w:val="00B77647"/>
    <w:rsid w:val="00B81279"/>
    <w:rsid w:val="00B81529"/>
    <w:rsid w:val="00B93AC4"/>
    <w:rsid w:val="00B973C4"/>
    <w:rsid w:val="00BA1D2D"/>
    <w:rsid w:val="00BA1FD0"/>
    <w:rsid w:val="00BA31FA"/>
    <w:rsid w:val="00BB45D5"/>
    <w:rsid w:val="00BD5FE0"/>
    <w:rsid w:val="00BE6129"/>
    <w:rsid w:val="00BF0F74"/>
    <w:rsid w:val="00BF29E2"/>
    <w:rsid w:val="00BF79DF"/>
    <w:rsid w:val="00C16DFA"/>
    <w:rsid w:val="00C279B8"/>
    <w:rsid w:val="00C3048F"/>
    <w:rsid w:val="00C411D8"/>
    <w:rsid w:val="00C413AA"/>
    <w:rsid w:val="00C41497"/>
    <w:rsid w:val="00C41B39"/>
    <w:rsid w:val="00C4531C"/>
    <w:rsid w:val="00C54A45"/>
    <w:rsid w:val="00C56EDF"/>
    <w:rsid w:val="00C60314"/>
    <w:rsid w:val="00C70B26"/>
    <w:rsid w:val="00C71135"/>
    <w:rsid w:val="00C754ED"/>
    <w:rsid w:val="00CA1216"/>
    <w:rsid w:val="00CA6A48"/>
    <w:rsid w:val="00CA7D87"/>
    <w:rsid w:val="00CB17B7"/>
    <w:rsid w:val="00CB625C"/>
    <w:rsid w:val="00CC0310"/>
    <w:rsid w:val="00CD33D1"/>
    <w:rsid w:val="00CD3429"/>
    <w:rsid w:val="00CD4B28"/>
    <w:rsid w:val="00CE007B"/>
    <w:rsid w:val="00CE657C"/>
    <w:rsid w:val="00CF0EC5"/>
    <w:rsid w:val="00CF6C35"/>
    <w:rsid w:val="00CF7DF5"/>
    <w:rsid w:val="00D0051A"/>
    <w:rsid w:val="00D058D4"/>
    <w:rsid w:val="00D0692B"/>
    <w:rsid w:val="00D1519C"/>
    <w:rsid w:val="00D20528"/>
    <w:rsid w:val="00D20988"/>
    <w:rsid w:val="00D2252D"/>
    <w:rsid w:val="00D23363"/>
    <w:rsid w:val="00D30961"/>
    <w:rsid w:val="00D33D9D"/>
    <w:rsid w:val="00D452DC"/>
    <w:rsid w:val="00D464D0"/>
    <w:rsid w:val="00D467CB"/>
    <w:rsid w:val="00D4686B"/>
    <w:rsid w:val="00D6273A"/>
    <w:rsid w:val="00D71BB4"/>
    <w:rsid w:val="00D7330E"/>
    <w:rsid w:val="00D743A9"/>
    <w:rsid w:val="00D8403A"/>
    <w:rsid w:val="00D86A58"/>
    <w:rsid w:val="00D87860"/>
    <w:rsid w:val="00D87F39"/>
    <w:rsid w:val="00D92467"/>
    <w:rsid w:val="00D9572D"/>
    <w:rsid w:val="00DA3B25"/>
    <w:rsid w:val="00DB1DE3"/>
    <w:rsid w:val="00DB4DB5"/>
    <w:rsid w:val="00DC158F"/>
    <w:rsid w:val="00DC1E5A"/>
    <w:rsid w:val="00DC4151"/>
    <w:rsid w:val="00DC54AD"/>
    <w:rsid w:val="00DD2502"/>
    <w:rsid w:val="00DD6334"/>
    <w:rsid w:val="00DE6846"/>
    <w:rsid w:val="00DF4C72"/>
    <w:rsid w:val="00DF4DBC"/>
    <w:rsid w:val="00E026AB"/>
    <w:rsid w:val="00E11F13"/>
    <w:rsid w:val="00E31D29"/>
    <w:rsid w:val="00E3408D"/>
    <w:rsid w:val="00E44C01"/>
    <w:rsid w:val="00E44D3C"/>
    <w:rsid w:val="00E50F57"/>
    <w:rsid w:val="00E612F0"/>
    <w:rsid w:val="00E6345C"/>
    <w:rsid w:val="00E65C97"/>
    <w:rsid w:val="00E678BD"/>
    <w:rsid w:val="00E757FE"/>
    <w:rsid w:val="00E805DA"/>
    <w:rsid w:val="00E805FF"/>
    <w:rsid w:val="00E859F8"/>
    <w:rsid w:val="00E935EC"/>
    <w:rsid w:val="00E94B0E"/>
    <w:rsid w:val="00EA78BD"/>
    <w:rsid w:val="00EB675E"/>
    <w:rsid w:val="00EC160D"/>
    <w:rsid w:val="00EC188D"/>
    <w:rsid w:val="00EC4354"/>
    <w:rsid w:val="00EC5861"/>
    <w:rsid w:val="00ED2FEE"/>
    <w:rsid w:val="00ED57F4"/>
    <w:rsid w:val="00EF06B3"/>
    <w:rsid w:val="00EF100E"/>
    <w:rsid w:val="00EF2B70"/>
    <w:rsid w:val="00EF33AD"/>
    <w:rsid w:val="00EF47C6"/>
    <w:rsid w:val="00F03156"/>
    <w:rsid w:val="00F052D8"/>
    <w:rsid w:val="00F073A6"/>
    <w:rsid w:val="00F076EC"/>
    <w:rsid w:val="00F122AF"/>
    <w:rsid w:val="00F13CFE"/>
    <w:rsid w:val="00F17643"/>
    <w:rsid w:val="00F22646"/>
    <w:rsid w:val="00F23B9C"/>
    <w:rsid w:val="00F3108F"/>
    <w:rsid w:val="00F32041"/>
    <w:rsid w:val="00F33E3E"/>
    <w:rsid w:val="00F3539B"/>
    <w:rsid w:val="00F35A06"/>
    <w:rsid w:val="00F376EB"/>
    <w:rsid w:val="00F37A72"/>
    <w:rsid w:val="00F41ABD"/>
    <w:rsid w:val="00F4322A"/>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5E11"/>
    <w:rsid w:val="00F87EE6"/>
    <w:rsid w:val="00F9182A"/>
    <w:rsid w:val="00F91A54"/>
    <w:rsid w:val="00F9536A"/>
    <w:rsid w:val="00FA423B"/>
    <w:rsid w:val="00FB766B"/>
    <w:rsid w:val="00FC4CA9"/>
    <w:rsid w:val="00FC5D5F"/>
    <w:rsid w:val="00FD10D6"/>
    <w:rsid w:val="00FD438A"/>
    <w:rsid w:val="00FE1A39"/>
    <w:rsid w:val="00FE3653"/>
    <w:rsid w:val="00FE4204"/>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003">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946618010">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074427134">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10</cp:revision>
  <cp:lastPrinted>2024-02-21T15:44:00Z</cp:lastPrinted>
  <dcterms:created xsi:type="dcterms:W3CDTF">2025-03-06T19:11:00Z</dcterms:created>
  <dcterms:modified xsi:type="dcterms:W3CDTF">2025-03-20T18:30:00Z</dcterms:modified>
</cp:coreProperties>
</file>