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0DA8" w14:textId="77777777" w:rsidR="00F04EBD" w:rsidRDefault="00F04EBD" w:rsidP="00F04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4BF7D393" w14:textId="77777777" w:rsidR="00F04EBD" w:rsidRDefault="00F04EBD" w:rsidP="00F04EB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20, 2025</w:t>
      </w:r>
    </w:p>
    <w:p w14:paraId="2D8DC33F" w14:textId="6AAD798F" w:rsidR="0009716B" w:rsidRPr="0009716B" w:rsidRDefault="00315735" w:rsidP="0009716B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QP 02</w:t>
      </w:r>
    </w:p>
    <w:p w14:paraId="515C2335" w14:textId="77777777" w:rsidR="0009716B" w:rsidRDefault="0009716B" w:rsidP="00072289">
      <w:pPr>
        <w:pStyle w:val="BodyText"/>
        <w:ind w:left="7200"/>
      </w:pPr>
    </w:p>
    <w:p w14:paraId="7CDC3B81" w14:textId="77777777" w:rsidR="0009716B" w:rsidRDefault="0009716B" w:rsidP="00072289">
      <w:pPr>
        <w:pStyle w:val="BodyText"/>
        <w:ind w:left="7200"/>
      </w:pPr>
    </w:p>
    <w:p w14:paraId="67969D7B" w14:textId="395FDC28" w:rsidR="003F2313" w:rsidRDefault="002214C4" w:rsidP="00072289">
      <w:pPr>
        <w:pStyle w:val="BodyText"/>
        <w:ind w:left="7200"/>
      </w:pPr>
      <w:r>
        <w:t>Board</w:t>
      </w:r>
      <w:r>
        <w:rPr>
          <w:spacing w:val="-17"/>
        </w:rPr>
        <w:t xml:space="preserve"> </w:t>
      </w:r>
      <w:r>
        <w:t>Meeting</w:t>
      </w:r>
      <w:r w:rsidR="00883E0C">
        <w:t xml:space="preserve"> March 20, 2025</w:t>
      </w:r>
    </w:p>
    <w:p w14:paraId="18245AF7" w14:textId="77777777" w:rsidR="003F2313" w:rsidRDefault="003F2313" w:rsidP="00072289">
      <w:pPr>
        <w:pStyle w:val="BodyText"/>
      </w:pPr>
    </w:p>
    <w:p w14:paraId="69D11BE1" w14:textId="77777777" w:rsidR="0009716B" w:rsidRDefault="0009716B" w:rsidP="00072289">
      <w:pPr>
        <w:pStyle w:val="BodyText"/>
      </w:pPr>
    </w:p>
    <w:p w14:paraId="45C2830E" w14:textId="77777777" w:rsidR="003F2313" w:rsidRDefault="002214C4" w:rsidP="00072289">
      <w:pPr>
        <w:pStyle w:val="BodyText"/>
        <w:ind w:right="22"/>
        <w:jc w:val="center"/>
        <w:rPr>
          <w:spacing w:val="-4"/>
        </w:rPr>
      </w:pPr>
      <w:r>
        <w:t>ROLL</w:t>
      </w:r>
      <w:r>
        <w:rPr>
          <w:spacing w:val="-10"/>
        </w:rPr>
        <w:t xml:space="preserve"> </w:t>
      </w:r>
      <w:r>
        <w:rPr>
          <w:spacing w:val="-4"/>
        </w:rPr>
        <w:t>CALL</w:t>
      </w:r>
    </w:p>
    <w:p w14:paraId="2975AE62" w14:textId="77777777" w:rsidR="00C06338" w:rsidRDefault="00C06338" w:rsidP="00072289">
      <w:pPr>
        <w:pStyle w:val="BodyText"/>
        <w:ind w:right="22"/>
        <w:jc w:val="center"/>
      </w:pPr>
    </w:p>
    <w:p w14:paraId="54C81CD7" w14:textId="1C0739E7" w:rsidR="0009716B" w:rsidRDefault="002214C4" w:rsidP="00072289">
      <w:pPr>
        <w:pStyle w:val="BodyText"/>
        <w:ind w:right="22"/>
        <w:jc w:val="center"/>
      </w:pPr>
      <w:r>
        <w:t>APPOINT</w:t>
      </w:r>
      <w:r>
        <w:rPr>
          <w:spacing w:val="-6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FIRM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883E0C">
        <w:t>ILLINOIS QUANTUM AND MICROELECTRONICS PARK, LLC</w:t>
      </w:r>
    </w:p>
    <w:p w14:paraId="5EF383C9" w14:textId="77777777" w:rsidR="0009716B" w:rsidRDefault="0009716B" w:rsidP="00072289">
      <w:pPr>
        <w:pStyle w:val="BodyText"/>
        <w:tabs>
          <w:tab w:val="left" w:pos="1540"/>
        </w:tabs>
        <w:ind w:right="22" w:hanging="1340"/>
        <w:rPr>
          <w:b/>
          <w:spacing w:val="-2"/>
        </w:rPr>
      </w:pPr>
    </w:p>
    <w:p w14:paraId="0556BE64" w14:textId="77777777" w:rsidR="0009716B" w:rsidRDefault="0009716B" w:rsidP="00072289">
      <w:pPr>
        <w:pStyle w:val="BodyText"/>
        <w:tabs>
          <w:tab w:val="left" w:pos="1540"/>
        </w:tabs>
        <w:ind w:right="22" w:hanging="1340"/>
        <w:rPr>
          <w:b/>
          <w:spacing w:val="-2"/>
        </w:rPr>
      </w:pPr>
    </w:p>
    <w:p w14:paraId="5A6B569D" w14:textId="5C450591" w:rsidR="00883E0C" w:rsidRDefault="002214C4" w:rsidP="00072289">
      <w:pPr>
        <w:pStyle w:val="BodyText"/>
        <w:tabs>
          <w:tab w:val="left" w:pos="1440"/>
        </w:tabs>
        <w:ind w:right="22"/>
      </w:pPr>
      <w:r>
        <w:rPr>
          <w:b/>
          <w:spacing w:val="-2"/>
        </w:rPr>
        <w:t>Action:</w:t>
      </w:r>
      <w:r>
        <w:rPr>
          <w:b/>
        </w:rPr>
        <w:tab/>
      </w:r>
      <w:r>
        <w:t>Appoint</w:t>
      </w:r>
      <w:r>
        <w:rPr>
          <w:spacing w:val="-8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Firm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883E0C">
        <w:t>Illinois Quantum and Microelectronics</w:t>
      </w:r>
    </w:p>
    <w:p w14:paraId="4794FCC4" w14:textId="3CACD5CC" w:rsidR="003F2313" w:rsidRDefault="00883E0C" w:rsidP="00072289">
      <w:pPr>
        <w:pStyle w:val="BodyText"/>
        <w:tabs>
          <w:tab w:val="left" w:pos="1440"/>
        </w:tabs>
        <w:ind w:right="22"/>
      </w:pPr>
      <w:r>
        <w:rPr>
          <w:b/>
          <w:spacing w:val="-2"/>
        </w:rPr>
        <w:tab/>
      </w:r>
      <w:r>
        <w:t>Park, LLC</w:t>
      </w:r>
    </w:p>
    <w:p w14:paraId="39B1C797" w14:textId="77777777" w:rsidR="003F2313" w:rsidRDefault="003F2313" w:rsidP="00072289">
      <w:pPr>
        <w:pStyle w:val="BodyText"/>
        <w:ind w:right="29"/>
      </w:pPr>
    </w:p>
    <w:p w14:paraId="7442C445" w14:textId="77777777" w:rsidR="003F2313" w:rsidRDefault="002214C4" w:rsidP="00072289">
      <w:pPr>
        <w:tabs>
          <w:tab w:val="left" w:pos="1440"/>
        </w:tabs>
        <w:ind w:right="29"/>
        <w:rPr>
          <w:sz w:val="26"/>
        </w:rPr>
      </w:pPr>
      <w:r>
        <w:rPr>
          <w:b/>
          <w:spacing w:val="-2"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No</w:t>
      </w:r>
      <w:r>
        <w:rPr>
          <w:spacing w:val="-7"/>
          <w:sz w:val="26"/>
        </w:rPr>
        <w:t xml:space="preserve"> </w:t>
      </w:r>
      <w:r>
        <w:rPr>
          <w:sz w:val="26"/>
        </w:rPr>
        <w:t>New</w:t>
      </w:r>
      <w:r>
        <w:rPr>
          <w:spacing w:val="-6"/>
          <w:sz w:val="26"/>
        </w:rPr>
        <w:t xml:space="preserve"> </w:t>
      </w:r>
      <w:r>
        <w:rPr>
          <w:sz w:val="26"/>
        </w:rPr>
        <w:t>Funding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Required</w:t>
      </w:r>
    </w:p>
    <w:p w14:paraId="407071CB" w14:textId="77777777" w:rsidR="003F2313" w:rsidRDefault="003F2313" w:rsidP="00072289">
      <w:pPr>
        <w:pStyle w:val="BodyText"/>
        <w:ind w:right="29"/>
      </w:pPr>
    </w:p>
    <w:p w14:paraId="021B505B" w14:textId="77777777" w:rsidR="00072289" w:rsidRDefault="00072289" w:rsidP="00072289">
      <w:pPr>
        <w:pStyle w:val="BodyText"/>
        <w:ind w:right="29"/>
      </w:pPr>
    </w:p>
    <w:p w14:paraId="70E1E339" w14:textId="1C5DA351" w:rsidR="00BF7BCA" w:rsidRPr="00BF7BCA" w:rsidRDefault="002214C4" w:rsidP="0009716B">
      <w:pPr>
        <w:pStyle w:val="BodyText"/>
        <w:spacing w:line="480" w:lineRule="auto"/>
        <w:ind w:right="22" w:firstLine="1440"/>
      </w:pPr>
      <w:r>
        <w:t>The operating agreement</w:t>
      </w:r>
      <w:r w:rsidR="00883E0C">
        <w:t xml:space="preserve">s </w:t>
      </w:r>
      <w:r>
        <w:t>of the University</w:t>
      </w:r>
      <w:r w:rsidR="006320A5">
        <w:t xml:space="preserve"> </w:t>
      </w:r>
      <w:r>
        <w:t>Related Organizations (UROs) require the approval of the Board of Trustees, as sole member, to appoint external auditors to conduct required annual audits.</w:t>
      </w:r>
      <w:r w:rsidR="00072289">
        <w:t xml:space="preserve"> </w:t>
      </w:r>
      <w:r w:rsidR="005F3E65">
        <w:t>A</w:t>
      </w:r>
      <w:r w:rsidR="00883E0C">
        <w:t xml:space="preserve"> Request for Proposal (RFP) for audit services was performed</w:t>
      </w:r>
      <w:r>
        <w:t>,</w:t>
      </w:r>
      <w:r w:rsidR="00883E0C">
        <w:t xml:space="preserve"> and Forvis Mazars, LLP (formerly BKD, LLP) was </w:t>
      </w:r>
      <w:r w:rsidR="00862328">
        <w:t xml:space="preserve">selected and </w:t>
      </w:r>
      <w:r w:rsidR="00DB39E5">
        <w:t>approved by the Board on May 20, 2021</w:t>
      </w:r>
      <w:r w:rsidR="00C06338">
        <w:t>,</w:t>
      </w:r>
      <w:r w:rsidR="00DB39E5">
        <w:t xml:space="preserve"> </w:t>
      </w:r>
      <w:r w:rsidR="00883E0C">
        <w:t xml:space="preserve">to </w:t>
      </w:r>
      <w:r>
        <w:t>conduct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audit</w:t>
      </w:r>
      <w:r w:rsidR="00883E0C">
        <w:t>s</w:t>
      </w:r>
      <w:r>
        <w:rPr>
          <w:spacing w:val="-5"/>
        </w:rPr>
        <w:t xml:space="preserve"> </w:t>
      </w:r>
      <w:r w:rsidR="00BF7BCA">
        <w:rPr>
          <w:spacing w:val="-5"/>
        </w:rPr>
        <w:t xml:space="preserve">for </w:t>
      </w:r>
      <w:r>
        <w:t>six</w:t>
      </w:r>
      <w:r>
        <w:rPr>
          <w:spacing w:val="-5"/>
        </w:rPr>
        <w:t xml:space="preserve"> </w:t>
      </w:r>
      <w:r>
        <w:t>consecutive years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 2021</w:t>
      </w:r>
      <w:r w:rsidR="006320A5">
        <w:t>,</w:t>
      </w:r>
      <w:r w:rsidR="00254FE1">
        <w:t xml:space="preserve"> </w:t>
      </w:r>
      <w:r w:rsidR="006320A5">
        <w:t>for the following UROs:</w:t>
      </w:r>
      <w:r w:rsidR="0009716B">
        <w:t xml:space="preserve"> </w:t>
      </w:r>
      <w:r>
        <w:t>IllinoisVentures, LLC</w:t>
      </w:r>
      <w:r w:rsidR="0009716B">
        <w:t>;</w:t>
      </w:r>
      <w:r w:rsidR="00231059">
        <w:t xml:space="preserve"> </w:t>
      </w:r>
      <w:r>
        <w:t>Prairieland Energy, Inc</w:t>
      </w:r>
      <w:r w:rsidR="00DB39E5">
        <w:t>.</w:t>
      </w:r>
      <w:r w:rsidR="0009716B">
        <w:t>;</w:t>
      </w:r>
      <w:r w:rsidR="00DB39E5">
        <w:t xml:space="preserve"> </w:t>
      </w:r>
      <w:r>
        <w:t>Illinois</w:t>
      </w:r>
      <w:r>
        <w:rPr>
          <w:spacing w:val="-15"/>
        </w:rPr>
        <w:t xml:space="preserve"> </w:t>
      </w:r>
      <w:r>
        <w:t>Global</w:t>
      </w:r>
      <w:r>
        <w:rPr>
          <w:spacing w:val="-15"/>
        </w:rPr>
        <w:t xml:space="preserve"> </w:t>
      </w:r>
      <w:r>
        <w:t>Gateway,</w:t>
      </w:r>
      <w:r>
        <w:rPr>
          <w:spacing w:val="-10"/>
        </w:rPr>
        <w:t xml:space="preserve"> </w:t>
      </w:r>
      <w:r>
        <w:t>LLC</w:t>
      </w:r>
      <w:r w:rsidR="0009716B">
        <w:t xml:space="preserve">;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Illinois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LLC</w:t>
      </w:r>
      <w:r w:rsidR="0009716B">
        <w:t>;</w:t>
      </w:r>
      <w:r w:rsidR="00DB39E5">
        <w:t xml:space="preserve"> </w:t>
      </w:r>
      <w:r>
        <w:t>Wolcott, Wood and Taylor, Inc.</w:t>
      </w:r>
      <w:r w:rsidR="00C06338">
        <w:t>;</w:t>
      </w:r>
      <w:r w:rsidR="00DB39E5">
        <w:t xml:space="preserve"> and </w:t>
      </w:r>
      <w:r>
        <w:t>Shield</w:t>
      </w:r>
      <w:r>
        <w:rPr>
          <w:spacing w:val="-6"/>
        </w:rPr>
        <w:t xml:space="preserve"> </w:t>
      </w:r>
      <w:r>
        <w:t>T3,</w:t>
      </w:r>
      <w:r>
        <w:rPr>
          <w:spacing w:val="-4"/>
        </w:rPr>
        <w:t xml:space="preserve"> </w:t>
      </w:r>
      <w:r>
        <w:rPr>
          <w:spacing w:val="-5"/>
        </w:rPr>
        <w:t>LLC</w:t>
      </w:r>
      <w:r w:rsidR="00DB39E5">
        <w:rPr>
          <w:spacing w:val="-5"/>
        </w:rPr>
        <w:t>.</w:t>
      </w:r>
      <w:r w:rsidR="0009716B">
        <w:rPr>
          <w:spacing w:val="-5"/>
        </w:rPr>
        <w:t xml:space="preserve"> </w:t>
      </w:r>
      <w:r w:rsidR="00DB39E5">
        <w:rPr>
          <w:spacing w:val="-5"/>
        </w:rPr>
        <w:t>Since that time, Shield T3, LLC</w:t>
      </w:r>
      <w:r w:rsidR="00862328">
        <w:rPr>
          <w:spacing w:val="-5"/>
        </w:rPr>
        <w:t xml:space="preserve"> was legally dissolved and no longer requires an </w:t>
      </w:r>
      <w:r w:rsidR="00496CEF">
        <w:rPr>
          <w:spacing w:val="-5"/>
        </w:rPr>
        <w:t>external</w:t>
      </w:r>
      <w:r w:rsidR="00862328">
        <w:rPr>
          <w:spacing w:val="-5"/>
        </w:rPr>
        <w:t xml:space="preserve"> audit</w:t>
      </w:r>
      <w:r w:rsidR="009339D5">
        <w:rPr>
          <w:spacing w:val="-5"/>
        </w:rPr>
        <w:t>. T</w:t>
      </w:r>
      <w:r w:rsidR="00862328">
        <w:rPr>
          <w:spacing w:val="-5"/>
        </w:rPr>
        <w:t xml:space="preserve">he </w:t>
      </w:r>
      <w:r w:rsidR="00862328">
        <w:t xml:space="preserve">Illinois Quantum and Microelectronics Park, LLC was created in August 2024 and now requires an </w:t>
      </w:r>
      <w:r w:rsidR="00496CEF">
        <w:t>external</w:t>
      </w:r>
      <w:r w:rsidR="00862328">
        <w:t xml:space="preserve"> audit.</w:t>
      </w:r>
      <w:r w:rsidR="0009716B">
        <w:t xml:space="preserve"> </w:t>
      </w:r>
      <w:r w:rsidR="005F3E65">
        <w:t xml:space="preserve">Note </w:t>
      </w:r>
      <w:r w:rsidR="00586453">
        <w:t xml:space="preserve">two fiscal years remain </w:t>
      </w:r>
      <w:r w:rsidR="005F3E65">
        <w:t xml:space="preserve">for Forvis Mazars, LLP to conduct the annual audits </w:t>
      </w:r>
      <w:r w:rsidR="00254FE1">
        <w:t>for</w:t>
      </w:r>
      <w:r w:rsidR="00586453">
        <w:t xml:space="preserve"> the aforementioned UROs</w:t>
      </w:r>
      <w:r>
        <w:t xml:space="preserve"> from previous Board approval</w:t>
      </w:r>
      <w:r w:rsidR="00586453">
        <w:t>.</w:t>
      </w:r>
    </w:p>
    <w:p w14:paraId="0FA8C061" w14:textId="4F4B178B" w:rsidR="003F2313" w:rsidRDefault="00BF7BCA" w:rsidP="0009716B">
      <w:pPr>
        <w:pStyle w:val="BodyText"/>
        <w:spacing w:line="480" w:lineRule="auto"/>
        <w:ind w:right="22" w:firstLine="1440"/>
      </w:pPr>
      <w:r w:rsidRPr="00BF7BCA">
        <w:lastRenderedPageBreak/>
        <w:t xml:space="preserve"> </w:t>
      </w:r>
      <w:r w:rsidR="00254FE1">
        <w:t>I</w:t>
      </w:r>
      <w:r w:rsidRPr="00BF7BCA">
        <w:t xml:space="preserve">n accordance with the </w:t>
      </w:r>
      <w:r w:rsidR="00231059">
        <w:t xml:space="preserve">URO operating agreement, </w:t>
      </w:r>
      <w:r w:rsidRPr="00BF7BCA">
        <w:t>th</w:t>
      </w:r>
      <w:r w:rsidR="00862328">
        <w:t>e</w:t>
      </w:r>
      <w:r w:rsidRPr="00BF7BCA">
        <w:t xml:space="preserve"> </w:t>
      </w:r>
      <w:r w:rsidR="0009716B">
        <w:t>c</w:t>
      </w:r>
      <w:r w:rsidRPr="00BF7BCA">
        <w:t xml:space="preserve">hief </w:t>
      </w:r>
      <w:r w:rsidR="0009716B">
        <w:t>f</w:t>
      </w:r>
      <w:r w:rsidRPr="00BF7BCA">
        <w:t>inancial</w:t>
      </w:r>
      <w:r w:rsidR="00231059">
        <w:t xml:space="preserve"> </w:t>
      </w:r>
      <w:r w:rsidR="0009716B">
        <w:t>o</w:t>
      </w:r>
      <w:r w:rsidRPr="00BF7BCA">
        <w:t>fficer</w:t>
      </w:r>
      <w:r w:rsidR="0009716B">
        <w:t xml:space="preserve"> and </w:t>
      </w:r>
      <w:r w:rsidRPr="00BF7BCA">
        <w:t xml:space="preserve">Comptroller recommends the Board approve the appointment of </w:t>
      </w:r>
      <w:r w:rsidR="00231059">
        <w:t xml:space="preserve">Forvis Mazars, LLP </w:t>
      </w:r>
      <w:r w:rsidRPr="00BF7BCA">
        <w:t xml:space="preserve">as the external auditor for </w:t>
      </w:r>
      <w:r w:rsidR="00231059">
        <w:t>Illinois Quantum and Microelectronics Park, LLC for</w:t>
      </w:r>
      <w:r w:rsidR="00862328">
        <w:t xml:space="preserve"> </w:t>
      </w:r>
      <w:r w:rsidR="00231059">
        <w:t>two consecutive years, beginning with Fiscal Year 2025.</w:t>
      </w:r>
    </w:p>
    <w:p w14:paraId="20000C7C" w14:textId="77777777" w:rsidR="003F2313" w:rsidRDefault="002214C4" w:rsidP="008A7F44">
      <w:pPr>
        <w:spacing w:line="480" w:lineRule="auto"/>
        <w:ind w:firstLine="1440"/>
        <w:jc w:val="both"/>
        <w:rPr>
          <w:sz w:val="26"/>
        </w:rPr>
      </w:pP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Board</w:t>
      </w:r>
      <w:r>
        <w:rPr>
          <w:spacing w:val="-11"/>
          <w:sz w:val="26"/>
        </w:rPr>
        <w:t xml:space="preserve"> </w:t>
      </w:r>
      <w:r>
        <w:rPr>
          <w:sz w:val="26"/>
        </w:rPr>
        <w:t>action</w:t>
      </w:r>
      <w:r>
        <w:rPr>
          <w:spacing w:val="-11"/>
          <w:sz w:val="26"/>
        </w:rPr>
        <w:t xml:space="preserve"> </w:t>
      </w:r>
      <w:r>
        <w:rPr>
          <w:sz w:val="26"/>
        </w:rPr>
        <w:t>recommended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this</w:t>
      </w:r>
      <w:r>
        <w:rPr>
          <w:spacing w:val="-11"/>
          <w:sz w:val="26"/>
        </w:rPr>
        <w:t xml:space="preserve"> </w:t>
      </w:r>
      <w:r>
        <w:rPr>
          <w:sz w:val="26"/>
        </w:rPr>
        <w:t>item</w:t>
      </w:r>
      <w:r>
        <w:rPr>
          <w:spacing w:val="-11"/>
          <w:sz w:val="26"/>
        </w:rPr>
        <w:t xml:space="preserve"> </w:t>
      </w:r>
      <w:r>
        <w:rPr>
          <w:sz w:val="26"/>
        </w:rPr>
        <w:t>complies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all</w:t>
      </w:r>
      <w:r>
        <w:rPr>
          <w:spacing w:val="-7"/>
          <w:sz w:val="26"/>
        </w:rPr>
        <w:t xml:space="preserve"> </w:t>
      </w:r>
      <w:r>
        <w:rPr>
          <w:sz w:val="26"/>
        </w:rPr>
        <w:t>material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respects with applicable State and federal laws, University of Illinois </w:t>
      </w:r>
      <w:r>
        <w:rPr>
          <w:i/>
          <w:sz w:val="26"/>
        </w:rPr>
        <w:t>Statutes</w:t>
      </w:r>
      <w:r>
        <w:rPr>
          <w:sz w:val="26"/>
        </w:rPr>
        <w:t xml:space="preserve">, </w:t>
      </w:r>
      <w:r>
        <w:rPr>
          <w:i/>
          <w:sz w:val="26"/>
        </w:rPr>
        <w:t>The General Rules Concerning University Organization and Procedure</w:t>
      </w:r>
      <w:r>
        <w:rPr>
          <w:sz w:val="26"/>
        </w:rPr>
        <w:t xml:space="preserve">, and Board of Trustees policies and </w:t>
      </w:r>
      <w:r>
        <w:rPr>
          <w:spacing w:val="-2"/>
          <w:sz w:val="26"/>
        </w:rPr>
        <w:t>directives.</w:t>
      </w:r>
    </w:p>
    <w:p w14:paraId="3CEBA187" w14:textId="7A46655D" w:rsidR="003F2313" w:rsidRDefault="002214C4" w:rsidP="0009716B">
      <w:pPr>
        <w:pStyle w:val="BodyText"/>
        <w:spacing w:line="480" w:lineRule="auto"/>
        <w:ind w:right="22" w:firstLine="1440"/>
      </w:pPr>
      <w:r>
        <w:t>The</w:t>
      </w:r>
      <w:r>
        <w:rPr>
          <w:spacing w:val="-6"/>
        </w:rPr>
        <w:t xml:space="preserve"> </w:t>
      </w:r>
      <w:r w:rsidR="00072289">
        <w:t>p</w:t>
      </w:r>
      <w:r>
        <w:t>resident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 w:rsidR="0009716B">
        <w:t xml:space="preserve"> of Illinois System</w:t>
      </w:r>
      <w:r>
        <w:rPr>
          <w:spacing w:val="-11"/>
        </w:rPr>
        <w:t xml:space="preserve"> </w:t>
      </w:r>
      <w:r>
        <w:rPr>
          <w:spacing w:val="-2"/>
        </w:rPr>
        <w:t>concurs.</w:t>
      </w:r>
    </w:p>
    <w:sectPr w:rsidR="003F2313" w:rsidSect="00072289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5070" w14:textId="77777777" w:rsidR="001569FB" w:rsidRDefault="001569FB" w:rsidP="0009716B">
      <w:r>
        <w:separator/>
      </w:r>
    </w:p>
  </w:endnote>
  <w:endnote w:type="continuationSeparator" w:id="0">
    <w:p w14:paraId="1678E352" w14:textId="77777777" w:rsidR="001569FB" w:rsidRDefault="001569FB" w:rsidP="0009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CDCD" w14:textId="77777777" w:rsidR="001569FB" w:rsidRDefault="001569FB" w:rsidP="0009716B">
      <w:r>
        <w:separator/>
      </w:r>
    </w:p>
  </w:footnote>
  <w:footnote w:type="continuationSeparator" w:id="0">
    <w:p w14:paraId="549DB8EE" w14:textId="77777777" w:rsidR="001569FB" w:rsidRDefault="001569FB" w:rsidP="0009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9904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790DE56" w14:textId="6C3E6CBF" w:rsidR="0009716B" w:rsidRPr="0009716B" w:rsidRDefault="0009716B">
        <w:pPr>
          <w:pStyle w:val="Header"/>
          <w:jc w:val="center"/>
          <w:rPr>
            <w:sz w:val="26"/>
            <w:szCs w:val="26"/>
          </w:rPr>
        </w:pPr>
        <w:r w:rsidRPr="0009716B">
          <w:rPr>
            <w:sz w:val="26"/>
            <w:szCs w:val="26"/>
          </w:rPr>
          <w:fldChar w:fldCharType="begin"/>
        </w:r>
        <w:r w:rsidRPr="0009716B">
          <w:rPr>
            <w:sz w:val="26"/>
            <w:szCs w:val="26"/>
          </w:rPr>
          <w:instrText xml:space="preserve"> PAGE   \* MERGEFORMAT </w:instrText>
        </w:r>
        <w:r w:rsidRPr="0009716B">
          <w:rPr>
            <w:sz w:val="26"/>
            <w:szCs w:val="26"/>
          </w:rPr>
          <w:fldChar w:fldCharType="separate"/>
        </w:r>
        <w:r w:rsidRPr="0009716B">
          <w:rPr>
            <w:noProof/>
            <w:sz w:val="26"/>
            <w:szCs w:val="26"/>
          </w:rPr>
          <w:t>2</w:t>
        </w:r>
        <w:r w:rsidRPr="0009716B">
          <w:rPr>
            <w:noProof/>
            <w:sz w:val="26"/>
            <w:szCs w:val="26"/>
          </w:rPr>
          <w:fldChar w:fldCharType="end"/>
        </w:r>
      </w:p>
    </w:sdtContent>
  </w:sdt>
  <w:p w14:paraId="3CAF5193" w14:textId="77777777" w:rsidR="0009716B" w:rsidRDefault="00097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13"/>
    <w:rsid w:val="00000F90"/>
    <w:rsid w:val="00072289"/>
    <w:rsid w:val="00086F8E"/>
    <w:rsid w:val="0009716B"/>
    <w:rsid w:val="001569FB"/>
    <w:rsid w:val="001B357A"/>
    <w:rsid w:val="001D62F8"/>
    <w:rsid w:val="002214C4"/>
    <w:rsid w:val="00231059"/>
    <w:rsid w:val="00254FE1"/>
    <w:rsid w:val="00315735"/>
    <w:rsid w:val="003C6FF7"/>
    <w:rsid w:val="003F2313"/>
    <w:rsid w:val="00416FFE"/>
    <w:rsid w:val="00496CEF"/>
    <w:rsid w:val="004C573E"/>
    <w:rsid w:val="00543A5A"/>
    <w:rsid w:val="00586453"/>
    <w:rsid w:val="005F3E65"/>
    <w:rsid w:val="006234DA"/>
    <w:rsid w:val="006320A5"/>
    <w:rsid w:val="007B1DF1"/>
    <w:rsid w:val="007E2EF3"/>
    <w:rsid w:val="00862328"/>
    <w:rsid w:val="00880FE4"/>
    <w:rsid w:val="00883E0C"/>
    <w:rsid w:val="008A7F44"/>
    <w:rsid w:val="009270B1"/>
    <w:rsid w:val="009339D5"/>
    <w:rsid w:val="00A6623B"/>
    <w:rsid w:val="00B019E3"/>
    <w:rsid w:val="00B61A02"/>
    <w:rsid w:val="00BF7BCA"/>
    <w:rsid w:val="00C06338"/>
    <w:rsid w:val="00C86713"/>
    <w:rsid w:val="00DB39E5"/>
    <w:rsid w:val="00F04EBD"/>
    <w:rsid w:val="00F62BFF"/>
    <w:rsid w:val="00F841BD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5276"/>
  <w15:docId w15:val="{EAF56D94-801E-496E-8C7D-69D9DA01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339D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97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7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Ghosh, Avijit</dc:creator>
  <dc:description/>
  <cp:lastModifiedBy>Williams, Aubrie</cp:lastModifiedBy>
  <cp:revision>10</cp:revision>
  <dcterms:created xsi:type="dcterms:W3CDTF">2025-02-06T14:24:00Z</dcterms:created>
  <dcterms:modified xsi:type="dcterms:W3CDTF">2025-03-20T18:30:00Z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D:20210512174817</vt:lpwstr>
  </property>
</Properties>
</file>