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0FD0" w14:textId="5DA8F6EF" w:rsidR="00594010" w:rsidRPr="00594010" w:rsidRDefault="00594010" w:rsidP="0059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594010">
        <w:rPr>
          <w:color w:val="FF0000"/>
          <w:sz w:val="26"/>
          <w:szCs w:val="20"/>
        </w:rPr>
        <w:t>Approved by the Board of Trustees</w:t>
      </w:r>
    </w:p>
    <w:bookmarkEnd w:id="0"/>
    <w:bookmarkEnd w:id="1"/>
    <w:p w14:paraId="23EC61C6" w14:textId="77777777" w:rsidR="00594010" w:rsidRPr="00594010" w:rsidRDefault="00594010" w:rsidP="0059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0"/>
        </w:rPr>
      </w:pPr>
      <w:r w:rsidRPr="00594010">
        <w:rPr>
          <w:color w:val="FF0000"/>
          <w:sz w:val="26"/>
          <w:szCs w:val="20"/>
        </w:rPr>
        <w:t>March 30, 2023</w:t>
      </w:r>
    </w:p>
    <w:p w14:paraId="342C3EB3" w14:textId="3E6FC026" w:rsidR="00CC0E0B" w:rsidRDefault="009F751E" w:rsidP="006E5BBE">
      <w:pPr>
        <w:pStyle w:val="bdheading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60"/>
          <w:szCs w:val="60"/>
        </w:rPr>
        <w:t>20</w:t>
      </w:r>
    </w:p>
    <w:p w14:paraId="3EAAEB6F" w14:textId="4C8D6EFC" w:rsidR="00CC0E0B" w:rsidRPr="00D438B4" w:rsidRDefault="00CC0E0B" w:rsidP="00CC0E0B">
      <w:pPr>
        <w:pStyle w:val="bdheading1"/>
        <w:rPr>
          <w:rFonts w:ascii="Times New Roman" w:hAnsi="Times New Roman"/>
          <w:sz w:val="26"/>
          <w:szCs w:val="26"/>
        </w:rPr>
      </w:pPr>
    </w:p>
    <w:p w14:paraId="68E7A54B" w14:textId="77777777" w:rsidR="006E5BBE" w:rsidRPr="00D438B4" w:rsidRDefault="006E5BBE" w:rsidP="006E5BBE">
      <w:pPr>
        <w:pStyle w:val="Default"/>
        <w:rPr>
          <w:rFonts w:ascii="Times New Roman" w:hAnsi="Times New Roman"/>
        </w:rPr>
      </w:pPr>
    </w:p>
    <w:p w14:paraId="5D20CB71" w14:textId="77777777" w:rsidR="00CC0E0B" w:rsidRDefault="00CC0E0B" w:rsidP="00CC0E0B">
      <w:pPr>
        <w:pStyle w:val="bdheading1"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A753F" w:rsidRPr="00CC0E0B">
        <w:rPr>
          <w:rFonts w:ascii="Times New Roman" w:hAnsi="Times New Roman"/>
          <w:sz w:val="26"/>
          <w:szCs w:val="26"/>
        </w:rPr>
        <w:t>Board Meet</w:t>
      </w:r>
      <w:r>
        <w:rPr>
          <w:rFonts w:ascii="Times New Roman" w:hAnsi="Times New Roman"/>
          <w:sz w:val="26"/>
          <w:szCs w:val="26"/>
        </w:rPr>
        <w:t>ing</w:t>
      </w:r>
    </w:p>
    <w:p w14:paraId="5D9C6A80" w14:textId="12F6C2CF" w:rsidR="002A753F" w:rsidRPr="00CC0E0B" w:rsidRDefault="00CC0E0B" w:rsidP="00CC0E0B">
      <w:pPr>
        <w:pStyle w:val="bdheading1"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02048">
        <w:rPr>
          <w:rFonts w:ascii="Times New Roman" w:hAnsi="Times New Roman"/>
          <w:sz w:val="26"/>
          <w:szCs w:val="26"/>
        </w:rPr>
        <w:t>March</w:t>
      </w:r>
      <w:r w:rsidR="005B4AC8">
        <w:rPr>
          <w:rFonts w:ascii="Times New Roman" w:hAnsi="Times New Roman"/>
          <w:sz w:val="26"/>
          <w:szCs w:val="26"/>
        </w:rPr>
        <w:t xml:space="preserve"> </w:t>
      </w:r>
      <w:r w:rsidR="00002048">
        <w:rPr>
          <w:rFonts w:ascii="Times New Roman" w:hAnsi="Times New Roman"/>
          <w:sz w:val="26"/>
          <w:szCs w:val="26"/>
        </w:rPr>
        <w:t>30</w:t>
      </w:r>
      <w:r w:rsidR="005B4AC8">
        <w:rPr>
          <w:rFonts w:ascii="Times New Roman" w:hAnsi="Times New Roman"/>
          <w:sz w:val="26"/>
          <w:szCs w:val="26"/>
        </w:rPr>
        <w:t>, 2023</w:t>
      </w:r>
    </w:p>
    <w:p w14:paraId="35C24A58" w14:textId="2C7CAE6A" w:rsidR="00AD0BEA" w:rsidRDefault="00AD0BEA" w:rsidP="00CC0E0B">
      <w:pPr>
        <w:pStyle w:val="Default"/>
        <w:rPr>
          <w:rFonts w:ascii="Times New Roman" w:hAnsi="Times New Roman"/>
          <w:sz w:val="26"/>
          <w:szCs w:val="26"/>
        </w:rPr>
      </w:pPr>
    </w:p>
    <w:p w14:paraId="463BD1AE" w14:textId="77777777" w:rsidR="00CC0E0B" w:rsidRPr="00CC0E0B" w:rsidRDefault="00CC0E0B" w:rsidP="00CC0E0B">
      <w:pPr>
        <w:pStyle w:val="Default"/>
        <w:rPr>
          <w:rFonts w:ascii="Times New Roman" w:hAnsi="Times New Roman"/>
          <w:sz w:val="26"/>
          <w:szCs w:val="26"/>
        </w:rPr>
      </w:pPr>
    </w:p>
    <w:p w14:paraId="54AEA923" w14:textId="77777777" w:rsidR="002A753F" w:rsidRPr="00CC0E0B" w:rsidRDefault="002A753F" w:rsidP="00CC0E0B">
      <w:pPr>
        <w:jc w:val="center"/>
        <w:rPr>
          <w:sz w:val="26"/>
          <w:szCs w:val="26"/>
        </w:rPr>
      </w:pPr>
      <w:r w:rsidRPr="00CC0E0B">
        <w:rPr>
          <w:sz w:val="26"/>
          <w:szCs w:val="26"/>
        </w:rPr>
        <w:t>ROLL CALL</w:t>
      </w:r>
    </w:p>
    <w:p w14:paraId="4B9B75FC" w14:textId="77777777" w:rsidR="002A753F" w:rsidRPr="00CC0E0B" w:rsidRDefault="002A753F" w:rsidP="00CC0E0B">
      <w:pPr>
        <w:jc w:val="center"/>
        <w:rPr>
          <w:sz w:val="26"/>
          <w:szCs w:val="26"/>
        </w:rPr>
      </w:pPr>
      <w:r w:rsidRPr="00CC0E0B">
        <w:rPr>
          <w:sz w:val="26"/>
          <w:szCs w:val="26"/>
        </w:rPr>
        <w:t xml:space="preserve"> </w:t>
      </w:r>
    </w:p>
    <w:p w14:paraId="260A2F52" w14:textId="5F883663" w:rsidR="002A753F" w:rsidRPr="00A8521B" w:rsidRDefault="002A753F" w:rsidP="00A8521B">
      <w:pPr>
        <w:pStyle w:val="Heading1"/>
      </w:pPr>
      <w:r w:rsidRPr="00A8521B">
        <w:t>A</w:t>
      </w:r>
      <w:r w:rsidR="0071776B" w:rsidRPr="00A8521B">
        <w:t>WARD CONSTRUCTION CONTRACT</w:t>
      </w:r>
      <w:r w:rsidR="00C00709" w:rsidRPr="00A8521B">
        <w:t>,</w:t>
      </w:r>
      <w:r w:rsidR="00AD0BEA" w:rsidRPr="00A8521B">
        <w:t xml:space="preserve"> </w:t>
      </w:r>
      <w:r w:rsidR="00403396" w:rsidRPr="00403396">
        <w:t>PAULINA STREET PARKING STRUCTURE</w:t>
      </w:r>
      <w:r w:rsidR="00403396">
        <w:t xml:space="preserve"> </w:t>
      </w:r>
      <w:r w:rsidR="00403396" w:rsidRPr="00403396">
        <w:t>CEILING, BEAM</w:t>
      </w:r>
      <w:r w:rsidR="00403396">
        <w:t>,</w:t>
      </w:r>
      <w:r w:rsidR="00403396" w:rsidRPr="00403396">
        <w:t xml:space="preserve"> AND JOINT REPAIRS</w:t>
      </w:r>
      <w:r w:rsidR="00F37E41" w:rsidRPr="00A8521B">
        <w:t>, CHICAGO</w:t>
      </w:r>
    </w:p>
    <w:p w14:paraId="6FC63068" w14:textId="77777777" w:rsidR="002A753F" w:rsidRPr="00CC0E0B" w:rsidRDefault="002A753F" w:rsidP="00CC0E0B">
      <w:pPr>
        <w:jc w:val="center"/>
        <w:rPr>
          <w:sz w:val="26"/>
          <w:szCs w:val="26"/>
        </w:rPr>
      </w:pPr>
    </w:p>
    <w:p w14:paraId="213BFAE5" w14:textId="77777777" w:rsidR="002A753F" w:rsidRPr="00CC0E0B" w:rsidRDefault="002A753F" w:rsidP="00CC0E0B">
      <w:pPr>
        <w:jc w:val="center"/>
        <w:rPr>
          <w:sz w:val="26"/>
          <w:szCs w:val="26"/>
        </w:rPr>
      </w:pPr>
    </w:p>
    <w:p w14:paraId="1514F970" w14:textId="1C9ACAEB" w:rsidR="002A753F" w:rsidRPr="00CC0E0B" w:rsidRDefault="002A753F" w:rsidP="003769E8">
      <w:pPr>
        <w:pStyle w:val="bdstyle1"/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CC0E0B">
        <w:rPr>
          <w:rFonts w:ascii="Times New Roman" w:hAnsi="Times New Roman"/>
          <w:b/>
          <w:bCs/>
          <w:sz w:val="26"/>
          <w:szCs w:val="26"/>
        </w:rPr>
        <w:t>Action:</w:t>
      </w:r>
      <w:r w:rsidR="00CC0E0B">
        <w:rPr>
          <w:rFonts w:ascii="Times New Roman" w:hAnsi="Times New Roman"/>
          <w:sz w:val="26"/>
          <w:szCs w:val="26"/>
        </w:rPr>
        <w:tab/>
      </w:r>
      <w:r w:rsidRPr="00CC0E0B">
        <w:rPr>
          <w:rFonts w:ascii="Times New Roman" w:hAnsi="Times New Roman"/>
          <w:sz w:val="26"/>
          <w:szCs w:val="26"/>
        </w:rPr>
        <w:t>A</w:t>
      </w:r>
      <w:r w:rsidR="0071776B" w:rsidRPr="00CC0E0B">
        <w:rPr>
          <w:rFonts w:ascii="Times New Roman" w:hAnsi="Times New Roman"/>
          <w:sz w:val="26"/>
          <w:szCs w:val="26"/>
        </w:rPr>
        <w:t>ward Construction Contract</w:t>
      </w:r>
      <w:r w:rsidR="00C00709" w:rsidRPr="00CC0E0B">
        <w:rPr>
          <w:rFonts w:ascii="Times New Roman" w:hAnsi="Times New Roman"/>
          <w:sz w:val="26"/>
          <w:szCs w:val="26"/>
        </w:rPr>
        <w:t>,</w:t>
      </w:r>
      <w:r w:rsidR="004C1477" w:rsidRPr="00CC0E0B">
        <w:rPr>
          <w:rFonts w:ascii="Times New Roman" w:hAnsi="Times New Roman"/>
          <w:sz w:val="26"/>
          <w:szCs w:val="26"/>
        </w:rPr>
        <w:t xml:space="preserve"> </w:t>
      </w:r>
      <w:r w:rsidR="00CF17B3">
        <w:rPr>
          <w:rFonts w:ascii="Times New Roman" w:hAnsi="Times New Roman"/>
          <w:sz w:val="26"/>
          <w:szCs w:val="26"/>
        </w:rPr>
        <w:t>Paulina Street Parking Structure Ceiling, Beam, and Joint Repairs, Chicago</w:t>
      </w:r>
    </w:p>
    <w:p w14:paraId="60B1F3C9" w14:textId="77777777" w:rsidR="002A753F" w:rsidRPr="00CC0E0B" w:rsidRDefault="002A753F" w:rsidP="00CC0E0B">
      <w:pPr>
        <w:pStyle w:val="Default"/>
        <w:rPr>
          <w:rFonts w:ascii="Times New Roman" w:hAnsi="Times New Roman"/>
          <w:sz w:val="26"/>
          <w:szCs w:val="26"/>
        </w:rPr>
      </w:pPr>
    </w:p>
    <w:p w14:paraId="1EACC063" w14:textId="582C6BA4" w:rsidR="00286DB2" w:rsidRPr="00286DB2" w:rsidRDefault="00B72E7C" w:rsidP="00286DB2">
      <w:pPr>
        <w:pStyle w:val="Default"/>
        <w:rPr>
          <w:rFonts w:ascii="Times New Roman" w:hAnsi="Times New Roman"/>
          <w:sz w:val="26"/>
          <w:szCs w:val="26"/>
        </w:rPr>
      </w:pPr>
      <w:r w:rsidRPr="00CC0E0B">
        <w:rPr>
          <w:rFonts w:ascii="Times New Roman" w:hAnsi="Times New Roman"/>
          <w:b/>
          <w:bCs/>
          <w:sz w:val="26"/>
          <w:szCs w:val="26"/>
        </w:rPr>
        <w:t>Funding:</w:t>
      </w:r>
      <w:r w:rsidRPr="00CC0E0B">
        <w:rPr>
          <w:rFonts w:ascii="Times New Roman" w:hAnsi="Times New Roman"/>
          <w:sz w:val="26"/>
          <w:szCs w:val="26"/>
        </w:rPr>
        <w:t xml:space="preserve"> </w:t>
      </w:r>
      <w:r w:rsidRPr="00CC0E0B">
        <w:rPr>
          <w:rFonts w:ascii="Times New Roman" w:hAnsi="Times New Roman"/>
          <w:sz w:val="26"/>
          <w:szCs w:val="26"/>
        </w:rPr>
        <w:tab/>
      </w:r>
      <w:r w:rsidR="00286DB2" w:rsidRPr="00286DB2">
        <w:rPr>
          <w:rFonts w:ascii="Times New Roman" w:hAnsi="Times New Roman"/>
          <w:sz w:val="26"/>
          <w:szCs w:val="26"/>
        </w:rPr>
        <w:t>Auxiliary Facilit</w:t>
      </w:r>
      <w:r w:rsidR="00D438B4">
        <w:rPr>
          <w:rFonts w:ascii="Times New Roman" w:hAnsi="Times New Roman"/>
          <w:sz w:val="26"/>
          <w:szCs w:val="26"/>
        </w:rPr>
        <w:t>ies</w:t>
      </w:r>
      <w:r w:rsidR="00286DB2" w:rsidRPr="00286DB2">
        <w:rPr>
          <w:rFonts w:ascii="Times New Roman" w:hAnsi="Times New Roman"/>
          <w:sz w:val="26"/>
          <w:szCs w:val="26"/>
        </w:rPr>
        <w:t xml:space="preserve"> System Repair and Replacement Reserve Budget and </w:t>
      </w:r>
    </w:p>
    <w:p w14:paraId="7F5D83C9" w14:textId="645D64CA" w:rsidR="00CC0E0B" w:rsidRPr="00D438B4" w:rsidRDefault="00286DB2" w:rsidP="00286DB2">
      <w:pPr>
        <w:pStyle w:val="Default"/>
        <w:ind w:left="720" w:firstLine="720"/>
        <w:rPr>
          <w:rFonts w:ascii="Times New Roman" w:hAnsi="Times New Roman"/>
          <w:sz w:val="26"/>
          <w:szCs w:val="26"/>
        </w:rPr>
      </w:pPr>
      <w:r w:rsidRPr="00286DB2">
        <w:rPr>
          <w:rFonts w:ascii="Times New Roman" w:hAnsi="Times New Roman"/>
          <w:sz w:val="26"/>
          <w:szCs w:val="26"/>
        </w:rPr>
        <w:t>Restricted Funds Operating Budget</w:t>
      </w:r>
    </w:p>
    <w:p w14:paraId="298A82DD" w14:textId="3B2A6525" w:rsidR="00CC0E0B" w:rsidRPr="00D438B4" w:rsidRDefault="00CC0E0B" w:rsidP="00CC0E0B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64770BDD" w14:textId="77777777" w:rsidR="00D438B4" w:rsidRPr="00D438B4" w:rsidRDefault="00D438B4" w:rsidP="00CC0E0B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5B911715" w14:textId="1787A802" w:rsidR="00CC0E0B" w:rsidRDefault="00CC0E0B" w:rsidP="00E35D1F">
      <w:pPr>
        <w:tabs>
          <w:tab w:val="left" w:pos="1440"/>
        </w:tabs>
        <w:autoSpaceDE w:val="0"/>
        <w:autoSpaceDN w:val="0"/>
        <w:adjustRightInd w:val="0"/>
        <w:spacing w:line="48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3D0478" w:rsidRPr="00CC0E0B">
        <w:rPr>
          <w:color w:val="000000"/>
          <w:sz w:val="26"/>
          <w:szCs w:val="26"/>
        </w:rPr>
        <w:t xml:space="preserve">In </w:t>
      </w:r>
      <w:r w:rsidR="00403396">
        <w:rPr>
          <w:color w:val="000000"/>
          <w:sz w:val="26"/>
          <w:szCs w:val="26"/>
        </w:rPr>
        <w:t>January</w:t>
      </w:r>
      <w:r w:rsidR="003D0478" w:rsidRPr="00CC0E0B">
        <w:rPr>
          <w:color w:val="000000"/>
          <w:sz w:val="26"/>
          <w:szCs w:val="26"/>
        </w:rPr>
        <w:t xml:space="preserve"> 202</w:t>
      </w:r>
      <w:r w:rsidR="0011426C">
        <w:rPr>
          <w:color w:val="000000"/>
          <w:sz w:val="26"/>
          <w:szCs w:val="26"/>
        </w:rPr>
        <w:t>2</w:t>
      </w:r>
      <w:r w:rsidR="003D0478" w:rsidRPr="00CC0E0B">
        <w:rPr>
          <w:color w:val="000000"/>
          <w:sz w:val="26"/>
          <w:szCs w:val="26"/>
        </w:rPr>
        <w:t xml:space="preserve">, </w:t>
      </w:r>
      <w:r w:rsidR="009F5927" w:rsidRPr="00CC0E0B">
        <w:rPr>
          <w:sz w:val="26"/>
          <w:szCs w:val="26"/>
        </w:rPr>
        <w:t xml:space="preserve">the </w:t>
      </w:r>
      <w:r w:rsidR="00403396">
        <w:rPr>
          <w:sz w:val="26"/>
          <w:szCs w:val="26"/>
        </w:rPr>
        <w:t>University</w:t>
      </w:r>
      <w:r w:rsidR="008D69B7">
        <w:rPr>
          <w:sz w:val="26"/>
          <w:szCs w:val="26"/>
        </w:rPr>
        <w:t xml:space="preserve"> of Illinois Chicago</w:t>
      </w:r>
      <w:r w:rsidR="009F5927" w:rsidRPr="00CC0E0B">
        <w:rPr>
          <w:sz w:val="26"/>
          <w:szCs w:val="26"/>
        </w:rPr>
        <w:t xml:space="preserve"> approved the </w:t>
      </w:r>
      <w:r w:rsidR="00403396">
        <w:rPr>
          <w:sz w:val="26"/>
          <w:szCs w:val="26"/>
        </w:rPr>
        <w:t xml:space="preserve">Paulina Street Parking Structure Ceiling, Beam, and Joint Repairs </w:t>
      </w:r>
      <w:r w:rsidR="009F5927" w:rsidRPr="00CC0E0B">
        <w:rPr>
          <w:sz w:val="26"/>
          <w:szCs w:val="26"/>
        </w:rPr>
        <w:t>project</w:t>
      </w:r>
      <w:r w:rsidR="004F65A0">
        <w:rPr>
          <w:sz w:val="26"/>
          <w:szCs w:val="26"/>
        </w:rPr>
        <w:t xml:space="preserve">, </w:t>
      </w:r>
      <w:r w:rsidR="009F5927" w:rsidRPr="00CC0E0B">
        <w:rPr>
          <w:sz w:val="26"/>
          <w:szCs w:val="26"/>
        </w:rPr>
        <w:t>with a budget of $</w:t>
      </w:r>
      <w:r w:rsidR="00403396">
        <w:rPr>
          <w:sz w:val="26"/>
          <w:szCs w:val="26"/>
        </w:rPr>
        <w:t>3</w:t>
      </w:r>
      <w:r w:rsidR="0011426C">
        <w:rPr>
          <w:sz w:val="26"/>
          <w:szCs w:val="26"/>
        </w:rPr>
        <w:t>,</w:t>
      </w:r>
      <w:r w:rsidR="00403396">
        <w:rPr>
          <w:sz w:val="26"/>
          <w:szCs w:val="26"/>
        </w:rPr>
        <w:t>533</w:t>
      </w:r>
      <w:r w:rsidR="0011426C">
        <w:rPr>
          <w:sz w:val="26"/>
          <w:szCs w:val="26"/>
        </w:rPr>
        <w:t>,</w:t>
      </w:r>
      <w:r w:rsidR="00403396">
        <w:rPr>
          <w:sz w:val="26"/>
          <w:szCs w:val="26"/>
        </w:rPr>
        <w:t>2</w:t>
      </w:r>
      <w:r w:rsidR="0011426C">
        <w:rPr>
          <w:sz w:val="26"/>
          <w:szCs w:val="26"/>
        </w:rPr>
        <w:t>00</w:t>
      </w:r>
      <w:r w:rsidR="009F5927" w:rsidRPr="00CC0E0B">
        <w:rPr>
          <w:sz w:val="26"/>
          <w:szCs w:val="26"/>
        </w:rPr>
        <w:t>.</w:t>
      </w:r>
      <w:r w:rsidR="004810AE" w:rsidRPr="00CC0E0B">
        <w:rPr>
          <w:sz w:val="26"/>
          <w:szCs w:val="26"/>
        </w:rPr>
        <w:t xml:space="preserve">  </w:t>
      </w:r>
      <w:r w:rsidR="00CC530B" w:rsidRPr="00CC530B">
        <w:rPr>
          <w:sz w:val="26"/>
          <w:szCs w:val="26"/>
        </w:rPr>
        <w:t xml:space="preserve">The </w:t>
      </w:r>
      <w:r w:rsidR="006737F9">
        <w:rPr>
          <w:sz w:val="26"/>
          <w:szCs w:val="26"/>
        </w:rPr>
        <w:t>project’s objective</w:t>
      </w:r>
      <w:r w:rsidR="00CC530B" w:rsidRPr="00CC530B">
        <w:rPr>
          <w:sz w:val="26"/>
          <w:szCs w:val="26"/>
        </w:rPr>
        <w:t xml:space="preserve"> is to </w:t>
      </w:r>
      <w:r w:rsidR="00403396">
        <w:rPr>
          <w:sz w:val="26"/>
          <w:szCs w:val="26"/>
        </w:rPr>
        <w:t xml:space="preserve">conduct structural repairs throughout the parking structure.  Repairs will be made on all flat concrete surfaces, columns, beams, and damaged post-tensioned steel cables that support the parking structure </w:t>
      </w:r>
      <w:r w:rsidR="00D438B4">
        <w:rPr>
          <w:sz w:val="26"/>
          <w:szCs w:val="26"/>
        </w:rPr>
        <w:t xml:space="preserve">that provides </w:t>
      </w:r>
      <w:r w:rsidR="00403396">
        <w:rPr>
          <w:sz w:val="26"/>
          <w:szCs w:val="26"/>
        </w:rPr>
        <w:t>1,124 parking spaces at 915 South Paulina Street, Chicago.</w:t>
      </w:r>
    </w:p>
    <w:p w14:paraId="6B617F14" w14:textId="34E03218" w:rsidR="0011426C" w:rsidRPr="006E5BBE" w:rsidRDefault="00CC0E0B" w:rsidP="006E5BBE">
      <w:pPr>
        <w:tabs>
          <w:tab w:val="left" w:pos="1440"/>
        </w:tabs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117FF" w:rsidRPr="00CC0E0B">
        <w:rPr>
          <w:sz w:val="26"/>
          <w:szCs w:val="26"/>
        </w:rPr>
        <w:t>Bids for the construction work have been solicited</w:t>
      </w:r>
      <w:r w:rsidR="006737F9">
        <w:rPr>
          <w:sz w:val="26"/>
          <w:szCs w:val="26"/>
        </w:rPr>
        <w:t xml:space="preserve">. </w:t>
      </w:r>
      <w:r w:rsidR="0051199E">
        <w:rPr>
          <w:sz w:val="26"/>
          <w:szCs w:val="26"/>
        </w:rPr>
        <w:t xml:space="preserve"> </w:t>
      </w:r>
      <w:r w:rsidR="006737F9">
        <w:rPr>
          <w:sz w:val="26"/>
          <w:szCs w:val="26"/>
        </w:rPr>
        <w:t>For</w:t>
      </w:r>
      <w:r w:rsidR="00B117FF" w:rsidRPr="00CC0E0B">
        <w:rPr>
          <w:sz w:val="26"/>
          <w:szCs w:val="26"/>
        </w:rPr>
        <w:t xml:space="preserve"> the </w:t>
      </w:r>
      <w:r w:rsidR="0071776B" w:rsidRPr="00CC0E0B">
        <w:rPr>
          <w:sz w:val="26"/>
          <w:szCs w:val="26"/>
        </w:rPr>
        <w:t xml:space="preserve">project to proceed, the </w:t>
      </w:r>
      <w:r w:rsidR="001A0F49">
        <w:rPr>
          <w:sz w:val="26"/>
          <w:szCs w:val="26"/>
        </w:rPr>
        <w:t xml:space="preserve">Interim </w:t>
      </w:r>
      <w:r w:rsidR="0071776B" w:rsidRPr="00CC0E0B">
        <w:rPr>
          <w:sz w:val="26"/>
          <w:szCs w:val="26"/>
        </w:rPr>
        <w:t>Chancellor, University of Illinois Chicago and Vice President, University of Illinois</w:t>
      </w:r>
      <w:r w:rsidR="00607B4C" w:rsidRPr="00CC0E0B">
        <w:rPr>
          <w:sz w:val="26"/>
          <w:szCs w:val="26"/>
        </w:rPr>
        <w:t xml:space="preserve"> System</w:t>
      </w:r>
      <w:r w:rsidR="006737F9">
        <w:rPr>
          <w:sz w:val="26"/>
          <w:szCs w:val="26"/>
        </w:rPr>
        <w:t>,</w:t>
      </w:r>
      <w:r w:rsidR="0071776B" w:rsidRPr="00CC0E0B">
        <w:rPr>
          <w:sz w:val="26"/>
          <w:szCs w:val="26"/>
        </w:rPr>
        <w:t xml:space="preserve"> with the concurrence of the appropriate administrative officers</w:t>
      </w:r>
      <w:r w:rsidR="00230E39">
        <w:rPr>
          <w:sz w:val="26"/>
          <w:szCs w:val="26"/>
        </w:rPr>
        <w:t>,</w:t>
      </w:r>
      <w:r w:rsidR="0071776B" w:rsidRPr="00CC0E0B">
        <w:rPr>
          <w:sz w:val="26"/>
          <w:szCs w:val="26"/>
        </w:rPr>
        <w:t xml:space="preserve"> recommends that the following contract be awarded.  Competitive bidding </w:t>
      </w:r>
      <w:r w:rsidR="0071776B" w:rsidRPr="00CC0E0B">
        <w:rPr>
          <w:sz w:val="26"/>
          <w:szCs w:val="26"/>
        </w:rPr>
        <w:lastRenderedPageBreak/>
        <w:t xml:space="preserve">procedures </w:t>
      </w:r>
      <w:r w:rsidR="0011426C">
        <w:rPr>
          <w:sz w:val="26"/>
          <w:szCs w:val="26"/>
        </w:rPr>
        <w:t xml:space="preserve">were conducted </w:t>
      </w:r>
      <w:r w:rsidR="0071776B" w:rsidRPr="00CC0E0B">
        <w:rPr>
          <w:sz w:val="26"/>
          <w:szCs w:val="26"/>
        </w:rPr>
        <w:t>in accordance with the Illinois Procurement Code</w:t>
      </w:r>
      <w:r w:rsidR="0011426C">
        <w:rPr>
          <w:sz w:val="26"/>
          <w:szCs w:val="26"/>
        </w:rPr>
        <w:t>,</w:t>
      </w:r>
      <w:r w:rsidR="0071776B" w:rsidRPr="00CC0E0B">
        <w:rPr>
          <w:sz w:val="26"/>
          <w:szCs w:val="26"/>
        </w:rPr>
        <w:t xml:space="preserve"> and the award is to the lowest responsible bidder on the basis of </w:t>
      </w:r>
      <w:r w:rsidR="0011426C">
        <w:rPr>
          <w:sz w:val="26"/>
          <w:szCs w:val="26"/>
        </w:rPr>
        <w:t>the</w:t>
      </w:r>
      <w:r w:rsidR="0071776B" w:rsidRPr="00CC0E0B">
        <w:rPr>
          <w:sz w:val="26"/>
          <w:szCs w:val="26"/>
        </w:rPr>
        <w:t xml:space="preserve"> base bid</w:t>
      </w:r>
      <w:r>
        <w:rPr>
          <w:sz w:val="26"/>
          <w:szCs w:val="26"/>
        </w:rPr>
        <w:t>:</w:t>
      </w:r>
    </w:p>
    <w:p w14:paraId="16551A28" w14:textId="4FF08C34" w:rsidR="0011426C" w:rsidRPr="001A0F49" w:rsidRDefault="0011426C" w:rsidP="006E5BBE">
      <w:pPr>
        <w:tabs>
          <w:tab w:val="left" w:pos="5040"/>
          <w:tab w:val="right" w:pos="7200"/>
        </w:tabs>
        <w:autoSpaceDE w:val="0"/>
        <w:autoSpaceDN w:val="0"/>
        <w:rPr>
          <w:iCs/>
          <w:sz w:val="26"/>
          <w:szCs w:val="26"/>
          <w:u w:val="single"/>
        </w:rPr>
      </w:pPr>
      <w:r w:rsidRPr="001A0F49">
        <w:rPr>
          <w:iCs/>
          <w:sz w:val="26"/>
          <w:szCs w:val="26"/>
          <w:u w:val="single"/>
        </w:rPr>
        <w:t>Division</w:t>
      </w:r>
      <w:r w:rsidR="001A0F49" w:rsidRPr="001A0F49">
        <w:rPr>
          <w:iCs/>
          <w:sz w:val="26"/>
          <w:szCs w:val="26"/>
          <w:u w:val="single"/>
        </w:rPr>
        <w:t xml:space="preserve"> 0</w:t>
      </w:r>
      <w:r w:rsidR="00403396">
        <w:rPr>
          <w:iCs/>
          <w:sz w:val="26"/>
          <w:szCs w:val="26"/>
          <w:u w:val="single"/>
        </w:rPr>
        <w:t>1</w:t>
      </w:r>
      <w:r w:rsidR="001A0F49" w:rsidRPr="001A0F49">
        <w:rPr>
          <w:iCs/>
          <w:sz w:val="26"/>
          <w:szCs w:val="26"/>
          <w:u w:val="single"/>
        </w:rPr>
        <w:t xml:space="preserve"> –</w:t>
      </w:r>
      <w:r w:rsidRPr="001A0F49">
        <w:rPr>
          <w:iCs/>
          <w:sz w:val="26"/>
          <w:szCs w:val="26"/>
          <w:u w:val="single"/>
        </w:rPr>
        <w:t xml:space="preserve"> </w:t>
      </w:r>
      <w:r w:rsidR="00403396">
        <w:rPr>
          <w:iCs/>
          <w:sz w:val="26"/>
          <w:szCs w:val="26"/>
          <w:u w:val="single"/>
        </w:rPr>
        <w:t>General Work</w:t>
      </w:r>
    </w:p>
    <w:p w14:paraId="59D92CB3" w14:textId="3891922C" w:rsidR="0011426C" w:rsidRDefault="00403396" w:rsidP="006E5BBE">
      <w:pPr>
        <w:tabs>
          <w:tab w:val="left" w:pos="4320"/>
          <w:tab w:val="right" w:pos="720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Maman</w:t>
      </w:r>
      <w:proofErr w:type="spellEnd"/>
      <w:r>
        <w:rPr>
          <w:sz w:val="26"/>
          <w:szCs w:val="26"/>
        </w:rPr>
        <w:t xml:space="preserve"> Corp.</w:t>
      </w:r>
      <w:r w:rsidR="006E5BBE">
        <w:rPr>
          <w:sz w:val="26"/>
          <w:szCs w:val="26"/>
        </w:rPr>
        <w:tab/>
      </w:r>
      <w:r w:rsidR="0011426C" w:rsidRPr="00F80ED6">
        <w:rPr>
          <w:sz w:val="26"/>
          <w:szCs w:val="26"/>
        </w:rPr>
        <w:t>Base Bi</w:t>
      </w:r>
      <w:r w:rsidR="0011426C">
        <w:rPr>
          <w:sz w:val="26"/>
          <w:szCs w:val="26"/>
        </w:rPr>
        <w:t>d</w:t>
      </w:r>
      <w:r w:rsidR="006E5BBE">
        <w:rPr>
          <w:sz w:val="26"/>
          <w:szCs w:val="26"/>
        </w:rPr>
        <w:tab/>
      </w:r>
      <w:r w:rsidR="0011426C" w:rsidRPr="00F80ED6">
        <w:rPr>
          <w:sz w:val="26"/>
          <w:szCs w:val="26"/>
        </w:rPr>
        <w:t>$</w:t>
      </w:r>
      <w:r w:rsidR="006C105F">
        <w:rPr>
          <w:sz w:val="26"/>
          <w:szCs w:val="26"/>
        </w:rPr>
        <w:t>3</w:t>
      </w:r>
      <w:r w:rsidR="0011426C">
        <w:rPr>
          <w:sz w:val="26"/>
          <w:szCs w:val="26"/>
        </w:rPr>
        <w:t>,</w:t>
      </w:r>
      <w:r w:rsidR="006C105F">
        <w:rPr>
          <w:sz w:val="26"/>
          <w:szCs w:val="26"/>
        </w:rPr>
        <w:t>295</w:t>
      </w:r>
      <w:r w:rsidR="0011426C">
        <w:rPr>
          <w:sz w:val="26"/>
          <w:szCs w:val="26"/>
        </w:rPr>
        <w:t>,</w:t>
      </w:r>
      <w:r w:rsidR="006C105F">
        <w:rPr>
          <w:sz w:val="26"/>
          <w:szCs w:val="26"/>
        </w:rPr>
        <w:t>00</w:t>
      </w:r>
      <w:r w:rsidR="0011426C">
        <w:rPr>
          <w:sz w:val="26"/>
          <w:szCs w:val="26"/>
        </w:rPr>
        <w:t>0</w:t>
      </w:r>
    </w:p>
    <w:p w14:paraId="75068E8F" w14:textId="668DA83D" w:rsidR="0011426C" w:rsidRDefault="00403396" w:rsidP="00E81C46">
      <w:pPr>
        <w:tabs>
          <w:tab w:val="left" w:pos="4320"/>
          <w:tab w:val="right" w:pos="7200"/>
        </w:tabs>
        <w:rPr>
          <w:sz w:val="26"/>
          <w:szCs w:val="26"/>
        </w:rPr>
      </w:pPr>
      <w:r>
        <w:rPr>
          <w:sz w:val="26"/>
          <w:szCs w:val="26"/>
        </w:rPr>
        <w:t>Elk Grove Village</w:t>
      </w:r>
      <w:r w:rsidR="0011426C">
        <w:rPr>
          <w:sz w:val="26"/>
          <w:szCs w:val="26"/>
        </w:rPr>
        <w:t>, IL</w:t>
      </w:r>
      <w:r w:rsidR="006E5BBE">
        <w:rPr>
          <w:sz w:val="26"/>
          <w:szCs w:val="26"/>
        </w:rPr>
        <w:tab/>
      </w:r>
      <w:r w:rsidR="0011426C">
        <w:rPr>
          <w:sz w:val="26"/>
          <w:szCs w:val="26"/>
        </w:rPr>
        <w:tab/>
      </w:r>
      <w:r w:rsidR="0011426C">
        <w:rPr>
          <w:sz w:val="26"/>
          <w:szCs w:val="26"/>
        </w:rPr>
        <w:tab/>
        <w:t xml:space="preserve">     </w:t>
      </w:r>
    </w:p>
    <w:p w14:paraId="38B8FA11" w14:textId="77777777" w:rsidR="0011426C" w:rsidRDefault="0011426C" w:rsidP="00E35D1F">
      <w:pPr>
        <w:pStyle w:val="bdstyle2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0546EC6F" w14:textId="4345D0C0" w:rsidR="00E35D1F" w:rsidRDefault="00B07052" w:rsidP="00E35D1F">
      <w:pPr>
        <w:pStyle w:val="bdstyle2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A753F" w:rsidRPr="00CC0E0B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2A753F" w:rsidRPr="00E35D1F">
        <w:rPr>
          <w:rFonts w:ascii="Times New Roman" w:hAnsi="Times New Roman"/>
          <w:i/>
          <w:iCs/>
          <w:sz w:val="26"/>
          <w:szCs w:val="26"/>
        </w:rPr>
        <w:t>Statutes</w:t>
      </w:r>
      <w:r w:rsidR="002A753F" w:rsidRPr="00230E39">
        <w:rPr>
          <w:rFonts w:ascii="Times New Roman" w:hAnsi="Times New Roman"/>
          <w:sz w:val="26"/>
          <w:szCs w:val="26"/>
        </w:rPr>
        <w:t>,</w:t>
      </w:r>
      <w:r w:rsidR="002A753F" w:rsidRPr="00E35D1F">
        <w:rPr>
          <w:rFonts w:ascii="Times New Roman" w:hAnsi="Times New Roman"/>
          <w:i/>
          <w:iCs/>
          <w:sz w:val="26"/>
          <w:szCs w:val="26"/>
        </w:rPr>
        <w:t xml:space="preserve"> The General Rules Concerning University Organization and Procedure</w:t>
      </w:r>
      <w:r w:rsidR="002A753F" w:rsidRPr="00CC0E0B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24FD387F" w14:textId="1342B659" w:rsidR="00E35D1F" w:rsidRDefault="00E35D1F" w:rsidP="00286DB2">
      <w:pPr>
        <w:pStyle w:val="bdstyle2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810AE" w:rsidRPr="00CC0E0B">
        <w:rPr>
          <w:rFonts w:ascii="Times New Roman" w:hAnsi="Times New Roman"/>
          <w:sz w:val="26"/>
          <w:szCs w:val="26"/>
        </w:rPr>
        <w:t>Funds for this project are available from</w:t>
      </w:r>
      <w:r w:rsidR="0011426C">
        <w:rPr>
          <w:rFonts w:ascii="Times New Roman" w:hAnsi="Times New Roman"/>
          <w:sz w:val="26"/>
          <w:szCs w:val="26"/>
        </w:rPr>
        <w:t xml:space="preserve"> </w:t>
      </w:r>
      <w:r w:rsidR="00286DB2" w:rsidRPr="00286DB2">
        <w:rPr>
          <w:rFonts w:ascii="Times New Roman" w:hAnsi="Times New Roman"/>
          <w:sz w:val="26"/>
          <w:szCs w:val="26"/>
        </w:rPr>
        <w:t>the auxiliary facilit</w:t>
      </w:r>
      <w:r w:rsidR="00230E39">
        <w:rPr>
          <w:rFonts w:ascii="Times New Roman" w:hAnsi="Times New Roman"/>
          <w:sz w:val="26"/>
          <w:szCs w:val="26"/>
        </w:rPr>
        <w:t>ies</w:t>
      </w:r>
      <w:r w:rsidR="00286DB2" w:rsidRPr="00286DB2">
        <w:rPr>
          <w:rFonts w:ascii="Times New Roman" w:hAnsi="Times New Roman"/>
          <w:sz w:val="26"/>
          <w:szCs w:val="26"/>
        </w:rPr>
        <w:t xml:space="preserve"> system repair and replacement reserve budget and operating budget of the parking operations</w:t>
      </w:r>
      <w:r w:rsidR="00286DB2">
        <w:rPr>
          <w:rFonts w:ascii="Times New Roman" w:hAnsi="Times New Roman"/>
          <w:sz w:val="26"/>
          <w:szCs w:val="26"/>
        </w:rPr>
        <w:t>.</w:t>
      </w:r>
    </w:p>
    <w:p w14:paraId="5CDF682C" w14:textId="2BED90E7" w:rsidR="00AC266B" w:rsidRPr="00CC0E0B" w:rsidRDefault="00E35D1F" w:rsidP="00E35D1F">
      <w:pPr>
        <w:pStyle w:val="bdstyle2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  <w:sectPr w:rsidR="00AC266B" w:rsidRPr="00CC0E0B" w:rsidSect="006E5BBE">
          <w:headerReference w:type="even" r:id="rId8"/>
          <w:headerReference w:type="default" r:id="rId9"/>
          <w:pgSz w:w="12240" w:h="15840"/>
          <w:pgMar w:top="720" w:right="1440" w:bottom="1440" w:left="1440" w:header="720" w:footer="720" w:gutter="0"/>
          <w:cols w:space="720"/>
          <w:noEndnote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  <w:r w:rsidR="002A753F" w:rsidRPr="00CC0E0B">
        <w:rPr>
          <w:rFonts w:ascii="Times New Roman" w:hAnsi="Times New Roman"/>
          <w:sz w:val="26"/>
          <w:szCs w:val="26"/>
        </w:rPr>
        <w:t>The President of the University</w:t>
      </w:r>
      <w:r w:rsidR="00B07052" w:rsidRPr="00B07052">
        <w:rPr>
          <w:rFonts w:ascii="Times New Roman" w:hAnsi="Times New Roman"/>
          <w:sz w:val="26"/>
          <w:szCs w:val="26"/>
        </w:rPr>
        <w:t xml:space="preserve"> of Illinois System</w:t>
      </w:r>
      <w:r w:rsidR="002A753F" w:rsidRPr="00CC0E0B">
        <w:rPr>
          <w:rFonts w:ascii="Times New Roman" w:hAnsi="Times New Roman"/>
          <w:sz w:val="26"/>
          <w:szCs w:val="26"/>
        </w:rPr>
        <w:t xml:space="preserve"> concurs.</w:t>
      </w:r>
    </w:p>
    <w:p w14:paraId="46DA91E6" w14:textId="6A02973D" w:rsidR="003F0121" w:rsidRPr="003F0121" w:rsidRDefault="003F0121" w:rsidP="003F0121">
      <w:pPr>
        <w:pStyle w:val="Caption"/>
        <w:keepNext/>
        <w:rPr>
          <w:i w:val="0"/>
          <w:iCs w:val="0"/>
          <w:color w:val="auto"/>
          <w:sz w:val="26"/>
          <w:szCs w:val="26"/>
        </w:rPr>
      </w:pPr>
      <w:r w:rsidRPr="003F0121">
        <w:rPr>
          <w:i w:val="0"/>
          <w:iCs w:val="0"/>
          <w:color w:val="auto"/>
          <w:sz w:val="26"/>
          <w:szCs w:val="26"/>
        </w:rPr>
        <w:lastRenderedPageBreak/>
        <w:t xml:space="preserve">Table </w:t>
      </w:r>
      <w:r w:rsidRPr="003F0121">
        <w:rPr>
          <w:i w:val="0"/>
          <w:iCs w:val="0"/>
          <w:color w:val="auto"/>
          <w:sz w:val="26"/>
          <w:szCs w:val="26"/>
        </w:rPr>
        <w:fldChar w:fldCharType="begin"/>
      </w:r>
      <w:r w:rsidRPr="003F0121">
        <w:rPr>
          <w:i w:val="0"/>
          <w:iCs w:val="0"/>
          <w:color w:val="auto"/>
          <w:sz w:val="26"/>
          <w:szCs w:val="26"/>
        </w:rPr>
        <w:instrText xml:space="preserve"> SEQ Table \* ARABIC </w:instrText>
      </w:r>
      <w:r w:rsidRPr="003F0121">
        <w:rPr>
          <w:i w:val="0"/>
          <w:iCs w:val="0"/>
          <w:color w:val="auto"/>
          <w:sz w:val="26"/>
          <w:szCs w:val="26"/>
        </w:rPr>
        <w:fldChar w:fldCharType="separate"/>
      </w:r>
      <w:r w:rsidRPr="003F0121">
        <w:rPr>
          <w:i w:val="0"/>
          <w:iCs w:val="0"/>
          <w:noProof/>
          <w:color w:val="auto"/>
          <w:sz w:val="26"/>
          <w:szCs w:val="26"/>
        </w:rPr>
        <w:t>1</w:t>
      </w:r>
      <w:r w:rsidRPr="003F0121">
        <w:rPr>
          <w:i w:val="0"/>
          <w:iCs w:val="0"/>
          <w:color w:val="auto"/>
          <w:sz w:val="26"/>
          <w:szCs w:val="26"/>
        </w:rPr>
        <w:fldChar w:fldCharType="end"/>
      </w:r>
      <w:r w:rsidRPr="003F0121">
        <w:rPr>
          <w:i w:val="0"/>
          <w:iCs w:val="0"/>
          <w:color w:val="auto"/>
          <w:sz w:val="26"/>
          <w:szCs w:val="26"/>
        </w:rPr>
        <w:t>: Diverse Vendor Participation</w:t>
      </w:r>
    </w:p>
    <w:tbl>
      <w:tblPr>
        <w:tblStyle w:val="TableGrid"/>
        <w:tblW w:w="50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2587"/>
        <w:gridCol w:w="1599"/>
        <w:gridCol w:w="1304"/>
        <w:gridCol w:w="1895"/>
        <w:gridCol w:w="1493"/>
        <w:gridCol w:w="1742"/>
      </w:tblGrid>
      <w:tr w:rsidR="00AD5162" w:rsidRPr="00CC0E0B" w14:paraId="77ACF0DF" w14:textId="77777777" w:rsidTr="003F0121">
        <w:trPr>
          <w:trHeight w:val="1005"/>
        </w:trPr>
        <w:tc>
          <w:tcPr>
            <w:tcW w:w="903" w:type="pct"/>
            <w:tcBorders>
              <w:top w:val="single" w:sz="4" w:space="0" w:color="auto"/>
            </w:tcBorders>
            <w:hideMark/>
          </w:tcPr>
          <w:p w14:paraId="20B15116" w14:textId="77777777" w:rsidR="00AD5162" w:rsidRPr="00CC0E0B" w:rsidRDefault="00AD5162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998" w:type="pct"/>
            <w:tcBorders>
              <w:top w:val="single" w:sz="4" w:space="0" w:color="auto"/>
            </w:tcBorders>
            <w:hideMark/>
          </w:tcPr>
          <w:p w14:paraId="4D8074A2" w14:textId="19A0652B" w:rsidR="00AD5162" w:rsidRPr="00CC0E0B" w:rsidRDefault="00AD5162" w:rsidP="00CC0E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Awarded </w:t>
            </w:r>
            <w:r w:rsidRPr="00CC0E0B">
              <w:rPr>
                <w:color w:val="000000"/>
                <w:sz w:val="26"/>
                <w:szCs w:val="26"/>
              </w:rPr>
              <w:t>Vendor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777815AB" w14:textId="2736C645" w:rsidR="00AD5162" w:rsidRPr="00CC0E0B" w:rsidDel="00AD5162" w:rsidRDefault="00AD5162" w:rsidP="00CC0E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14:paraId="01B1AA33" w14:textId="40AC4F49" w:rsidR="00AD5162" w:rsidRPr="00CC0E0B" w:rsidDel="00AD5162" w:rsidRDefault="00AD5162" w:rsidP="00CC0E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731" w:type="pct"/>
            <w:tcBorders>
              <w:top w:val="single" w:sz="4" w:space="0" w:color="auto"/>
            </w:tcBorders>
            <w:hideMark/>
          </w:tcPr>
          <w:p w14:paraId="54075B2B" w14:textId="4355B11F" w:rsidR="00AD5162" w:rsidRPr="00CC0E0B" w:rsidRDefault="00AD5162" w:rsidP="00CC0E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Diverse</w:t>
            </w:r>
            <w:r w:rsidR="00AA35FB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 xml:space="preserve"> Subcontractor Contract Value</w:t>
            </w:r>
          </w:p>
        </w:tc>
        <w:tc>
          <w:tcPr>
            <w:tcW w:w="576" w:type="pct"/>
            <w:tcBorders>
              <w:top w:val="single" w:sz="4" w:space="0" w:color="auto"/>
            </w:tcBorders>
            <w:hideMark/>
          </w:tcPr>
          <w:p w14:paraId="6F4CD7E2" w14:textId="145FA7B9" w:rsidR="00AD5162" w:rsidRPr="00CC0E0B" w:rsidRDefault="00BF6E44" w:rsidP="006737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Diverse Contract %</w:t>
            </w:r>
          </w:p>
        </w:tc>
        <w:tc>
          <w:tcPr>
            <w:tcW w:w="672" w:type="pct"/>
            <w:tcBorders>
              <w:top w:val="single" w:sz="4" w:space="0" w:color="auto"/>
            </w:tcBorders>
            <w:hideMark/>
          </w:tcPr>
          <w:p w14:paraId="7202FCE6" w14:textId="77777777" w:rsidR="00AD5162" w:rsidRPr="00CC0E0B" w:rsidRDefault="00AD5162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Diverse Classification</w:t>
            </w:r>
          </w:p>
        </w:tc>
      </w:tr>
      <w:tr w:rsidR="00AD5162" w:rsidRPr="00CC0E0B" w14:paraId="442A0975" w14:textId="77777777" w:rsidTr="003F0121">
        <w:trPr>
          <w:trHeight w:val="330"/>
        </w:trPr>
        <w:tc>
          <w:tcPr>
            <w:tcW w:w="903" w:type="pct"/>
            <w:noWrap/>
            <w:hideMark/>
          </w:tcPr>
          <w:p w14:paraId="40A19BD0" w14:textId="77777777" w:rsidR="00AD5162" w:rsidRPr="00CC0E0B" w:rsidRDefault="00AD5162" w:rsidP="00CC0E0B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Division 1: General</w:t>
            </w:r>
          </w:p>
        </w:tc>
        <w:tc>
          <w:tcPr>
            <w:tcW w:w="998" w:type="pct"/>
            <w:hideMark/>
          </w:tcPr>
          <w:p w14:paraId="17C05BFC" w14:textId="6BDD8025" w:rsidR="00AD5162" w:rsidRDefault="00AD5162" w:rsidP="00CC0E0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Maman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Corp.,</w:t>
            </w:r>
          </w:p>
          <w:p w14:paraId="12E35DB2" w14:textId="0BBE7DC4" w:rsidR="00AD5162" w:rsidRPr="00CC0E0B" w:rsidRDefault="00AD5162" w:rsidP="00CC0E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Elk Grove Village</w:t>
            </w:r>
            <w:r w:rsidRPr="00CC0E0B">
              <w:rPr>
                <w:color w:val="000000"/>
                <w:sz w:val="26"/>
                <w:szCs w:val="26"/>
              </w:rPr>
              <w:t>, IL</w:t>
            </w:r>
          </w:p>
        </w:tc>
        <w:tc>
          <w:tcPr>
            <w:tcW w:w="617" w:type="pct"/>
          </w:tcPr>
          <w:p w14:paraId="524C2EAD" w14:textId="70B069D2" w:rsidR="00AD5162" w:rsidRPr="00CC0E0B" w:rsidRDefault="00AD5162" w:rsidP="006737F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$3,295,000</w:t>
            </w:r>
          </w:p>
        </w:tc>
        <w:tc>
          <w:tcPr>
            <w:tcW w:w="503" w:type="pct"/>
          </w:tcPr>
          <w:p w14:paraId="4B9B48E0" w14:textId="548F9AA6" w:rsidR="00AD5162" w:rsidRPr="00CC0E0B" w:rsidRDefault="00AD5162" w:rsidP="006737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Yes</w:t>
            </w:r>
          </w:p>
        </w:tc>
        <w:tc>
          <w:tcPr>
            <w:tcW w:w="731" w:type="pct"/>
            <w:noWrap/>
            <w:hideMark/>
          </w:tcPr>
          <w:p w14:paraId="378E350E" w14:textId="0278E354" w:rsidR="00AD5162" w:rsidRPr="00CC0E0B" w:rsidRDefault="00AD5162" w:rsidP="006737F9">
            <w:pPr>
              <w:jc w:val="right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$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="00BF6E4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995,121</w:t>
            </w:r>
          </w:p>
        </w:tc>
        <w:tc>
          <w:tcPr>
            <w:tcW w:w="576" w:type="pct"/>
            <w:noWrap/>
            <w:hideMark/>
          </w:tcPr>
          <w:p w14:paraId="2129F98C" w14:textId="34B22D57" w:rsidR="00AD5162" w:rsidRPr="00CC0E0B" w:rsidRDefault="00AD5162" w:rsidP="006737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72" w:type="pct"/>
            <w:noWrap/>
            <w:hideMark/>
          </w:tcPr>
          <w:p w14:paraId="625724C2" w14:textId="0AF507BA" w:rsidR="00AD5162" w:rsidRPr="00CC0E0B" w:rsidRDefault="00AD5162" w:rsidP="006737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WBE</w:t>
            </w:r>
          </w:p>
        </w:tc>
      </w:tr>
      <w:tr w:rsidR="00AD5162" w:rsidRPr="00CC0E0B" w14:paraId="4427D2B3" w14:textId="77777777" w:rsidTr="003F0121">
        <w:trPr>
          <w:trHeight w:val="638"/>
        </w:trPr>
        <w:tc>
          <w:tcPr>
            <w:tcW w:w="903" w:type="pct"/>
            <w:noWrap/>
            <w:hideMark/>
          </w:tcPr>
          <w:p w14:paraId="1BB9A553" w14:textId="328220DF" w:rsidR="00AD5162" w:rsidRPr="00CC0E0B" w:rsidRDefault="00AD5162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8" w:type="pct"/>
          </w:tcPr>
          <w:p w14:paraId="3C081022" w14:textId="7E342F35" w:rsidR="00AD5162" w:rsidRPr="00CC0E0B" w:rsidRDefault="00AD5162" w:rsidP="005159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7" w:type="pct"/>
          </w:tcPr>
          <w:p w14:paraId="68FC8B5F" w14:textId="77777777" w:rsidR="00AD5162" w:rsidRPr="00CC0E0B" w:rsidRDefault="00AD5162" w:rsidP="006737F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3" w:type="pct"/>
          </w:tcPr>
          <w:p w14:paraId="15B9CFBF" w14:textId="77777777" w:rsidR="00AD5162" w:rsidRPr="00CC0E0B" w:rsidRDefault="00AD5162" w:rsidP="006737F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noWrap/>
            <w:hideMark/>
          </w:tcPr>
          <w:p w14:paraId="1C5FBDEC" w14:textId="3303EDFB" w:rsidR="00AD5162" w:rsidRPr="00CC0E0B" w:rsidRDefault="00BF6E44" w:rsidP="006737F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AD5162">
              <w:rPr>
                <w:color w:val="000000"/>
                <w:sz w:val="26"/>
                <w:szCs w:val="26"/>
              </w:rPr>
              <w:t>2,296,325</w:t>
            </w:r>
          </w:p>
        </w:tc>
        <w:tc>
          <w:tcPr>
            <w:tcW w:w="576" w:type="pct"/>
            <w:noWrap/>
            <w:hideMark/>
          </w:tcPr>
          <w:p w14:paraId="52277300" w14:textId="3B370B01" w:rsidR="00AD5162" w:rsidRPr="00CC0E0B" w:rsidRDefault="00E81C46" w:rsidP="00BF6E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  <w:r w:rsidR="00AD516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72" w:type="pct"/>
            <w:noWrap/>
            <w:hideMark/>
          </w:tcPr>
          <w:p w14:paraId="4E739BAB" w14:textId="732DAF09" w:rsidR="00AD5162" w:rsidRPr="00CC0E0B" w:rsidRDefault="00AD5162" w:rsidP="006737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VBE</w:t>
            </w:r>
          </w:p>
        </w:tc>
      </w:tr>
      <w:tr w:rsidR="00AD5162" w:rsidRPr="00CC0E0B" w14:paraId="08738E72" w14:textId="77777777" w:rsidTr="003F0121">
        <w:trPr>
          <w:trHeight w:val="638"/>
        </w:trPr>
        <w:tc>
          <w:tcPr>
            <w:tcW w:w="903" w:type="pct"/>
            <w:tcBorders>
              <w:bottom w:val="single" w:sz="4" w:space="0" w:color="auto"/>
            </w:tcBorders>
            <w:noWrap/>
          </w:tcPr>
          <w:p w14:paraId="278FBACE" w14:textId="04C157CE" w:rsidR="00AD5162" w:rsidRDefault="00AD5162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Division 1: General Total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14:paraId="4FFE3339" w14:textId="77777777" w:rsidR="00AD5162" w:rsidRDefault="00AD5162" w:rsidP="005159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13F457A1" w14:textId="77777777" w:rsidR="00AD5162" w:rsidRPr="00CC0E0B" w:rsidRDefault="00AD5162" w:rsidP="006737F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48164C56" w14:textId="5B1D637C" w:rsidR="00AD5162" w:rsidRPr="00CC0E0B" w:rsidRDefault="00AD5162" w:rsidP="006737F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noWrap/>
          </w:tcPr>
          <w:p w14:paraId="65FFE8FF" w14:textId="0F5DBDBD" w:rsidR="00AD5162" w:rsidRPr="00CC0E0B" w:rsidRDefault="00AD5162" w:rsidP="006737F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  <w:r w:rsidR="00BF6E4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3,291,446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noWrap/>
          </w:tcPr>
          <w:p w14:paraId="259A6FEE" w14:textId="0CF8A5AF" w:rsidR="00AD5162" w:rsidRDefault="00E81C46" w:rsidP="00BF6E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  <w:r w:rsidR="00AD516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noWrap/>
          </w:tcPr>
          <w:p w14:paraId="30C4C984" w14:textId="77777777" w:rsidR="00AD5162" w:rsidRDefault="00AD5162" w:rsidP="006737F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5E977EE1" w14:textId="2F3D7E96" w:rsidR="00AC266B" w:rsidRPr="00CC0E0B" w:rsidRDefault="00AC266B" w:rsidP="00CC0E0B">
      <w:pPr>
        <w:pStyle w:val="Default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3091" w:type="pct"/>
        <w:jc w:val="right"/>
        <w:tblLayout w:type="fixed"/>
        <w:tblLook w:val="04A0" w:firstRow="1" w:lastRow="0" w:firstColumn="1" w:lastColumn="0" w:noHBand="0" w:noVBand="1"/>
      </w:tblPr>
      <w:tblGrid>
        <w:gridCol w:w="2880"/>
        <w:gridCol w:w="1891"/>
        <w:gridCol w:w="1531"/>
        <w:gridCol w:w="1704"/>
      </w:tblGrid>
      <w:tr w:rsidR="003F0121" w:rsidRPr="00CC0E0B" w14:paraId="025A6DE6" w14:textId="77777777" w:rsidTr="003F0121">
        <w:trPr>
          <w:trHeight w:val="375"/>
          <w:jc w:val="right"/>
        </w:trPr>
        <w:tc>
          <w:tcPr>
            <w:tcW w:w="1798" w:type="pct"/>
            <w:tcBorders>
              <w:left w:val="single" w:sz="4" w:space="0" w:color="auto"/>
            </w:tcBorders>
          </w:tcPr>
          <w:p w14:paraId="32D10D33" w14:textId="77777777" w:rsidR="003F0121" w:rsidRPr="00CC0E0B" w:rsidRDefault="003F0121" w:rsidP="00D34554">
            <w:pPr>
              <w:jc w:val="right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Total Awarded</w:t>
            </w:r>
          </w:p>
        </w:tc>
        <w:tc>
          <w:tcPr>
            <w:tcW w:w="1181" w:type="pct"/>
            <w:noWrap/>
            <w:hideMark/>
          </w:tcPr>
          <w:p w14:paraId="18F43C50" w14:textId="77777777" w:rsidR="003F0121" w:rsidRPr="00CC0E0B" w:rsidRDefault="003F0121" w:rsidP="00D34554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CC0E0B">
              <w:rPr>
                <w:color w:val="000000"/>
                <w:sz w:val="26"/>
                <w:szCs w:val="26"/>
              </w:rPr>
              <w:t>$</w:t>
            </w:r>
            <w:r>
              <w:rPr>
                <w:color w:val="000000"/>
                <w:sz w:val="26"/>
                <w:szCs w:val="26"/>
              </w:rPr>
              <w:t xml:space="preserve">  3,295,000</w:t>
            </w:r>
            <w:proofErr w:type="gramEnd"/>
          </w:p>
        </w:tc>
        <w:tc>
          <w:tcPr>
            <w:tcW w:w="956" w:type="pct"/>
            <w:noWrap/>
            <w:hideMark/>
          </w:tcPr>
          <w:p w14:paraId="6CBA9A48" w14:textId="77777777" w:rsidR="003F0121" w:rsidRPr="00CC0E0B" w:rsidRDefault="003F0121" w:rsidP="00D34554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4" w:type="pct"/>
            <w:noWrap/>
            <w:hideMark/>
          </w:tcPr>
          <w:p w14:paraId="4DBDB876" w14:textId="77777777" w:rsidR="003F0121" w:rsidRPr="00CC0E0B" w:rsidRDefault="003F0121" w:rsidP="00D34554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F0121" w:rsidRPr="00CC0E0B" w14:paraId="1ED164B1" w14:textId="77777777" w:rsidTr="003F0121">
        <w:trPr>
          <w:trHeight w:val="375"/>
          <w:jc w:val="right"/>
        </w:trPr>
        <w:tc>
          <w:tcPr>
            <w:tcW w:w="1798" w:type="pct"/>
            <w:tcBorders>
              <w:left w:val="single" w:sz="4" w:space="0" w:color="auto"/>
            </w:tcBorders>
          </w:tcPr>
          <w:p w14:paraId="6236BAAA" w14:textId="77777777" w:rsidR="003F0121" w:rsidRPr="00CC0E0B" w:rsidRDefault="003F0121" w:rsidP="00D34554">
            <w:pPr>
              <w:jc w:val="right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Total </w:t>
            </w:r>
            <w:r>
              <w:rPr>
                <w:color w:val="000000"/>
                <w:sz w:val="26"/>
                <w:szCs w:val="26"/>
              </w:rPr>
              <w:t>V</w:t>
            </w:r>
            <w:r w:rsidRPr="00CC0E0B">
              <w:rPr>
                <w:color w:val="000000"/>
                <w:sz w:val="26"/>
                <w:szCs w:val="26"/>
              </w:rPr>
              <w:t>BE</w:t>
            </w:r>
          </w:p>
        </w:tc>
        <w:tc>
          <w:tcPr>
            <w:tcW w:w="1181" w:type="pct"/>
            <w:noWrap/>
            <w:hideMark/>
          </w:tcPr>
          <w:p w14:paraId="68A3E8BE" w14:textId="77777777" w:rsidR="003F0121" w:rsidRPr="00CC0E0B" w:rsidRDefault="003F0121" w:rsidP="00D34554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56" w:type="pct"/>
            <w:hideMark/>
          </w:tcPr>
          <w:p w14:paraId="7324C1D3" w14:textId="77777777" w:rsidR="003F0121" w:rsidRPr="00CC0E0B" w:rsidRDefault="003F0121" w:rsidP="00D3455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2,296,325</w:t>
            </w:r>
          </w:p>
        </w:tc>
        <w:tc>
          <w:tcPr>
            <w:tcW w:w="1064" w:type="pct"/>
            <w:noWrap/>
            <w:hideMark/>
          </w:tcPr>
          <w:p w14:paraId="642C9EB5" w14:textId="77777777" w:rsidR="003F0121" w:rsidRPr="00CC0E0B" w:rsidRDefault="003F0121" w:rsidP="00D345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  <w:r w:rsidRPr="00CC0E0B">
              <w:rPr>
                <w:color w:val="000000"/>
                <w:sz w:val="26"/>
                <w:szCs w:val="26"/>
              </w:rPr>
              <w:t>%</w:t>
            </w:r>
          </w:p>
        </w:tc>
      </w:tr>
      <w:tr w:rsidR="003F0121" w:rsidRPr="00CC0E0B" w14:paraId="73DEDA5C" w14:textId="77777777" w:rsidTr="003F0121">
        <w:trPr>
          <w:trHeight w:val="375"/>
          <w:jc w:val="right"/>
        </w:trPr>
        <w:tc>
          <w:tcPr>
            <w:tcW w:w="1798" w:type="pct"/>
            <w:tcBorders>
              <w:left w:val="single" w:sz="4" w:space="0" w:color="auto"/>
            </w:tcBorders>
          </w:tcPr>
          <w:p w14:paraId="62109318" w14:textId="77777777" w:rsidR="003F0121" w:rsidRPr="00CC0E0B" w:rsidRDefault="003F0121" w:rsidP="00D3455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Total WBE</w:t>
            </w:r>
          </w:p>
        </w:tc>
        <w:tc>
          <w:tcPr>
            <w:tcW w:w="1181" w:type="pct"/>
            <w:noWrap/>
          </w:tcPr>
          <w:p w14:paraId="30E7F3C9" w14:textId="77777777" w:rsidR="003F0121" w:rsidRPr="00CC0E0B" w:rsidRDefault="003F0121" w:rsidP="00D345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56" w:type="pct"/>
          </w:tcPr>
          <w:p w14:paraId="4D80275B" w14:textId="77777777" w:rsidR="003F0121" w:rsidRDefault="003F0121" w:rsidP="00D3455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995,121</w:t>
            </w:r>
          </w:p>
        </w:tc>
        <w:tc>
          <w:tcPr>
            <w:tcW w:w="1064" w:type="pct"/>
            <w:noWrap/>
          </w:tcPr>
          <w:p w14:paraId="4872B6E2" w14:textId="77777777" w:rsidR="003F0121" w:rsidRPr="00CC0E0B" w:rsidRDefault="003F0121" w:rsidP="00D345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Pr="00CC0E0B">
              <w:rPr>
                <w:color w:val="000000"/>
                <w:sz w:val="26"/>
                <w:szCs w:val="26"/>
              </w:rPr>
              <w:t>%</w:t>
            </w:r>
          </w:p>
        </w:tc>
      </w:tr>
      <w:tr w:rsidR="003F0121" w:rsidRPr="00CC0E0B" w14:paraId="1570BCCE" w14:textId="77777777" w:rsidTr="003F0121">
        <w:trPr>
          <w:trHeight w:val="375"/>
          <w:jc w:val="right"/>
        </w:trPr>
        <w:tc>
          <w:tcPr>
            <w:tcW w:w="1798" w:type="pct"/>
            <w:tcBorders>
              <w:left w:val="single" w:sz="4" w:space="0" w:color="auto"/>
            </w:tcBorders>
          </w:tcPr>
          <w:p w14:paraId="476BE898" w14:textId="77777777" w:rsidR="003F0121" w:rsidRPr="00CC0E0B" w:rsidRDefault="003F0121" w:rsidP="00D34554">
            <w:pPr>
              <w:jc w:val="right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Total Diversity</w:t>
            </w:r>
          </w:p>
        </w:tc>
        <w:tc>
          <w:tcPr>
            <w:tcW w:w="1181" w:type="pct"/>
            <w:noWrap/>
            <w:hideMark/>
          </w:tcPr>
          <w:p w14:paraId="11C6DBB9" w14:textId="77777777" w:rsidR="003F0121" w:rsidRPr="00CC0E0B" w:rsidRDefault="003F0121" w:rsidP="00D34554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56" w:type="pct"/>
            <w:hideMark/>
          </w:tcPr>
          <w:p w14:paraId="14E80D25" w14:textId="77777777" w:rsidR="003F0121" w:rsidRPr="00CC0E0B" w:rsidRDefault="003F0121" w:rsidP="00D3455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$3,291,446</w:t>
            </w:r>
          </w:p>
        </w:tc>
        <w:tc>
          <w:tcPr>
            <w:tcW w:w="1064" w:type="pct"/>
            <w:noWrap/>
            <w:hideMark/>
          </w:tcPr>
          <w:p w14:paraId="254CFC1D" w14:textId="77777777" w:rsidR="003F0121" w:rsidRPr="00CC0E0B" w:rsidRDefault="003F0121" w:rsidP="00D345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  <w:r w:rsidRPr="00CC0E0B">
              <w:rPr>
                <w:color w:val="000000"/>
                <w:sz w:val="26"/>
                <w:szCs w:val="26"/>
              </w:rPr>
              <w:t>%</w:t>
            </w:r>
          </w:p>
        </w:tc>
      </w:tr>
    </w:tbl>
    <w:p w14:paraId="07099239" w14:textId="77777777" w:rsidR="00AC266B" w:rsidRPr="00CC0E0B" w:rsidRDefault="00AC266B" w:rsidP="00CC0E0B">
      <w:pPr>
        <w:pStyle w:val="Default"/>
        <w:rPr>
          <w:rFonts w:ascii="Times New Roman" w:hAnsi="Times New Roman"/>
          <w:sz w:val="26"/>
          <w:szCs w:val="26"/>
        </w:rPr>
      </w:pPr>
    </w:p>
    <w:sectPr w:rsidR="00AC266B" w:rsidRPr="00CC0E0B" w:rsidSect="00CC0E0B">
      <w:pgSz w:w="15840" w:h="12240" w:orient="landscape" w:code="1"/>
      <w:pgMar w:top="72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A4FB" w14:textId="77777777" w:rsidR="00F54EC1" w:rsidRDefault="00F54EC1" w:rsidP="0071776B">
      <w:r>
        <w:separator/>
      </w:r>
    </w:p>
  </w:endnote>
  <w:endnote w:type="continuationSeparator" w:id="0">
    <w:p w14:paraId="2CDD7266" w14:textId="77777777" w:rsidR="00F54EC1" w:rsidRDefault="00F54EC1" w:rsidP="0071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1D58" w14:textId="77777777" w:rsidR="00F54EC1" w:rsidRDefault="00F54EC1" w:rsidP="0071776B">
      <w:r>
        <w:separator/>
      </w:r>
    </w:p>
  </w:footnote>
  <w:footnote w:type="continuationSeparator" w:id="0">
    <w:p w14:paraId="6BE03BF8" w14:textId="77777777" w:rsidR="00F54EC1" w:rsidRDefault="00F54EC1" w:rsidP="0071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3082934"/>
      <w:docPartObj>
        <w:docPartGallery w:val="Page Numbers (Top of Page)"/>
        <w:docPartUnique/>
      </w:docPartObj>
    </w:sdtPr>
    <w:sdtContent>
      <w:p w14:paraId="252B0635" w14:textId="73B0E27E" w:rsidR="00E35D1F" w:rsidRDefault="00E35D1F" w:rsidP="00B7364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B89B4F" w14:textId="77777777" w:rsidR="00E35D1F" w:rsidRDefault="00E35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1368493796"/>
      <w:docPartObj>
        <w:docPartGallery w:val="Page Numbers (Top of Page)"/>
        <w:docPartUnique/>
      </w:docPartObj>
    </w:sdtPr>
    <w:sdtContent>
      <w:p w14:paraId="1FE3E0AF" w14:textId="75182A08" w:rsidR="00E35D1F" w:rsidRPr="00E35D1F" w:rsidRDefault="00E35D1F" w:rsidP="00B7364F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E35D1F">
          <w:rPr>
            <w:rStyle w:val="PageNumber"/>
            <w:sz w:val="26"/>
            <w:szCs w:val="26"/>
          </w:rPr>
          <w:fldChar w:fldCharType="begin"/>
        </w:r>
        <w:r w:rsidRPr="00E35D1F">
          <w:rPr>
            <w:rStyle w:val="PageNumber"/>
            <w:sz w:val="26"/>
            <w:szCs w:val="26"/>
          </w:rPr>
          <w:instrText xml:space="preserve"> PAGE </w:instrText>
        </w:r>
        <w:r w:rsidRPr="00E35D1F">
          <w:rPr>
            <w:rStyle w:val="PageNumber"/>
            <w:sz w:val="26"/>
            <w:szCs w:val="26"/>
          </w:rPr>
          <w:fldChar w:fldCharType="separate"/>
        </w:r>
        <w:r w:rsidRPr="00E35D1F">
          <w:rPr>
            <w:rStyle w:val="PageNumber"/>
            <w:noProof/>
            <w:sz w:val="26"/>
            <w:szCs w:val="26"/>
          </w:rPr>
          <w:t>2</w:t>
        </w:r>
        <w:r w:rsidRPr="00E35D1F">
          <w:rPr>
            <w:rStyle w:val="PageNumber"/>
            <w:sz w:val="26"/>
            <w:szCs w:val="26"/>
          </w:rPr>
          <w:fldChar w:fldCharType="end"/>
        </w:r>
      </w:p>
    </w:sdtContent>
  </w:sdt>
  <w:p w14:paraId="0B498E47" w14:textId="7C1F9410" w:rsidR="00E35D1F" w:rsidRDefault="00E35D1F">
    <w:pPr>
      <w:pStyle w:val="Header"/>
    </w:pPr>
  </w:p>
  <w:p w14:paraId="62802837" w14:textId="77777777" w:rsidR="00E35D1F" w:rsidRPr="00230E39" w:rsidRDefault="00E35D1F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CF8"/>
    <w:multiLevelType w:val="hybridMultilevel"/>
    <w:tmpl w:val="9ECEEB5A"/>
    <w:lvl w:ilvl="0" w:tplc="9DE25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0B3B14"/>
    <w:multiLevelType w:val="hybridMultilevel"/>
    <w:tmpl w:val="884AE318"/>
    <w:lvl w:ilvl="0" w:tplc="E9A890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457E273E"/>
    <w:multiLevelType w:val="hybridMultilevel"/>
    <w:tmpl w:val="C5C6E88A"/>
    <w:lvl w:ilvl="0" w:tplc="75D051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EE6299"/>
    <w:multiLevelType w:val="hybridMultilevel"/>
    <w:tmpl w:val="24FE752A"/>
    <w:lvl w:ilvl="0" w:tplc="F34EBD8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1154679771">
    <w:abstractNumId w:val="3"/>
  </w:num>
  <w:num w:numId="2" w16cid:durableId="233316368">
    <w:abstractNumId w:val="1"/>
  </w:num>
  <w:num w:numId="3" w16cid:durableId="168343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73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Nzc3tbQ0tTQyMjRX0lEKTi0uzszPAykwrAUASiMk1SwAAAA="/>
  </w:docVars>
  <w:rsids>
    <w:rsidRoot w:val="00175BEC"/>
    <w:rsid w:val="00002048"/>
    <w:rsid w:val="00020457"/>
    <w:rsid w:val="000225D1"/>
    <w:rsid w:val="00023113"/>
    <w:rsid w:val="00035C81"/>
    <w:rsid w:val="00041E63"/>
    <w:rsid w:val="00043020"/>
    <w:rsid w:val="00044A6D"/>
    <w:rsid w:val="00051CC6"/>
    <w:rsid w:val="000567A7"/>
    <w:rsid w:val="00061225"/>
    <w:rsid w:val="000650BF"/>
    <w:rsid w:val="00077538"/>
    <w:rsid w:val="000801BF"/>
    <w:rsid w:val="0008103C"/>
    <w:rsid w:val="000924D6"/>
    <w:rsid w:val="000A2DA6"/>
    <w:rsid w:val="000B2901"/>
    <w:rsid w:val="000C222A"/>
    <w:rsid w:val="000C6C54"/>
    <w:rsid w:val="000E4565"/>
    <w:rsid w:val="000F0204"/>
    <w:rsid w:val="000F29FA"/>
    <w:rsid w:val="00110CB7"/>
    <w:rsid w:val="0011166A"/>
    <w:rsid w:val="0011426C"/>
    <w:rsid w:val="001203C2"/>
    <w:rsid w:val="0012530C"/>
    <w:rsid w:val="001306D9"/>
    <w:rsid w:val="00131881"/>
    <w:rsid w:val="00140A56"/>
    <w:rsid w:val="00151D58"/>
    <w:rsid w:val="00154012"/>
    <w:rsid w:val="00163661"/>
    <w:rsid w:val="0016411C"/>
    <w:rsid w:val="0016540C"/>
    <w:rsid w:val="0016705B"/>
    <w:rsid w:val="0017058B"/>
    <w:rsid w:val="00175BEC"/>
    <w:rsid w:val="00193FC2"/>
    <w:rsid w:val="00194E65"/>
    <w:rsid w:val="001A00DE"/>
    <w:rsid w:val="001A0F49"/>
    <w:rsid w:val="001A3FA6"/>
    <w:rsid w:val="001A5F92"/>
    <w:rsid w:val="001C03C7"/>
    <w:rsid w:val="001D4FCE"/>
    <w:rsid w:val="001D6E87"/>
    <w:rsid w:val="001F1023"/>
    <w:rsid w:val="00204706"/>
    <w:rsid w:val="00206A6B"/>
    <w:rsid w:val="00211613"/>
    <w:rsid w:val="002226F7"/>
    <w:rsid w:val="0022288F"/>
    <w:rsid w:val="00230E39"/>
    <w:rsid w:val="002346AF"/>
    <w:rsid w:val="00251E38"/>
    <w:rsid w:val="00253CFC"/>
    <w:rsid w:val="00257B76"/>
    <w:rsid w:val="0026377D"/>
    <w:rsid w:val="00270CB7"/>
    <w:rsid w:val="00280258"/>
    <w:rsid w:val="0028029B"/>
    <w:rsid w:val="00281A29"/>
    <w:rsid w:val="00286BF2"/>
    <w:rsid w:val="00286DB2"/>
    <w:rsid w:val="002969F0"/>
    <w:rsid w:val="002A2128"/>
    <w:rsid w:val="002A4D8A"/>
    <w:rsid w:val="002A753F"/>
    <w:rsid w:val="002C70DE"/>
    <w:rsid w:val="002D1D3C"/>
    <w:rsid w:val="002D2FC9"/>
    <w:rsid w:val="002D41A8"/>
    <w:rsid w:val="002E1C51"/>
    <w:rsid w:val="002F0A0E"/>
    <w:rsid w:val="002F2711"/>
    <w:rsid w:val="003043C1"/>
    <w:rsid w:val="00306C41"/>
    <w:rsid w:val="00316ABF"/>
    <w:rsid w:val="00316DD7"/>
    <w:rsid w:val="00344733"/>
    <w:rsid w:val="0036195D"/>
    <w:rsid w:val="003769E8"/>
    <w:rsid w:val="003A3593"/>
    <w:rsid w:val="003A38D6"/>
    <w:rsid w:val="003A719A"/>
    <w:rsid w:val="003C53D7"/>
    <w:rsid w:val="003C6612"/>
    <w:rsid w:val="003D0478"/>
    <w:rsid w:val="003E3A92"/>
    <w:rsid w:val="003E593D"/>
    <w:rsid w:val="003E5BCB"/>
    <w:rsid w:val="003E65BD"/>
    <w:rsid w:val="003F0121"/>
    <w:rsid w:val="003F112E"/>
    <w:rsid w:val="00403396"/>
    <w:rsid w:val="00412FDE"/>
    <w:rsid w:val="00415C0F"/>
    <w:rsid w:val="00431065"/>
    <w:rsid w:val="00436F25"/>
    <w:rsid w:val="00442FB4"/>
    <w:rsid w:val="0044747A"/>
    <w:rsid w:val="0045407F"/>
    <w:rsid w:val="004672BE"/>
    <w:rsid w:val="00470CC2"/>
    <w:rsid w:val="00477763"/>
    <w:rsid w:val="004800A7"/>
    <w:rsid w:val="004810AE"/>
    <w:rsid w:val="00490AD1"/>
    <w:rsid w:val="00494E15"/>
    <w:rsid w:val="00497963"/>
    <w:rsid w:val="004A2B6D"/>
    <w:rsid w:val="004B05D9"/>
    <w:rsid w:val="004C0C89"/>
    <w:rsid w:val="004C1477"/>
    <w:rsid w:val="004C49F4"/>
    <w:rsid w:val="004C5E9A"/>
    <w:rsid w:val="004E079B"/>
    <w:rsid w:val="004E704B"/>
    <w:rsid w:val="004E7B9E"/>
    <w:rsid w:val="004F0E58"/>
    <w:rsid w:val="004F65A0"/>
    <w:rsid w:val="0050264D"/>
    <w:rsid w:val="00510703"/>
    <w:rsid w:val="0051199E"/>
    <w:rsid w:val="005119C5"/>
    <w:rsid w:val="0051310A"/>
    <w:rsid w:val="0051590E"/>
    <w:rsid w:val="00530A4F"/>
    <w:rsid w:val="005407C7"/>
    <w:rsid w:val="005470F1"/>
    <w:rsid w:val="0054755B"/>
    <w:rsid w:val="00567EA9"/>
    <w:rsid w:val="0059158D"/>
    <w:rsid w:val="005922CB"/>
    <w:rsid w:val="005934CC"/>
    <w:rsid w:val="00594010"/>
    <w:rsid w:val="005A70C7"/>
    <w:rsid w:val="005A7EA5"/>
    <w:rsid w:val="005B4AC8"/>
    <w:rsid w:val="005B7042"/>
    <w:rsid w:val="005B7E18"/>
    <w:rsid w:val="005C0477"/>
    <w:rsid w:val="005C163C"/>
    <w:rsid w:val="005D6DAC"/>
    <w:rsid w:val="00604657"/>
    <w:rsid w:val="00607B4C"/>
    <w:rsid w:val="006401BB"/>
    <w:rsid w:val="00645149"/>
    <w:rsid w:val="00647572"/>
    <w:rsid w:val="00650FD8"/>
    <w:rsid w:val="0066088D"/>
    <w:rsid w:val="006614F5"/>
    <w:rsid w:val="006737F9"/>
    <w:rsid w:val="00674151"/>
    <w:rsid w:val="00677121"/>
    <w:rsid w:val="006848D3"/>
    <w:rsid w:val="00696574"/>
    <w:rsid w:val="006A0DD0"/>
    <w:rsid w:val="006B4FC0"/>
    <w:rsid w:val="006B5CC9"/>
    <w:rsid w:val="006C105F"/>
    <w:rsid w:val="006E5BBE"/>
    <w:rsid w:val="006F49DC"/>
    <w:rsid w:val="007008A3"/>
    <w:rsid w:val="0071776B"/>
    <w:rsid w:val="00720856"/>
    <w:rsid w:val="007246F0"/>
    <w:rsid w:val="00731CEE"/>
    <w:rsid w:val="00732F4E"/>
    <w:rsid w:val="007378FF"/>
    <w:rsid w:val="00741BCF"/>
    <w:rsid w:val="007619A7"/>
    <w:rsid w:val="00783068"/>
    <w:rsid w:val="00784AE2"/>
    <w:rsid w:val="00785CAD"/>
    <w:rsid w:val="00790346"/>
    <w:rsid w:val="007B5AE1"/>
    <w:rsid w:val="007C5563"/>
    <w:rsid w:val="007C5C1E"/>
    <w:rsid w:val="007E75BE"/>
    <w:rsid w:val="007F290D"/>
    <w:rsid w:val="007F5EC3"/>
    <w:rsid w:val="0080133A"/>
    <w:rsid w:val="00832ED8"/>
    <w:rsid w:val="008337DE"/>
    <w:rsid w:val="0084105D"/>
    <w:rsid w:val="00855622"/>
    <w:rsid w:val="0086297E"/>
    <w:rsid w:val="0086359D"/>
    <w:rsid w:val="00875D0A"/>
    <w:rsid w:val="0088731E"/>
    <w:rsid w:val="0089166B"/>
    <w:rsid w:val="008A74C1"/>
    <w:rsid w:val="008A7940"/>
    <w:rsid w:val="008B3D89"/>
    <w:rsid w:val="008B6465"/>
    <w:rsid w:val="008B7C40"/>
    <w:rsid w:val="008D69B7"/>
    <w:rsid w:val="008E5370"/>
    <w:rsid w:val="008F63DB"/>
    <w:rsid w:val="009073AD"/>
    <w:rsid w:val="0094392E"/>
    <w:rsid w:val="00966468"/>
    <w:rsid w:val="00967149"/>
    <w:rsid w:val="0097008D"/>
    <w:rsid w:val="00974247"/>
    <w:rsid w:val="009847DE"/>
    <w:rsid w:val="009A0E4D"/>
    <w:rsid w:val="009B0A7B"/>
    <w:rsid w:val="009B125F"/>
    <w:rsid w:val="009B1B73"/>
    <w:rsid w:val="009C7ED7"/>
    <w:rsid w:val="009D342C"/>
    <w:rsid w:val="009E0C32"/>
    <w:rsid w:val="009F5927"/>
    <w:rsid w:val="009F751E"/>
    <w:rsid w:val="00A23592"/>
    <w:rsid w:val="00A257CF"/>
    <w:rsid w:val="00A35B40"/>
    <w:rsid w:val="00A54B20"/>
    <w:rsid w:val="00A662A3"/>
    <w:rsid w:val="00A8521B"/>
    <w:rsid w:val="00A868CE"/>
    <w:rsid w:val="00A9088C"/>
    <w:rsid w:val="00AA35FB"/>
    <w:rsid w:val="00AB3E95"/>
    <w:rsid w:val="00AB3F04"/>
    <w:rsid w:val="00AC266B"/>
    <w:rsid w:val="00AC746D"/>
    <w:rsid w:val="00AD0BEA"/>
    <w:rsid w:val="00AD1217"/>
    <w:rsid w:val="00AD1777"/>
    <w:rsid w:val="00AD259F"/>
    <w:rsid w:val="00AD3EB4"/>
    <w:rsid w:val="00AD5162"/>
    <w:rsid w:val="00AE0E97"/>
    <w:rsid w:val="00AF7EC3"/>
    <w:rsid w:val="00B01318"/>
    <w:rsid w:val="00B07052"/>
    <w:rsid w:val="00B117FF"/>
    <w:rsid w:val="00B11AEC"/>
    <w:rsid w:val="00B13421"/>
    <w:rsid w:val="00B16FF2"/>
    <w:rsid w:val="00B3096F"/>
    <w:rsid w:val="00B542A4"/>
    <w:rsid w:val="00B5512F"/>
    <w:rsid w:val="00B55A26"/>
    <w:rsid w:val="00B566C4"/>
    <w:rsid w:val="00B602DB"/>
    <w:rsid w:val="00B702CB"/>
    <w:rsid w:val="00B70757"/>
    <w:rsid w:val="00B72E7C"/>
    <w:rsid w:val="00B84D0E"/>
    <w:rsid w:val="00B96105"/>
    <w:rsid w:val="00BA51AF"/>
    <w:rsid w:val="00BE2848"/>
    <w:rsid w:val="00BE5794"/>
    <w:rsid w:val="00BF4EB1"/>
    <w:rsid w:val="00BF6E44"/>
    <w:rsid w:val="00C00450"/>
    <w:rsid w:val="00C00709"/>
    <w:rsid w:val="00C03B8B"/>
    <w:rsid w:val="00C34D35"/>
    <w:rsid w:val="00C50085"/>
    <w:rsid w:val="00C73707"/>
    <w:rsid w:val="00C75122"/>
    <w:rsid w:val="00C77B5D"/>
    <w:rsid w:val="00C81AE3"/>
    <w:rsid w:val="00C8240B"/>
    <w:rsid w:val="00C83B5A"/>
    <w:rsid w:val="00C95B9B"/>
    <w:rsid w:val="00CA0C0B"/>
    <w:rsid w:val="00CA0E1F"/>
    <w:rsid w:val="00CC0E0B"/>
    <w:rsid w:val="00CC2BFC"/>
    <w:rsid w:val="00CC4793"/>
    <w:rsid w:val="00CC530B"/>
    <w:rsid w:val="00CC768E"/>
    <w:rsid w:val="00CE7417"/>
    <w:rsid w:val="00CF17B3"/>
    <w:rsid w:val="00CF564B"/>
    <w:rsid w:val="00D02ACD"/>
    <w:rsid w:val="00D16E51"/>
    <w:rsid w:val="00D267C8"/>
    <w:rsid w:val="00D337BE"/>
    <w:rsid w:val="00D36C23"/>
    <w:rsid w:val="00D418F7"/>
    <w:rsid w:val="00D438B4"/>
    <w:rsid w:val="00D51A76"/>
    <w:rsid w:val="00D52E56"/>
    <w:rsid w:val="00D62D1C"/>
    <w:rsid w:val="00D7509B"/>
    <w:rsid w:val="00D75D59"/>
    <w:rsid w:val="00D87947"/>
    <w:rsid w:val="00D932B4"/>
    <w:rsid w:val="00D946B1"/>
    <w:rsid w:val="00DA26D2"/>
    <w:rsid w:val="00DB1FF1"/>
    <w:rsid w:val="00DD5FBF"/>
    <w:rsid w:val="00DD6077"/>
    <w:rsid w:val="00DF5B68"/>
    <w:rsid w:val="00E10A22"/>
    <w:rsid w:val="00E16E8F"/>
    <w:rsid w:val="00E35D1F"/>
    <w:rsid w:val="00E43E90"/>
    <w:rsid w:val="00E47C17"/>
    <w:rsid w:val="00E60855"/>
    <w:rsid w:val="00E63B91"/>
    <w:rsid w:val="00E65A2B"/>
    <w:rsid w:val="00E67DE1"/>
    <w:rsid w:val="00E767AB"/>
    <w:rsid w:val="00E77BA7"/>
    <w:rsid w:val="00E81C46"/>
    <w:rsid w:val="00EB44F2"/>
    <w:rsid w:val="00EC3152"/>
    <w:rsid w:val="00ED03C5"/>
    <w:rsid w:val="00ED2DE7"/>
    <w:rsid w:val="00ED39B8"/>
    <w:rsid w:val="00ED75C8"/>
    <w:rsid w:val="00F0247F"/>
    <w:rsid w:val="00F1547E"/>
    <w:rsid w:val="00F20B69"/>
    <w:rsid w:val="00F21BC6"/>
    <w:rsid w:val="00F27D03"/>
    <w:rsid w:val="00F37E41"/>
    <w:rsid w:val="00F45B4E"/>
    <w:rsid w:val="00F46332"/>
    <w:rsid w:val="00F46AA7"/>
    <w:rsid w:val="00F54EC1"/>
    <w:rsid w:val="00F730A5"/>
    <w:rsid w:val="00F74EF4"/>
    <w:rsid w:val="00F80ED6"/>
    <w:rsid w:val="00F8759C"/>
    <w:rsid w:val="00F955CA"/>
    <w:rsid w:val="00F97EE3"/>
    <w:rsid w:val="00FA214E"/>
    <w:rsid w:val="00FA73E2"/>
    <w:rsid w:val="00FA74E4"/>
    <w:rsid w:val="00FB03DB"/>
    <w:rsid w:val="00FB3F3C"/>
    <w:rsid w:val="00FB6091"/>
    <w:rsid w:val="00FE42BA"/>
    <w:rsid w:val="00FE4441"/>
    <w:rsid w:val="00FE570C"/>
    <w:rsid w:val="00FE58CC"/>
    <w:rsid w:val="00FE7108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09DD4"/>
  <w15:chartTrackingRefBased/>
  <w15:docId w15:val="{E0320860-EB34-46C8-8BA5-94264E6C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21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8521B"/>
    <w:pPr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83B5A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bdheading1">
    <w:name w:val="bdheading1"/>
    <w:basedOn w:val="Default"/>
    <w:next w:val="Default"/>
    <w:uiPriority w:val="99"/>
    <w:rsid w:val="00C83B5A"/>
    <w:rPr>
      <w:color w:val="auto"/>
    </w:rPr>
  </w:style>
  <w:style w:type="paragraph" w:customStyle="1" w:styleId="bdheading2">
    <w:name w:val="bdheading2"/>
    <w:basedOn w:val="Default"/>
    <w:next w:val="Default"/>
    <w:uiPriority w:val="99"/>
    <w:rsid w:val="00C83B5A"/>
    <w:rPr>
      <w:color w:val="auto"/>
    </w:rPr>
  </w:style>
  <w:style w:type="paragraph" w:customStyle="1" w:styleId="bdstyle1">
    <w:name w:val="bdstyle1"/>
    <w:basedOn w:val="Default"/>
    <w:next w:val="Default"/>
    <w:uiPriority w:val="99"/>
    <w:rsid w:val="00C83B5A"/>
    <w:rPr>
      <w:color w:val="auto"/>
    </w:rPr>
  </w:style>
  <w:style w:type="paragraph" w:customStyle="1" w:styleId="bdstyle2">
    <w:name w:val="bdstyle2"/>
    <w:basedOn w:val="Default"/>
    <w:next w:val="Default"/>
    <w:uiPriority w:val="99"/>
    <w:rsid w:val="00C83B5A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175BEC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415C0F"/>
    <w:rPr>
      <w:rFonts w:cs="Times New Roman"/>
      <w:sz w:val="2"/>
    </w:rPr>
  </w:style>
  <w:style w:type="paragraph" w:styleId="FootnoteText">
    <w:name w:val="footnote text"/>
    <w:basedOn w:val="Normal"/>
    <w:link w:val="FootnoteTextChar"/>
    <w:semiHidden/>
    <w:rsid w:val="0071776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776B"/>
  </w:style>
  <w:style w:type="character" w:styleId="FootnoteReference">
    <w:name w:val="footnote reference"/>
    <w:uiPriority w:val="99"/>
    <w:semiHidden/>
    <w:rsid w:val="007177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2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0204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2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F0204"/>
    <w:rPr>
      <w:sz w:val="2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B2901"/>
    <w:pPr>
      <w:spacing w:after="120"/>
    </w:pPr>
  </w:style>
  <w:style w:type="character" w:customStyle="1" w:styleId="BodyTextChar">
    <w:name w:val="Body Text Char"/>
    <w:link w:val="BodyText"/>
    <w:uiPriority w:val="99"/>
    <w:rsid w:val="000B2901"/>
    <w:rPr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5D1F"/>
  </w:style>
  <w:style w:type="paragraph" w:styleId="Revision">
    <w:name w:val="Revision"/>
    <w:hidden/>
    <w:uiPriority w:val="99"/>
    <w:semiHidden/>
    <w:rsid w:val="002969F0"/>
    <w:rPr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A8521B"/>
    <w:rPr>
      <w:sz w:val="26"/>
      <w:szCs w:val="26"/>
    </w:rPr>
  </w:style>
  <w:style w:type="table" w:styleId="TableGrid">
    <w:name w:val="Table Grid"/>
    <w:basedOn w:val="TableNormal"/>
    <w:locked/>
    <w:rsid w:val="00AD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locked/>
    <w:rsid w:val="003F012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ACED3-A3A9-405F-9B19-A90F4E6F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Facilities and Services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cp:lastModifiedBy>Williams, Aubrie</cp:lastModifiedBy>
  <cp:revision>11</cp:revision>
  <cp:lastPrinted>2023-03-21T15:48:00Z</cp:lastPrinted>
  <dcterms:created xsi:type="dcterms:W3CDTF">2023-03-07T15:26:00Z</dcterms:created>
  <dcterms:modified xsi:type="dcterms:W3CDTF">2023-03-30T16:51:00Z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4db054f510f61f94e6a7c5fb0db763190583ded44a02baebdb1b60dd6e0e4ca4</vt:lpwstr>
  </property>
</Properties>
</file>