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A770" w14:textId="77777777" w:rsidR="00DA0F42" w:rsidRDefault="00DA0F42" w:rsidP="00D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bookmarkEnd w:id="1"/>
    <w:p w14:paraId="1C2B39D3" w14:textId="77777777" w:rsidR="00DA0F42" w:rsidRDefault="00DA0F42" w:rsidP="00DA0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March 30, 2023</w:t>
      </w:r>
    </w:p>
    <w:p w14:paraId="2AE99281" w14:textId="2033F5CA" w:rsidR="00425936" w:rsidRDefault="00404879" w:rsidP="00E76BCE">
      <w:pPr>
        <w:pStyle w:val="Title"/>
        <w:spacing w:before="0"/>
      </w:pPr>
      <w:r>
        <w:rPr>
          <w:spacing w:val="-5"/>
        </w:rPr>
        <w:t>21</w:t>
      </w:r>
    </w:p>
    <w:p w14:paraId="5A2761D0" w14:textId="77777777" w:rsidR="00E76BCE" w:rsidRDefault="00E76BCE" w:rsidP="00E76BCE">
      <w:pPr>
        <w:pStyle w:val="BodyText"/>
        <w:ind w:left="7200" w:right="172"/>
      </w:pPr>
    </w:p>
    <w:p w14:paraId="41796BE3" w14:textId="77777777" w:rsidR="00E76BCE" w:rsidRDefault="00E76BCE" w:rsidP="00E76BCE">
      <w:pPr>
        <w:pStyle w:val="BodyText"/>
        <w:ind w:left="7200" w:right="172"/>
      </w:pPr>
    </w:p>
    <w:p w14:paraId="5DA62C90" w14:textId="33E05DC0" w:rsidR="00425936" w:rsidRPr="00E76BCE" w:rsidRDefault="001A63E0" w:rsidP="00E76BCE">
      <w:pPr>
        <w:pStyle w:val="BodyText"/>
        <w:ind w:left="7200" w:right="172"/>
      </w:pPr>
      <w:r w:rsidRPr="00E76BCE">
        <w:t xml:space="preserve">Board Meeting </w:t>
      </w:r>
      <w:r w:rsidR="00752C64" w:rsidRPr="00E76BCE">
        <w:t>March 30</w:t>
      </w:r>
      <w:r w:rsidR="008D35D6" w:rsidRPr="00E76BCE">
        <w:t>, 2023</w:t>
      </w:r>
    </w:p>
    <w:p w14:paraId="4B087803" w14:textId="77777777" w:rsidR="00425936" w:rsidRPr="00E76BCE" w:rsidRDefault="00425936">
      <w:pPr>
        <w:pStyle w:val="BodyText"/>
      </w:pPr>
    </w:p>
    <w:p w14:paraId="1EF0F3EB" w14:textId="77777777" w:rsidR="00425936" w:rsidRPr="00E76BCE" w:rsidRDefault="00425936">
      <w:pPr>
        <w:pStyle w:val="BodyText"/>
        <w:spacing w:before="2"/>
      </w:pPr>
    </w:p>
    <w:p w14:paraId="1CCA3645" w14:textId="77777777" w:rsidR="00425936" w:rsidRPr="00E76BCE" w:rsidRDefault="001A63E0" w:rsidP="00B85436">
      <w:pPr>
        <w:pStyle w:val="BodyText"/>
        <w:tabs>
          <w:tab w:val="left" w:pos="9000"/>
        </w:tabs>
        <w:spacing w:before="89"/>
        <w:jc w:val="center"/>
      </w:pPr>
      <w:r w:rsidRPr="00E76BCE">
        <w:t>ROLL</w:t>
      </w:r>
      <w:r w:rsidRPr="00E76BCE">
        <w:rPr>
          <w:spacing w:val="-8"/>
        </w:rPr>
        <w:t xml:space="preserve"> </w:t>
      </w:r>
      <w:r w:rsidRPr="00E76BCE">
        <w:rPr>
          <w:spacing w:val="-4"/>
        </w:rPr>
        <w:t>CALL</w:t>
      </w:r>
    </w:p>
    <w:p w14:paraId="1490BBE0" w14:textId="77777777" w:rsidR="00425936" w:rsidRPr="00E76BCE" w:rsidRDefault="00425936">
      <w:pPr>
        <w:pStyle w:val="BodyText"/>
        <w:spacing w:before="2"/>
      </w:pPr>
    </w:p>
    <w:p w14:paraId="0F844CCE" w14:textId="1CB183F8" w:rsidR="00425936" w:rsidRPr="00E76BCE" w:rsidRDefault="00D2283C" w:rsidP="001D069B">
      <w:pPr>
        <w:pStyle w:val="BodyText"/>
        <w:jc w:val="center"/>
      </w:pPr>
      <w:r w:rsidRPr="00E76BCE">
        <w:t xml:space="preserve">APPROVE </w:t>
      </w:r>
      <w:r w:rsidR="00267990" w:rsidRPr="00E76BCE">
        <w:t xml:space="preserve">PROJECT BUDGET AND </w:t>
      </w:r>
      <w:r w:rsidR="001A63E0" w:rsidRPr="00E76BCE">
        <w:t>AWARD</w:t>
      </w:r>
      <w:r w:rsidR="001A63E0" w:rsidRPr="00E76BCE">
        <w:rPr>
          <w:spacing w:val="-6"/>
        </w:rPr>
        <w:t xml:space="preserve"> </w:t>
      </w:r>
      <w:r w:rsidR="001A63E0" w:rsidRPr="00E76BCE">
        <w:t>CONSTRUCTION</w:t>
      </w:r>
      <w:r w:rsidR="001A63E0" w:rsidRPr="00E76BCE">
        <w:rPr>
          <w:spacing w:val="-8"/>
        </w:rPr>
        <w:t xml:space="preserve"> </w:t>
      </w:r>
      <w:r w:rsidR="001A63E0" w:rsidRPr="00E76BCE">
        <w:t>CONTRACTS</w:t>
      </w:r>
      <w:r w:rsidR="001A63E0" w:rsidRPr="00E76BCE">
        <w:rPr>
          <w:spacing w:val="-8"/>
        </w:rPr>
        <w:t xml:space="preserve"> </w:t>
      </w:r>
      <w:r w:rsidR="001A63E0" w:rsidRPr="00E76BCE">
        <w:t>FOR</w:t>
      </w:r>
      <w:r w:rsidR="001A63E0" w:rsidRPr="00E76BCE">
        <w:rPr>
          <w:spacing w:val="-8"/>
        </w:rPr>
        <w:t xml:space="preserve"> </w:t>
      </w:r>
      <w:r w:rsidR="001A63E0" w:rsidRPr="00E76BCE">
        <w:t>PARKING,</w:t>
      </w:r>
      <w:r w:rsidR="001A63E0" w:rsidRPr="00E76BCE">
        <w:rPr>
          <w:spacing w:val="-6"/>
        </w:rPr>
        <w:t xml:space="preserve"> </w:t>
      </w:r>
      <w:r w:rsidR="001A63E0" w:rsidRPr="00E76BCE">
        <w:t>CENTRAL</w:t>
      </w:r>
      <w:r w:rsidR="001A63E0" w:rsidRPr="00E76BCE">
        <w:rPr>
          <w:spacing w:val="-8"/>
        </w:rPr>
        <w:t xml:space="preserve"> </w:t>
      </w:r>
      <w:r w:rsidR="001A63E0" w:rsidRPr="00E76BCE">
        <w:t>CAMPUS PARKING STRUCTURE(S), URBANA</w:t>
      </w:r>
    </w:p>
    <w:p w14:paraId="618338CD" w14:textId="77777777" w:rsidR="00425936" w:rsidRPr="00E76BCE" w:rsidRDefault="00425936">
      <w:pPr>
        <w:pStyle w:val="BodyText"/>
      </w:pPr>
    </w:p>
    <w:p w14:paraId="0226F2A2" w14:textId="77777777" w:rsidR="00425936" w:rsidRPr="00E76BCE" w:rsidRDefault="00425936">
      <w:pPr>
        <w:pStyle w:val="BodyText"/>
        <w:spacing w:before="10"/>
      </w:pPr>
    </w:p>
    <w:p w14:paraId="2B36E261" w14:textId="61207877" w:rsidR="00425936" w:rsidRPr="00E76BCE" w:rsidRDefault="001A63E0" w:rsidP="001D069B">
      <w:pPr>
        <w:pStyle w:val="BodyText"/>
        <w:tabs>
          <w:tab w:val="left" w:pos="1440"/>
          <w:tab w:val="left" w:pos="9360"/>
        </w:tabs>
        <w:ind w:left="1440" w:hanging="1440"/>
      </w:pPr>
      <w:r w:rsidRPr="00E76BCE">
        <w:rPr>
          <w:b/>
          <w:spacing w:val="-2"/>
        </w:rPr>
        <w:t>Action:</w:t>
      </w:r>
      <w:r w:rsidRPr="00E76BCE">
        <w:rPr>
          <w:b/>
        </w:rPr>
        <w:tab/>
      </w:r>
      <w:r w:rsidR="00D2283C" w:rsidRPr="00646339">
        <w:rPr>
          <w:bCs/>
        </w:rPr>
        <w:t xml:space="preserve">Approve </w:t>
      </w:r>
      <w:r w:rsidR="001D069B" w:rsidRPr="00646339">
        <w:rPr>
          <w:bCs/>
        </w:rPr>
        <w:t xml:space="preserve">Project Budget and </w:t>
      </w:r>
      <w:r w:rsidRPr="00646339">
        <w:rPr>
          <w:bCs/>
        </w:rPr>
        <w:t>Award</w:t>
      </w:r>
      <w:r w:rsidRPr="00646339">
        <w:t xml:space="preserve"> Construction Contracts for Parking, Central Campus Parking Structure(s)</w:t>
      </w:r>
    </w:p>
    <w:p w14:paraId="73977F8D" w14:textId="77777777" w:rsidR="00425936" w:rsidRPr="00E76BCE" w:rsidRDefault="00425936">
      <w:pPr>
        <w:pStyle w:val="BodyText"/>
      </w:pPr>
    </w:p>
    <w:p w14:paraId="16052CAD" w14:textId="69465FC9" w:rsidR="00425936" w:rsidRPr="00E76BCE" w:rsidRDefault="001A63E0" w:rsidP="001D069B">
      <w:pPr>
        <w:pStyle w:val="BodyText"/>
        <w:tabs>
          <w:tab w:val="left" w:pos="1440"/>
        </w:tabs>
        <w:spacing w:before="1"/>
        <w:ind w:left="1440" w:hanging="1440"/>
      </w:pPr>
      <w:r w:rsidRPr="00E76BCE">
        <w:rPr>
          <w:b/>
          <w:spacing w:val="-2"/>
        </w:rPr>
        <w:t>Funding</w:t>
      </w:r>
      <w:r w:rsidRPr="00E76BCE">
        <w:rPr>
          <w:spacing w:val="-2"/>
        </w:rPr>
        <w:t>:</w:t>
      </w:r>
      <w:r w:rsidRPr="00E76BCE">
        <w:tab/>
      </w:r>
      <w:r w:rsidRPr="00646339">
        <w:t xml:space="preserve">Institutional Funds Operating Budget and </w:t>
      </w:r>
      <w:r w:rsidR="00D2283C" w:rsidRPr="00646339">
        <w:t>Auxiliary Facilities System Revenue Bonds, Series 2021A</w:t>
      </w:r>
    </w:p>
    <w:p w14:paraId="5F8FA46A" w14:textId="77777777" w:rsidR="00425936" w:rsidRPr="00E76BCE" w:rsidRDefault="00425936">
      <w:pPr>
        <w:pStyle w:val="BodyText"/>
      </w:pPr>
    </w:p>
    <w:p w14:paraId="24A35FDC" w14:textId="77777777" w:rsidR="00425936" w:rsidRPr="00E76BCE" w:rsidRDefault="00425936">
      <w:pPr>
        <w:pStyle w:val="BodyText"/>
        <w:spacing w:before="9"/>
      </w:pPr>
    </w:p>
    <w:p w14:paraId="2AA13D3C" w14:textId="693A266B" w:rsidR="00425936" w:rsidRPr="00E76BCE" w:rsidRDefault="001A63E0" w:rsidP="001D069B">
      <w:pPr>
        <w:pStyle w:val="BodyText"/>
        <w:tabs>
          <w:tab w:val="left" w:pos="9360"/>
        </w:tabs>
        <w:spacing w:line="480" w:lineRule="auto"/>
        <w:ind w:firstLine="1440"/>
      </w:pPr>
      <w:r w:rsidRPr="00E76BCE">
        <w:t xml:space="preserve">In December 2019, the Board </w:t>
      </w:r>
      <w:r w:rsidR="00BC0B72" w:rsidRPr="00E76BCE">
        <w:t xml:space="preserve">of Trustees </w:t>
      </w:r>
      <w:r w:rsidRPr="00E76BCE">
        <w:t>approved the Central Campus Parking Structure(s) project with a budget of $21,304,000.</w:t>
      </w:r>
      <w:r w:rsidRPr="00E76BCE">
        <w:rPr>
          <w:spacing w:val="40"/>
        </w:rPr>
        <w:t xml:space="preserve"> </w:t>
      </w:r>
      <w:r w:rsidR="00185034">
        <w:rPr>
          <w:spacing w:val="40"/>
        </w:rPr>
        <w:t xml:space="preserve"> </w:t>
      </w:r>
      <w:r w:rsidRPr="00E76BCE">
        <w:t xml:space="preserve">The scope of work for the project includes </w:t>
      </w:r>
      <w:r w:rsidR="00EB2849" w:rsidRPr="00E76BCE">
        <w:t xml:space="preserve">the </w:t>
      </w:r>
      <w:r w:rsidRPr="00E76BCE">
        <w:t>installation of</w:t>
      </w:r>
      <w:r w:rsidRPr="00E76BCE">
        <w:rPr>
          <w:spacing w:val="-1"/>
        </w:rPr>
        <w:t xml:space="preserve"> </w:t>
      </w:r>
      <w:r w:rsidRPr="00E76BCE">
        <w:t>a</w:t>
      </w:r>
      <w:r w:rsidRPr="00E76BCE">
        <w:rPr>
          <w:spacing w:val="-4"/>
        </w:rPr>
        <w:t xml:space="preserve"> </w:t>
      </w:r>
      <w:r w:rsidRPr="00E76BCE">
        <w:t>supplemental</w:t>
      </w:r>
      <w:r w:rsidRPr="00E76BCE">
        <w:rPr>
          <w:spacing w:val="-4"/>
        </w:rPr>
        <w:t xml:space="preserve"> </w:t>
      </w:r>
      <w:r w:rsidRPr="00E76BCE">
        <w:t>steel</w:t>
      </w:r>
      <w:r w:rsidRPr="00E76BCE">
        <w:rPr>
          <w:spacing w:val="-1"/>
        </w:rPr>
        <w:t xml:space="preserve"> </w:t>
      </w:r>
      <w:r w:rsidRPr="00E76BCE">
        <w:t>beam</w:t>
      </w:r>
      <w:r w:rsidRPr="00E76BCE">
        <w:rPr>
          <w:spacing w:val="-6"/>
        </w:rPr>
        <w:t xml:space="preserve"> </w:t>
      </w:r>
      <w:r w:rsidRPr="00E76BCE">
        <w:t>support</w:t>
      </w:r>
      <w:r w:rsidRPr="00E76BCE">
        <w:rPr>
          <w:spacing w:val="-4"/>
        </w:rPr>
        <w:t xml:space="preserve"> </w:t>
      </w:r>
      <w:r w:rsidRPr="00E76BCE">
        <w:t>system,</w:t>
      </w:r>
      <w:r w:rsidRPr="00E76BCE">
        <w:rPr>
          <w:spacing w:val="-4"/>
        </w:rPr>
        <w:t xml:space="preserve"> </w:t>
      </w:r>
      <w:r w:rsidRPr="00E76BCE">
        <w:t>repairs and restorations to the building façade</w:t>
      </w:r>
      <w:r w:rsidR="00E8617A" w:rsidRPr="00E76BCE">
        <w:t xml:space="preserve">, </w:t>
      </w:r>
      <w:r w:rsidRPr="00E76BCE">
        <w:t xml:space="preserve">installation of </w:t>
      </w:r>
      <w:r w:rsidR="000E7452" w:rsidRPr="00E76BCE">
        <w:t xml:space="preserve">the </w:t>
      </w:r>
      <w:r w:rsidRPr="00E76BCE">
        <w:t xml:space="preserve">self-harm protection screening, application of new waterproofing systems, various stair repairs, restoration of the </w:t>
      </w:r>
      <w:r w:rsidR="00707F3E" w:rsidRPr="00E76BCE">
        <w:t xml:space="preserve">Sixth and John Streets Parking Structure </w:t>
      </w:r>
      <w:r w:rsidRPr="00E76BCE">
        <w:t xml:space="preserve">elevator, installation of a new elevator at </w:t>
      </w:r>
      <w:r w:rsidR="00707F3E" w:rsidRPr="00E76BCE">
        <w:t>the Fifth and Daniel Streets Parking Structure</w:t>
      </w:r>
      <w:r w:rsidRPr="00E76BCE">
        <w:t>, and major upgrades and maintenance to mechanical, electrical, and plumbing systems.</w:t>
      </w:r>
      <w:r w:rsidR="00E8617A" w:rsidRPr="00E76BCE">
        <w:t xml:space="preserve">  In November 2021, the Board of Trustees approved </w:t>
      </w:r>
      <w:r w:rsidR="000E7452" w:rsidRPr="00E76BCE">
        <w:t xml:space="preserve">renaming </w:t>
      </w:r>
      <w:r w:rsidR="00E8617A" w:rsidRPr="00E76BCE">
        <w:t>the parking structures to Sixth and John Streets Parking Structure and Fifth and Daniel Streets Parking Structure from C7 and C10, respectively.</w:t>
      </w:r>
    </w:p>
    <w:p w14:paraId="6E6A706D" w14:textId="68EB1F77" w:rsidR="00FB6C2F" w:rsidRPr="00E76BCE" w:rsidRDefault="00707F3E" w:rsidP="001D069B">
      <w:pPr>
        <w:pStyle w:val="BodyText"/>
        <w:tabs>
          <w:tab w:val="left" w:pos="9153"/>
        </w:tabs>
        <w:spacing w:line="480" w:lineRule="auto"/>
        <w:ind w:firstLine="1440"/>
      </w:pPr>
      <w:r w:rsidRPr="00E76BCE">
        <w:t xml:space="preserve">Construction contracts for </w:t>
      </w:r>
      <w:r w:rsidR="00E8617A" w:rsidRPr="00E76BCE">
        <w:t>B</w:t>
      </w:r>
      <w:r w:rsidR="00FB6C2F" w:rsidRPr="00E76BCE">
        <w:t xml:space="preserve">id </w:t>
      </w:r>
      <w:r w:rsidR="00E8617A" w:rsidRPr="00E76BCE">
        <w:t>P</w:t>
      </w:r>
      <w:r w:rsidRPr="00E76BCE">
        <w:t xml:space="preserve">ackage </w:t>
      </w:r>
      <w:r w:rsidR="00FB6C2F" w:rsidRPr="00E76BCE">
        <w:t xml:space="preserve">1 </w:t>
      </w:r>
      <w:r w:rsidRPr="00E76BCE">
        <w:t>totaling $6,413,370 were</w:t>
      </w:r>
      <w:r w:rsidR="00FB6C2F" w:rsidRPr="00E76BCE">
        <w:t xml:space="preserve"> </w:t>
      </w:r>
      <w:r w:rsidR="00FB6C2F" w:rsidRPr="00E76BCE">
        <w:lastRenderedPageBreak/>
        <w:t xml:space="preserve">approved </w:t>
      </w:r>
      <w:r w:rsidR="00E8617A" w:rsidRPr="00E76BCE">
        <w:t xml:space="preserve">by the Board </w:t>
      </w:r>
      <w:r w:rsidR="00FB6C2F" w:rsidRPr="00E76BCE">
        <w:t xml:space="preserve">in March </w:t>
      </w:r>
      <w:r w:rsidRPr="00E76BCE">
        <w:t xml:space="preserve">2021 and related primarily to work at </w:t>
      </w:r>
      <w:r w:rsidR="00E8617A" w:rsidRPr="00E76BCE">
        <w:t>the Sixth and John Streets Parking Structure</w:t>
      </w:r>
      <w:r w:rsidR="00FB6C2F" w:rsidRPr="00E76BCE">
        <w:t xml:space="preserve">.  The remaining work will be done in </w:t>
      </w:r>
      <w:bookmarkStart w:id="2" w:name="_Hlk121995851"/>
      <w:r w:rsidR="00FB6C2F" w:rsidRPr="00E76BCE">
        <w:t>Bid Package 2</w:t>
      </w:r>
      <w:bookmarkEnd w:id="2"/>
      <w:r w:rsidR="00601C61" w:rsidRPr="00E76BCE">
        <w:t>, focusing</w:t>
      </w:r>
      <w:r w:rsidR="00E8617A" w:rsidRPr="00E76BCE">
        <w:t xml:space="preserve"> primarily on the Fifth and Daniel Streets Parking Structure.</w:t>
      </w:r>
    </w:p>
    <w:p w14:paraId="7F112964" w14:textId="1A350232" w:rsidR="00267990" w:rsidRPr="00E76BCE" w:rsidRDefault="00267990" w:rsidP="001D069B">
      <w:pPr>
        <w:pStyle w:val="Default"/>
        <w:tabs>
          <w:tab w:val="left" w:pos="1440"/>
          <w:tab w:val="left" w:pos="9153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E76BCE">
        <w:rPr>
          <w:rFonts w:ascii="Times New Roman" w:hAnsi="Times New Roman" w:cs="Times New Roman"/>
          <w:b/>
          <w:i/>
          <w:color w:val="auto"/>
          <w:sz w:val="26"/>
          <w:szCs w:val="26"/>
        </w:rPr>
        <w:tab/>
      </w:r>
      <w:r w:rsidRPr="00E76BCE">
        <w:rPr>
          <w:rFonts w:ascii="Times New Roman" w:hAnsi="Times New Roman" w:cs="Times New Roman"/>
          <w:color w:val="auto"/>
          <w:sz w:val="26"/>
          <w:szCs w:val="26"/>
        </w:rPr>
        <w:t>Bids were received for Bid Package 2 in November 2022</w:t>
      </w:r>
      <w:r w:rsidR="000B5A9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E76BCE">
        <w:rPr>
          <w:rFonts w:ascii="Times New Roman" w:hAnsi="Times New Roman" w:cs="Times New Roman"/>
          <w:color w:val="auto"/>
          <w:sz w:val="26"/>
          <w:szCs w:val="26"/>
        </w:rPr>
        <w:t xml:space="preserve"> and additional funds are needed to support the award of contracts.  In order to complete the project, it is necessary to increase the project </w:t>
      </w:r>
      <w:r w:rsidR="00B85436" w:rsidRPr="00E76BCE">
        <w:rPr>
          <w:rFonts w:ascii="Times New Roman" w:hAnsi="Times New Roman" w:cs="Times New Roman"/>
          <w:color w:val="auto"/>
          <w:sz w:val="26"/>
          <w:szCs w:val="26"/>
        </w:rPr>
        <w:t xml:space="preserve">budget </w:t>
      </w:r>
      <w:r w:rsidRPr="00E76BCE">
        <w:rPr>
          <w:rFonts w:ascii="Times New Roman" w:hAnsi="Times New Roman" w:cs="Times New Roman"/>
          <w:color w:val="auto"/>
          <w:sz w:val="26"/>
          <w:szCs w:val="26"/>
        </w:rPr>
        <w:t>by $2,000,000.</w:t>
      </w:r>
    </w:p>
    <w:p w14:paraId="506DDB89" w14:textId="115E136A" w:rsidR="00267990" w:rsidRPr="00E76BCE" w:rsidRDefault="00267990" w:rsidP="001D069B">
      <w:pPr>
        <w:pStyle w:val="Default"/>
        <w:tabs>
          <w:tab w:val="left" w:pos="1440"/>
          <w:tab w:val="left" w:pos="9153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E76BCE">
        <w:rPr>
          <w:rFonts w:ascii="Times New Roman" w:hAnsi="Times New Roman" w:cs="Times New Roman"/>
          <w:color w:val="A6A6A6"/>
          <w:sz w:val="26"/>
          <w:szCs w:val="26"/>
        </w:rPr>
        <w:tab/>
      </w:r>
      <w:r w:rsidRPr="00E76BCE">
        <w:rPr>
          <w:rFonts w:ascii="Times New Roman" w:hAnsi="Times New Roman" w:cs="Times New Roman"/>
          <w:color w:val="auto"/>
          <w:sz w:val="26"/>
          <w:szCs w:val="26"/>
        </w:rPr>
        <w:t>Accordingly, the Chancellor, University of Illinois Urbana-Champaign</w:t>
      </w:r>
      <w:r w:rsidR="00B85436" w:rsidRPr="00E76BC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E76BCE">
        <w:rPr>
          <w:rFonts w:ascii="Times New Roman" w:hAnsi="Times New Roman" w:cs="Times New Roman"/>
          <w:color w:val="auto"/>
          <w:sz w:val="26"/>
          <w:szCs w:val="26"/>
        </w:rPr>
        <w:t xml:space="preserve"> and Vice President, University of Illinois</w:t>
      </w:r>
      <w:r w:rsidR="00E76BCE" w:rsidRPr="00E76BCE">
        <w:rPr>
          <w:rFonts w:ascii="Times New Roman" w:hAnsi="Times New Roman" w:cs="Times New Roman"/>
          <w:color w:val="auto"/>
          <w:sz w:val="26"/>
          <w:szCs w:val="26"/>
        </w:rPr>
        <w:t xml:space="preserve"> System</w:t>
      </w:r>
      <w:r w:rsidRPr="00E76BCE">
        <w:rPr>
          <w:rFonts w:ascii="Times New Roman" w:hAnsi="Times New Roman" w:cs="Times New Roman"/>
          <w:color w:val="auto"/>
          <w:sz w:val="26"/>
          <w:szCs w:val="26"/>
        </w:rPr>
        <w:t>, with the concurrence of the appropriate administrative officers, recommend</w:t>
      </w:r>
      <w:r w:rsidR="00B85436" w:rsidRPr="00E76BCE">
        <w:rPr>
          <w:rFonts w:ascii="Times New Roman" w:hAnsi="Times New Roman" w:cs="Times New Roman"/>
          <w:color w:val="auto"/>
          <w:sz w:val="26"/>
          <w:szCs w:val="26"/>
        </w:rPr>
        <w:t>s</w:t>
      </w:r>
      <w:r w:rsidRPr="00E76BCE">
        <w:rPr>
          <w:rFonts w:ascii="Times New Roman" w:hAnsi="Times New Roman" w:cs="Times New Roman"/>
          <w:color w:val="auto"/>
          <w:sz w:val="26"/>
          <w:szCs w:val="26"/>
        </w:rPr>
        <w:t xml:space="preserve"> that the Board approve an increase in the project budget to $23,</w:t>
      </w:r>
      <w:r w:rsidR="00B6246E" w:rsidRPr="00E76BCE">
        <w:rPr>
          <w:rFonts w:ascii="Times New Roman" w:hAnsi="Times New Roman" w:cs="Times New Roman"/>
          <w:color w:val="auto"/>
          <w:sz w:val="26"/>
          <w:szCs w:val="26"/>
        </w:rPr>
        <w:t>304</w:t>
      </w:r>
      <w:r w:rsidRPr="00E76BCE">
        <w:rPr>
          <w:rFonts w:ascii="Times New Roman" w:hAnsi="Times New Roman" w:cs="Times New Roman"/>
          <w:color w:val="auto"/>
          <w:sz w:val="26"/>
          <w:szCs w:val="26"/>
        </w:rPr>
        <w:t xml:space="preserve">,000, an increase of $2,000,000. </w:t>
      </w:r>
    </w:p>
    <w:p w14:paraId="77BCCD08" w14:textId="05E8A64F" w:rsidR="00425936" w:rsidRPr="00E76BCE" w:rsidRDefault="001A63E0" w:rsidP="00B85436">
      <w:pPr>
        <w:pStyle w:val="BodyText"/>
        <w:tabs>
          <w:tab w:val="left" w:pos="9153"/>
        </w:tabs>
        <w:spacing w:line="482" w:lineRule="auto"/>
        <w:ind w:firstLine="1440"/>
      </w:pPr>
      <w:r w:rsidRPr="00E76BCE">
        <w:t>Bids</w:t>
      </w:r>
      <w:r w:rsidRPr="00E76BCE">
        <w:rPr>
          <w:spacing w:val="-4"/>
        </w:rPr>
        <w:t xml:space="preserve"> </w:t>
      </w:r>
      <w:r w:rsidRPr="00E76BCE">
        <w:t>for</w:t>
      </w:r>
      <w:r w:rsidRPr="00E76BCE">
        <w:rPr>
          <w:spacing w:val="-4"/>
        </w:rPr>
        <w:t xml:space="preserve"> </w:t>
      </w:r>
      <w:r w:rsidRPr="00E76BCE">
        <w:t>construction</w:t>
      </w:r>
      <w:r w:rsidRPr="00E76BCE">
        <w:rPr>
          <w:spacing w:val="-4"/>
        </w:rPr>
        <w:t xml:space="preserve"> </w:t>
      </w:r>
      <w:r w:rsidRPr="00E76BCE">
        <w:t>work</w:t>
      </w:r>
      <w:r w:rsidR="00FB6C2F" w:rsidRPr="00E76BCE">
        <w:t xml:space="preserve"> </w:t>
      </w:r>
      <w:r w:rsidRPr="00E76BCE">
        <w:t>have</w:t>
      </w:r>
      <w:r w:rsidRPr="00E76BCE">
        <w:rPr>
          <w:spacing w:val="-4"/>
        </w:rPr>
        <w:t xml:space="preserve"> </w:t>
      </w:r>
      <w:r w:rsidRPr="00E76BCE">
        <w:t>been</w:t>
      </w:r>
      <w:r w:rsidRPr="00E76BCE">
        <w:rPr>
          <w:spacing w:val="-4"/>
        </w:rPr>
        <w:t xml:space="preserve"> </w:t>
      </w:r>
      <w:r w:rsidRPr="00E76BCE">
        <w:t>solicited</w:t>
      </w:r>
      <w:r w:rsidR="000E7452" w:rsidRPr="00E76BCE">
        <w:rPr>
          <w:spacing w:val="-1"/>
        </w:rPr>
        <w:t>. For</w:t>
      </w:r>
      <w:r w:rsidRPr="00E76BCE">
        <w:rPr>
          <w:spacing w:val="-4"/>
        </w:rPr>
        <w:t xml:space="preserve"> </w:t>
      </w:r>
      <w:r w:rsidRPr="00E76BCE">
        <w:t>the</w:t>
      </w:r>
      <w:r w:rsidRPr="00E76BCE">
        <w:rPr>
          <w:spacing w:val="-4"/>
        </w:rPr>
        <w:t xml:space="preserve"> </w:t>
      </w:r>
      <w:r w:rsidRPr="00E76BCE">
        <w:t>project</w:t>
      </w:r>
      <w:r w:rsidRPr="00E76BCE">
        <w:rPr>
          <w:spacing w:val="-4"/>
        </w:rPr>
        <w:t xml:space="preserve"> </w:t>
      </w:r>
      <w:r w:rsidRPr="00E76BCE">
        <w:t>to proceed</w:t>
      </w:r>
      <w:r w:rsidR="000B5A9E">
        <w:t>,</w:t>
      </w:r>
      <w:r w:rsidRPr="00E76BCE">
        <w:t xml:space="preserve"> the Chancellor, University of Illinois Urbana-Champaign, and Vice</w:t>
      </w:r>
      <w:r w:rsidR="00EE5362" w:rsidRPr="00E76BCE">
        <w:t xml:space="preserve"> </w:t>
      </w:r>
      <w:r w:rsidRPr="00E76BCE">
        <w:t>President, University of Illinois</w:t>
      </w:r>
      <w:r w:rsidR="00E76BCE" w:rsidRPr="00E76BCE">
        <w:t xml:space="preserve"> System</w:t>
      </w:r>
      <w:r w:rsidR="00F75913" w:rsidRPr="00E76BCE">
        <w:t>,</w:t>
      </w:r>
      <w:r w:rsidRPr="00E76BCE">
        <w:t xml:space="preserve"> with the concurrence of the appropriate administrative officers, recommends that the following contracts</w:t>
      </w:r>
      <w:hyperlink w:anchor="_bookmark0" w:history="1">
        <w:r w:rsidRPr="00E76BCE">
          <w:rPr>
            <w:vertAlign w:val="superscript"/>
          </w:rPr>
          <w:t>1</w:t>
        </w:r>
      </w:hyperlink>
      <w:r w:rsidRPr="00E76BCE">
        <w:rPr>
          <w:spacing w:val="40"/>
        </w:rPr>
        <w:t xml:space="preserve"> </w:t>
      </w:r>
      <w:r w:rsidRPr="00E76BCE">
        <w:t>be awarded. Competitive bidding procedures in accordance with the Illinois Procurement Code were followed</w:t>
      </w:r>
      <w:r w:rsidR="00F75913" w:rsidRPr="00E76BCE">
        <w:t>,</w:t>
      </w:r>
      <w:r w:rsidRPr="00E76BCE">
        <w:rPr>
          <w:spacing w:val="-3"/>
        </w:rPr>
        <w:t xml:space="preserve"> </w:t>
      </w:r>
      <w:r w:rsidRPr="00E76BCE">
        <w:t>and</w:t>
      </w:r>
      <w:r w:rsidRPr="00E76BCE">
        <w:rPr>
          <w:spacing w:val="-3"/>
        </w:rPr>
        <w:t xml:space="preserve"> </w:t>
      </w:r>
      <w:r w:rsidRPr="00E76BCE">
        <w:t>the</w:t>
      </w:r>
      <w:r w:rsidRPr="00E76BCE">
        <w:rPr>
          <w:spacing w:val="-3"/>
        </w:rPr>
        <w:t xml:space="preserve"> </w:t>
      </w:r>
      <w:r w:rsidRPr="00E76BCE">
        <w:t>award</w:t>
      </w:r>
      <w:r w:rsidRPr="00E76BCE">
        <w:rPr>
          <w:spacing w:val="-3"/>
        </w:rPr>
        <w:t xml:space="preserve"> </w:t>
      </w:r>
      <w:r w:rsidRPr="00E76BCE">
        <w:t>is</w:t>
      </w:r>
      <w:r w:rsidRPr="00E76BCE">
        <w:rPr>
          <w:spacing w:val="-3"/>
        </w:rPr>
        <w:t xml:space="preserve"> </w:t>
      </w:r>
      <w:r w:rsidRPr="00E76BCE">
        <w:t>to</w:t>
      </w:r>
      <w:r w:rsidRPr="00E76BCE">
        <w:rPr>
          <w:spacing w:val="-3"/>
        </w:rPr>
        <w:t xml:space="preserve"> </w:t>
      </w:r>
      <w:r w:rsidRPr="00E76BCE">
        <w:t>the</w:t>
      </w:r>
      <w:r w:rsidRPr="00E76BCE">
        <w:rPr>
          <w:spacing w:val="-1"/>
        </w:rPr>
        <w:t xml:space="preserve"> </w:t>
      </w:r>
      <w:r w:rsidRPr="00E76BCE">
        <w:t>lowest</w:t>
      </w:r>
      <w:r w:rsidRPr="00E76BCE">
        <w:rPr>
          <w:spacing w:val="-3"/>
        </w:rPr>
        <w:t xml:space="preserve"> </w:t>
      </w:r>
      <w:r w:rsidRPr="00E76BCE">
        <w:t>responsible</w:t>
      </w:r>
      <w:r w:rsidRPr="00E76BCE">
        <w:rPr>
          <w:spacing w:val="-3"/>
        </w:rPr>
        <w:t xml:space="preserve"> </w:t>
      </w:r>
      <w:r w:rsidRPr="00E76BCE">
        <w:t>bidder</w:t>
      </w:r>
      <w:r w:rsidR="000B5A9E">
        <w:t>,</w:t>
      </w:r>
      <w:r w:rsidRPr="00E76BCE">
        <w:rPr>
          <w:spacing w:val="-3"/>
        </w:rPr>
        <w:t xml:space="preserve"> </w:t>
      </w:r>
      <w:r w:rsidRPr="00E76BCE">
        <w:t>based</w:t>
      </w:r>
      <w:r w:rsidRPr="00E76BCE">
        <w:rPr>
          <w:spacing w:val="-1"/>
        </w:rPr>
        <w:t xml:space="preserve"> </w:t>
      </w:r>
      <w:r w:rsidRPr="00E76BCE">
        <w:t>on</w:t>
      </w:r>
      <w:r w:rsidRPr="00E76BCE">
        <w:rPr>
          <w:spacing w:val="-2"/>
        </w:rPr>
        <w:t xml:space="preserve"> </w:t>
      </w:r>
      <w:r w:rsidRPr="00E76BCE">
        <w:t>its</w:t>
      </w:r>
      <w:r w:rsidRPr="00E76BCE">
        <w:rPr>
          <w:spacing w:val="-3"/>
        </w:rPr>
        <w:t xml:space="preserve"> </w:t>
      </w:r>
      <w:r w:rsidRPr="00E76BCE">
        <w:t>base</w:t>
      </w:r>
      <w:r w:rsidRPr="00E76BCE">
        <w:rPr>
          <w:spacing w:val="-3"/>
        </w:rPr>
        <w:t xml:space="preserve"> </w:t>
      </w:r>
      <w:r w:rsidRPr="00E76BCE">
        <w:t>bid</w:t>
      </w:r>
      <w:r w:rsidRPr="00E76BCE">
        <w:rPr>
          <w:spacing w:val="-1"/>
        </w:rPr>
        <w:t xml:space="preserve"> </w:t>
      </w:r>
      <w:r w:rsidRPr="00E76BCE">
        <w:t>plus</w:t>
      </w:r>
      <w:r w:rsidRPr="00E76BCE">
        <w:rPr>
          <w:spacing w:val="-3"/>
        </w:rPr>
        <w:t xml:space="preserve"> </w:t>
      </w:r>
      <w:r w:rsidRPr="00E76BCE">
        <w:t>the</w:t>
      </w:r>
      <w:r w:rsidR="00EE5362" w:rsidRPr="00E76BCE">
        <w:t xml:space="preserve"> acceptance</w:t>
      </w:r>
      <w:r w:rsidR="00EE5362" w:rsidRPr="00E76BCE">
        <w:rPr>
          <w:spacing w:val="-7"/>
        </w:rPr>
        <w:t xml:space="preserve"> </w:t>
      </w:r>
      <w:r w:rsidR="00EE5362" w:rsidRPr="00E76BCE">
        <w:t>of</w:t>
      </w:r>
      <w:r w:rsidR="00EE5362" w:rsidRPr="00E76BCE">
        <w:rPr>
          <w:spacing w:val="-4"/>
        </w:rPr>
        <w:t xml:space="preserve"> </w:t>
      </w:r>
      <w:r w:rsidR="00EE5362" w:rsidRPr="00E76BCE">
        <w:t>the</w:t>
      </w:r>
      <w:r w:rsidR="00EE5362" w:rsidRPr="00E76BCE">
        <w:rPr>
          <w:spacing w:val="-6"/>
        </w:rPr>
        <w:t xml:space="preserve"> </w:t>
      </w:r>
      <w:r w:rsidR="00EE5362" w:rsidRPr="00E76BCE">
        <w:t>indicated</w:t>
      </w:r>
      <w:r w:rsidR="00EE5362" w:rsidRPr="00E76BCE">
        <w:rPr>
          <w:spacing w:val="-7"/>
        </w:rPr>
        <w:t xml:space="preserve"> </w:t>
      </w:r>
      <w:r w:rsidR="00EE5362" w:rsidRPr="00E76BCE">
        <w:rPr>
          <w:spacing w:val="-2"/>
        </w:rPr>
        <w:t>alternates</w:t>
      </w:r>
      <w:r w:rsidR="000B5A9E">
        <w:rPr>
          <w:spacing w:val="-2"/>
        </w:rPr>
        <w:t>:</w:t>
      </w:r>
      <w:hyperlink w:anchor="_bookmark1" w:history="1">
        <w:r w:rsidR="00EE5362" w:rsidRPr="00E76BCE">
          <w:rPr>
            <w:spacing w:val="-2"/>
            <w:vertAlign w:val="superscript"/>
          </w:rPr>
          <w:t>2</w:t>
        </w:r>
      </w:hyperlink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7"/>
        <w:gridCol w:w="1819"/>
        <w:gridCol w:w="1692"/>
      </w:tblGrid>
      <w:tr w:rsidR="00425936" w:rsidRPr="00E76BCE" w14:paraId="2010FBE4" w14:textId="77777777">
        <w:trPr>
          <w:trHeight w:val="449"/>
        </w:trPr>
        <w:tc>
          <w:tcPr>
            <w:tcW w:w="4597" w:type="dxa"/>
          </w:tcPr>
          <w:p w14:paraId="0FDEBE8C" w14:textId="4940CE22" w:rsidR="00425936" w:rsidRPr="00E76BCE" w:rsidRDefault="001A63E0">
            <w:pPr>
              <w:pStyle w:val="TableParagraph"/>
              <w:spacing w:before="144" w:line="285" w:lineRule="exact"/>
              <w:ind w:left="50"/>
              <w:rPr>
                <w:sz w:val="26"/>
                <w:szCs w:val="26"/>
              </w:rPr>
            </w:pPr>
            <w:r w:rsidRPr="00E76BCE">
              <w:rPr>
                <w:sz w:val="26"/>
                <w:szCs w:val="26"/>
                <w:u w:val="single"/>
              </w:rPr>
              <w:t>Division</w:t>
            </w:r>
            <w:r w:rsidRPr="00E76BCE">
              <w:rPr>
                <w:spacing w:val="-8"/>
                <w:sz w:val="26"/>
                <w:szCs w:val="26"/>
                <w:u w:val="single"/>
              </w:rPr>
              <w:t xml:space="preserve"> </w:t>
            </w:r>
            <w:r w:rsidR="00FB6C2F" w:rsidRPr="00E76BCE">
              <w:rPr>
                <w:sz w:val="26"/>
                <w:szCs w:val="26"/>
                <w:u w:val="single"/>
              </w:rPr>
              <w:t>1</w:t>
            </w:r>
            <w:r w:rsidRPr="00E76BCE">
              <w:rPr>
                <w:spacing w:val="-7"/>
                <w:sz w:val="26"/>
                <w:szCs w:val="26"/>
                <w:u w:val="single"/>
              </w:rPr>
              <w:t xml:space="preserve"> </w:t>
            </w:r>
            <w:r w:rsidRPr="00E76BCE">
              <w:rPr>
                <w:sz w:val="26"/>
                <w:szCs w:val="26"/>
                <w:u w:val="single"/>
              </w:rPr>
              <w:t>–</w:t>
            </w:r>
            <w:r w:rsidRPr="00E76BCE">
              <w:rPr>
                <w:spacing w:val="-7"/>
                <w:sz w:val="26"/>
                <w:szCs w:val="26"/>
                <w:u w:val="single"/>
              </w:rPr>
              <w:t xml:space="preserve"> </w:t>
            </w:r>
            <w:r w:rsidRPr="00E76BCE">
              <w:rPr>
                <w:sz w:val="26"/>
                <w:szCs w:val="26"/>
                <w:u w:val="single"/>
              </w:rPr>
              <w:t>General</w:t>
            </w:r>
            <w:r w:rsidRPr="00E76BCE">
              <w:rPr>
                <w:spacing w:val="-5"/>
                <w:sz w:val="26"/>
                <w:szCs w:val="26"/>
                <w:u w:val="single"/>
              </w:rPr>
              <w:t xml:space="preserve"> </w:t>
            </w:r>
            <w:r w:rsidRPr="00E76BCE">
              <w:rPr>
                <w:spacing w:val="-4"/>
                <w:sz w:val="26"/>
                <w:szCs w:val="26"/>
                <w:u w:val="single"/>
              </w:rPr>
              <w:t>Work</w:t>
            </w:r>
          </w:p>
        </w:tc>
        <w:tc>
          <w:tcPr>
            <w:tcW w:w="3511" w:type="dxa"/>
            <w:gridSpan w:val="2"/>
            <w:tcBorders>
              <w:top w:val="nil"/>
            </w:tcBorders>
          </w:tcPr>
          <w:p w14:paraId="6F40B29C" w14:textId="77777777" w:rsidR="00425936" w:rsidRPr="00E76BCE" w:rsidRDefault="00425936">
            <w:pPr>
              <w:rPr>
                <w:sz w:val="26"/>
                <w:szCs w:val="26"/>
              </w:rPr>
            </w:pPr>
          </w:p>
        </w:tc>
      </w:tr>
      <w:tr w:rsidR="00425936" w:rsidRPr="00E76BCE" w14:paraId="4B425E0D" w14:textId="77777777" w:rsidTr="00B85436">
        <w:trPr>
          <w:trHeight w:val="298"/>
        </w:trPr>
        <w:tc>
          <w:tcPr>
            <w:tcW w:w="4597" w:type="dxa"/>
          </w:tcPr>
          <w:p w14:paraId="5A9DECD5" w14:textId="6E311F00" w:rsidR="002463ED" w:rsidRPr="00E76BCE" w:rsidRDefault="002463ED" w:rsidP="002463ED">
            <w:pPr>
              <w:pStyle w:val="TableParagraph"/>
              <w:spacing w:line="279" w:lineRule="exact"/>
              <w:ind w:left="50"/>
              <w:rPr>
                <w:spacing w:val="-2"/>
                <w:sz w:val="26"/>
                <w:szCs w:val="26"/>
              </w:rPr>
            </w:pPr>
            <w:r w:rsidRPr="00E76BCE">
              <w:rPr>
                <w:spacing w:val="-2"/>
                <w:sz w:val="26"/>
                <w:szCs w:val="26"/>
              </w:rPr>
              <w:t>Grunloh Construction Inc.</w:t>
            </w:r>
          </w:p>
          <w:p w14:paraId="469C1EFD" w14:textId="2ADB7879" w:rsidR="00425936" w:rsidRPr="00E76BCE" w:rsidRDefault="002463ED" w:rsidP="002463ED">
            <w:pPr>
              <w:pStyle w:val="TableParagraph"/>
              <w:spacing w:line="279" w:lineRule="exact"/>
              <w:ind w:left="50"/>
              <w:rPr>
                <w:sz w:val="26"/>
                <w:szCs w:val="26"/>
              </w:rPr>
            </w:pPr>
            <w:r w:rsidRPr="00E76BCE">
              <w:rPr>
                <w:sz w:val="26"/>
                <w:szCs w:val="26"/>
              </w:rPr>
              <w:t>Effingham,</w:t>
            </w:r>
            <w:r w:rsidRPr="00E76BCE">
              <w:rPr>
                <w:spacing w:val="-11"/>
                <w:sz w:val="26"/>
                <w:szCs w:val="26"/>
              </w:rPr>
              <w:t xml:space="preserve"> </w:t>
            </w:r>
            <w:r w:rsidRPr="00E76BCE">
              <w:rPr>
                <w:spacing w:val="-5"/>
                <w:sz w:val="26"/>
                <w:szCs w:val="26"/>
              </w:rPr>
              <w:t>IL</w:t>
            </w:r>
          </w:p>
        </w:tc>
        <w:tc>
          <w:tcPr>
            <w:tcW w:w="1819" w:type="dxa"/>
            <w:vAlign w:val="bottom"/>
          </w:tcPr>
          <w:p w14:paraId="6E5D9C7C" w14:textId="77777777" w:rsidR="00425936" w:rsidRPr="00E76BCE" w:rsidRDefault="001A63E0" w:rsidP="00B85436">
            <w:pPr>
              <w:pStyle w:val="TableParagraph"/>
              <w:spacing w:line="279" w:lineRule="exact"/>
              <w:ind w:left="493"/>
              <w:rPr>
                <w:sz w:val="26"/>
                <w:szCs w:val="26"/>
              </w:rPr>
            </w:pPr>
            <w:r w:rsidRPr="00E76BCE">
              <w:rPr>
                <w:sz w:val="26"/>
                <w:szCs w:val="26"/>
              </w:rPr>
              <w:t>Base</w:t>
            </w:r>
            <w:r w:rsidRPr="00E76BCE">
              <w:rPr>
                <w:spacing w:val="-7"/>
                <w:sz w:val="26"/>
                <w:szCs w:val="26"/>
              </w:rPr>
              <w:t xml:space="preserve"> </w:t>
            </w:r>
            <w:r w:rsidRPr="00E76BCE">
              <w:rPr>
                <w:spacing w:val="-5"/>
                <w:sz w:val="26"/>
                <w:szCs w:val="26"/>
              </w:rPr>
              <w:t>Bid</w:t>
            </w:r>
          </w:p>
        </w:tc>
        <w:tc>
          <w:tcPr>
            <w:tcW w:w="1692" w:type="dxa"/>
            <w:vAlign w:val="bottom"/>
          </w:tcPr>
          <w:p w14:paraId="18493351" w14:textId="54A4C1D5" w:rsidR="00425936" w:rsidRPr="00E76BCE" w:rsidRDefault="001A63E0" w:rsidP="00B85436">
            <w:pPr>
              <w:pStyle w:val="TableParagraph"/>
              <w:spacing w:line="279" w:lineRule="exact"/>
              <w:ind w:left="382"/>
              <w:rPr>
                <w:color w:val="000000" w:themeColor="text1"/>
                <w:sz w:val="26"/>
                <w:szCs w:val="26"/>
              </w:rPr>
            </w:pPr>
            <w:r w:rsidRPr="00E76BCE">
              <w:rPr>
                <w:color w:val="000000" w:themeColor="text1"/>
                <w:spacing w:val="-2"/>
                <w:sz w:val="26"/>
                <w:szCs w:val="26"/>
              </w:rPr>
              <w:t>$</w:t>
            </w:r>
            <w:r w:rsidR="002463ED" w:rsidRPr="00E76BCE">
              <w:rPr>
                <w:color w:val="000000" w:themeColor="text1"/>
                <w:spacing w:val="-2"/>
                <w:sz w:val="26"/>
                <w:szCs w:val="26"/>
              </w:rPr>
              <w:t>9,366,000</w:t>
            </w:r>
          </w:p>
        </w:tc>
      </w:tr>
      <w:tr w:rsidR="00425936" w:rsidRPr="00E76BCE" w14:paraId="2AEC9807" w14:textId="77777777">
        <w:trPr>
          <w:trHeight w:val="298"/>
        </w:trPr>
        <w:tc>
          <w:tcPr>
            <w:tcW w:w="4597" w:type="dxa"/>
          </w:tcPr>
          <w:p w14:paraId="4C1EF855" w14:textId="02D2EAF8" w:rsidR="00425936" w:rsidRPr="00E76BCE" w:rsidRDefault="00425936">
            <w:pPr>
              <w:pStyle w:val="TableParagraph"/>
              <w:spacing w:line="279" w:lineRule="exact"/>
              <w:ind w:left="50"/>
              <w:rPr>
                <w:sz w:val="26"/>
                <w:szCs w:val="26"/>
              </w:rPr>
            </w:pPr>
          </w:p>
        </w:tc>
        <w:tc>
          <w:tcPr>
            <w:tcW w:w="1819" w:type="dxa"/>
          </w:tcPr>
          <w:p w14:paraId="5B29A606" w14:textId="2CCDB073" w:rsidR="00425936" w:rsidRPr="00E76BCE" w:rsidRDefault="001A63E0">
            <w:pPr>
              <w:pStyle w:val="TableParagraph"/>
              <w:spacing w:line="279" w:lineRule="exact"/>
              <w:ind w:left="492"/>
              <w:rPr>
                <w:sz w:val="26"/>
                <w:szCs w:val="26"/>
              </w:rPr>
            </w:pPr>
            <w:r w:rsidRPr="00E76BCE">
              <w:rPr>
                <w:sz w:val="26"/>
                <w:szCs w:val="26"/>
              </w:rPr>
              <w:t>Alt</w:t>
            </w:r>
            <w:r w:rsidR="000B5A9E">
              <w:rPr>
                <w:sz w:val="26"/>
                <w:szCs w:val="26"/>
              </w:rPr>
              <w:t>ernate</w:t>
            </w:r>
            <w:r w:rsidRPr="00E76BCE">
              <w:rPr>
                <w:spacing w:val="-8"/>
                <w:sz w:val="26"/>
                <w:szCs w:val="26"/>
              </w:rPr>
              <w:t xml:space="preserve"> </w:t>
            </w:r>
            <w:r w:rsidRPr="00E76BCE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1692" w:type="dxa"/>
          </w:tcPr>
          <w:p w14:paraId="67D32984" w14:textId="3EE3965C" w:rsidR="00425936" w:rsidRPr="00E76BCE" w:rsidRDefault="00B85436">
            <w:pPr>
              <w:pStyle w:val="TableParagraph"/>
              <w:spacing w:line="279" w:lineRule="exact"/>
              <w:ind w:right="136"/>
              <w:jc w:val="right"/>
              <w:rPr>
                <w:color w:val="000000" w:themeColor="text1"/>
                <w:sz w:val="26"/>
                <w:szCs w:val="26"/>
              </w:rPr>
            </w:pPr>
            <w:r w:rsidRPr="00E76BCE">
              <w:rPr>
                <w:color w:val="000000" w:themeColor="text1"/>
                <w:w w:val="99"/>
                <w:sz w:val="26"/>
                <w:szCs w:val="26"/>
              </w:rPr>
              <w:t>$</w:t>
            </w:r>
            <w:r w:rsidR="002463ED" w:rsidRPr="00E76BCE">
              <w:rPr>
                <w:color w:val="000000" w:themeColor="text1"/>
                <w:w w:val="99"/>
                <w:sz w:val="26"/>
                <w:szCs w:val="26"/>
              </w:rPr>
              <w:t>25,000</w:t>
            </w:r>
          </w:p>
        </w:tc>
      </w:tr>
      <w:tr w:rsidR="00425936" w:rsidRPr="00E76BCE" w14:paraId="53905E98" w14:textId="77777777">
        <w:trPr>
          <w:trHeight w:val="298"/>
        </w:trPr>
        <w:tc>
          <w:tcPr>
            <w:tcW w:w="4597" w:type="dxa"/>
          </w:tcPr>
          <w:p w14:paraId="022BEF6C" w14:textId="77777777" w:rsidR="00425936" w:rsidRPr="00E76BCE" w:rsidRDefault="004259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19" w:type="dxa"/>
          </w:tcPr>
          <w:p w14:paraId="6A8CC598" w14:textId="384E3ED8" w:rsidR="00425936" w:rsidRPr="00E76BCE" w:rsidRDefault="001A63E0">
            <w:pPr>
              <w:pStyle w:val="TableParagraph"/>
              <w:spacing w:line="279" w:lineRule="exact"/>
              <w:ind w:left="493"/>
              <w:rPr>
                <w:sz w:val="26"/>
                <w:szCs w:val="26"/>
              </w:rPr>
            </w:pPr>
            <w:r w:rsidRPr="00E76BCE">
              <w:rPr>
                <w:sz w:val="26"/>
                <w:szCs w:val="26"/>
              </w:rPr>
              <w:t>Alt</w:t>
            </w:r>
            <w:r w:rsidR="000B5A9E">
              <w:rPr>
                <w:sz w:val="26"/>
                <w:szCs w:val="26"/>
              </w:rPr>
              <w:t>ernate</w:t>
            </w:r>
            <w:r w:rsidRPr="00E76BCE">
              <w:rPr>
                <w:spacing w:val="-8"/>
                <w:sz w:val="26"/>
                <w:szCs w:val="26"/>
              </w:rPr>
              <w:t xml:space="preserve"> </w:t>
            </w:r>
            <w:r w:rsidR="002463ED" w:rsidRPr="00E76BCE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1692" w:type="dxa"/>
          </w:tcPr>
          <w:p w14:paraId="35853D60" w14:textId="3C0C1D84" w:rsidR="00425936" w:rsidRPr="00E76BCE" w:rsidRDefault="00B85436">
            <w:pPr>
              <w:pStyle w:val="TableParagraph"/>
              <w:spacing w:line="279" w:lineRule="exact"/>
              <w:ind w:right="138"/>
              <w:jc w:val="right"/>
              <w:rPr>
                <w:color w:val="000000" w:themeColor="text1"/>
                <w:sz w:val="26"/>
                <w:szCs w:val="26"/>
              </w:rPr>
            </w:pPr>
            <w:r w:rsidRPr="00E76BCE">
              <w:rPr>
                <w:color w:val="000000" w:themeColor="text1"/>
                <w:spacing w:val="-2"/>
                <w:sz w:val="26"/>
                <w:szCs w:val="26"/>
                <w:u w:val="single"/>
              </w:rPr>
              <w:t>$</w:t>
            </w:r>
            <w:r w:rsidR="002463ED" w:rsidRPr="00E76BCE">
              <w:rPr>
                <w:color w:val="000000" w:themeColor="text1"/>
                <w:spacing w:val="-2"/>
                <w:sz w:val="26"/>
                <w:szCs w:val="26"/>
                <w:u w:val="single"/>
              </w:rPr>
              <w:t>12,000</w:t>
            </w:r>
          </w:p>
        </w:tc>
      </w:tr>
      <w:tr w:rsidR="00425936" w:rsidRPr="00E76BCE" w14:paraId="36D40E0C" w14:textId="77777777">
        <w:trPr>
          <w:trHeight w:val="293"/>
        </w:trPr>
        <w:tc>
          <w:tcPr>
            <w:tcW w:w="4597" w:type="dxa"/>
          </w:tcPr>
          <w:p w14:paraId="6489DB70" w14:textId="77777777" w:rsidR="00425936" w:rsidRPr="00E76BCE" w:rsidRDefault="001A63E0">
            <w:pPr>
              <w:pStyle w:val="TableParagraph"/>
              <w:spacing w:line="274" w:lineRule="exact"/>
              <w:ind w:left="1490"/>
              <w:rPr>
                <w:sz w:val="26"/>
                <w:szCs w:val="26"/>
              </w:rPr>
            </w:pPr>
            <w:r w:rsidRPr="00E76BCE">
              <w:rPr>
                <w:spacing w:val="-2"/>
                <w:sz w:val="26"/>
                <w:szCs w:val="26"/>
              </w:rPr>
              <w:t>TOTAL</w:t>
            </w:r>
          </w:p>
        </w:tc>
        <w:tc>
          <w:tcPr>
            <w:tcW w:w="1819" w:type="dxa"/>
          </w:tcPr>
          <w:p w14:paraId="17B438F2" w14:textId="77777777" w:rsidR="00425936" w:rsidRPr="00E76BCE" w:rsidRDefault="004259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14:paraId="77F96CE9" w14:textId="3AF0740D" w:rsidR="00425936" w:rsidRPr="00E76BCE" w:rsidRDefault="001A63E0">
            <w:pPr>
              <w:pStyle w:val="TableParagraph"/>
              <w:spacing w:line="274" w:lineRule="exact"/>
              <w:ind w:left="383"/>
              <w:rPr>
                <w:sz w:val="26"/>
                <w:szCs w:val="26"/>
              </w:rPr>
            </w:pPr>
            <w:r w:rsidRPr="00E76BCE">
              <w:rPr>
                <w:spacing w:val="-2"/>
                <w:sz w:val="26"/>
                <w:szCs w:val="26"/>
              </w:rPr>
              <w:t>$</w:t>
            </w:r>
            <w:r w:rsidR="002463ED" w:rsidRPr="00E76BCE">
              <w:rPr>
                <w:spacing w:val="-2"/>
                <w:sz w:val="26"/>
                <w:szCs w:val="26"/>
              </w:rPr>
              <w:t>9,403,000</w:t>
            </w:r>
          </w:p>
        </w:tc>
      </w:tr>
    </w:tbl>
    <w:p w14:paraId="002BAF51" w14:textId="77777777" w:rsidR="00425936" w:rsidRPr="00E76BCE" w:rsidRDefault="00425936">
      <w:pPr>
        <w:pStyle w:val="BodyText"/>
        <w:spacing w:before="3"/>
      </w:pPr>
    </w:p>
    <w:p w14:paraId="7D280EE4" w14:textId="77777777" w:rsidR="00B85436" w:rsidRPr="00E76BCE" w:rsidRDefault="00B85436" w:rsidP="00B85436">
      <w:pPr>
        <w:tabs>
          <w:tab w:val="left" w:pos="9180"/>
        </w:tabs>
        <w:spacing w:line="480" w:lineRule="auto"/>
        <w:ind w:firstLine="1440"/>
        <w:rPr>
          <w:sz w:val="26"/>
          <w:szCs w:val="26"/>
        </w:rPr>
      </w:pPr>
      <w:r w:rsidRPr="00E76BCE">
        <w:rPr>
          <w:sz w:val="26"/>
          <w:szCs w:val="26"/>
        </w:rPr>
        <w:t>Construction is scheduled to be completed in October 2024.</w:t>
      </w:r>
    </w:p>
    <w:p w14:paraId="4CD2EC1B" w14:textId="0662CE74" w:rsidR="00425936" w:rsidRPr="00E76BCE" w:rsidRDefault="001A63E0" w:rsidP="00B85436">
      <w:pPr>
        <w:tabs>
          <w:tab w:val="left" w:pos="9180"/>
        </w:tabs>
        <w:spacing w:line="480" w:lineRule="auto"/>
        <w:ind w:firstLine="1440"/>
        <w:rPr>
          <w:sz w:val="26"/>
          <w:szCs w:val="26"/>
        </w:rPr>
      </w:pPr>
      <w:r w:rsidRPr="00E76BCE">
        <w:rPr>
          <w:sz w:val="26"/>
          <w:szCs w:val="26"/>
        </w:rPr>
        <w:lastRenderedPageBreak/>
        <w:t xml:space="preserve">The </w:t>
      </w:r>
      <w:bookmarkStart w:id="3" w:name="_Hlk127191468"/>
      <w:r w:rsidRPr="00E76BCE">
        <w:rPr>
          <w:sz w:val="26"/>
          <w:szCs w:val="26"/>
        </w:rPr>
        <w:t>Board action</w:t>
      </w:r>
      <w:r w:rsidRPr="00E76BCE">
        <w:rPr>
          <w:spacing w:val="-5"/>
          <w:sz w:val="26"/>
          <w:szCs w:val="26"/>
        </w:rPr>
        <w:t xml:space="preserve"> </w:t>
      </w:r>
      <w:r w:rsidRPr="00E76BCE">
        <w:rPr>
          <w:sz w:val="26"/>
          <w:szCs w:val="26"/>
        </w:rPr>
        <w:t>recommended</w:t>
      </w:r>
      <w:r w:rsidRPr="00E76BCE">
        <w:rPr>
          <w:spacing w:val="-5"/>
          <w:sz w:val="26"/>
          <w:szCs w:val="26"/>
        </w:rPr>
        <w:t xml:space="preserve"> </w:t>
      </w:r>
      <w:r w:rsidRPr="00E76BCE">
        <w:rPr>
          <w:sz w:val="26"/>
          <w:szCs w:val="26"/>
        </w:rPr>
        <w:t>in</w:t>
      </w:r>
      <w:r w:rsidRPr="00E76BCE">
        <w:rPr>
          <w:spacing w:val="-5"/>
          <w:sz w:val="26"/>
          <w:szCs w:val="26"/>
        </w:rPr>
        <w:t xml:space="preserve"> </w:t>
      </w:r>
      <w:r w:rsidRPr="00E76BCE">
        <w:rPr>
          <w:sz w:val="26"/>
          <w:szCs w:val="26"/>
        </w:rPr>
        <w:t>this</w:t>
      </w:r>
      <w:r w:rsidRPr="00E76BCE">
        <w:rPr>
          <w:spacing w:val="-5"/>
          <w:sz w:val="26"/>
          <w:szCs w:val="26"/>
        </w:rPr>
        <w:t xml:space="preserve"> </w:t>
      </w:r>
      <w:r w:rsidRPr="00E76BCE">
        <w:rPr>
          <w:sz w:val="26"/>
          <w:szCs w:val="26"/>
        </w:rPr>
        <w:t>item</w:t>
      </w:r>
      <w:r w:rsidRPr="00E76BCE">
        <w:rPr>
          <w:spacing w:val="-6"/>
          <w:sz w:val="26"/>
          <w:szCs w:val="26"/>
        </w:rPr>
        <w:t xml:space="preserve"> </w:t>
      </w:r>
      <w:r w:rsidRPr="00E76BCE">
        <w:rPr>
          <w:sz w:val="26"/>
          <w:szCs w:val="26"/>
        </w:rPr>
        <w:t>compl</w:t>
      </w:r>
      <w:r w:rsidR="000B5A9E">
        <w:rPr>
          <w:sz w:val="26"/>
          <w:szCs w:val="26"/>
        </w:rPr>
        <w:t>ies</w:t>
      </w:r>
      <w:r w:rsidRPr="00E76BCE">
        <w:rPr>
          <w:spacing w:val="-5"/>
          <w:sz w:val="26"/>
          <w:szCs w:val="26"/>
        </w:rPr>
        <w:t xml:space="preserve"> </w:t>
      </w:r>
      <w:r w:rsidRPr="00E76BCE">
        <w:rPr>
          <w:sz w:val="26"/>
          <w:szCs w:val="26"/>
        </w:rPr>
        <w:t>in</w:t>
      </w:r>
      <w:r w:rsidRPr="00E76BCE">
        <w:rPr>
          <w:spacing w:val="-2"/>
          <w:sz w:val="26"/>
          <w:szCs w:val="26"/>
        </w:rPr>
        <w:t xml:space="preserve"> </w:t>
      </w:r>
      <w:r w:rsidRPr="00E76BCE">
        <w:rPr>
          <w:sz w:val="26"/>
          <w:szCs w:val="26"/>
        </w:rPr>
        <w:t>all</w:t>
      </w:r>
      <w:r w:rsidRPr="00E76BCE">
        <w:rPr>
          <w:spacing w:val="-2"/>
          <w:sz w:val="26"/>
          <w:szCs w:val="26"/>
        </w:rPr>
        <w:t xml:space="preserve"> </w:t>
      </w:r>
      <w:r w:rsidRPr="00E76BCE">
        <w:rPr>
          <w:sz w:val="26"/>
          <w:szCs w:val="26"/>
        </w:rPr>
        <w:t xml:space="preserve">material respects with applicable State </w:t>
      </w:r>
      <w:bookmarkEnd w:id="3"/>
      <w:r w:rsidRPr="00E76BCE">
        <w:rPr>
          <w:sz w:val="26"/>
          <w:szCs w:val="26"/>
        </w:rPr>
        <w:t>and federal laws, University</w:t>
      </w:r>
      <w:r w:rsidRPr="00E76BCE">
        <w:rPr>
          <w:spacing w:val="-3"/>
          <w:sz w:val="26"/>
          <w:szCs w:val="26"/>
        </w:rPr>
        <w:t xml:space="preserve"> </w:t>
      </w:r>
      <w:r w:rsidRPr="00E76BCE">
        <w:rPr>
          <w:sz w:val="26"/>
          <w:szCs w:val="26"/>
        </w:rPr>
        <w:t xml:space="preserve">of Illinois </w:t>
      </w:r>
      <w:r w:rsidRPr="00E76BCE">
        <w:rPr>
          <w:i/>
          <w:sz w:val="26"/>
          <w:szCs w:val="26"/>
        </w:rPr>
        <w:t>Statutes</w:t>
      </w:r>
      <w:r w:rsidRPr="000B5A9E">
        <w:rPr>
          <w:iCs/>
          <w:sz w:val="26"/>
          <w:szCs w:val="26"/>
        </w:rPr>
        <w:t>,</w:t>
      </w:r>
      <w:r w:rsidRPr="00E76BCE">
        <w:rPr>
          <w:i/>
          <w:sz w:val="26"/>
          <w:szCs w:val="26"/>
        </w:rPr>
        <w:t xml:space="preserve"> The General Rules Concerning University Organization and Procedure</w:t>
      </w:r>
      <w:r w:rsidRPr="00E76BCE">
        <w:rPr>
          <w:sz w:val="26"/>
          <w:szCs w:val="26"/>
        </w:rPr>
        <w:t>, and Board of Trustees policies and directives.</w:t>
      </w:r>
    </w:p>
    <w:p w14:paraId="4CA683DF" w14:textId="0CBE4673" w:rsidR="007B09D2" w:rsidRPr="00E76BCE" w:rsidRDefault="007B09D2" w:rsidP="00B85436">
      <w:pPr>
        <w:pStyle w:val="BodyText"/>
        <w:tabs>
          <w:tab w:val="left" w:pos="9180"/>
        </w:tabs>
        <w:spacing w:line="480" w:lineRule="auto"/>
        <w:ind w:firstLine="1439"/>
      </w:pPr>
      <w:r w:rsidRPr="00E76BCE">
        <w:t xml:space="preserve">Funds for this project are available from the </w:t>
      </w:r>
      <w:r w:rsidR="000B5A9E">
        <w:t>I</w:t>
      </w:r>
      <w:r w:rsidRPr="00E76BCE">
        <w:t xml:space="preserve">nstitutional </w:t>
      </w:r>
      <w:r w:rsidR="000B5A9E">
        <w:t>F</w:t>
      </w:r>
      <w:r w:rsidRPr="00E76BCE">
        <w:t xml:space="preserve">unds </w:t>
      </w:r>
      <w:r w:rsidR="000B5A9E">
        <w:t>O</w:t>
      </w:r>
      <w:r w:rsidRPr="00E76BCE">
        <w:t xml:space="preserve">perating </w:t>
      </w:r>
      <w:r w:rsidR="000B5A9E">
        <w:t>B</w:t>
      </w:r>
      <w:r w:rsidRPr="00E76BCE">
        <w:t>udget of the University of Illinois Urbana-Champaign and proceeds from the Auxiliary Facilities System Revenue Bonds, Series 2021A issued in July 2021.</w:t>
      </w:r>
    </w:p>
    <w:p w14:paraId="717D91A2" w14:textId="0DCFD854" w:rsidR="00B85436" w:rsidRPr="00E76BCE" w:rsidRDefault="00B85436" w:rsidP="00B85436">
      <w:pPr>
        <w:pStyle w:val="BodyText"/>
        <w:tabs>
          <w:tab w:val="left" w:pos="9180"/>
        </w:tabs>
        <w:spacing w:line="480" w:lineRule="auto"/>
        <w:ind w:firstLine="1439"/>
        <w:rPr>
          <w:spacing w:val="-2"/>
        </w:rPr>
      </w:pPr>
      <w:r w:rsidRPr="00E76BCE">
        <w:rPr>
          <w:spacing w:val="-2"/>
        </w:rPr>
        <w:t xml:space="preserve">The President of the University </w:t>
      </w:r>
      <w:r w:rsidR="00E76BCE" w:rsidRPr="00E76BCE">
        <w:rPr>
          <w:spacing w:val="-2"/>
        </w:rPr>
        <w:t>of Illinois System concurs</w:t>
      </w:r>
      <w:r w:rsidRPr="00E76BCE">
        <w:rPr>
          <w:spacing w:val="-2"/>
        </w:rPr>
        <w:t xml:space="preserve">.  </w:t>
      </w:r>
    </w:p>
    <w:p w14:paraId="4C911510" w14:textId="6E3A1297" w:rsidR="00DA114E" w:rsidRPr="00E76BCE" w:rsidRDefault="00DA114E" w:rsidP="00B85436">
      <w:pPr>
        <w:pStyle w:val="BodyText"/>
        <w:tabs>
          <w:tab w:val="left" w:pos="9180"/>
        </w:tabs>
        <w:spacing w:line="480" w:lineRule="auto"/>
        <w:ind w:firstLine="1439"/>
        <w:rPr>
          <w:spacing w:val="-2"/>
        </w:rPr>
      </w:pPr>
    </w:p>
    <w:p w14:paraId="44E82883" w14:textId="17C51F68" w:rsidR="00DA114E" w:rsidRPr="00E76BCE" w:rsidRDefault="00DA114E" w:rsidP="00B85436">
      <w:pPr>
        <w:pStyle w:val="BodyText"/>
        <w:tabs>
          <w:tab w:val="left" w:pos="9180"/>
        </w:tabs>
        <w:spacing w:line="480" w:lineRule="auto"/>
        <w:ind w:firstLine="1439"/>
        <w:rPr>
          <w:spacing w:val="-2"/>
        </w:rPr>
      </w:pPr>
    </w:p>
    <w:p w14:paraId="0052A8A9" w14:textId="67790D6B" w:rsidR="00DA114E" w:rsidRPr="00E76BCE" w:rsidRDefault="00DA114E" w:rsidP="00B85436">
      <w:pPr>
        <w:pStyle w:val="BodyText"/>
        <w:tabs>
          <w:tab w:val="left" w:pos="9180"/>
        </w:tabs>
        <w:spacing w:line="480" w:lineRule="auto"/>
        <w:ind w:firstLine="1439"/>
        <w:rPr>
          <w:spacing w:val="-2"/>
        </w:rPr>
      </w:pPr>
    </w:p>
    <w:p w14:paraId="2A04B69C" w14:textId="3AAC7B7E" w:rsidR="00DA114E" w:rsidRPr="00E76BCE" w:rsidRDefault="00DA114E" w:rsidP="00B85436">
      <w:pPr>
        <w:pStyle w:val="BodyText"/>
        <w:tabs>
          <w:tab w:val="left" w:pos="9180"/>
        </w:tabs>
        <w:spacing w:line="480" w:lineRule="auto"/>
        <w:ind w:firstLine="1439"/>
        <w:rPr>
          <w:spacing w:val="-2"/>
        </w:rPr>
      </w:pPr>
    </w:p>
    <w:p w14:paraId="060A72F0" w14:textId="1134F424" w:rsidR="00DA114E" w:rsidRPr="00E76BCE" w:rsidRDefault="00DA114E" w:rsidP="00B85436">
      <w:pPr>
        <w:pStyle w:val="BodyText"/>
        <w:tabs>
          <w:tab w:val="left" w:pos="9180"/>
        </w:tabs>
        <w:spacing w:line="480" w:lineRule="auto"/>
        <w:ind w:firstLine="1439"/>
        <w:rPr>
          <w:spacing w:val="-2"/>
        </w:rPr>
      </w:pPr>
    </w:p>
    <w:p w14:paraId="3786D535" w14:textId="0B7401C7" w:rsidR="00DA114E" w:rsidRPr="00E76BCE" w:rsidRDefault="00DA114E" w:rsidP="00B85436">
      <w:pPr>
        <w:pStyle w:val="BodyText"/>
        <w:tabs>
          <w:tab w:val="left" w:pos="9180"/>
        </w:tabs>
        <w:spacing w:line="480" w:lineRule="auto"/>
        <w:ind w:firstLine="1439"/>
        <w:rPr>
          <w:spacing w:val="-2"/>
        </w:rPr>
      </w:pPr>
    </w:p>
    <w:p w14:paraId="7C74EF6E" w14:textId="63F74E0D" w:rsidR="00DA114E" w:rsidRPr="00E76BCE" w:rsidRDefault="00DA114E" w:rsidP="00B85436">
      <w:pPr>
        <w:pStyle w:val="BodyText"/>
        <w:tabs>
          <w:tab w:val="left" w:pos="9180"/>
        </w:tabs>
        <w:spacing w:line="480" w:lineRule="auto"/>
        <w:ind w:firstLine="1439"/>
        <w:rPr>
          <w:spacing w:val="-2"/>
        </w:rPr>
      </w:pPr>
    </w:p>
    <w:p w14:paraId="2EBC9250" w14:textId="77777777" w:rsidR="00DA114E" w:rsidRPr="00E76BCE" w:rsidRDefault="00DA114E" w:rsidP="00B85436">
      <w:pPr>
        <w:pStyle w:val="BodyText"/>
        <w:tabs>
          <w:tab w:val="left" w:pos="9180"/>
        </w:tabs>
        <w:spacing w:line="480" w:lineRule="auto"/>
        <w:ind w:firstLine="1439"/>
        <w:rPr>
          <w:spacing w:val="-2"/>
        </w:rPr>
      </w:pPr>
    </w:p>
    <w:p w14:paraId="7DF02602" w14:textId="77777777" w:rsidR="00B85436" w:rsidRPr="00E76BCE" w:rsidRDefault="00B85436" w:rsidP="00B85436">
      <w:pPr>
        <w:pStyle w:val="BodyText"/>
      </w:pPr>
    </w:p>
    <w:p w14:paraId="00EF0940" w14:textId="4B50D79C" w:rsidR="00B85436" w:rsidRPr="00E76BCE" w:rsidRDefault="00B85436" w:rsidP="00B85436">
      <w:pPr>
        <w:spacing w:before="96"/>
        <w:ind w:left="339" w:right="172" w:hanging="180"/>
        <w:rPr>
          <w:sz w:val="26"/>
          <w:szCs w:val="26"/>
        </w:rPr>
      </w:pPr>
      <w:r w:rsidRPr="00E76BCE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1DA96B" wp14:editId="626BF1E6">
                <wp:simplePos x="0" y="0"/>
                <wp:positionH relativeFrom="page">
                  <wp:posOffset>904875</wp:posOffset>
                </wp:positionH>
                <wp:positionV relativeFrom="paragraph">
                  <wp:posOffset>96520</wp:posOffset>
                </wp:positionV>
                <wp:extent cx="1828800" cy="8890"/>
                <wp:effectExtent l="0" t="0" r="0" b="0"/>
                <wp:wrapTopAndBottom/>
                <wp:docPr id="2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E915D" id="docshape3" o:spid="_x0000_s1026" alt="&quot;&quot;" style="position:absolute;margin-left:71.25pt;margin-top:7.6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BHQe5x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Pr="00E76BCE">
        <w:rPr>
          <w:sz w:val="26"/>
          <w:szCs w:val="26"/>
          <w:vertAlign w:val="superscript"/>
        </w:rPr>
        <w:t>1</w:t>
      </w:r>
      <w:r w:rsidRPr="00E76BCE">
        <w:rPr>
          <w:spacing w:val="40"/>
          <w:sz w:val="26"/>
          <w:szCs w:val="26"/>
        </w:rPr>
        <w:t xml:space="preserve"> </w:t>
      </w:r>
      <w:r w:rsidRPr="00E76BCE">
        <w:rPr>
          <w:sz w:val="26"/>
          <w:szCs w:val="26"/>
        </w:rPr>
        <w:t>Contracts for other divisions were awarded that are within the delegated approval levels:</w:t>
      </w:r>
      <w:r w:rsidRPr="00E76BCE">
        <w:rPr>
          <w:spacing w:val="40"/>
          <w:sz w:val="26"/>
          <w:szCs w:val="26"/>
        </w:rPr>
        <w:t xml:space="preserve"> </w:t>
      </w:r>
      <w:r w:rsidRPr="00E76BCE">
        <w:rPr>
          <w:sz w:val="26"/>
          <w:szCs w:val="26"/>
        </w:rPr>
        <w:t>Division 2</w:t>
      </w:r>
      <w:r w:rsidR="000B5A9E">
        <w:rPr>
          <w:sz w:val="26"/>
          <w:szCs w:val="26"/>
        </w:rPr>
        <w:t xml:space="preserve"> - </w:t>
      </w:r>
      <w:r w:rsidRPr="00E76BCE">
        <w:rPr>
          <w:sz w:val="26"/>
          <w:szCs w:val="26"/>
        </w:rPr>
        <w:t>Reliable Plumbing and Heating Company, Champaign, IL, $232,120 [Alt. 2 - $4,420]; Division 4</w:t>
      </w:r>
      <w:r w:rsidR="000B5A9E">
        <w:rPr>
          <w:sz w:val="26"/>
          <w:szCs w:val="26"/>
        </w:rPr>
        <w:t xml:space="preserve"> - </w:t>
      </w:r>
      <w:r w:rsidRPr="00E76BCE">
        <w:rPr>
          <w:sz w:val="26"/>
          <w:szCs w:val="26"/>
        </w:rPr>
        <w:t>Reliable Plumbing and Heating Company, Champaign, IL,</w:t>
      </w:r>
      <w:r w:rsidRPr="00E76BCE">
        <w:rPr>
          <w:spacing w:val="-3"/>
          <w:sz w:val="26"/>
          <w:szCs w:val="26"/>
        </w:rPr>
        <w:t xml:space="preserve"> </w:t>
      </w:r>
      <w:r w:rsidRPr="00E76BCE">
        <w:rPr>
          <w:sz w:val="26"/>
          <w:szCs w:val="26"/>
        </w:rPr>
        <w:t>$183,000 (</w:t>
      </w:r>
      <w:r w:rsidR="00D2283C" w:rsidRPr="00E76BCE">
        <w:rPr>
          <w:sz w:val="26"/>
          <w:szCs w:val="26"/>
        </w:rPr>
        <w:t xml:space="preserve">includes </w:t>
      </w:r>
      <w:r w:rsidRPr="00E76BCE">
        <w:rPr>
          <w:sz w:val="26"/>
          <w:szCs w:val="26"/>
        </w:rPr>
        <w:t>Division 3 - Heating A/C Temp Control Work);</w:t>
      </w:r>
      <w:r w:rsidRPr="00E76BCE">
        <w:rPr>
          <w:spacing w:val="-4"/>
          <w:sz w:val="26"/>
          <w:szCs w:val="26"/>
        </w:rPr>
        <w:t xml:space="preserve"> </w:t>
      </w:r>
      <w:r w:rsidRPr="00E76BCE">
        <w:rPr>
          <w:color w:val="000000" w:themeColor="text1"/>
          <w:sz w:val="26"/>
          <w:szCs w:val="26"/>
        </w:rPr>
        <w:t>Division</w:t>
      </w:r>
      <w:r w:rsidRPr="00E76BCE">
        <w:rPr>
          <w:color w:val="000000" w:themeColor="text1"/>
          <w:spacing w:val="-5"/>
          <w:sz w:val="26"/>
          <w:szCs w:val="26"/>
        </w:rPr>
        <w:t xml:space="preserve"> </w:t>
      </w:r>
      <w:r w:rsidRPr="00E76BCE">
        <w:rPr>
          <w:color w:val="000000" w:themeColor="text1"/>
          <w:sz w:val="26"/>
          <w:szCs w:val="26"/>
        </w:rPr>
        <w:t>5</w:t>
      </w:r>
      <w:r w:rsidR="000B5A9E">
        <w:rPr>
          <w:color w:val="000000" w:themeColor="text1"/>
          <w:sz w:val="26"/>
          <w:szCs w:val="26"/>
        </w:rPr>
        <w:t xml:space="preserve"> </w:t>
      </w:r>
      <w:r w:rsidRPr="00E76BCE">
        <w:rPr>
          <w:color w:val="000000" w:themeColor="text1"/>
          <w:sz w:val="26"/>
          <w:szCs w:val="26"/>
        </w:rPr>
        <w:t>-</w:t>
      </w:r>
      <w:r w:rsidR="000B5A9E">
        <w:rPr>
          <w:color w:val="000000" w:themeColor="text1"/>
          <w:sz w:val="26"/>
          <w:szCs w:val="26"/>
        </w:rPr>
        <w:t xml:space="preserve"> </w:t>
      </w:r>
      <w:r w:rsidRPr="00E76BCE">
        <w:rPr>
          <w:color w:val="000000" w:themeColor="text1"/>
          <w:sz w:val="26"/>
          <w:szCs w:val="26"/>
        </w:rPr>
        <w:t>Electrical</w:t>
      </w:r>
      <w:r w:rsidRPr="00E76BCE">
        <w:rPr>
          <w:color w:val="000000" w:themeColor="text1"/>
          <w:spacing w:val="-4"/>
          <w:sz w:val="26"/>
          <w:szCs w:val="26"/>
        </w:rPr>
        <w:t xml:space="preserve"> </w:t>
      </w:r>
      <w:r w:rsidRPr="00E76BCE">
        <w:rPr>
          <w:color w:val="000000" w:themeColor="text1"/>
          <w:sz w:val="26"/>
          <w:szCs w:val="26"/>
        </w:rPr>
        <w:t>Work,</w:t>
      </w:r>
      <w:r w:rsidRPr="00E76BCE">
        <w:rPr>
          <w:color w:val="000000" w:themeColor="text1"/>
          <w:spacing w:val="-3"/>
          <w:sz w:val="26"/>
          <w:szCs w:val="26"/>
        </w:rPr>
        <w:t xml:space="preserve"> </w:t>
      </w:r>
      <w:r w:rsidRPr="00E76BCE">
        <w:rPr>
          <w:color w:val="000000" w:themeColor="text1"/>
          <w:sz w:val="26"/>
          <w:szCs w:val="26"/>
        </w:rPr>
        <w:t>Glesco</w:t>
      </w:r>
      <w:r w:rsidRPr="00E76BCE">
        <w:rPr>
          <w:color w:val="000000" w:themeColor="text1"/>
          <w:spacing w:val="-5"/>
          <w:sz w:val="26"/>
          <w:szCs w:val="26"/>
        </w:rPr>
        <w:t xml:space="preserve"> </w:t>
      </w:r>
      <w:r w:rsidRPr="00E76BCE">
        <w:rPr>
          <w:color w:val="000000" w:themeColor="text1"/>
          <w:sz w:val="26"/>
          <w:szCs w:val="26"/>
        </w:rPr>
        <w:t>Electric,</w:t>
      </w:r>
      <w:r w:rsidRPr="00E76BCE">
        <w:rPr>
          <w:color w:val="000000" w:themeColor="text1"/>
          <w:spacing w:val="-3"/>
          <w:sz w:val="26"/>
          <w:szCs w:val="26"/>
        </w:rPr>
        <w:t xml:space="preserve"> </w:t>
      </w:r>
      <w:r w:rsidRPr="00E76BCE">
        <w:rPr>
          <w:color w:val="000000" w:themeColor="text1"/>
          <w:sz w:val="26"/>
          <w:szCs w:val="26"/>
        </w:rPr>
        <w:t>Inc., Urbana, IL, $1,489,530.</w:t>
      </w:r>
      <w:r w:rsidRPr="00E76BCE">
        <w:rPr>
          <w:sz w:val="26"/>
          <w:szCs w:val="26"/>
        </w:rPr>
        <w:t xml:space="preserve"> </w:t>
      </w:r>
    </w:p>
    <w:p w14:paraId="6D428CBA" w14:textId="13239252" w:rsidR="00B85436" w:rsidRPr="00E76BCE" w:rsidRDefault="00B85436" w:rsidP="00B85436">
      <w:pPr>
        <w:spacing w:before="2"/>
        <w:ind w:left="340" w:right="147" w:hanging="181"/>
        <w:rPr>
          <w:sz w:val="26"/>
          <w:szCs w:val="26"/>
        </w:rPr>
      </w:pPr>
      <w:r w:rsidRPr="00E76BCE">
        <w:rPr>
          <w:sz w:val="26"/>
          <w:szCs w:val="26"/>
          <w:vertAlign w:val="superscript"/>
        </w:rPr>
        <w:t>2</w:t>
      </w:r>
      <w:r w:rsidRPr="00E76BCE">
        <w:rPr>
          <w:spacing w:val="40"/>
          <w:sz w:val="26"/>
          <w:szCs w:val="26"/>
        </w:rPr>
        <w:t xml:space="preserve"> </w:t>
      </w:r>
      <w:r w:rsidRPr="00E76BCE">
        <w:rPr>
          <w:sz w:val="26"/>
          <w:szCs w:val="26"/>
        </w:rPr>
        <w:t>Description of Alternates: Alt</w:t>
      </w:r>
      <w:r w:rsidR="000B5A9E">
        <w:rPr>
          <w:sz w:val="26"/>
          <w:szCs w:val="26"/>
        </w:rPr>
        <w:t>ernate</w:t>
      </w:r>
      <w:r w:rsidRPr="00E76BCE">
        <w:rPr>
          <w:sz w:val="26"/>
          <w:szCs w:val="26"/>
        </w:rPr>
        <w:t xml:space="preserve"> 1</w:t>
      </w:r>
      <w:r w:rsidR="000B5A9E">
        <w:rPr>
          <w:sz w:val="26"/>
          <w:szCs w:val="26"/>
        </w:rPr>
        <w:t xml:space="preserve"> </w:t>
      </w:r>
      <w:r w:rsidRPr="00E76BCE">
        <w:rPr>
          <w:sz w:val="26"/>
          <w:szCs w:val="26"/>
        </w:rPr>
        <w:t xml:space="preserve">- Paint 100% of the </w:t>
      </w:r>
      <w:r w:rsidR="007B09D2" w:rsidRPr="00E76BCE">
        <w:rPr>
          <w:sz w:val="26"/>
          <w:szCs w:val="26"/>
        </w:rPr>
        <w:t>i</w:t>
      </w:r>
      <w:r w:rsidRPr="00E76BCE">
        <w:rPr>
          <w:sz w:val="26"/>
          <w:szCs w:val="26"/>
        </w:rPr>
        <w:t>nterior of the C10 Structure (Concrete and CMU walls, columns, beams, and ceilings); Alt</w:t>
      </w:r>
      <w:r w:rsidR="000B5A9E">
        <w:rPr>
          <w:sz w:val="26"/>
          <w:szCs w:val="26"/>
        </w:rPr>
        <w:t>ernate</w:t>
      </w:r>
      <w:r w:rsidRPr="00E76BCE">
        <w:rPr>
          <w:sz w:val="26"/>
          <w:szCs w:val="26"/>
        </w:rPr>
        <w:t xml:space="preserve"> 2</w:t>
      </w:r>
      <w:r w:rsidR="000B5A9E">
        <w:rPr>
          <w:sz w:val="26"/>
          <w:szCs w:val="26"/>
        </w:rPr>
        <w:t xml:space="preserve"> </w:t>
      </w:r>
      <w:r w:rsidRPr="00E76BCE">
        <w:rPr>
          <w:sz w:val="26"/>
          <w:szCs w:val="26"/>
        </w:rPr>
        <w:t>- Provide an allowance for replacement of 50 LF of 6</w:t>
      </w:r>
      <w:r w:rsidR="000B5A9E">
        <w:rPr>
          <w:sz w:val="26"/>
          <w:szCs w:val="26"/>
        </w:rPr>
        <w:t xml:space="preserve"> inches</w:t>
      </w:r>
      <w:r w:rsidRPr="00E76BCE">
        <w:rPr>
          <w:sz w:val="26"/>
          <w:szCs w:val="26"/>
        </w:rPr>
        <w:t xml:space="preserve"> underground storm/drain</w:t>
      </w:r>
      <w:r w:rsidR="00D2283C" w:rsidRPr="00E76BCE">
        <w:rPr>
          <w:sz w:val="26"/>
          <w:szCs w:val="26"/>
        </w:rPr>
        <w:t xml:space="preserve"> </w:t>
      </w:r>
      <w:r w:rsidRPr="00E76BCE">
        <w:rPr>
          <w:sz w:val="26"/>
          <w:szCs w:val="26"/>
        </w:rPr>
        <w:t>tile piping; including concrete repairs</w:t>
      </w:r>
      <w:r w:rsidR="000B5A9E">
        <w:rPr>
          <w:sz w:val="26"/>
          <w:szCs w:val="26"/>
        </w:rPr>
        <w:t>;</w:t>
      </w:r>
      <w:r w:rsidRPr="00E76BCE">
        <w:rPr>
          <w:sz w:val="26"/>
          <w:szCs w:val="26"/>
        </w:rPr>
        <w:t xml:space="preserve"> </w:t>
      </w:r>
      <w:r w:rsidR="000B5A9E">
        <w:rPr>
          <w:sz w:val="26"/>
          <w:szCs w:val="26"/>
        </w:rPr>
        <w:t>p</w:t>
      </w:r>
      <w:r w:rsidRPr="00E76BCE">
        <w:rPr>
          <w:sz w:val="26"/>
          <w:szCs w:val="26"/>
        </w:rPr>
        <w:t xml:space="preserve">ending results of the rodding and televising </w:t>
      </w:r>
      <w:r w:rsidRPr="00E76BCE">
        <w:rPr>
          <w:sz w:val="26"/>
          <w:szCs w:val="26"/>
        </w:rPr>
        <w:lastRenderedPageBreak/>
        <w:t>scope</w:t>
      </w:r>
      <w:r w:rsidR="000B5A9E">
        <w:rPr>
          <w:sz w:val="26"/>
          <w:szCs w:val="26"/>
        </w:rPr>
        <w:t>,</w:t>
      </w:r>
      <w:r w:rsidRPr="00E76BCE">
        <w:rPr>
          <w:sz w:val="26"/>
          <w:szCs w:val="26"/>
        </w:rPr>
        <w:t xml:space="preserve"> which is part of the base bid documents</w:t>
      </w:r>
      <w:r w:rsidR="000B5A9E">
        <w:rPr>
          <w:sz w:val="26"/>
          <w:szCs w:val="26"/>
        </w:rPr>
        <w:t>.</w:t>
      </w:r>
    </w:p>
    <w:p w14:paraId="7DFD6A9E" w14:textId="77777777" w:rsidR="00B85436" w:rsidRPr="00E76BCE" w:rsidRDefault="00B85436">
      <w:pPr>
        <w:pStyle w:val="BodyText"/>
        <w:spacing w:line="480" w:lineRule="auto"/>
        <w:ind w:left="160" w:right="193" w:firstLine="1439"/>
      </w:pPr>
    </w:p>
    <w:p w14:paraId="06A8824E" w14:textId="21A96975" w:rsidR="00DA114E" w:rsidRPr="00E76BCE" w:rsidRDefault="00DA114E" w:rsidP="00752C64">
      <w:pPr>
        <w:pStyle w:val="BodyText"/>
        <w:spacing w:before="4"/>
        <w:sectPr w:rsidR="00DA114E" w:rsidRPr="00E76BCE" w:rsidSect="008150E8">
          <w:headerReference w:type="default" r:id="rId7"/>
          <w:pgSz w:w="12240" w:h="15840"/>
          <w:pgMar w:top="720" w:right="1440" w:bottom="1440" w:left="1440" w:header="720" w:footer="0" w:gutter="0"/>
          <w:cols w:space="720"/>
          <w:titlePg/>
          <w:docGrid w:linePitch="299"/>
        </w:sectPr>
      </w:pPr>
    </w:p>
    <w:p w14:paraId="75197C18" w14:textId="4F1F3FAE" w:rsidR="00267990" w:rsidRPr="00E76BCE" w:rsidRDefault="00DA114E" w:rsidP="00752C64">
      <w:pPr>
        <w:pStyle w:val="BodyText"/>
        <w:spacing w:before="4"/>
      </w:pPr>
      <w:r w:rsidRPr="00E76BCE">
        <w:lastRenderedPageBreak/>
        <w:t>Table 1: Diverse Vendor Participation</w:t>
      </w:r>
    </w:p>
    <w:tbl>
      <w:tblPr>
        <w:tblW w:w="5082" w:type="pct"/>
        <w:tblLook w:val="04A0" w:firstRow="1" w:lastRow="0" w:firstColumn="1" w:lastColumn="0" w:noHBand="0" w:noVBand="1"/>
      </w:tblPr>
      <w:tblGrid>
        <w:gridCol w:w="2641"/>
        <w:gridCol w:w="2028"/>
        <w:gridCol w:w="1797"/>
        <w:gridCol w:w="1402"/>
        <w:gridCol w:w="1928"/>
        <w:gridCol w:w="1694"/>
        <w:gridCol w:w="1662"/>
      </w:tblGrid>
      <w:tr w:rsidR="001A6F90" w:rsidRPr="00E76BCE" w14:paraId="7C6AE3FC" w14:textId="77777777" w:rsidTr="001A6F90">
        <w:trPr>
          <w:trHeight w:val="769"/>
        </w:trPr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93D13A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Division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CE6388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Awarded Vendor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5CD1A7E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Prime Contract Value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87E358E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Prime Diversity?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CD963FF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Diverse Subcontractor Contract Value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DE1E8E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Diverse Subcontractor % of Work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646FD29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Diverse Classification</w:t>
            </w:r>
          </w:p>
        </w:tc>
      </w:tr>
      <w:tr w:rsidR="001A6F90" w:rsidRPr="00E76BCE" w14:paraId="03923EB6" w14:textId="77777777" w:rsidTr="001A6F90">
        <w:trPr>
          <w:trHeight w:val="665"/>
        </w:trPr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2F70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Division 1: General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9CF2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Grunloh Construction, Inc., Effingham, IL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F821" w14:textId="43D07423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$     9,403,000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12E1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N/A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3C8C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$      3,091,200 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9589" w14:textId="77777777" w:rsidR="00DA114E" w:rsidRPr="00E76BCE" w:rsidRDefault="00DA114E" w:rsidP="00DA114E">
            <w:pPr>
              <w:widowControl/>
              <w:autoSpaceDE/>
              <w:autoSpaceDN/>
              <w:jc w:val="right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33%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777F8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MBE (HA)</w:t>
            </w:r>
          </w:p>
        </w:tc>
      </w:tr>
      <w:tr w:rsidR="001A6F90" w:rsidRPr="00E76BCE" w14:paraId="21BF26DC" w14:textId="77777777" w:rsidTr="001A6F90">
        <w:trPr>
          <w:trHeight w:val="332"/>
        </w:trPr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88E3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2BDA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3DA9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52CA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D36B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           282,875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8702" w14:textId="77777777" w:rsidR="00DA114E" w:rsidRPr="00E76BCE" w:rsidRDefault="00DA114E" w:rsidP="00DA114E">
            <w:pPr>
              <w:widowControl/>
              <w:autoSpaceDE/>
              <w:autoSpaceDN/>
              <w:jc w:val="right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3%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6172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VBE </w:t>
            </w:r>
          </w:p>
        </w:tc>
      </w:tr>
      <w:tr w:rsidR="001A6F90" w:rsidRPr="00E76BCE" w14:paraId="4DA78A1A" w14:textId="77777777" w:rsidTr="001A6F90">
        <w:trPr>
          <w:trHeight w:val="348"/>
        </w:trPr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499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80C8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Division 1: General Total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5245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0431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D7FE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$      3,374,075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FF6A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78508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A6F90" w:rsidRPr="00E76BCE" w14:paraId="55AFF6C8" w14:textId="77777777" w:rsidTr="001A6F90">
        <w:trPr>
          <w:trHeight w:val="144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ED93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BE9FC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2A42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0B48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92CF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FE3F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71B4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</w:tr>
      <w:tr w:rsidR="001A6F90" w:rsidRPr="00E76BCE" w14:paraId="7595C2AC" w14:textId="77777777" w:rsidTr="001A6F90">
        <w:trPr>
          <w:trHeight w:val="665"/>
        </w:trPr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22D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Division 2: Plumbing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AB4A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Reliable Plumbing and Heating, Champaign, IL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01C9" w14:textId="2F042FBE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$        232,120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55EF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N/A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8A77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$           69,640 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CC80" w14:textId="77777777" w:rsidR="00DA114E" w:rsidRPr="00E76BCE" w:rsidRDefault="00DA114E" w:rsidP="00DA114E">
            <w:pPr>
              <w:widowControl/>
              <w:autoSpaceDE/>
              <w:autoSpaceDN/>
              <w:jc w:val="right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30%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E1919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WBE</w:t>
            </w:r>
          </w:p>
        </w:tc>
      </w:tr>
      <w:tr w:rsidR="001A6F90" w:rsidRPr="00E76BCE" w14:paraId="0E91AC01" w14:textId="77777777" w:rsidTr="001A6F90">
        <w:trPr>
          <w:trHeight w:val="332"/>
        </w:trPr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4496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EAF5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A940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B379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FDC7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                6,965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8672" w14:textId="77777777" w:rsidR="00DA114E" w:rsidRPr="00E76BCE" w:rsidRDefault="00DA114E" w:rsidP="00DA114E">
            <w:pPr>
              <w:widowControl/>
              <w:autoSpaceDE/>
              <w:autoSpaceDN/>
              <w:jc w:val="right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3%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FA45E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VBE</w:t>
            </w:r>
          </w:p>
        </w:tc>
      </w:tr>
      <w:tr w:rsidR="001A6F90" w:rsidRPr="00E76BCE" w14:paraId="01B84381" w14:textId="77777777" w:rsidTr="001A6F90">
        <w:trPr>
          <w:trHeight w:val="348"/>
        </w:trPr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4D9A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B901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Division 2: Plumbing Total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2DB6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6A7F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59A3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$           76,605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9158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28941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A6F90" w:rsidRPr="00E76BCE" w14:paraId="631E1B20" w14:textId="77777777" w:rsidTr="001A6F90">
        <w:trPr>
          <w:trHeight w:val="144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6AE2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B0A5E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6D59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C7D3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B0FC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8A63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E5D0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</w:tr>
      <w:tr w:rsidR="001A6F90" w:rsidRPr="00E76BCE" w14:paraId="016AC10F" w14:textId="77777777" w:rsidTr="001A6F90">
        <w:trPr>
          <w:trHeight w:val="665"/>
        </w:trPr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8E2B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Division 4: Ventilation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CC2E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Reliable Plumbing and Heating, Champaign, IL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E244" w14:textId="4EA85B5F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$        183,000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3793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N/A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D951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$           54,900 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ED3C" w14:textId="77777777" w:rsidR="00DA114E" w:rsidRPr="00E76BCE" w:rsidRDefault="00DA114E" w:rsidP="00DA114E">
            <w:pPr>
              <w:widowControl/>
              <w:autoSpaceDE/>
              <w:autoSpaceDN/>
              <w:jc w:val="right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30%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E1DD1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WBE</w:t>
            </w:r>
          </w:p>
        </w:tc>
      </w:tr>
      <w:tr w:rsidR="001A6F90" w:rsidRPr="00E76BCE" w14:paraId="603D8D1B" w14:textId="77777777" w:rsidTr="001A6F90">
        <w:trPr>
          <w:trHeight w:val="332"/>
        </w:trPr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FFAA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04D6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504D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32F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382B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                5,490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9825" w14:textId="77777777" w:rsidR="00DA114E" w:rsidRPr="00E76BCE" w:rsidRDefault="00DA114E" w:rsidP="00DA114E">
            <w:pPr>
              <w:widowControl/>
              <w:autoSpaceDE/>
              <w:autoSpaceDN/>
              <w:jc w:val="right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3%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6AB11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VBE</w:t>
            </w:r>
          </w:p>
        </w:tc>
      </w:tr>
      <w:tr w:rsidR="001A6F90" w:rsidRPr="00E76BCE" w14:paraId="61D80E4E" w14:textId="77777777" w:rsidTr="001A6F90">
        <w:trPr>
          <w:trHeight w:val="348"/>
        </w:trPr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2E29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9D35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Division 4: Ventilation Total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CA93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5ED1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43AE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$           60,390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3630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BB051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55F5A6EA" w14:textId="77777777" w:rsidR="001A6F90" w:rsidRDefault="001A6F90">
      <w:r>
        <w:br w:type="page"/>
      </w:r>
    </w:p>
    <w:tbl>
      <w:tblPr>
        <w:tblW w:w="5074" w:type="pct"/>
        <w:tblInd w:w="10" w:type="dxa"/>
        <w:tblLook w:val="04A0" w:firstRow="1" w:lastRow="0" w:firstColumn="1" w:lastColumn="0" w:noHBand="0" w:noVBand="1"/>
      </w:tblPr>
      <w:tblGrid>
        <w:gridCol w:w="2641"/>
        <w:gridCol w:w="2028"/>
        <w:gridCol w:w="1797"/>
        <w:gridCol w:w="1402"/>
        <w:gridCol w:w="1928"/>
        <w:gridCol w:w="1694"/>
        <w:gridCol w:w="1662"/>
      </w:tblGrid>
      <w:tr w:rsidR="001A6F90" w:rsidRPr="00E76BCE" w14:paraId="45FAA2EC" w14:textId="77777777" w:rsidTr="001A6F90">
        <w:trPr>
          <w:trHeight w:val="144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C258" w14:textId="393589D6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1750C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2759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60F0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CEB3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7814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62F1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</w:tr>
      <w:tr w:rsidR="001A6F90" w:rsidRPr="00E76BCE" w14:paraId="58889FF2" w14:textId="77777777" w:rsidTr="001A6F90">
        <w:trPr>
          <w:trHeight w:val="665"/>
        </w:trPr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1CBD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Division 5: Electrical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52CD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Glesco Electric, Inc., Urbana, IL 61802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81FF" w14:textId="6DA1C7B3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$    1,489,530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19D5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N/A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E682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$      1,444,844 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D2CF" w14:textId="77777777" w:rsidR="00DA114E" w:rsidRPr="00E76BCE" w:rsidRDefault="00DA114E" w:rsidP="00DA114E">
            <w:pPr>
              <w:widowControl/>
              <w:autoSpaceDE/>
              <w:autoSpaceDN/>
              <w:jc w:val="right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97%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F10EA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WBE</w:t>
            </w:r>
          </w:p>
        </w:tc>
      </w:tr>
      <w:tr w:rsidR="001A6F90" w:rsidRPr="00E76BCE" w14:paraId="0BDA1D7B" w14:textId="77777777" w:rsidTr="001A6F90">
        <w:trPr>
          <w:trHeight w:val="332"/>
        </w:trPr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F6EF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F781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F10B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2364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787D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             44,686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1FFD" w14:textId="77777777" w:rsidR="00DA114E" w:rsidRPr="00E76BCE" w:rsidRDefault="00DA114E" w:rsidP="00DA114E">
            <w:pPr>
              <w:widowControl/>
              <w:autoSpaceDE/>
              <w:autoSpaceDN/>
              <w:jc w:val="right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3%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4F8D0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VBE</w:t>
            </w:r>
          </w:p>
        </w:tc>
      </w:tr>
      <w:tr w:rsidR="001A6F90" w:rsidRPr="00E76BCE" w14:paraId="3537CFBE" w14:textId="77777777" w:rsidTr="001A6F90">
        <w:trPr>
          <w:trHeight w:val="325"/>
        </w:trPr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A9F6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17A4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Division 5: Electrical Total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96D1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9829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1444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$      1,489,530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5775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70CEE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A6F90" w:rsidRPr="00E76BCE" w14:paraId="51026B87" w14:textId="77777777" w:rsidTr="001A6F90">
        <w:trPr>
          <w:trHeight w:val="144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783A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1880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884B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7C03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65F8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9DA1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0EB8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</w:tr>
      <w:tr w:rsidR="001A6F90" w:rsidRPr="00E76BCE" w14:paraId="36983CF4" w14:textId="77777777" w:rsidTr="001A6F90">
        <w:trPr>
          <w:trHeight w:val="378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0D35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8B10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Total Awarded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B25D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 xml:space="preserve"> $  11,307,650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738C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AB2EE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0B9B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2D87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</w:tr>
      <w:tr w:rsidR="001A6F90" w:rsidRPr="00E76BCE" w14:paraId="3B80CF77" w14:textId="77777777" w:rsidTr="001A6F90">
        <w:trPr>
          <w:trHeight w:val="378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3D3A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92B7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Total MBE (HA)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5C9C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9640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$3,091,200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EEFD53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27%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3E89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808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</w:tr>
      <w:tr w:rsidR="001A6F90" w:rsidRPr="00E76BCE" w14:paraId="3B73D9F6" w14:textId="77777777" w:rsidTr="001A6F90">
        <w:trPr>
          <w:trHeight w:val="378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E9C9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B0E4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Total VBE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F1C0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FAD7" w14:textId="5348AC5A" w:rsidR="00DA114E" w:rsidRPr="00E76BCE" w:rsidRDefault="001A6F90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DA114E" w:rsidRPr="00E76BCE">
              <w:rPr>
                <w:color w:val="000000"/>
                <w:sz w:val="26"/>
                <w:szCs w:val="26"/>
              </w:rPr>
              <w:t>$340,016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0BC466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3%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6308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0BEA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</w:tr>
      <w:tr w:rsidR="001A6F90" w:rsidRPr="00E76BCE" w14:paraId="05C2A0C3" w14:textId="77777777" w:rsidTr="001A6F90">
        <w:trPr>
          <w:trHeight w:val="378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96EB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AC6E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Total WBE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E9DA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2DA1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$1,569,384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3566BC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14%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0DB2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1F83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</w:tr>
      <w:tr w:rsidR="001A6F90" w:rsidRPr="00E76BCE" w14:paraId="34BBDFAA" w14:textId="77777777" w:rsidTr="001A6F90">
        <w:trPr>
          <w:trHeight w:val="393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06D9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7A8A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Total Diversity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D375" w14:textId="77777777" w:rsidR="00DA114E" w:rsidRPr="00E76BCE" w:rsidRDefault="00DA114E" w:rsidP="00DA114E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E2E261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$5,000,600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389E5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76BCE">
              <w:rPr>
                <w:color w:val="000000"/>
                <w:sz w:val="26"/>
                <w:szCs w:val="26"/>
              </w:rPr>
              <w:t>44%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C3D3" w14:textId="77777777" w:rsidR="00DA114E" w:rsidRPr="00E76BCE" w:rsidRDefault="00DA114E" w:rsidP="00DA114E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40E2" w14:textId="77777777" w:rsidR="00DA114E" w:rsidRPr="00E76BCE" w:rsidRDefault="00DA114E" w:rsidP="00DA114E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</w:tr>
    </w:tbl>
    <w:p w14:paraId="7CDAE481" w14:textId="77777777" w:rsidR="00DA114E" w:rsidRPr="00E76BCE" w:rsidRDefault="00DA114E" w:rsidP="00752C64">
      <w:pPr>
        <w:pStyle w:val="BodyText"/>
        <w:spacing w:before="4"/>
      </w:pPr>
    </w:p>
    <w:sectPr w:rsidR="00DA114E" w:rsidRPr="00E76BCE" w:rsidSect="00E76BCE">
      <w:pgSz w:w="15840" w:h="12240" w:orient="landscape"/>
      <w:pgMar w:top="720" w:right="1440" w:bottom="1440" w:left="1440" w:header="7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13C0" w14:textId="77777777" w:rsidR="00CE742E" w:rsidRDefault="00CE742E">
      <w:r>
        <w:separator/>
      </w:r>
    </w:p>
  </w:endnote>
  <w:endnote w:type="continuationSeparator" w:id="0">
    <w:p w14:paraId="4608E9C5" w14:textId="77777777" w:rsidR="00CE742E" w:rsidRDefault="00CE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468F" w14:textId="77777777" w:rsidR="00CE742E" w:rsidRDefault="00CE742E">
      <w:r>
        <w:separator/>
      </w:r>
    </w:p>
  </w:footnote>
  <w:footnote w:type="continuationSeparator" w:id="0">
    <w:p w14:paraId="5DE6324A" w14:textId="77777777" w:rsidR="00CE742E" w:rsidRDefault="00CE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796631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AF33114" w14:textId="3885E7A4" w:rsidR="008150E8" w:rsidRDefault="008150E8">
        <w:pPr>
          <w:pStyle w:val="Header"/>
          <w:jc w:val="center"/>
          <w:rPr>
            <w:noProof/>
            <w:sz w:val="26"/>
            <w:szCs w:val="26"/>
          </w:rPr>
        </w:pPr>
        <w:r w:rsidRPr="008150E8">
          <w:rPr>
            <w:sz w:val="26"/>
            <w:szCs w:val="26"/>
          </w:rPr>
          <w:fldChar w:fldCharType="begin"/>
        </w:r>
        <w:r w:rsidRPr="008150E8">
          <w:rPr>
            <w:sz w:val="26"/>
            <w:szCs w:val="26"/>
          </w:rPr>
          <w:instrText xml:space="preserve"> PAGE   \* MERGEFORMAT </w:instrText>
        </w:r>
        <w:r w:rsidRPr="008150E8">
          <w:rPr>
            <w:sz w:val="26"/>
            <w:szCs w:val="26"/>
          </w:rPr>
          <w:fldChar w:fldCharType="separate"/>
        </w:r>
        <w:r w:rsidRPr="008150E8">
          <w:rPr>
            <w:noProof/>
            <w:sz w:val="26"/>
            <w:szCs w:val="26"/>
          </w:rPr>
          <w:t>2</w:t>
        </w:r>
        <w:r w:rsidRPr="008150E8">
          <w:rPr>
            <w:noProof/>
            <w:sz w:val="26"/>
            <w:szCs w:val="26"/>
          </w:rPr>
          <w:fldChar w:fldCharType="end"/>
        </w:r>
      </w:p>
    </w:sdtContent>
  </w:sdt>
  <w:p w14:paraId="04144F5B" w14:textId="77777777" w:rsidR="000B5A9E" w:rsidRPr="008150E8" w:rsidRDefault="000B5A9E">
    <w:pPr>
      <w:pStyle w:val="Header"/>
      <w:jc w:val="center"/>
      <w:rPr>
        <w:sz w:val="26"/>
        <w:szCs w:val="26"/>
      </w:rPr>
    </w:pPr>
  </w:p>
  <w:p w14:paraId="1A02302F" w14:textId="59C6198C" w:rsidR="00425936" w:rsidRDefault="00425936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36"/>
    <w:rsid w:val="00005557"/>
    <w:rsid w:val="000B5A9E"/>
    <w:rsid w:val="000B5D7C"/>
    <w:rsid w:val="000C4967"/>
    <w:rsid w:val="000E5A47"/>
    <w:rsid w:val="000E7452"/>
    <w:rsid w:val="000F72C0"/>
    <w:rsid w:val="001516C6"/>
    <w:rsid w:val="001538A9"/>
    <w:rsid w:val="00185034"/>
    <w:rsid w:val="001A63E0"/>
    <w:rsid w:val="001A6F90"/>
    <w:rsid w:val="001D069B"/>
    <w:rsid w:val="00201C97"/>
    <w:rsid w:val="002463ED"/>
    <w:rsid w:val="00267990"/>
    <w:rsid w:val="002C5371"/>
    <w:rsid w:val="00404879"/>
    <w:rsid w:val="00425936"/>
    <w:rsid w:val="00480F19"/>
    <w:rsid w:val="005A0994"/>
    <w:rsid w:val="00601C61"/>
    <w:rsid w:val="00646339"/>
    <w:rsid w:val="0066479C"/>
    <w:rsid w:val="00707F3E"/>
    <w:rsid w:val="00752C64"/>
    <w:rsid w:val="007B09D2"/>
    <w:rsid w:val="00814EA1"/>
    <w:rsid w:val="008150E8"/>
    <w:rsid w:val="00882952"/>
    <w:rsid w:val="008D35D6"/>
    <w:rsid w:val="008D4616"/>
    <w:rsid w:val="008E0703"/>
    <w:rsid w:val="009C6A19"/>
    <w:rsid w:val="00A13E35"/>
    <w:rsid w:val="00AE25EC"/>
    <w:rsid w:val="00B6246E"/>
    <w:rsid w:val="00B85436"/>
    <w:rsid w:val="00BB5DEF"/>
    <w:rsid w:val="00BC0B72"/>
    <w:rsid w:val="00BC38C3"/>
    <w:rsid w:val="00C2022E"/>
    <w:rsid w:val="00CE742E"/>
    <w:rsid w:val="00D2283C"/>
    <w:rsid w:val="00D52668"/>
    <w:rsid w:val="00D52A98"/>
    <w:rsid w:val="00D77639"/>
    <w:rsid w:val="00DA0F42"/>
    <w:rsid w:val="00DA114E"/>
    <w:rsid w:val="00E30182"/>
    <w:rsid w:val="00E54595"/>
    <w:rsid w:val="00E55C92"/>
    <w:rsid w:val="00E606B0"/>
    <w:rsid w:val="00E76BCE"/>
    <w:rsid w:val="00E84B13"/>
    <w:rsid w:val="00E8617A"/>
    <w:rsid w:val="00EA7C3B"/>
    <w:rsid w:val="00EB2849"/>
    <w:rsid w:val="00EE5362"/>
    <w:rsid w:val="00F45CB6"/>
    <w:rsid w:val="00F75913"/>
    <w:rsid w:val="00F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DCAA0"/>
  <w15:docId w15:val="{608DF055-704C-49E9-B95C-1E57C449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59"/>
      <w:ind w:right="119"/>
      <w:jc w:val="right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72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2C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72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2C0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707F3E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267990"/>
    <w:pPr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484B-E4D2-4923-9AB7-FE28DF00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DeLorenzo, Stacey</dc:creator>
  <dc:description/>
  <cp:lastModifiedBy>Williams, Aubrie</cp:lastModifiedBy>
  <cp:revision>11</cp:revision>
  <cp:lastPrinted>2023-03-21T15:49:00Z</cp:lastPrinted>
  <dcterms:created xsi:type="dcterms:W3CDTF">2023-03-03T13:26:00Z</dcterms:created>
  <dcterms:modified xsi:type="dcterms:W3CDTF">2023-03-30T16:51:00Z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2022-11-29T00:00:00Z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D:20210303192526</vt:lpwstr>
  </property>
  <property fmtid="{D5CDD505-2E9C-101B-9397-08002B2CF9AE}" pid="7" name="GrammarlyDocumentId">
    <vt:lpwstr>2730c236a1416afa171c5084e4f3b848f96fd34c886c6c9ce40b6f868b351918</vt:lpwstr>
  </property>
</Properties>
</file>