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ABAD" w14:textId="77777777" w:rsidR="00D560EF" w:rsidRPr="00D560EF" w:rsidRDefault="00D560EF" w:rsidP="00D560EF">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sidRPr="00D560EF">
        <w:rPr>
          <w:color w:val="FF0000"/>
        </w:rPr>
        <w:t>Approved by the Board of Trustees</w:t>
      </w:r>
    </w:p>
    <w:bookmarkEnd w:id="0"/>
    <w:bookmarkEnd w:id="1"/>
    <w:p w14:paraId="3415C937" w14:textId="77777777" w:rsidR="00D560EF" w:rsidRPr="00D560EF" w:rsidRDefault="00D560EF" w:rsidP="00D560EF">
      <w:pPr>
        <w:pBdr>
          <w:top w:val="single" w:sz="4" w:space="1" w:color="auto"/>
          <w:left w:val="single" w:sz="4" w:space="4" w:color="auto"/>
          <w:bottom w:val="single" w:sz="4" w:space="1" w:color="auto"/>
          <w:right w:val="single" w:sz="4" w:space="4" w:color="auto"/>
        </w:pBdr>
        <w:ind w:right="5670"/>
        <w:rPr>
          <w:color w:val="FF0000"/>
        </w:rPr>
      </w:pPr>
      <w:r w:rsidRPr="00D560EF">
        <w:rPr>
          <w:color w:val="FF0000"/>
        </w:rPr>
        <w:t>March 30, 2023</w:t>
      </w:r>
    </w:p>
    <w:p w14:paraId="53FC0E80" w14:textId="51439F5E" w:rsidR="00C474C6" w:rsidRPr="009504D2" w:rsidRDefault="005F5723" w:rsidP="00FF7A5D">
      <w:pPr>
        <w:pStyle w:val="Default"/>
        <w:jc w:val="right"/>
        <w:rPr>
          <w:rFonts w:ascii="Times New Roman" w:hAnsi="Times New Roman" w:cs="Times New Roman"/>
          <w:color w:val="auto"/>
          <w:sz w:val="60"/>
          <w:szCs w:val="60"/>
        </w:rPr>
      </w:pPr>
      <w:r>
        <w:rPr>
          <w:rFonts w:ascii="Times New Roman" w:hAnsi="Times New Roman" w:cs="Times New Roman"/>
          <w:b/>
          <w:bCs/>
          <w:color w:val="auto"/>
          <w:sz w:val="60"/>
          <w:szCs w:val="60"/>
        </w:rPr>
        <w:t>22</w:t>
      </w:r>
    </w:p>
    <w:p w14:paraId="07C52CF4" w14:textId="637B38E0" w:rsidR="00FF7A5D" w:rsidRDefault="00FF7A5D" w:rsidP="00FF7A5D">
      <w:pPr>
        <w:pStyle w:val="Default"/>
        <w:jc w:val="right"/>
        <w:rPr>
          <w:rFonts w:ascii="Times New Roman" w:hAnsi="Times New Roman" w:cs="Times New Roman"/>
          <w:color w:val="auto"/>
          <w:sz w:val="26"/>
          <w:szCs w:val="26"/>
        </w:rPr>
      </w:pPr>
    </w:p>
    <w:p w14:paraId="0941C5D7" w14:textId="77777777" w:rsidR="008275F7" w:rsidRPr="009504D2" w:rsidRDefault="008275F7" w:rsidP="00FF7A5D">
      <w:pPr>
        <w:pStyle w:val="Default"/>
        <w:jc w:val="right"/>
        <w:rPr>
          <w:rFonts w:ascii="Times New Roman" w:hAnsi="Times New Roman" w:cs="Times New Roman"/>
          <w:color w:val="auto"/>
          <w:sz w:val="26"/>
          <w:szCs w:val="26"/>
        </w:rPr>
      </w:pPr>
    </w:p>
    <w:p w14:paraId="325A480F" w14:textId="77777777" w:rsidR="00C474C6" w:rsidRPr="00521958" w:rsidRDefault="00F00B41" w:rsidP="00F00B41">
      <w:pPr>
        <w:pStyle w:val="Default"/>
        <w:tabs>
          <w:tab w:val="left" w:pos="7200"/>
        </w:tabs>
        <w:rPr>
          <w:rFonts w:ascii="Times New Roman" w:hAnsi="Times New Roman" w:cs="Times New Roman"/>
          <w:color w:val="auto"/>
          <w:sz w:val="26"/>
          <w:szCs w:val="26"/>
        </w:rPr>
      </w:pPr>
      <w:r w:rsidRPr="009504D2">
        <w:rPr>
          <w:rFonts w:ascii="Times New Roman" w:hAnsi="Times New Roman" w:cs="Times New Roman"/>
          <w:color w:val="auto"/>
          <w:sz w:val="26"/>
          <w:szCs w:val="26"/>
        </w:rPr>
        <w:tab/>
      </w:r>
      <w:r w:rsidR="00C474C6" w:rsidRPr="00521958">
        <w:rPr>
          <w:rFonts w:ascii="Times New Roman" w:hAnsi="Times New Roman" w:cs="Times New Roman"/>
          <w:color w:val="auto"/>
          <w:sz w:val="26"/>
          <w:szCs w:val="26"/>
        </w:rPr>
        <w:t xml:space="preserve">Board Meeting  </w:t>
      </w:r>
    </w:p>
    <w:p w14:paraId="1590E2D7" w14:textId="532C3F0A" w:rsidR="00C474C6" w:rsidRPr="00521958" w:rsidRDefault="00C474C6" w:rsidP="00F00B41">
      <w:pPr>
        <w:pStyle w:val="Default"/>
        <w:tabs>
          <w:tab w:val="left" w:pos="7200"/>
        </w:tabs>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r w:rsidR="00F00B41" w:rsidRPr="00521958">
        <w:rPr>
          <w:rFonts w:ascii="Times New Roman" w:hAnsi="Times New Roman" w:cs="Times New Roman"/>
          <w:color w:val="auto"/>
          <w:sz w:val="26"/>
          <w:szCs w:val="26"/>
        </w:rPr>
        <w:tab/>
      </w:r>
      <w:r w:rsidR="001B2A59" w:rsidRPr="00521958">
        <w:rPr>
          <w:rFonts w:ascii="Times New Roman" w:hAnsi="Times New Roman" w:cs="Times New Roman"/>
          <w:color w:val="auto"/>
          <w:sz w:val="26"/>
          <w:szCs w:val="26"/>
        </w:rPr>
        <w:t>March 30</w:t>
      </w:r>
      <w:r w:rsidR="009504D2" w:rsidRPr="00521958">
        <w:rPr>
          <w:rFonts w:ascii="Times New Roman" w:hAnsi="Times New Roman" w:cs="Times New Roman"/>
          <w:color w:val="auto"/>
          <w:sz w:val="26"/>
          <w:szCs w:val="26"/>
        </w:rPr>
        <w:t>, 202</w:t>
      </w:r>
      <w:r w:rsidR="001B2A59" w:rsidRPr="00521958">
        <w:rPr>
          <w:rFonts w:ascii="Times New Roman" w:hAnsi="Times New Roman" w:cs="Times New Roman"/>
          <w:color w:val="auto"/>
          <w:sz w:val="26"/>
          <w:szCs w:val="26"/>
        </w:rPr>
        <w:t>3</w:t>
      </w:r>
    </w:p>
    <w:p w14:paraId="725B21AD" w14:textId="77777777" w:rsidR="00C474C6" w:rsidRPr="00521958" w:rsidRDefault="00C474C6">
      <w:pPr>
        <w:pStyle w:val="Default"/>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p>
    <w:p w14:paraId="2D27E64E" w14:textId="77777777" w:rsidR="00C474C6" w:rsidRPr="00521958" w:rsidRDefault="00C474C6">
      <w:pPr>
        <w:pStyle w:val="Default"/>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p>
    <w:p w14:paraId="6EBB0CEF" w14:textId="77777777" w:rsidR="00C474C6" w:rsidRPr="00521958" w:rsidRDefault="00C474C6" w:rsidP="00FF7A5D">
      <w:pPr>
        <w:pStyle w:val="Default"/>
        <w:jc w:val="center"/>
        <w:rPr>
          <w:rFonts w:ascii="Times New Roman" w:hAnsi="Times New Roman" w:cs="Times New Roman"/>
          <w:color w:val="auto"/>
          <w:sz w:val="26"/>
          <w:szCs w:val="26"/>
        </w:rPr>
      </w:pPr>
      <w:r w:rsidRPr="00521958">
        <w:rPr>
          <w:rFonts w:ascii="Times New Roman" w:hAnsi="Times New Roman" w:cs="Times New Roman"/>
          <w:color w:val="auto"/>
          <w:sz w:val="26"/>
          <w:szCs w:val="26"/>
        </w:rPr>
        <w:t>ROLL CALL</w:t>
      </w:r>
    </w:p>
    <w:p w14:paraId="18EC1B6C" w14:textId="77777777" w:rsidR="00C474C6" w:rsidRPr="00521958" w:rsidRDefault="00C474C6" w:rsidP="00FF7A5D">
      <w:pPr>
        <w:pStyle w:val="Default"/>
        <w:jc w:val="center"/>
        <w:rPr>
          <w:rFonts w:ascii="Times New Roman" w:hAnsi="Times New Roman" w:cs="Times New Roman"/>
          <w:color w:val="auto"/>
          <w:sz w:val="26"/>
          <w:szCs w:val="26"/>
        </w:rPr>
      </w:pPr>
    </w:p>
    <w:p w14:paraId="34E4B59B" w14:textId="21597A3F" w:rsidR="00C474C6" w:rsidRPr="00350B89" w:rsidRDefault="006D31EF" w:rsidP="00350B89">
      <w:pPr>
        <w:pStyle w:val="Heading1"/>
      </w:pPr>
      <w:r w:rsidRPr="00350B89">
        <w:t xml:space="preserve">APPROVE </w:t>
      </w:r>
      <w:r w:rsidR="001A7766" w:rsidRPr="00350B89">
        <w:t xml:space="preserve">PROJECT </w:t>
      </w:r>
      <w:r w:rsidR="00343A32" w:rsidRPr="00350B89">
        <w:t xml:space="preserve">BUDGET AND </w:t>
      </w:r>
      <w:r w:rsidRPr="00350B89">
        <w:t xml:space="preserve">AMEND </w:t>
      </w:r>
      <w:r w:rsidR="00343A32" w:rsidRPr="00350B89">
        <w:t xml:space="preserve">PROFESSIONAL SERVICES </w:t>
      </w:r>
      <w:r w:rsidRPr="00350B89">
        <w:t xml:space="preserve">CONSULTANT CONTRACT </w:t>
      </w:r>
      <w:r w:rsidR="00C474C6" w:rsidRPr="00350B89">
        <w:t>FOR</w:t>
      </w:r>
      <w:r w:rsidR="00343A32" w:rsidRPr="00350B89">
        <w:t xml:space="preserve"> ILLINI UNION</w:t>
      </w:r>
      <w:r w:rsidR="002F5428" w:rsidRPr="00350B89">
        <w:t xml:space="preserve"> </w:t>
      </w:r>
      <w:r w:rsidR="009504D2" w:rsidRPr="00350B89">
        <w:t>R</w:t>
      </w:r>
      <w:r w:rsidR="00343A32" w:rsidRPr="00350B89">
        <w:t>OOF REPLACEMENT</w:t>
      </w:r>
      <w:r w:rsidR="00165D8C" w:rsidRPr="00350B89">
        <w:t>,</w:t>
      </w:r>
      <w:r w:rsidR="00903509" w:rsidRPr="00350B89">
        <w:t xml:space="preserve"> </w:t>
      </w:r>
      <w:r w:rsidR="00E575DB" w:rsidRPr="00350B89">
        <w:t>URBANA</w:t>
      </w:r>
    </w:p>
    <w:p w14:paraId="4517DE10" w14:textId="77777777" w:rsidR="00C474C6" w:rsidRPr="00521958" w:rsidRDefault="00C474C6">
      <w:pPr>
        <w:pStyle w:val="Default"/>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p>
    <w:p w14:paraId="3FAEF516" w14:textId="77777777" w:rsidR="00C474C6" w:rsidRPr="00521958" w:rsidRDefault="00C474C6">
      <w:pPr>
        <w:pStyle w:val="Default"/>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p>
    <w:p w14:paraId="35FD2EB3" w14:textId="47CA3E6B" w:rsidR="00C474C6" w:rsidRPr="00521958" w:rsidRDefault="00C474C6" w:rsidP="00FF7A5D">
      <w:pPr>
        <w:pStyle w:val="Default"/>
        <w:tabs>
          <w:tab w:val="left" w:pos="1440"/>
        </w:tabs>
        <w:ind w:left="1440" w:hanging="1440"/>
        <w:rPr>
          <w:rFonts w:ascii="Times New Roman" w:hAnsi="Times New Roman" w:cs="Times New Roman"/>
          <w:color w:val="auto"/>
          <w:sz w:val="26"/>
          <w:szCs w:val="26"/>
        </w:rPr>
      </w:pPr>
      <w:r w:rsidRPr="00521958">
        <w:rPr>
          <w:rFonts w:ascii="Times New Roman" w:hAnsi="Times New Roman" w:cs="Times New Roman"/>
          <w:b/>
          <w:bCs/>
          <w:color w:val="auto"/>
          <w:sz w:val="26"/>
          <w:szCs w:val="26"/>
        </w:rPr>
        <w:t xml:space="preserve">Action: </w:t>
      </w:r>
      <w:r w:rsidR="00FF7A5D" w:rsidRPr="00521958">
        <w:rPr>
          <w:rFonts w:ascii="Times New Roman" w:hAnsi="Times New Roman" w:cs="Times New Roman"/>
          <w:b/>
          <w:bCs/>
          <w:color w:val="auto"/>
          <w:sz w:val="26"/>
          <w:szCs w:val="26"/>
        </w:rPr>
        <w:tab/>
      </w:r>
      <w:r w:rsidR="006D31EF" w:rsidRPr="00521958">
        <w:rPr>
          <w:rFonts w:ascii="Times New Roman" w:hAnsi="Times New Roman" w:cs="Times New Roman"/>
          <w:color w:val="auto"/>
          <w:sz w:val="26"/>
          <w:szCs w:val="26"/>
        </w:rPr>
        <w:t>Approve</w:t>
      </w:r>
      <w:r w:rsidR="00FC0242" w:rsidRPr="00521958">
        <w:rPr>
          <w:rFonts w:ascii="Times New Roman" w:hAnsi="Times New Roman" w:cs="Times New Roman"/>
          <w:color w:val="auto"/>
          <w:sz w:val="26"/>
          <w:szCs w:val="26"/>
        </w:rPr>
        <w:t xml:space="preserve"> </w:t>
      </w:r>
      <w:r w:rsidR="001A7766" w:rsidRPr="00521958">
        <w:rPr>
          <w:rFonts w:ascii="Times New Roman" w:hAnsi="Times New Roman" w:cs="Times New Roman"/>
          <w:color w:val="auto"/>
          <w:sz w:val="26"/>
          <w:szCs w:val="26"/>
        </w:rPr>
        <w:t>Project Budget</w:t>
      </w:r>
      <w:r w:rsidR="00343A32" w:rsidRPr="00521958">
        <w:rPr>
          <w:rFonts w:ascii="Times New Roman" w:hAnsi="Times New Roman" w:cs="Times New Roman"/>
          <w:color w:val="auto"/>
          <w:sz w:val="26"/>
          <w:szCs w:val="26"/>
        </w:rPr>
        <w:t xml:space="preserve"> and </w:t>
      </w:r>
      <w:r w:rsidR="006D31EF" w:rsidRPr="00521958">
        <w:rPr>
          <w:rFonts w:ascii="Times New Roman" w:hAnsi="Times New Roman" w:cs="Times New Roman"/>
          <w:color w:val="auto"/>
          <w:sz w:val="26"/>
          <w:szCs w:val="26"/>
        </w:rPr>
        <w:t xml:space="preserve">Amend </w:t>
      </w:r>
      <w:r w:rsidR="00343A32" w:rsidRPr="00521958">
        <w:rPr>
          <w:rFonts w:ascii="Times New Roman" w:hAnsi="Times New Roman" w:cs="Times New Roman"/>
          <w:color w:val="auto"/>
          <w:sz w:val="26"/>
          <w:szCs w:val="26"/>
        </w:rPr>
        <w:t xml:space="preserve">Professional Services </w:t>
      </w:r>
      <w:r w:rsidR="006D31EF" w:rsidRPr="00521958">
        <w:rPr>
          <w:rFonts w:ascii="Times New Roman" w:hAnsi="Times New Roman" w:cs="Times New Roman"/>
          <w:color w:val="auto"/>
          <w:sz w:val="26"/>
          <w:szCs w:val="26"/>
        </w:rPr>
        <w:t xml:space="preserve">Consultant Contract </w:t>
      </w:r>
      <w:r w:rsidRPr="00521958">
        <w:rPr>
          <w:rFonts w:ascii="Times New Roman" w:hAnsi="Times New Roman" w:cs="Times New Roman"/>
          <w:color w:val="auto"/>
          <w:sz w:val="26"/>
          <w:szCs w:val="26"/>
        </w:rPr>
        <w:t>for</w:t>
      </w:r>
      <w:r w:rsidR="00343A32" w:rsidRPr="00521958">
        <w:rPr>
          <w:rFonts w:ascii="Times New Roman" w:hAnsi="Times New Roman" w:cs="Times New Roman"/>
          <w:color w:val="auto"/>
          <w:sz w:val="26"/>
          <w:szCs w:val="26"/>
        </w:rPr>
        <w:t xml:space="preserve"> Illini Union</w:t>
      </w:r>
      <w:r w:rsidR="002F5428">
        <w:rPr>
          <w:rFonts w:ascii="Times New Roman" w:hAnsi="Times New Roman" w:cs="Times New Roman"/>
          <w:color w:val="auto"/>
          <w:sz w:val="26"/>
          <w:szCs w:val="26"/>
        </w:rPr>
        <w:t xml:space="preserve"> </w:t>
      </w:r>
      <w:r w:rsidR="00343A32" w:rsidRPr="00521958">
        <w:rPr>
          <w:rFonts w:ascii="Times New Roman" w:hAnsi="Times New Roman" w:cs="Times New Roman"/>
          <w:color w:val="auto"/>
          <w:sz w:val="26"/>
          <w:szCs w:val="26"/>
        </w:rPr>
        <w:t>Roof Replacement</w:t>
      </w:r>
    </w:p>
    <w:p w14:paraId="4CF55D79" w14:textId="77777777" w:rsidR="00C474C6" w:rsidRPr="00521958" w:rsidRDefault="00C474C6" w:rsidP="00FF7A5D">
      <w:pPr>
        <w:pStyle w:val="Default"/>
        <w:tabs>
          <w:tab w:val="left" w:pos="1440"/>
        </w:tabs>
        <w:ind w:left="1440" w:hanging="1440"/>
        <w:rPr>
          <w:rFonts w:ascii="Times New Roman" w:hAnsi="Times New Roman" w:cs="Times New Roman"/>
          <w:color w:val="auto"/>
          <w:sz w:val="26"/>
          <w:szCs w:val="26"/>
        </w:rPr>
      </w:pPr>
      <w:r w:rsidRPr="00521958">
        <w:rPr>
          <w:rFonts w:ascii="Times New Roman" w:hAnsi="Times New Roman" w:cs="Times New Roman"/>
          <w:color w:val="auto"/>
          <w:sz w:val="26"/>
          <w:szCs w:val="26"/>
        </w:rPr>
        <w:t xml:space="preserve"> </w:t>
      </w:r>
    </w:p>
    <w:p w14:paraId="7C0FB9A1" w14:textId="7FEA46F2" w:rsidR="002168D6" w:rsidRPr="00521958" w:rsidRDefault="00C474C6" w:rsidP="007E2A18">
      <w:pPr>
        <w:pStyle w:val="bdstyle1"/>
        <w:tabs>
          <w:tab w:val="clear" w:pos="720"/>
        </w:tabs>
        <w:rPr>
          <w:szCs w:val="26"/>
        </w:rPr>
      </w:pPr>
      <w:r w:rsidRPr="00521958">
        <w:rPr>
          <w:b/>
          <w:bCs/>
          <w:szCs w:val="26"/>
        </w:rPr>
        <w:t xml:space="preserve">Funding: </w:t>
      </w:r>
      <w:r w:rsidR="002168D6" w:rsidRPr="00521958">
        <w:rPr>
          <w:szCs w:val="26"/>
        </w:rPr>
        <w:tab/>
      </w:r>
      <w:r w:rsidR="00343A32" w:rsidRPr="00521958">
        <w:rPr>
          <w:szCs w:val="26"/>
        </w:rPr>
        <w:t>Auxiliary Facilit</w:t>
      </w:r>
      <w:r w:rsidR="00D053D7">
        <w:rPr>
          <w:szCs w:val="26"/>
        </w:rPr>
        <w:t>ies</w:t>
      </w:r>
      <w:r w:rsidR="00343A32" w:rsidRPr="00521958">
        <w:rPr>
          <w:szCs w:val="26"/>
        </w:rPr>
        <w:t xml:space="preserve"> System Repair and Replacement Reserve Funds</w:t>
      </w:r>
      <w:r w:rsidR="00C13221" w:rsidRPr="00521958">
        <w:rPr>
          <w:szCs w:val="26"/>
        </w:rPr>
        <w:t>, Institutional Operating Funds (to be reimbursed by future issuance of Auxiliary Facilities System Revenue Bonds)</w:t>
      </w:r>
    </w:p>
    <w:p w14:paraId="03B90B6A" w14:textId="7672DDB6" w:rsidR="00C474C6" w:rsidRPr="00521958" w:rsidRDefault="002168D6" w:rsidP="00521958">
      <w:pPr>
        <w:ind w:left="1430" w:hanging="1430"/>
        <w:rPr>
          <w:szCs w:val="26"/>
        </w:rPr>
      </w:pPr>
      <w:r w:rsidRPr="00521958">
        <w:rPr>
          <w:szCs w:val="26"/>
        </w:rPr>
        <w:tab/>
      </w:r>
      <w:r w:rsidRPr="00521958">
        <w:rPr>
          <w:szCs w:val="26"/>
        </w:rPr>
        <w:tab/>
      </w:r>
      <w:r w:rsidR="00C474C6" w:rsidRPr="00521958">
        <w:rPr>
          <w:szCs w:val="26"/>
        </w:rPr>
        <w:t xml:space="preserve"> </w:t>
      </w:r>
    </w:p>
    <w:p w14:paraId="7739DDB7" w14:textId="3DBEC567" w:rsidR="00E62EDD" w:rsidRPr="00521958" w:rsidRDefault="000B38EC" w:rsidP="001A7766">
      <w:pPr>
        <w:tabs>
          <w:tab w:val="left" w:pos="1440"/>
        </w:tabs>
        <w:spacing w:line="480" w:lineRule="auto"/>
        <w:rPr>
          <w:szCs w:val="26"/>
        </w:rPr>
      </w:pPr>
      <w:r w:rsidRPr="00521958">
        <w:rPr>
          <w:szCs w:val="26"/>
        </w:rPr>
        <w:tab/>
        <w:t xml:space="preserve">In the 2009 Roof Condition Assessment report, the Facilities </w:t>
      </w:r>
      <w:r w:rsidR="00D053D7">
        <w:rPr>
          <w:szCs w:val="26"/>
        </w:rPr>
        <w:t>and</w:t>
      </w:r>
      <w:r w:rsidRPr="00521958">
        <w:rPr>
          <w:szCs w:val="26"/>
        </w:rPr>
        <w:t xml:space="preserve"> Service</w:t>
      </w:r>
      <w:r w:rsidR="001A7766" w:rsidRPr="00521958">
        <w:rPr>
          <w:szCs w:val="26"/>
        </w:rPr>
        <w:t>s</w:t>
      </w:r>
      <w:r w:rsidRPr="00521958">
        <w:rPr>
          <w:szCs w:val="26"/>
        </w:rPr>
        <w:t xml:space="preserve"> Engineering Department concluded that the North Roof of the Illini Union would become unserviceable by 2020. </w:t>
      </w:r>
      <w:r w:rsidR="001A7766" w:rsidRPr="00521958">
        <w:rPr>
          <w:szCs w:val="26"/>
        </w:rPr>
        <w:t xml:space="preserve"> </w:t>
      </w:r>
      <w:r w:rsidRPr="00521958">
        <w:rPr>
          <w:szCs w:val="26"/>
        </w:rPr>
        <w:t>Maintenance costs</w:t>
      </w:r>
      <w:r w:rsidR="00B6235D" w:rsidRPr="00521958">
        <w:rPr>
          <w:szCs w:val="26"/>
        </w:rPr>
        <w:t xml:space="preserve"> continue to increase and repairs are required monthly</w:t>
      </w:r>
      <w:r w:rsidRPr="00521958">
        <w:rPr>
          <w:szCs w:val="26"/>
        </w:rPr>
        <w:t xml:space="preserve">. </w:t>
      </w:r>
      <w:r w:rsidR="001D6379" w:rsidRPr="00521958">
        <w:rPr>
          <w:szCs w:val="26"/>
        </w:rPr>
        <w:t xml:space="preserve"> T</w:t>
      </w:r>
      <w:r w:rsidRPr="00521958">
        <w:rPr>
          <w:szCs w:val="26"/>
        </w:rPr>
        <w:t xml:space="preserve">he Illini Union roof replacement project will consist of a complete tear-off </w:t>
      </w:r>
      <w:r w:rsidR="00B27DB8" w:rsidRPr="00521958">
        <w:rPr>
          <w:szCs w:val="26"/>
        </w:rPr>
        <w:t xml:space="preserve">and replacement </w:t>
      </w:r>
      <w:r w:rsidRPr="00521958">
        <w:rPr>
          <w:szCs w:val="26"/>
        </w:rPr>
        <w:t>of the existing roofs</w:t>
      </w:r>
      <w:r w:rsidR="00B27DB8" w:rsidRPr="00521958">
        <w:rPr>
          <w:szCs w:val="26"/>
        </w:rPr>
        <w:t xml:space="preserve">. </w:t>
      </w:r>
      <w:r w:rsidRPr="00521958">
        <w:rPr>
          <w:szCs w:val="26"/>
        </w:rPr>
        <w:t xml:space="preserve"> In addition, the scope will include the window and associated trim replacement at dormers. </w:t>
      </w:r>
      <w:r w:rsidR="001A7766" w:rsidRPr="00521958">
        <w:rPr>
          <w:szCs w:val="26"/>
        </w:rPr>
        <w:t xml:space="preserve"> </w:t>
      </w:r>
      <w:r w:rsidRPr="00521958">
        <w:rPr>
          <w:szCs w:val="26"/>
        </w:rPr>
        <w:t xml:space="preserve">Considering the extensive work needing to be done on each section within the limits of seasonable weather, a phased multi-year approach is needed. </w:t>
      </w:r>
    </w:p>
    <w:p w14:paraId="38FED8BF" w14:textId="6C6D3001" w:rsidR="00614D17" w:rsidRPr="00521958" w:rsidRDefault="00614D17" w:rsidP="001A7766">
      <w:pPr>
        <w:pStyle w:val="Default"/>
        <w:tabs>
          <w:tab w:val="left" w:pos="1440"/>
        </w:tabs>
        <w:spacing w:line="480" w:lineRule="auto"/>
        <w:rPr>
          <w:rFonts w:ascii="Times New Roman" w:hAnsi="Times New Roman" w:cs="Times New Roman"/>
          <w:sz w:val="26"/>
          <w:szCs w:val="26"/>
        </w:rPr>
      </w:pPr>
      <w:r w:rsidRPr="00521958">
        <w:rPr>
          <w:rFonts w:ascii="Times New Roman" w:hAnsi="Times New Roman" w:cs="Times New Roman"/>
          <w:sz w:val="26"/>
          <w:szCs w:val="26"/>
        </w:rPr>
        <w:tab/>
      </w:r>
      <w:r w:rsidR="009C57FE" w:rsidRPr="00521958">
        <w:rPr>
          <w:rFonts w:ascii="Times New Roman" w:hAnsi="Times New Roman" w:cs="Times New Roman"/>
          <w:sz w:val="26"/>
          <w:szCs w:val="26"/>
        </w:rPr>
        <w:t xml:space="preserve">In September </w:t>
      </w:r>
      <w:r w:rsidRPr="00521958">
        <w:rPr>
          <w:rFonts w:ascii="Times New Roman" w:hAnsi="Times New Roman" w:cs="Times New Roman"/>
          <w:sz w:val="26"/>
          <w:szCs w:val="26"/>
        </w:rPr>
        <w:t>2022, the U</w:t>
      </w:r>
      <w:r w:rsidR="00D053D7">
        <w:rPr>
          <w:rFonts w:ascii="Times New Roman" w:hAnsi="Times New Roman" w:cs="Times New Roman"/>
          <w:sz w:val="26"/>
          <w:szCs w:val="26"/>
        </w:rPr>
        <w:t>niversity of Illinois Urbana-Champaign</w:t>
      </w:r>
      <w:r w:rsidR="001D6379" w:rsidRPr="00521958">
        <w:rPr>
          <w:rFonts w:ascii="Times New Roman" w:hAnsi="Times New Roman" w:cs="Times New Roman"/>
          <w:sz w:val="26"/>
          <w:szCs w:val="26"/>
        </w:rPr>
        <w:t xml:space="preserve"> a</w:t>
      </w:r>
      <w:r w:rsidRPr="00521958">
        <w:rPr>
          <w:rFonts w:ascii="Times New Roman" w:hAnsi="Times New Roman" w:cs="Times New Roman"/>
          <w:sz w:val="26"/>
          <w:szCs w:val="26"/>
        </w:rPr>
        <w:t>pproved a professional services consultant contract with Wiss</w:t>
      </w:r>
      <w:r w:rsidR="00D053D7">
        <w:rPr>
          <w:rFonts w:ascii="Times New Roman" w:hAnsi="Times New Roman" w:cs="Times New Roman"/>
          <w:sz w:val="26"/>
          <w:szCs w:val="26"/>
        </w:rPr>
        <w:t>,</w:t>
      </w:r>
      <w:r w:rsidRPr="00521958">
        <w:rPr>
          <w:rFonts w:ascii="Times New Roman" w:hAnsi="Times New Roman" w:cs="Times New Roman"/>
          <w:sz w:val="26"/>
          <w:szCs w:val="26"/>
        </w:rPr>
        <w:t xml:space="preserve"> Janney</w:t>
      </w:r>
      <w:r w:rsidR="00D053D7">
        <w:rPr>
          <w:rFonts w:ascii="Times New Roman" w:hAnsi="Times New Roman" w:cs="Times New Roman"/>
          <w:sz w:val="26"/>
          <w:szCs w:val="26"/>
        </w:rPr>
        <w:t>,</w:t>
      </w:r>
      <w:r w:rsidRPr="00521958">
        <w:rPr>
          <w:rFonts w:ascii="Times New Roman" w:hAnsi="Times New Roman" w:cs="Times New Roman"/>
          <w:sz w:val="26"/>
          <w:szCs w:val="26"/>
        </w:rPr>
        <w:t xml:space="preserve"> Elstner Associates, Inc. of </w:t>
      </w:r>
      <w:r w:rsidRPr="00521958">
        <w:rPr>
          <w:rFonts w:ascii="Times New Roman" w:hAnsi="Times New Roman" w:cs="Times New Roman"/>
          <w:sz w:val="26"/>
          <w:szCs w:val="26"/>
        </w:rPr>
        <w:lastRenderedPageBreak/>
        <w:t>Northbrook, I</w:t>
      </w:r>
      <w:r w:rsidR="00D053D7">
        <w:rPr>
          <w:rFonts w:ascii="Times New Roman" w:hAnsi="Times New Roman" w:cs="Times New Roman"/>
          <w:sz w:val="26"/>
          <w:szCs w:val="26"/>
        </w:rPr>
        <w:t>L.</w:t>
      </w:r>
      <w:r w:rsidRPr="00521958">
        <w:rPr>
          <w:rFonts w:ascii="Times New Roman" w:hAnsi="Times New Roman" w:cs="Times New Roman"/>
          <w:sz w:val="26"/>
          <w:szCs w:val="26"/>
        </w:rPr>
        <w:t xml:space="preserve"> for </w:t>
      </w:r>
      <w:r w:rsidR="00D053D7">
        <w:rPr>
          <w:rFonts w:ascii="Times New Roman" w:hAnsi="Times New Roman" w:cs="Times New Roman"/>
          <w:sz w:val="26"/>
          <w:szCs w:val="26"/>
        </w:rPr>
        <w:t>s</w:t>
      </w:r>
      <w:r w:rsidR="00B27DB8" w:rsidRPr="00521958">
        <w:rPr>
          <w:rFonts w:ascii="Times New Roman" w:hAnsi="Times New Roman" w:cs="Times New Roman"/>
          <w:sz w:val="26"/>
          <w:szCs w:val="26"/>
        </w:rPr>
        <w:t xml:space="preserve">chematic </w:t>
      </w:r>
      <w:r w:rsidR="00D053D7">
        <w:rPr>
          <w:rFonts w:ascii="Times New Roman" w:hAnsi="Times New Roman" w:cs="Times New Roman"/>
          <w:sz w:val="26"/>
          <w:szCs w:val="26"/>
        </w:rPr>
        <w:t>d</w:t>
      </w:r>
      <w:r w:rsidR="00B27DB8" w:rsidRPr="00521958">
        <w:rPr>
          <w:rFonts w:ascii="Times New Roman" w:hAnsi="Times New Roman" w:cs="Times New Roman"/>
          <w:sz w:val="26"/>
          <w:szCs w:val="26"/>
        </w:rPr>
        <w:t xml:space="preserve">esign and </w:t>
      </w:r>
      <w:r w:rsidR="00D053D7">
        <w:rPr>
          <w:rFonts w:ascii="Times New Roman" w:hAnsi="Times New Roman" w:cs="Times New Roman"/>
          <w:sz w:val="26"/>
          <w:szCs w:val="26"/>
        </w:rPr>
        <w:t>d</w:t>
      </w:r>
      <w:r w:rsidR="00B27DB8" w:rsidRPr="00521958">
        <w:rPr>
          <w:rFonts w:ascii="Times New Roman" w:hAnsi="Times New Roman" w:cs="Times New Roman"/>
          <w:sz w:val="26"/>
          <w:szCs w:val="26"/>
        </w:rPr>
        <w:t xml:space="preserve">esign </w:t>
      </w:r>
      <w:r w:rsidR="00D053D7">
        <w:rPr>
          <w:rFonts w:ascii="Times New Roman" w:hAnsi="Times New Roman" w:cs="Times New Roman"/>
          <w:sz w:val="26"/>
          <w:szCs w:val="26"/>
        </w:rPr>
        <w:t>d</w:t>
      </w:r>
      <w:r w:rsidR="00B27DB8" w:rsidRPr="00521958">
        <w:rPr>
          <w:rFonts w:ascii="Times New Roman" w:hAnsi="Times New Roman" w:cs="Times New Roman"/>
          <w:sz w:val="26"/>
          <w:szCs w:val="26"/>
        </w:rPr>
        <w:t xml:space="preserve">evelopment services and reimbursable expenses </w:t>
      </w:r>
      <w:r w:rsidR="0074443E" w:rsidRPr="00521958">
        <w:rPr>
          <w:rFonts w:ascii="Times New Roman" w:hAnsi="Times New Roman" w:cs="Times New Roman"/>
          <w:sz w:val="26"/>
          <w:szCs w:val="26"/>
        </w:rPr>
        <w:t>in the amount of $</w:t>
      </w:r>
      <w:r w:rsidR="00C13221" w:rsidRPr="00521958">
        <w:rPr>
          <w:rFonts w:ascii="Times New Roman" w:hAnsi="Times New Roman" w:cs="Times New Roman"/>
          <w:sz w:val="26"/>
          <w:szCs w:val="26"/>
        </w:rPr>
        <w:t>427</w:t>
      </w:r>
      <w:r w:rsidR="0074443E" w:rsidRPr="00521958">
        <w:rPr>
          <w:rFonts w:ascii="Times New Roman" w:hAnsi="Times New Roman" w:cs="Times New Roman"/>
          <w:sz w:val="26"/>
          <w:szCs w:val="26"/>
        </w:rPr>
        <w:t>,</w:t>
      </w:r>
      <w:r w:rsidR="00C13221" w:rsidRPr="00521958">
        <w:rPr>
          <w:rFonts w:ascii="Times New Roman" w:hAnsi="Times New Roman" w:cs="Times New Roman"/>
          <w:sz w:val="26"/>
          <w:szCs w:val="26"/>
        </w:rPr>
        <w:t>739</w:t>
      </w:r>
      <w:r w:rsidRPr="00521958">
        <w:rPr>
          <w:rFonts w:ascii="Times New Roman" w:hAnsi="Times New Roman" w:cs="Times New Roman"/>
          <w:sz w:val="26"/>
          <w:szCs w:val="26"/>
        </w:rPr>
        <w:t>.</w:t>
      </w:r>
      <w:r w:rsidR="00D053D7">
        <w:rPr>
          <w:rFonts w:ascii="Times New Roman" w:hAnsi="Times New Roman" w:cs="Times New Roman"/>
          <w:sz w:val="26"/>
          <w:szCs w:val="26"/>
        </w:rPr>
        <w:t xml:space="preserve"> </w:t>
      </w:r>
      <w:r w:rsidR="00B27DB8" w:rsidRPr="00521958">
        <w:rPr>
          <w:rFonts w:ascii="Times New Roman" w:hAnsi="Times New Roman" w:cs="Times New Roman"/>
          <w:sz w:val="26"/>
          <w:szCs w:val="26"/>
        </w:rPr>
        <w:t xml:space="preserve"> The selection of the </w:t>
      </w:r>
      <w:r w:rsidR="00D053D7">
        <w:rPr>
          <w:rFonts w:ascii="Times New Roman" w:hAnsi="Times New Roman" w:cs="Times New Roman"/>
          <w:sz w:val="26"/>
          <w:szCs w:val="26"/>
        </w:rPr>
        <w:t>p</w:t>
      </w:r>
      <w:r w:rsidR="00B27DB8" w:rsidRPr="00521958">
        <w:rPr>
          <w:rFonts w:ascii="Times New Roman" w:hAnsi="Times New Roman" w:cs="Times New Roman"/>
          <w:sz w:val="26"/>
          <w:szCs w:val="26"/>
        </w:rPr>
        <w:t xml:space="preserve">rofessional </w:t>
      </w:r>
      <w:r w:rsidR="00D053D7">
        <w:rPr>
          <w:rFonts w:ascii="Times New Roman" w:hAnsi="Times New Roman" w:cs="Times New Roman"/>
          <w:sz w:val="26"/>
          <w:szCs w:val="26"/>
        </w:rPr>
        <w:t>s</w:t>
      </w:r>
      <w:r w:rsidR="00B27DB8" w:rsidRPr="00521958">
        <w:rPr>
          <w:rFonts w:ascii="Times New Roman" w:hAnsi="Times New Roman" w:cs="Times New Roman"/>
          <w:sz w:val="26"/>
          <w:szCs w:val="26"/>
        </w:rPr>
        <w:t xml:space="preserve">ervices </w:t>
      </w:r>
      <w:r w:rsidR="00D053D7">
        <w:rPr>
          <w:rFonts w:ascii="Times New Roman" w:hAnsi="Times New Roman" w:cs="Times New Roman"/>
          <w:sz w:val="26"/>
          <w:szCs w:val="26"/>
        </w:rPr>
        <w:t>c</w:t>
      </w:r>
      <w:r w:rsidR="00B27DB8" w:rsidRPr="00521958">
        <w:rPr>
          <w:rFonts w:ascii="Times New Roman" w:hAnsi="Times New Roman" w:cs="Times New Roman"/>
          <w:sz w:val="26"/>
          <w:szCs w:val="26"/>
        </w:rPr>
        <w:t>onsultant for this project was in accordance with the requirements and provisions of Public Act 87-673 (Architectural, Engineering, and Land Surveying Qualifications-Based Selection Act)</w:t>
      </w:r>
      <w:r w:rsidR="00D053D7">
        <w:rPr>
          <w:rFonts w:ascii="Times New Roman" w:hAnsi="Times New Roman" w:cs="Times New Roman"/>
          <w:sz w:val="26"/>
          <w:szCs w:val="26"/>
        </w:rPr>
        <w:t>.</w:t>
      </w:r>
      <w:r w:rsidR="009B32D4" w:rsidRPr="00521958">
        <w:rPr>
          <w:rStyle w:val="FootnoteReference"/>
          <w:rFonts w:ascii="Times New Roman" w:hAnsi="Times New Roman" w:cs="Times New Roman"/>
          <w:sz w:val="26"/>
          <w:szCs w:val="26"/>
        </w:rPr>
        <w:footnoteReference w:id="1"/>
      </w:r>
    </w:p>
    <w:p w14:paraId="6EB2EBD5" w14:textId="1546CD9E" w:rsidR="00614D17" w:rsidRPr="00521958" w:rsidRDefault="00614D17" w:rsidP="001A7766">
      <w:pPr>
        <w:pStyle w:val="Default"/>
        <w:tabs>
          <w:tab w:val="left" w:pos="1440"/>
        </w:tabs>
        <w:spacing w:line="480" w:lineRule="auto"/>
        <w:rPr>
          <w:rFonts w:ascii="Times New Roman" w:hAnsi="Times New Roman" w:cs="Times New Roman"/>
          <w:sz w:val="26"/>
          <w:szCs w:val="26"/>
        </w:rPr>
      </w:pPr>
      <w:r w:rsidRPr="00521958">
        <w:rPr>
          <w:rFonts w:ascii="Times New Roman" w:hAnsi="Times New Roman" w:cs="Times New Roman"/>
          <w:sz w:val="26"/>
          <w:szCs w:val="26"/>
        </w:rPr>
        <w:tab/>
        <w:t>For the project to proceed, it is necessary to</w:t>
      </w:r>
      <w:r w:rsidR="00B27DB8" w:rsidRPr="00521958">
        <w:rPr>
          <w:rFonts w:ascii="Times New Roman" w:hAnsi="Times New Roman" w:cs="Times New Roman"/>
          <w:sz w:val="26"/>
          <w:szCs w:val="26"/>
        </w:rPr>
        <w:t xml:space="preserve"> </w:t>
      </w:r>
      <w:r w:rsidR="00B62471" w:rsidRPr="00521958">
        <w:rPr>
          <w:rFonts w:ascii="Times New Roman" w:hAnsi="Times New Roman" w:cs="Times New Roman"/>
          <w:sz w:val="26"/>
          <w:szCs w:val="26"/>
        </w:rPr>
        <w:t xml:space="preserve">approve </w:t>
      </w:r>
      <w:r w:rsidR="00B27DB8" w:rsidRPr="00521958">
        <w:rPr>
          <w:rFonts w:ascii="Times New Roman" w:hAnsi="Times New Roman" w:cs="Times New Roman"/>
          <w:sz w:val="26"/>
          <w:szCs w:val="26"/>
        </w:rPr>
        <w:t>the project budget and to</w:t>
      </w:r>
      <w:r w:rsidRPr="00521958">
        <w:rPr>
          <w:rFonts w:ascii="Times New Roman" w:hAnsi="Times New Roman" w:cs="Times New Roman"/>
          <w:sz w:val="26"/>
          <w:szCs w:val="26"/>
        </w:rPr>
        <w:t xml:space="preserve"> amend the </w:t>
      </w:r>
      <w:r w:rsidR="00D053D7">
        <w:rPr>
          <w:rFonts w:ascii="Times New Roman" w:hAnsi="Times New Roman" w:cs="Times New Roman"/>
          <w:sz w:val="26"/>
          <w:szCs w:val="26"/>
        </w:rPr>
        <w:t>p</w:t>
      </w:r>
      <w:r w:rsidRPr="00521958">
        <w:rPr>
          <w:rFonts w:ascii="Times New Roman" w:hAnsi="Times New Roman" w:cs="Times New Roman"/>
          <w:sz w:val="26"/>
          <w:szCs w:val="26"/>
        </w:rPr>
        <w:t xml:space="preserve">rofessional </w:t>
      </w:r>
      <w:r w:rsidR="00D053D7">
        <w:rPr>
          <w:rFonts w:ascii="Times New Roman" w:hAnsi="Times New Roman" w:cs="Times New Roman"/>
          <w:sz w:val="26"/>
          <w:szCs w:val="26"/>
        </w:rPr>
        <w:t>s</w:t>
      </w:r>
      <w:r w:rsidRPr="00521958">
        <w:rPr>
          <w:rFonts w:ascii="Times New Roman" w:hAnsi="Times New Roman" w:cs="Times New Roman"/>
          <w:sz w:val="26"/>
          <w:szCs w:val="26"/>
        </w:rPr>
        <w:t xml:space="preserve">ervices </w:t>
      </w:r>
      <w:r w:rsidR="00D053D7">
        <w:rPr>
          <w:rFonts w:ascii="Times New Roman" w:hAnsi="Times New Roman" w:cs="Times New Roman"/>
          <w:sz w:val="26"/>
          <w:szCs w:val="26"/>
        </w:rPr>
        <w:t>c</w:t>
      </w:r>
      <w:r w:rsidRPr="00521958">
        <w:rPr>
          <w:rFonts w:ascii="Times New Roman" w:hAnsi="Times New Roman" w:cs="Times New Roman"/>
          <w:sz w:val="26"/>
          <w:szCs w:val="26"/>
        </w:rPr>
        <w:t>onsultant</w:t>
      </w:r>
      <w:r w:rsidR="00E62EDD" w:rsidRPr="00521958">
        <w:rPr>
          <w:rFonts w:ascii="Times New Roman" w:hAnsi="Times New Roman" w:cs="Times New Roman"/>
          <w:sz w:val="26"/>
          <w:szCs w:val="26"/>
        </w:rPr>
        <w:t xml:space="preserve"> </w:t>
      </w:r>
      <w:r w:rsidRPr="00521958">
        <w:rPr>
          <w:rFonts w:ascii="Times New Roman" w:hAnsi="Times New Roman" w:cs="Times New Roman"/>
          <w:sz w:val="26"/>
          <w:szCs w:val="26"/>
        </w:rPr>
        <w:t xml:space="preserve">contract for </w:t>
      </w:r>
      <w:r w:rsidR="001A7766" w:rsidRPr="00521958">
        <w:rPr>
          <w:rFonts w:ascii="Times New Roman" w:hAnsi="Times New Roman" w:cs="Times New Roman"/>
          <w:sz w:val="26"/>
          <w:szCs w:val="26"/>
        </w:rPr>
        <w:t xml:space="preserve">the </w:t>
      </w:r>
      <w:r w:rsidRPr="00521958">
        <w:rPr>
          <w:rFonts w:ascii="Times New Roman" w:hAnsi="Times New Roman" w:cs="Times New Roman"/>
          <w:sz w:val="26"/>
          <w:szCs w:val="26"/>
        </w:rPr>
        <w:t>required</w:t>
      </w:r>
      <w:r w:rsidR="00B27DB8" w:rsidRPr="00521958">
        <w:rPr>
          <w:rFonts w:ascii="Times New Roman" w:hAnsi="Times New Roman" w:cs="Times New Roman"/>
          <w:sz w:val="26"/>
          <w:szCs w:val="26"/>
        </w:rPr>
        <w:t xml:space="preserve"> remainder of</w:t>
      </w:r>
      <w:r w:rsidRPr="00521958">
        <w:rPr>
          <w:rFonts w:ascii="Times New Roman" w:hAnsi="Times New Roman" w:cs="Times New Roman"/>
          <w:sz w:val="26"/>
          <w:szCs w:val="26"/>
        </w:rPr>
        <w:t xml:space="preserve"> reimbursables and professional services.  </w:t>
      </w:r>
    </w:p>
    <w:p w14:paraId="738B3425" w14:textId="0E113891" w:rsidR="00C474C6" w:rsidRPr="00521958" w:rsidRDefault="00614D17" w:rsidP="001A7766">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sz w:val="26"/>
          <w:szCs w:val="26"/>
        </w:rPr>
        <w:tab/>
      </w:r>
      <w:r w:rsidR="000E5CA6" w:rsidRPr="00521958">
        <w:rPr>
          <w:rFonts w:ascii="Times New Roman" w:hAnsi="Times New Roman" w:cs="Times New Roman"/>
          <w:color w:val="auto"/>
          <w:sz w:val="26"/>
          <w:szCs w:val="26"/>
        </w:rPr>
        <w:t>Accordingly, the Chancellor, University of Illinois Urbana-Champaign</w:t>
      </w:r>
      <w:r w:rsidR="001A7766" w:rsidRPr="00521958">
        <w:rPr>
          <w:rFonts w:ascii="Times New Roman" w:hAnsi="Times New Roman" w:cs="Times New Roman"/>
          <w:color w:val="auto"/>
          <w:sz w:val="26"/>
          <w:szCs w:val="26"/>
        </w:rPr>
        <w:t>,</w:t>
      </w:r>
      <w:r w:rsidR="000E5CA6" w:rsidRPr="00521958">
        <w:rPr>
          <w:rFonts w:ascii="Times New Roman" w:hAnsi="Times New Roman" w:cs="Times New Roman"/>
          <w:color w:val="auto"/>
          <w:sz w:val="26"/>
          <w:szCs w:val="26"/>
        </w:rPr>
        <w:t xml:space="preserve"> and Vice President, University of Illinois</w:t>
      </w:r>
      <w:r w:rsidR="00491635">
        <w:rPr>
          <w:rFonts w:ascii="Times New Roman" w:hAnsi="Times New Roman" w:cs="Times New Roman"/>
          <w:color w:val="auto"/>
          <w:sz w:val="26"/>
          <w:szCs w:val="26"/>
        </w:rPr>
        <w:t xml:space="preserve"> System</w:t>
      </w:r>
      <w:r w:rsidR="001A7766" w:rsidRPr="00521958">
        <w:rPr>
          <w:rFonts w:ascii="Times New Roman" w:hAnsi="Times New Roman" w:cs="Times New Roman"/>
          <w:color w:val="auto"/>
          <w:sz w:val="26"/>
          <w:szCs w:val="26"/>
        </w:rPr>
        <w:t>,</w:t>
      </w:r>
      <w:r w:rsidR="000E5CA6" w:rsidRPr="00521958">
        <w:rPr>
          <w:rFonts w:ascii="Times New Roman" w:hAnsi="Times New Roman" w:cs="Times New Roman"/>
          <w:color w:val="auto"/>
          <w:sz w:val="26"/>
          <w:szCs w:val="26"/>
        </w:rPr>
        <w:t xml:space="preserve"> with the concurrence of the appropriate administrative officers</w:t>
      </w:r>
      <w:r w:rsidR="001A7766" w:rsidRPr="00521958">
        <w:rPr>
          <w:rFonts w:ascii="Times New Roman" w:hAnsi="Times New Roman" w:cs="Times New Roman"/>
          <w:color w:val="auto"/>
          <w:sz w:val="26"/>
          <w:szCs w:val="26"/>
        </w:rPr>
        <w:t>,</w:t>
      </w:r>
      <w:r w:rsidR="000E5CA6" w:rsidRPr="00521958">
        <w:rPr>
          <w:rFonts w:ascii="Times New Roman" w:hAnsi="Times New Roman" w:cs="Times New Roman"/>
          <w:color w:val="auto"/>
          <w:sz w:val="26"/>
          <w:szCs w:val="26"/>
        </w:rPr>
        <w:t xml:space="preserve"> recommend</w:t>
      </w:r>
      <w:r w:rsidR="001A7766" w:rsidRPr="00521958">
        <w:rPr>
          <w:rFonts w:ascii="Times New Roman" w:hAnsi="Times New Roman" w:cs="Times New Roman"/>
          <w:color w:val="auto"/>
          <w:sz w:val="26"/>
          <w:szCs w:val="26"/>
        </w:rPr>
        <w:t>s</w:t>
      </w:r>
      <w:r w:rsidR="000E5CA6" w:rsidRPr="00521958">
        <w:rPr>
          <w:rFonts w:ascii="Times New Roman" w:hAnsi="Times New Roman" w:cs="Times New Roman"/>
          <w:color w:val="auto"/>
          <w:sz w:val="26"/>
          <w:szCs w:val="26"/>
        </w:rPr>
        <w:t xml:space="preserve"> that </w:t>
      </w:r>
      <w:r w:rsidR="001A7766" w:rsidRPr="00521958">
        <w:rPr>
          <w:rFonts w:ascii="Times New Roman" w:hAnsi="Times New Roman" w:cs="Times New Roman"/>
          <w:sz w:val="26"/>
          <w:szCs w:val="26"/>
        </w:rPr>
        <w:t>Wiss</w:t>
      </w:r>
      <w:r w:rsidR="00D053D7">
        <w:rPr>
          <w:rFonts w:ascii="Times New Roman" w:hAnsi="Times New Roman" w:cs="Times New Roman"/>
          <w:sz w:val="26"/>
          <w:szCs w:val="26"/>
        </w:rPr>
        <w:t>,</w:t>
      </w:r>
      <w:r w:rsidR="001A7766" w:rsidRPr="00521958">
        <w:rPr>
          <w:rFonts w:ascii="Times New Roman" w:hAnsi="Times New Roman" w:cs="Times New Roman"/>
          <w:sz w:val="26"/>
          <w:szCs w:val="26"/>
        </w:rPr>
        <w:t xml:space="preserve"> Janney</w:t>
      </w:r>
      <w:r w:rsidR="00D053D7">
        <w:rPr>
          <w:rFonts w:ascii="Times New Roman" w:hAnsi="Times New Roman" w:cs="Times New Roman"/>
          <w:sz w:val="26"/>
          <w:szCs w:val="26"/>
        </w:rPr>
        <w:t>,</w:t>
      </w:r>
      <w:r w:rsidR="001A7766" w:rsidRPr="00521958">
        <w:rPr>
          <w:rFonts w:ascii="Times New Roman" w:hAnsi="Times New Roman" w:cs="Times New Roman"/>
          <w:sz w:val="26"/>
          <w:szCs w:val="26"/>
        </w:rPr>
        <w:t xml:space="preserve"> Elstner Associates, Inc. continue to be employed and their contract be amended for the professional services required for the construction document, bidding, and construction administration phases of the project, and that the project budget be approved in the amount </w:t>
      </w:r>
      <w:r w:rsidR="00B62471" w:rsidRPr="00521958">
        <w:rPr>
          <w:rFonts w:ascii="Times New Roman" w:hAnsi="Times New Roman" w:cs="Times New Roman"/>
          <w:sz w:val="26"/>
          <w:szCs w:val="26"/>
        </w:rPr>
        <w:t>of</w:t>
      </w:r>
      <w:r w:rsidR="009C57FE" w:rsidRPr="00521958">
        <w:rPr>
          <w:rFonts w:ascii="Times New Roman" w:hAnsi="Times New Roman" w:cs="Times New Roman"/>
          <w:sz w:val="26"/>
          <w:szCs w:val="26"/>
        </w:rPr>
        <w:t xml:space="preserve"> </w:t>
      </w:r>
      <w:r w:rsidR="00C474C6" w:rsidRPr="00521958">
        <w:rPr>
          <w:rFonts w:ascii="Times New Roman" w:hAnsi="Times New Roman" w:cs="Times New Roman"/>
          <w:color w:val="auto"/>
          <w:sz w:val="26"/>
          <w:szCs w:val="26"/>
        </w:rPr>
        <w:t>$</w:t>
      </w:r>
      <w:r w:rsidR="0024440A" w:rsidRPr="00521958">
        <w:rPr>
          <w:rFonts w:ascii="Times New Roman" w:hAnsi="Times New Roman" w:cs="Times New Roman"/>
          <w:color w:val="auto"/>
          <w:sz w:val="26"/>
          <w:szCs w:val="26"/>
        </w:rPr>
        <w:t>15,035,</w:t>
      </w:r>
      <w:r w:rsidR="002E67E6" w:rsidRPr="00521958">
        <w:rPr>
          <w:rFonts w:ascii="Times New Roman" w:hAnsi="Times New Roman" w:cs="Times New Roman"/>
          <w:color w:val="auto"/>
          <w:sz w:val="26"/>
          <w:szCs w:val="26"/>
        </w:rPr>
        <w:t>177</w:t>
      </w:r>
      <w:r w:rsidRPr="00521958">
        <w:rPr>
          <w:rFonts w:ascii="Times New Roman" w:hAnsi="Times New Roman" w:cs="Times New Roman"/>
          <w:color w:val="auto"/>
          <w:sz w:val="26"/>
          <w:szCs w:val="26"/>
        </w:rPr>
        <w:t xml:space="preserve">, including a </w:t>
      </w:r>
      <w:r w:rsidR="00D053D7">
        <w:rPr>
          <w:rFonts w:ascii="Times New Roman" w:hAnsi="Times New Roman" w:cs="Times New Roman"/>
          <w:color w:val="auto"/>
          <w:sz w:val="26"/>
          <w:szCs w:val="26"/>
        </w:rPr>
        <w:t>p</w:t>
      </w:r>
      <w:r w:rsidRPr="00521958">
        <w:rPr>
          <w:rFonts w:ascii="Times New Roman" w:hAnsi="Times New Roman" w:cs="Times New Roman"/>
          <w:color w:val="auto"/>
          <w:sz w:val="26"/>
          <w:szCs w:val="26"/>
        </w:rPr>
        <w:t xml:space="preserve">rofessional </w:t>
      </w:r>
      <w:r w:rsidR="00D053D7">
        <w:rPr>
          <w:rFonts w:ascii="Times New Roman" w:hAnsi="Times New Roman" w:cs="Times New Roman"/>
          <w:color w:val="auto"/>
          <w:sz w:val="26"/>
          <w:szCs w:val="26"/>
        </w:rPr>
        <w:t>s</w:t>
      </w:r>
      <w:r w:rsidRPr="00521958">
        <w:rPr>
          <w:rFonts w:ascii="Times New Roman" w:hAnsi="Times New Roman" w:cs="Times New Roman"/>
          <w:color w:val="auto"/>
          <w:sz w:val="26"/>
          <w:szCs w:val="26"/>
        </w:rPr>
        <w:t xml:space="preserve">ervices </w:t>
      </w:r>
      <w:r w:rsidR="00D053D7">
        <w:rPr>
          <w:rFonts w:ascii="Times New Roman" w:hAnsi="Times New Roman" w:cs="Times New Roman"/>
          <w:color w:val="auto"/>
          <w:sz w:val="26"/>
          <w:szCs w:val="26"/>
        </w:rPr>
        <w:t>a</w:t>
      </w:r>
      <w:r w:rsidRPr="00521958">
        <w:rPr>
          <w:rFonts w:ascii="Times New Roman" w:hAnsi="Times New Roman" w:cs="Times New Roman"/>
          <w:color w:val="auto"/>
          <w:sz w:val="26"/>
          <w:szCs w:val="26"/>
        </w:rPr>
        <w:t>mendment of $</w:t>
      </w:r>
      <w:r w:rsidR="002E67E6" w:rsidRPr="00521958">
        <w:rPr>
          <w:rFonts w:ascii="Times New Roman" w:hAnsi="Times New Roman" w:cs="Times New Roman"/>
          <w:color w:val="auto"/>
          <w:sz w:val="26"/>
          <w:szCs w:val="26"/>
        </w:rPr>
        <w:t>764,100</w:t>
      </w:r>
      <w:r w:rsidRPr="00521958">
        <w:rPr>
          <w:rFonts w:ascii="Times New Roman" w:hAnsi="Times New Roman" w:cs="Times New Roman"/>
          <w:color w:val="auto"/>
          <w:sz w:val="26"/>
          <w:szCs w:val="26"/>
        </w:rPr>
        <w:t>, for a total contract value of $</w:t>
      </w:r>
      <w:r w:rsidR="002E67E6" w:rsidRPr="00521958">
        <w:rPr>
          <w:rFonts w:ascii="Times New Roman" w:hAnsi="Times New Roman" w:cs="Times New Roman"/>
          <w:color w:val="auto"/>
          <w:sz w:val="26"/>
          <w:szCs w:val="26"/>
        </w:rPr>
        <w:t>1,191,839</w:t>
      </w:r>
      <w:r w:rsidR="00CF017B" w:rsidRPr="00521958">
        <w:rPr>
          <w:rFonts w:ascii="Times New Roman" w:hAnsi="Times New Roman" w:cs="Times New Roman"/>
          <w:color w:val="auto"/>
          <w:sz w:val="26"/>
          <w:szCs w:val="26"/>
        </w:rPr>
        <w:t>.</w:t>
      </w:r>
      <w:r w:rsidR="00F955B0" w:rsidRPr="00521958">
        <w:rPr>
          <w:rFonts w:ascii="Times New Roman" w:hAnsi="Times New Roman" w:cs="Times New Roman"/>
          <w:color w:val="auto"/>
          <w:sz w:val="26"/>
          <w:szCs w:val="26"/>
        </w:rPr>
        <w:t xml:space="preserve">  </w:t>
      </w:r>
      <w:r w:rsidR="0014339B" w:rsidRPr="00521958">
        <w:rPr>
          <w:rFonts w:ascii="Times New Roman" w:hAnsi="Times New Roman" w:cs="Times New Roman"/>
          <w:sz w:val="26"/>
          <w:szCs w:val="26"/>
        </w:rPr>
        <w:t xml:space="preserve">The amended contract is broken down as follows: firm’s fixed fee will be </w:t>
      </w:r>
      <w:r w:rsidR="00A210CD" w:rsidRPr="00521958">
        <w:rPr>
          <w:rFonts w:ascii="Times New Roman" w:hAnsi="Times New Roman" w:cs="Times New Roman"/>
          <w:sz w:val="26"/>
          <w:szCs w:val="26"/>
        </w:rPr>
        <w:t>$887,200</w:t>
      </w:r>
      <w:r w:rsidR="0014339B" w:rsidRPr="00521958">
        <w:rPr>
          <w:rFonts w:ascii="Times New Roman" w:hAnsi="Times New Roman" w:cs="Times New Roman"/>
          <w:sz w:val="26"/>
          <w:szCs w:val="26"/>
        </w:rPr>
        <w:t>; for on-site observation on an hourly basis not to exceed $</w:t>
      </w:r>
      <w:r w:rsidR="00A210CD" w:rsidRPr="00521958">
        <w:rPr>
          <w:rFonts w:ascii="Times New Roman" w:hAnsi="Times New Roman" w:cs="Times New Roman"/>
          <w:sz w:val="26"/>
          <w:szCs w:val="26"/>
        </w:rPr>
        <w:t>138,100</w:t>
      </w:r>
      <w:r w:rsidR="0014339B" w:rsidRPr="00521958">
        <w:rPr>
          <w:rFonts w:ascii="Times New Roman" w:hAnsi="Times New Roman" w:cs="Times New Roman"/>
          <w:sz w:val="26"/>
          <w:szCs w:val="26"/>
        </w:rPr>
        <w:t xml:space="preserve">; for warranty phase on an hourly basis not to exceed </w:t>
      </w:r>
      <w:r w:rsidR="00A210CD" w:rsidRPr="00521958">
        <w:rPr>
          <w:rFonts w:ascii="Times New Roman" w:hAnsi="Times New Roman" w:cs="Times New Roman"/>
          <w:sz w:val="26"/>
          <w:szCs w:val="26"/>
        </w:rPr>
        <w:t>$24,500</w:t>
      </w:r>
      <w:r w:rsidR="0014339B" w:rsidRPr="00521958">
        <w:rPr>
          <w:rFonts w:ascii="Times New Roman" w:hAnsi="Times New Roman" w:cs="Times New Roman"/>
          <w:sz w:val="26"/>
          <w:szCs w:val="26"/>
        </w:rPr>
        <w:t xml:space="preserve">; for other supplemental services a fixed fee of </w:t>
      </w:r>
      <w:r w:rsidR="0014339B" w:rsidRPr="00521958">
        <w:rPr>
          <w:rFonts w:ascii="Times New Roman" w:hAnsi="Times New Roman" w:cs="Times New Roman"/>
          <w:sz w:val="26"/>
          <w:szCs w:val="26"/>
        </w:rPr>
        <w:lastRenderedPageBreak/>
        <w:t>$</w:t>
      </w:r>
      <w:r w:rsidR="00A210CD" w:rsidRPr="00521958">
        <w:rPr>
          <w:rFonts w:ascii="Times New Roman" w:hAnsi="Times New Roman" w:cs="Times New Roman"/>
          <w:sz w:val="26"/>
          <w:szCs w:val="26"/>
        </w:rPr>
        <w:t>49,500</w:t>
      </w:r>
      <w:r w:rsidR="0014339B" w:rsidRPr="00521958">
        <w:rPr>
          <w:rFonts w:ascii="Times New Roman" w:hAnsi="Times New Roman" w:cs="Times New Roman"/>
          <w:sz w:val="26"/>
          <w:szCs w:val="26"/>
        </w:rPr>
        <w:t>; and for authorized reimbursable expenses estimated at $</w:t>
      </w:r>
      <w:r w:rsidR="00A210CD" w:rsidRPr="00521958">
        <w:rPr>
          <w:rFonts w:ascii="Times New Roman" w:hAnsi="Times New Roman" w:cs="Times New Roman"/>
          <w:sz w:val="26"/>
          <w:szCs w:val="26"/>
        </w:rPr>
        <w:t>92,</w:t>
      </w:r>
      <w:r w:rsidR="00CF017B" w:rsidRPr="00521958">
        <w:rPr>
          <w:rFonts w:ascii="Times New Roman" w:hAnsi="Times New Roman" w:cs="Times New Roman"/>
          <w:sz w:val="26"/>
          <w:szCs w:val="26"/>
        </w:rPr>
        <w:t>5</w:t>
      </w:r>
      <w:r w:rsidR="00A210CD" w:rsidRPr="00521958">
        <w:rPr>
          <w:rFonts w:ascii="Times New Roman" w:hAnsi="Times New Roman" w:cs="Times New Roman"/>
          <w:sz w:val="26"/>
          <w:szCs w:val="26"/>
        </w:rPr>
        <w:t>39</w:t>
      </w:r>
      <w:r w:rsidR="0014339B" w:rsidRPr="00521958">
        <w:rPr>
          <w:rFonts w:ascii="Times New Roman" w:hAnsi="Times New Roman" w:cs="Times New Roman"/>
          <w:sz w:val="26"/>
          <w:szCs w:val="26"/>
        </w:rPr>
        <w:t>.</w:t>
      </w:r>
    </w:p>
    <w:p w14:paraId="310A9B2A" w14:textId="619BE275" w:rsidR="000E5CA6" w:rsidRPr="00521958" w:rsidRDefault="00FF7A5D" w:rsidP="001A7766">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tab/>
      </w:r>
      <w:r w:rsidR="000E5CA6" w:rsidRPr="00521958">
        <w:rPr>
          <w:rFonts w:ascii="Times New Roman" w:hAnsi="Times New Roman" w:cs="Times New Roman"/>
          <w:color w:val="auto"/>
          <w:sz w:val="26"/>
          <w:szCs w:val="26"/>
        </w:rPr>
        <w:t xml:space="preserve">The Board action recommended in this item complies in all material respects with applicable State and federal laws, University of Illinois </w:t>
      </w:r>
      <w:r w:rsidR="000E5CA6" w:rsidRPr="00521958">
        <w:rPr>
          <w:rFonts w:ascii="Times New Roman" w:hAnsi="Times New Roman" w:cs="Times New Roman"/>
          <w:i/>
          <w:iCs/>
          <w:color w:val="auto"/>
          <w:sz w:val="26"/>
          <w:szCs w:val="26"/>
        </w:rPr>
        <w:t>Statutes</w:t>
      </w:r>
      <w:r w:rsidR="000E5CA6" w:rsidRPr="00521958">
        <w:rPr>
          <w:rFonts w:ascii="Times New Roman" w:hAnsi="Times New Roman" w:cs="Times New Roman"/>
          <w:color w:val="auto"/>
          <w:sz w:val="26"/>
          <w:szCs w:val="26"/>
        </w:rPr>
        <w:t xml:space="preserve">, </w:t>
      </w:r>
      <w:r w:rsidR="000E5CA6" w:rsidRPr="00521958">
        <w:rPr>
          <w:rFonts w:ascii="Times New Roman" w:hAnsi="Times New Roman" w:cs="Times New Roman"/>
          <w:i/>
          <w:iCs/>
          <w:color w:val="auto"/>
          <w:sz w:val="26"/>
          <w:szCs w:val="26"/>
        </w:rPr>
        <w:t>The General Rules Concerning University Organization and Procedure</w:t>
      </w:r>
      <w:r w:rsidR="000E5CA6" w:rsidRPr="00521958">
        <w:rPr>
          <w:rFonts w:ascii="Times New Roman" w:hAnsi="Times New Roman" w:cs="Times New Roman"/>
          <w:color w:val="auto"/>
          <w:sz w:val="26"/>
          <w:szCs w:val="26"/>
        </w:rPr>
        <w:t xml:space="preserve">, and Board of Trustees policies and directives. </w:t>
      </w:r>
    </w:p>
    <w:p w14:paraId="344B924C" w14:textId="1F830FEA" w:rsidR="000B38EC" w:rsidRPr="00521958" w:rsidRDefault="000B38EC" w:rsidP="00090184">
      <w:pPr>
        <w:pStyle w:val="Default"/>
        <w:tabs>
          <w:tab w:val="left" w:pos="1530"/>
        </w:tabs>
        <w:spacing w:line="480" w:lineRule="auto"/>
        <w:ind w:hanging="720"/>
        <w:rPr>
          <w:rFonts w:ascii="Times New Roman" w:hAnsi="Times New Roman" w:cs="Times New Roman"/>
          <w:color w:val="auto"/>
          <w:sz w:val="26"/>
          <w:szCs w:val="26"/>
        </w:rPr>
      </w:pPr>
      <w:r w:rsidRPr="00521958">
        <w:rPr>
          <w:rFonts w:ascii="Times New Roman" w:hAnsi="Times New Roman" w:cs="Times New Roman"/>
          <w:color w:val="auto"/>
          <w:sz w:val="26"/>
          <w:szCs w:val="26"/>
        </w:rPr>
        <w:tab/>
      </w:r>
      <w:r w:rsidR="00090184" w:rsidRPr="00521958">
        <w:rPr>
          <w:rFonts w:ascii="Times New Roman" w:hAnsi="Times New Roman" w:cs="Times New Roman"/>
          <w:color w:val="auto"/>
          <w:sz w:val="26"/>
          <w:szCs w:val="26"/>
        </w:rPr>
        <w:tab/>
      </w:r>
      <w:r w:rsidRPr="00521958">
        <w:rPr>
          <w:rFonts w:ascii="Times New Roman" w:hAnsi="Times New Roman" w:cs="Times New Roman"/>
          <w:color w:val="auto"/>
          <w:sz w:val="26"/>
          <w:szCs w:val="26"/>
        </w:rPr>
        <w:t>Funds for this project are available from the</w:t>
      </w:r>
      <w:r w:rsidR="00C13221" w:rsidRPr="00521958">
        <w:rPr>
          <w:rFonts w:ascii="Times New Roman" w:hAnsi="Times New Roman" w:cs="Times New Roman"/>
          <w:sz w:val="26"/>
          <w:szCs w:val="26"/>
        </w:rPr>
        <w:t xml:space="preserve"> Auxiliary Facilit</w:t>
      </w:r>
      <w:r w:rsidR="00D053D7">
        <w:rPr>
          <w:rFonts w:ascii="Times New Roman" w:hAnsi="Times New Roman" w:cs="Times New Roman"/>
          <w:sz w:val="26"/>
          <w:szCs w:val="26"/>
        </w:rPr>
        <w:t>ies</w:t>
      </w:r>
      <w:r w:rsidR="00C13221" w:rsidRPr="00521958">
        <w:rPr>
          <w:rFonts w:ascii="Times New Roman" w:hAnsi="Times New Roman" w:cs="Times New Roman"/>
          <w:sz w:val="26"/>
          <w:szCs w:val="26"/>
        </w:rPr>
        <w:t xml:space="preserve"> System Repair and Replacement Reserve Funds and Institutional Operating Funds (to be reimbursed by future issuance of Auxiliary Facilities System Revenue Bonds).</w:t>
      </w:r>
    </w:p>
    <w:p w14:paraId="668CD3AB" w14:textId="1255C24E" w:rsidR="00C474C6" w:rsidRPr="00521958" w:rsidRDefault="000B38EC" w:rsidP="00C13221">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tab/>
        <w:t>The President of the University</w:t>
      </w:r>
      <w:r w:rsidR="006D31EF" w:rsidRPr="00521958">
        <w:rPr>
          <w:rFonts w:ascii="Times New Roman" w:hAnsi="Times New Roman" w:cs="Times New Roman"/>
          <w:color w:val="auto"/>
          <w:sz w:val="26"/>
          <w:szCs w:val="26"/>
        </w:rPr>
        <w:t xml:space="preserve"> of Illinois System</w:t>
      </w:r>
      <w:r w:rsidRPr="00521958">
        <w:rPr>
          <w:rFonts w:ascii="Times New Roman" w:hAnsi="Times New Roman" w:cs="Times New Roman"/>
          <w:color w:val="auto"/>
          <w:sz w:val="26"/>
          <w:szCs w:val="26"/>
        </w:rPr>
        <w:t xml:space="preserve"> concurs.</w:t>
      </w:r>
      <w:r w:rsidR="00C474C6" w:rsidRPr="00521958">
        <w:rPr>
          <w:rFonts w:ascii="Times New Roman" w:hAnsi="Times New Roman" w:cs="Times New Roman"/>
          <w:color w:val="auto"/>
          <w:sz w:val="26"/>
          <w:szCs w:val="26"/>
        </w:rPr>
        <w:t xml:space="preserve"> </w:t>
      </w:r>
    </w:p>
    <w:p w14:paraId="7F0BE11B" w14:textId="3673A201"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0D1ACD05" w14:textId="68327627"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72EBAF2D" w14:textId="6F91EF3D"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4C93EF45" w14:textId="5327B588"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356C0FCD" w14:textId="0AF94854"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18587E0F" w14:textId="0EA860B9"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6C935A3E" w14:textId="26E1FB48"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4671B300" w14:textId="167BE6A8"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2A4C7E8B" w14:textId="1CB3D74C"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3A5747BD" w14:textId="7D591E0D"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5EE2D939" w14:textId="0DAB8849"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0898173D" w14:textId="718C0F0F"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p w14:paraId="252AA9D0" w14:textId="6E4677DB" w:rsidR="00607C5E" w:rsidRPr="00521958" w:rsidRDefault="00607C5E">
      <w:pPr>
        <w:overflowPunct/>
        <w:autoSpaceDE/>
        <w:autoSpaceDN/>
        <w:adjustRightInd/>
        <w:spacing w:after="200" w:line="276" w:lineRule="auto"/>
        <w:rPr>
          <w:szCs w:val="26"/>
        </w:rPr>
      </w:pPr>
      <w:r w:rsidRPr="00521958">
        <w:rPr>
          <w:szCs w:val="26"/>
        </w:rPr>
        <w:br w:type="page"/>
      </w:r>
    </w:p>
    <w:p w14:paraId="10707EC0" w14:textId="77777777"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sectPr w:rsidR="00607C5E" w:rsidRPr="00521958" w:rsidSect="00C911E0">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440" w:bottom="1440" w:left="1440" w:header="720" w:footer="720" w:gutter="0"/>
          <w:cols w:space="720"/>
          <w:noEndnote/>
          <w:titlePg/>
          <w:docGrid w:linePitch="354"/>
        </w:sectPr>
      </w:pPr>
    </w:p>
    <w:p w14:paraId="2070ECC5" w14:textId="114B0887"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lastRenderedPageBreak/>
        <w:t>Table 1: Diverse Business Utilization</w:t>
      </w:r>
    </w:p>
    <w:tbl>
      <w:tblPr>
        <w:tblW w:w="0" w:type="auto"/>
        <w:tblLook w:val="04A0" w:firstRow="1" w:lastRow="0" w:firstColumn="1" w:lastColumn="0" w:noHBand="0" w:noVBand="1"/>
      </w:tblPr>
      <w:tblGrid>
        <w:gridCol w:w="2969"/>
        <w:gridCol w:w="1962"/>
        <w:gridCol w:w="2067"/>
        <w:gridCol w:w="2342"/>
      </w:tblGrid>
      <w:tr w:rsidR="00607C5E" w:rsidRPr="00521958" w14:paraId="0C90ECD9" w14:textId="77777777" w:rsidTr="0091649F">
        <w:trPr>
          <w:trHeight w:val="645"/>
        </w:trPr>
        <w:tc>
          <w:tcPr>
            <w:tcW w:w="0" w:type="auto"/>
            <w:tcBorders>
              <w:top w:val="single" w:sz="8" w:space="0" w:color="auto"/>
              <w:left w:val="single" w:sz="8" w:space="0" w:color="auto"/>
              <w:bottom w:val="single" w:sz="4" w:space="0" w:color="auto"/>
              <w:right w:val="single" w:sz="4" w:space="0" w:color="auto"/>
            </w:tcBorders>
            <w:shd w:val="clear" w:color="000000" w:fill="DDEBF7"/>
            <w:vAlign w:val="bottom"/>
            <w:hideMark/>
          </w:tcPr>
          <w:p w14:paraId="7481E54D" w14:textId="77777777" w:rsidR="00607C5E" w:rsidRPr="00521958" w:rsidRDefault="00607C5E" w:rsidP="00607C5E">
            <w:pPr>
              <w:overflowPunct/>
              <w:autoSpaceDE/>
              <w:autoSpaceDN/>
              <w:adjustRightInd/>
              <w:jc w:val="center"/>
              <w:rPr>
                <w:b/>
                <w:bCs/>
                <w:color w:val="000000"/>
                <w:szCs w:val="26"/>
              </w:rPr>
            </w:pPr>
            <w:r w:rsidRPr="00521958">
              <w:rPr>
                <w:b/>
                <w:bCs/>
                <w:color w:val="000000"/>
                <w:szCs w:val="26"/>
              </w:rPr>
              <w:t>Awarded Vendor</w:t>
            </w:r>
          </w:p>
        </w:tc>
        <w:tc>
          <w:tcPr>
            <w:tcW w:w="0" w:type="auto"/>
            <w:tcBorders>
              <w:top w:val="single" w:sz="8" w:space="0" w:color="auto"/>
              <w:left w:val="nil"/>
              <w:bottom w:val="single" w:sz="8" w:space="0" w:color="auto"/>
              <w:right w:val="single" w:sz="4" w:space="0" w:color="auto"/>
            </w:tcBorders>
            <w:shd w:val="clear" w:color="000000" w:fill="DDEBF7"/>
            <w:vAlign w:val="bottom"/>
            <w:hideMark/>
          </w:tcPr>
          <w:p w14:paraId="3646B3C2" w14:textId="77777777" w:rsidR="00607C5E" w:rsidRPr="00521958" w:rsidRDefault="00607C5E" w:rsidP="00607C5E">
            <w:pPr>
              <w:overflowPunct/>
              <w:autoSpaceDE/>
              <w:autoSpaceDN/>
              <w:adjustRightInd/>
              <w:jc w:val="center"/>
              <w:rPr>
                <w:b/>
                <w:bCs/>
                <w:color w:val="000000"/>
                <w:szCs w:val="26"/>
              </w:rPr>
            </w:pPr>
            <w:r w:rsidRPr="00521958">
              <w:rPr>
                <w:b/>
                <w:bCs/>
                <w:color w:val="000000"/>
                <w:szCs w:val="26"/>
              </w:rPr>
              <w:t>PSC Agreement $</w:t>
            </w:r>
          </w:p>
        </w:tc>
        <w:tc>
          <w:tcPr>
            <w:tcW w:w="0" w:type="auto"/>
            <w:tcBorders>
              <w:top w:val="single" w:sz="8" w:space="0" w:color="auto"/>
              <w:left w:val="nil"/>
              <w:bottom w:val="single" w:sz="8" w:space="0" w:color="auto"/>
              <w:right w:val="single" w:sz="4" w:space="0" w:color="auto"/>
            </w:tcBorders>
            <w:shd w:val="clear" w:color="000000" w:fill="DDEBF7"/>
            <w:vAlign w:val="bottom"/>
            <w:hideMark/>
          </w:tcPr>
          <w:p w14:paraId="516AEBD2" w14:textId="77777777" w:rsidR="00607C5E" w:rsidRPr="00521958" w:rsidRDefault="00607C5E" w:rsidP="00607C5E">
            <w:pPr>
              <w:overflowPunct/>
              <w:autoSpaceDE/>
              <w:autoSpaceDN/>
              <w:adjustRightInd/>
              <w:jc w:val="center"/>
              <w:rPr>
                <w:b/>
                <w:bCs/>
                <w:color w:val="000000"/>
                <w:szCs w:val="26"/>
              </w:rPr>
            </w:pPr>
            <w:r w:rsidRPr="00521958">
              <w:rPr>
                <w:b/>
                <w:bCs/>
                <w:color w:val="000000"/>
                <w:szCs w:val="26"/>
              </w:rPr>
              <w:t>Subcontract Value</w:t>
            </w:r>
          </w:p>
        </w:tc>
        <w:tc>
          <w:tcPr>
            <w:tcW w:w="0" w:type="auto"/>
            <w:tcBorders>
              <w:top w:val="single" w:sz="8" w:space="0" w:color="auto"/>
              <w:left w:val="nil"/>
              <w:bottom w:val="single" w:sz="8" w:space="0" w:color="auto"/>
              <w:right w:val="single" w:sz="8" w:space="0" w:color="auto"/>
            </w:tcBorders>
            <w:shd w:val="clear" w:color="000000" w:fill="DDEBF7"/>
            <w:vAlign w:val="bottom"/>
            <w:hideMark/>
          </w:tcPr>
          <w:p w14:paraId="0DE5C909" w14:textId="77777777" w:rsidR="00607C5E" w:rsidRPr="00521958" w:rsidRDefault="00607C5E" w:rsidP="00607C5E">
            <w:pPr>
              <w:overflowPunct/>
              <w:autoSpaceDE/>
              <w:autoSpaceDN/>
              <w:adjustRightInd/>
              <w:jc w:val="center"/>
              <w:rPr>
                <w:b/>
                <w:bCs/>
                <w:color w:val="000000"/>
                <w:szCs w:val="26"/>
              </w:rPr>
            </w:pPr>
            <w:r w:rsidRPr="00521958">
              <w:rPr>
                <w:b/>
                <w:bCs/>
                <w:color w:val="000000"/>
                <w:szCs w:val="26"/>
              </w:rPr>
              <w:t>Subvendor % of Work</w:t>
            </w:r>
          </w:p>
        </w:tc>
      </w:tr>
      <w:tr w:rsidR="00091195" w:rsidRPr="00521958" w14:paraId="582C95D0" w14:textId="77777777" w:rsidTr="0091649F">
        <w:trPr>
          <w:trHeight w:val="315"/>
        </w:trPr>
        <w:tc>
          <w:tcPr>
            <w:tcW w:w="0" w:type="auto"/>
            <w:tcBorders>
              <w:top w:val="single" w:sz="4" w:space="0" w:color="auto"/>
              <w:left w:val="single" w:sz="4" w:space="0" w:color="auto"/>
              <w:bottom w:val="nil"/>
              <w:right w:val="single" w:sz="4" w:space="0" w:color="auto"/>
            </w:tcBorders>
            <w:shd w:val="clear" w:color="auto" w:fill="auto"/>
            <w:hideMark/>
          </w:tcPr>
          <w:p w14:paraId="094EEFE9" w14:textId="77777777" w:rsidR="00607C5E" w:rsidRPr="00521958" w:rsidRDefault="00607C5E" w:rsidP="00607C5E">
            <w:pPr>
              <w:overflowPunct/>
              <w:autoSpaceDE/>
              <w:autoSpaceDN/>
              <w:adjustRightInd/>
              <w:jc w:val="center"/>
              <w:rPr>
                <w:color w:val="000000"/>
                <w:szCs w:val="26"/>
              </w:rPr>
            </w:pPr>
            <w:r w:rsidRPr="00521958">
              <w:rPr>
                <w:color w:val="000000"/>
                <w:szCs w:val="26"/>
              </w:rPr>
              <w:t>Wiss, Janney, Elstner Associates</w:t>
            </w:r>
          </w:p>
        </w:tc>
        <w:tc>
          <w:tcPr>
            <w:tcW w:w="0" w:type="auto"/>
            <w:tcBorders>
              <w:top w:val="nil"/>
              <w:left w:val="nil"/>
              <w:bottom w:val="single" w:sz="4" w:space="0" w:color="auto"/>
              <w:right w:val="single" w:sz="4" w:space="0" w:color="auto"/>
            </w:tcBorders>
            <w:shd w:val="clear" w:color="auto" w:fill="auto"/>
            <w:vAlign w:val="bottom"/>
            <w:hideMark/>
          </w:tcPr>
          <w:p w14:paraId="345669EE" w14:textId="77777777" w:rsidR="00607C5E" w:rsidRPr="00521958" w:rsidRDefault="00607C5E" w:rsidP="00607C5E">
            <w:pPr>
              <w:overflowPunct/>
              <w:autoSpaceDE/>
              <w:autoSpaceDN/>
              <w:adjustRightInd/>
              <w:jc w:val="center"/>
              <w:rPr>
                <w:color w:val="000000"/>
                <w:szCs w:val="26"/>
              </w:rPr>
            </w:pPr>
            <w:r w:rsidRPr="00521958">
              <w:rPr>
                <w:color w:val="000000"/>
                <w:szCs w:val="26"/>
              </w:rPr>
              <w:t xml:space="preserve">$1,191,839 </w:t>
            </w:r>
          </w:p>
        </w:tc>
        <w:tc>
          <w:tcPr>
            <w:tcW w:w="0" w:type="auto"/>
            <w:tcBorders>
              <w:top w:val="nil"/>
              <w:left w:val="nil"/>
              <w:bottom w:val="single" w:sz="4" w:space="0" w:color="auto"/>
              <w:right w:val="single" w:sz="4" w:space="0" w:color="auto"/>
            </w:tcBorders>
            <w:shd w:val="clear" w:color="auto" w:fill="auto"/>
            <w:vAlign w:val="bottom"/>
            <w:hideMark/>
          </w:tcPr>
          <w:p w14:paraId="722A9059"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nil"/>
              <w:left w:val="nil"/>
              <w:bottom w:val="single" w:sz="4" w:space="0" w:color="auto"/>
              <w:right w:val="single" w:sz="8" w:space="0" w:color="auto"/>
            </w:tcBorders>
            <w:shd w:val="clear" w:color="auto" w:fill="auto"/>
            <w:noWrap/>
            <w:vAlign w:val="bottom"/>
            <w:hideMark/>
          </w:tcPr>
          <w:p w14:paraId="65F08BB5"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r>
      <w:tr w:rsidR="00091195" w:rsidRPr="00521958" w14:paraId="0231273D" w14:textId="77777777" w:rsidTr="0091649F">
        <w:trPr>
          <w:trHeight w:val="315"/>
        </w:trPr>
        <w:tc>
          <w:tcPr>
            <w:tcW w:w="0" w:type="auto"/>
            <w:tcBorders>
              <w:top w:val="nil"/>
              <w:left w:val="single" w:sz="4" w:space="0" w:color="auto"/>
              <w:bottom w:val="nil"/>
              <w:right w:val="single" w:sz="4" w:space="0" w:color="auto"/>
            </w:tcBorders>
            <w:shd w:val="clear" w:color="auto" w:fill="auto"/>
            <w:hideMark/>
          </w:tcPr>
          <w:p w14:paraId="417C3E74" w14:textId="77777777" w:rsidR="00607C5E" w:rsidRPr="00521958" w:rsidRDefault="00607C5E" w:rsidP="00607C5E">
            <w:pPr>
              <w:overflowPunct/>
              <w:autoSpaceDE/>
              <w:autoSpaceDN/>
              <w:adjustRightInd/>
              <w:jc w:val="center"/>
              <w:rPr>
                <w:color w:val="000000"/>
                <w:szCs w:val="26"/>
              </w:rPr>
            </w:pPr>
            <w:r w:rsidRPr="00521958">
              <w:rPr>
                <w:color w:val="000000"/>
                <w:szCs w:val="26"/>
              </w:rPr>
              <w:t>Northbrook, IL</w:t>
            </w:r>
          </w:p>
        </w:tc>
        <w:tc>
          <w:tcPr>
            <w:tcW w:w="0" w:type="auto"/>
            <w:tcBorders>
              <w:top w:val="nil"/>
              <w:left w:val="nil"/>
              <w:bottom w:val="single" w:sz="4" w:space="0" w:color="auto"/>
              <w:right w:val="single" w:sz="4" w:space="0" w:color="auto"/>
            </w:tcBorders>
            <w:shd w:val="clear" w:color="auto" w:fill="auto"/>
            <w:vAlign w:val="bottom"/>
            <w:hideMark/>
          </w:tcPr>
          <w:p w14:paraId="5674C593"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nil"/>
              <w:left w:val="nil"/>
              <w:bottom w:val="single" w:sz="4" w:space="0" w:color="auto"/>
              <w:right w:val="single" w:sz="4" w:space="0" w:color="auto"/>
            </w:tcBorders>
            <w:shd w:val="clear" w:color="auto" w:fill="auto"/>
            <w:vAlign w:val="bottom"/>
            <w:hideMark/>
          </w:tcPr>
          <w:p w14:paraId="58CC85A6"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nil"/>
              <w:left w:val="nil"/>
              <w:bottom w:val="single" w:sz="4" w:space="0" w:color="auto"/>
              <w:right w:val="single" w:sz="8" w:space="0" w:color="auto"/>
            </w:tcBorders>
            <w:shd w:val="clear" w:color="auto" w:fill="auto"/>
            <w:noWrap/>
            <w:vAlign w:val="bottom"/>
            <w:hideMark/>
          </w:tcPr>
          <w:p w14:paraId="393004B3"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r>
      <w:tr w:rsidR="00091195" w:rsidRPr="00521958" w14:paraId="76439E02" w14:textId="77777777" w:rsidTr="0091649F">
        <w:trPr>
          <w:trHeight w:val="315"/>
        </w:trPr>
        <w:tc>
          <w:tcPr>
            <w:tcW w:w="0" w:type="auto"/>
            <w:tcBorders>
              <w:top w:val="nil"/>
              <w:left w:val="single" w:sz="4" w:space="0" w:color="auto"/>
              <w:bottom w:val="nil"/>
              <w:right w:val="single" w:sz="4" w:space="0" w:color="auto"/>
            </w:tcBorders>
            <w:shd w:val="clear" w:color="auto" w:fill="auto"/>
            <w:hideMark/>
          </w:tcPr>
          <w:p w14:paraId="32BB0B54"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CAE69E3" w14:textId="77777777" w:rsidR="00607C5E" w:rsidRPr="00521958" w:rsidRDefault="00607C5E" w:rsidP="00607C5E">
            <w:pPr>
              <w:overflowPunct/>
              <w:autoSpaceDE/>
              <w:autoSpaceDN/>
              <w:adjustRightInd/>
              <w:jc w:val="center"/>
              <w:rPr>
                <w:color w:val="000000"/>
                <w:szCs w:val="26"/>
              </w:rPr>
            </w:pPr>
            <w:r w:rsidRPr="00521958">
              <w:rPr>
                <w:color w:val="000000"/>
                <w:szCs w:val="26"/>
              </w:rPr>
              <w:t>MBE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A21082C" w14:textId="77777777" w:rsidR="00607C5E" w:rsidRPr="00521958" w:rsidRDefault="00607C5E" w:rsidP="00607C5E">
            <w:pPr>
              <w:overflowPunct/>
              <w:autoSpaceDE/>
              <w:autoSpaceDN/>
              <w:adjustRightInd/>
              <w:jc w:val="center"/>
              <w:rPr>
                <w:color w:val="000000"/>
                <w:szCs w:val="26"/>
              </w:rPr>
            </w:pPr>
            <w:r w:rsidRPr="00521958">
              <w:rPr>
                <w:color w:val="000000"/>
                <w:szCs w:val="26"/>
              </w:rPr>
              <w:t>$189,525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43709A" w14:textId="77777777" w:rsidR="00607C5E" w:rsidRPr="00521958" w:rsidRDefault="00607C5E" w:rsidP="00607C5E">
            <w:pPr>
              <w:overflowPunct/>
              <w:autoSpaceDE/>
              <w:autoSpaceDN/>
              <w:adjustRightInd/>
              <w:jc w:val="center"/>
              <w:rPr>
                <w:color w:val="000000"/>
                <w:szCs w:val="26"/>
              </w:rPr>
            </w:pPr>
            <w:r w:rsidRPr="00521958">
              <w:rPr>
                <w:color w:val="000000"/>
                <w:szCs w:val="26"/>
              </w:rPr>
              <w:t>16%</w:t>
            </w:r>
          </w:p>
        </w:tc>
      </w:tr>
      <w:tr w:rsidR="00091195" w:rsidRPr="00521958" w14:paraId="25F1BD16" w14:textId="77777777" w:rsidTr="0091649F">
        <w:trPr>
          <w:trHeight w:val="315"/>
        </w:trPr>
        <w:tc>
          <w:tcPr>
            <w:tcW w:w="0" w:type="auto"/>
            <w:tcBorders>
              <w:top w:val="nil"/>
              <w:left w:val="single" w:sz="4" w:space="0" w:color="auto"/>
              <w:bottom w:val="nil"/>
              <w:right w:val="single" w:sz="4" w:space="0" w:color="auto"/>
            </w:tcBorders>
            <w:shd w:val="clear" w:color="auto" w:fill="auto"/>
            <w:hideMark/>
          </w:tcPr>
          <w:p w14:paraId="1B11994E"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D331271" w14:textId="77777777" w:rsidR="00607C5E" w:rsidRPr="00521958" w:rsidRDefault="00607C5E" w:rsidP="00607C5E">
            <w:pPr>
              <w:overflowPunct/>
              <w:autoSpaceDE/>
              <w:autoSpaceDN/>
              <w:adjustRightInd/>
              <w:jc w:val="center"/>
              <w:rPr>
                <w:color w:val="000000"/>
                <w:szCs w:val="26"/>
              </w:rPr>
            </w:pPr>
            <w:r w:rsidRPr="00521958">
              <w:rPr>
                <w:color w:val="000000"/>
                <w:szCs w:val="26"/>
              </w:rPr>
              <w:t>VOSB</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572900" w14:textId="77777777" w:rsidR="00607C5E" w:rsidRPr="00521958" w:rsidRDefault="00607C5E" w:rsidP="00607C5E">
            <w:pPr>
              <w:overflowPunct/>
              <w:autoSpaceDE/>
              <w:autoSpaceDN/>
              <w:adjustRightInd/>
              <w:jc w:val="center"/>
              <w:rPr>
                <w:color w:val="000000"/>
                <w:szCs w:val="26"/>
              </w:rPr>
            </w:pPr>
            <w:r w:rsidRPr="00521958">
              <w:rPr>
                <w:color w:val="000000"/>
                <w:szCs w:val="26"/>
              </w:rPr>
              <w:t>$37,500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CCEECB" w14:textId="77777777" w:rsidR="00607C5E" w:rsidRPr="00521958" w:rsidRDefault="00607C5E" w:rsidP="00607C5E">
            <w:pPr>
              <w:overflowPunct/>
              <w:autoSpaceDE/>
              <w:autoSpaceDN/>
              <w:adjustRightInd/>
              <w:jc w:val="center"/>
              <w:rPr>
                <w:color w:val="000000"/>
                <w:szCs w:val="26"/>
              </w:rPr>
            </w:pPr>
            <w:r w:rsidRPr="00521958">
              <w:rPr>
                <w:color w:val="000000"/>
                <w:szCs w:val="26"/>
              </w:rPr>
              <w:t>3%</w:t>
            </w:r>
          </w:p>
        </w:tc>
      </w:tr>
      <w:tr w:rsidR="00091195" w:rsidRPr="00521958" w14:paraId="41DA0100" w14:textId="77777777" w:rsidTr="0091649F">
        <w:trPr>
          <w:trHeight w:val="330"/>
        </w:trPr>
        <w:tc>
          <w:tcPr>
            <w:tcW w:w="0" w:type="auto"/>
            <w:tcBorders>
              <w:top w:val="nil"/>
              <w:left w:val="single" w:sz="4" w:space="0" w:color="auto"/>
              <w:bottom w:val="single" w:sz="4" w:space="0" w:color="auto"/>
              <w:right w:val="single" w:sz="4" w:space="0" w:color="auto"/>
            </w:tcBorders>
            <w:shd w:val="clear" w:color="auto" w:fill="auto"/>
            <w:hideMark/>
          </w:tcPr>
          <w:p w14:paraId="45EFB894" w14:textId="77777777" w:rsidR="00607C5E" w:rsidRPr="00521958" w:rsidRDefault="00607C5E" w:rsidP="00607C5E">
            <w:pPr>
              <w:overflowPunct/>
              <w:autoSpaceDE/>
              <w:autoSpaceDN/>
              <w:adjustRightInd/>
              <w:jc w:val="center"/>
              <w:rPr>
                <w:color w:val="000000"/>
                <w:szCs w:val="26"/>
              </w:rPr>
            </w:pPr>
            <w:r w:rsidRPr="00521958">
              <w:rPr>
                <w:color w:val="000000"/>
                <w:szCs w:val="2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88D977" w14:textId="77777777" w:rsidR="00607C5E" w:rsidRPr="00521958" w:rsidRDefault="00607C5E" w:rsidP="00607C5E">
            <w:pPr>
              <w:overflowPunct/>
              <w:autoSpaceDE/>
              <w:autoSpaceDN/>
              <w:adjustRightInd/>
              <w:jc w:val="center"/>
              <w:rPr>
                <w:color w:val="000000"/>
                <w:szCs w:val="26"/>
              </w:rPr>
            </w:pPr>
            <w:r w:rsidRPr="00521958">
              <w:rPr>
                <w:color w:val="000000"/>
                <w:szCs w:val="26"/>
              </w:rPr>
              <w:t>WBE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50B5996" w14:textId="77777777" w:rsidR="00607C5E" w:rsidRPr="00521958" w:rsidRDefault="00607C5E" w:rsidP="00607C5E">
            <w:pPr>
              <w:overflowPunct/>
              <w:autoSpaceDE/>
              <w:autoSpaceDN/>
              <w:adjustRightInd/>
              <w:jc w:val="center"/>
              <w:rPr>
                <w:color w:val="000000"/>
                <w:szCs w:val="26"/>
              </w:rPr>
            </w:pPr>
            <w:r w:rsidRPr="00521958">
              <w:rPr>
                <w:color w:val="000000"/>
                <w:szCs w:val="26"/>
              </w:rPr>
              <w:t>$179,000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78A18A" w14:textId="77777777" w:rsidR="00607C5E" w:rsidRPr="00521958" w:rsidRDefault="00607C5E" w:rsidP="00607C5E">
            <w:pPr>
              <w:overflowPunct/>
              <w:autoSpaceDE/>
              <w:autoSpaceDN/>
              <w:adjustRightInd/>
              <w:jc w:val="center"/>
              <w:rPr>
                <w:color w:val="000000"/>
                <w:szCs w:val="26"/>
              </w:rPr>
            </w:pPr>
            <w:r w:rsidRPr="00521958">
              <w:rPr>
                <w:color w:val="000000"/>
                <w:szCs w:val="26"/>
              </w:rPr>
              <w:t>15%</w:t>
            </w:r>
          </w:p>
        </w:tc>
      </w:tr>
      <w:tr w:rsidR="00607C5E" w:rsidRPr="00521958" w14:paraId="21BCC8AA" w14:textId="77777777" w:rsidTr="0091649F">
        <w:trPr>
          <w:trHeight w:val="315"/>
        </w:trPr>
        <w:tc>
          <w:tcPr>
            <w:tcW w:w="0" w:type="auto"/>
            <w:tcBorders>
              <w:top w:val="single" w:sz="4" w:space="0" w:color="auto"/>
            </w:tcBorders>
            <w:shd w:val="clear" w:color="auto" w:fill="auto"/>
            <w:vAlign w:val="bottom"/>
          </w:tcPr>
          <w:p w14:paraId="1D9BC5CF" w14:textId="77777777" w:rsidR="00607C5E" w:rsidRPr="00521958" w:rsidRDefault="00607C5E" w:rsidP="00607C5E">
            <w:pPr>
              <w:overflowPunct/>
              <w:autoSpaceDE/>
              <w:autoSpaceDN/>
              <w:adjustRightInd/>
              <w:jc w:val="center"/>
              <w:rPr>
                <w:color w:val="000000"/>
                <w:szCs w:val="26"/>
              </w:rPr>
            </w:pPr>
          </w:p>
        </w:tc>
        <w:tc>
          <w:tcPr>
            <w:tcW w:w="0" w:type="auto"/>
            <w:tcBorders>
              <w:top w:val="single" w:sz="4" w:space="0" w:color="auto"/>
            </w:tcBorders>
            <w:shd w:val="clear" w:color="auto" w:fill="auto"/>
            <w:vAlign w:val="bottom"/>
          </w:tcPr>
          <w:p w14:paraId="7C005150" w14:textId="77777777" w:rsidR="00607C5E" w:rsidRPr="00521958" w:rsidRDefault="00607C5E" w:rsidP="00607C5E">
            <w:pPr>
              <w:overflowPunct/>
              <w:autoSpaceDE/>
              <w:autoSpaceDN/>
              <w:adjustRightInd/>
              <w:jc w:val="center"/>
              <w:rPr>
                <w:color w:val="000000"/>
                <w:szCs w:val="26"/>
              </w:rPr>
            </w:pPr>
          </w:p>
        </w:tc>
        <w:tc>
          <w:tcPr>
            <w:tcW w:w="0" w:type="auto"/>
            <w:tcBorders>
              <w:top w:val="single" w:sz="4" w:space="0" w:color="auto"/>
            </w:tcBorders>
            <w:shd w:val="clear" w:color="auto" w:fill="auto"/>
            <w:noWrap/>
            <w:vAlign w:val="bottom"/>
          </w:tcPr>
          <w:p w14:paraId="333C7654" w14:textId="77777777" w:rsidR="00607C5E" w:rsidRPr="00521958" w:rsidRDefault="00607C5E" w:rsidP="00607C5E">
            <w:pPr>
              <w:overflowPunct/>
              <w:autoSpaceDE/>
              <w:autoSpaceDN/>
              <w:adjustRightInd/>
              <w:jc w:val="center"/>
              <w:rPr>
                <w:color w:val="000000"/>
                <w:szCs w:val="26"/>
              </w:rPr>
            </w:pPr>
          </w:p>
        </w:tc>
        <w:tc>
          <w:tcPr>
            <w:tcW w:w="0" w:type="auto"/>
            <w:tcBorders>
              <w:top w:val="single" w:sz="4" w:space="0" w:color="auto"/>
            </w:tcBorders>
            <w:shd w:val="clear" w:color="auto" w:fill="auto"/>
            <w:noWrap/>
            <w:vAlign w:val="bottom"/>
          </w:tcPr>
          <w:p w14:paraId="31944F8E" w14:textId="77777777" w:rsidR="00607C5E" w:rsidRPr="00521958" w:rsidRDefault="00607C5E" w:rsidP="00607C5E">
            <w:pPr>
              <w:overflowPunct/>
              <w:autoSpaceDE/>
              <w:autoSpaceDN/>
              <w:adjustRightInd/>
              <w:jc w:val="center"/>
              <w:rPr>
                <w:color w:val="000000"/>
                <w:szCs w:val="26"/>
              </w:rPr>
            </w:pPr>
          </w:p>
        </w:tc>
      </w:tr>
      <w:tr w:rsidR="00091195" w:rsidRPr="00521958" w14:paraId="327ACA12" w14:textId="77777777" w:rsidTr="0091649F">
        <w:trPr>
          <w:trHeight w:val="315"/>
        </w:trPr>
        <w:tc>
          <w:tcPr>
            <w:tcW w:w="0" w:type="auto"/>
            <w:tcBorders>
              <w:bottom w:val="single" w:sz="4" w:space="0" w:color="auto"/>
            </w:tcBorders>
            <w:shd w:val="clear" w:color="auto" w:fill="auto"/>
            <w:vAlign w:val="bottom"/>
          </w:tcPr>
          <w:p w14:paraId="4ECEB8C1" w14:textId="77777777" w:rsidR="00091195" w:rsidRPr="00521958" w:rsidRDefault="00091195" w:rsidP="00607C5E">
            <w:pPr>
              <w:overflowPunct/>
              <w:autoSpaceDE/>
              <w:autoSpaceDN/>
              <w:adjustRightInd/>
              <w:jc w:val="center"/>
              <w:rPr>
                <w:color w:val="000000"/>
                <w:szCs w:val="26"/>
              </w:rPr>
            </w:pPr>
          </w:p>
        </w:tc>
        <w:tc>
          <w:tcPr>
            <w:tcW w:w="0" w:type="auto"/>
            <w:tcBorders>
              <w:bottom w:val="single" w:sz="4" w:space="0" w:color="auto"/>
            </w:tcBorders>
            <w:shd w:val="clear" w:color="auto" w:fill="auto"/>
            <w:vAlign w:val="bottom"/>
          </w:tcPr>
          <w:p w14:paraId="6B92AD03" w14:textId="77777777" w:rsidR="00091195" w:rsidRPr="00521958" w:rsidRDefault="00091195" w:rsidP="00607C5E">
            <w:pPr>
              <w:overflowPunct/>
              <w:autoSpaceDE/>
              <w:autoSpaceDN/>
              <w:adjustRightInd/>
              <w:jc w:val="center"/>
              <w:rPr>
                <w:color w:val="000000"/>
                <w:szCs w:val="26"/>
              </w:rPr>
            </w:pPr>
          </w:p>
        </w:tc>
        <w:tc>
          <w:tcPr>
            <w:tcW w:w="0" w:type="auto"/>
            <w:tcBorders>
              <w:bottom w:val="single" w:sz="4" w:space="0" w:color="auto"/>
            </w:tcBorders>
            <w:shd w:val="clear" w:color="auto" w:fill="auto"/>
            <w:noWrap/>
            <w:vAlign w:val="bottom"/>
          </w:tcPr>
          <w:p w14:paraId="75043151" w14:textId="77777777" w:rsidR="00091195" w:rsidRPr="00521958" w:rsidRDefault="00091195" w:rsidP="00607C5E">
            <w:pPr>
              <w:overflowPunct/>
              <w:autoSpaceDE/>
              <w:autoSpaceDN/>
              <w:adjustRightInd/>
              <w:jc w:val="center"/>
              <w:rPr>
                <w:color w:val="000000"/>
                <w:szCs w:val="26"/>
              </w:rPr>
            </w:pPr>
          </w:p>
        </w:tc>
        <w:tc>
          <w:tcPr>
            <w:tcW w:w="0" w:type="auto"/>
            <w:tcBorders>
              <w:bottom w:val="single" w:sz="4" w:space="0" w:color="auto"/>
            </w:tcBorders>
            <w:shd w:val="clear" w:color="auto" w:fill="auto"/>
            <w:noWrap/>
            <w:vAlign w:val="bottom"/>
          </w:tcPr>
          <w:p w14:paraId="3CE4D98D" w14:textId="77777777" w:rsidR="00091195" w:rsidRPr="00521958" w:rsidRDefault="00091195" w:rsidP="00607C5E">
            <w:pPr>
              <w:overflowPunct/>
              <w:autoSpaceDE/>
              <w:autoSpaceDN/>
              <w:adjustRightInd/>
              <w:jc w:val="center"/>
              <w:rPr>
                <w:color w:val="000000"/>
                <w:szCs w:val="26"/>
              </w:rPr>
            </w:pPr>
          </w:p>
        </w:tc>
      </w:tr>
      <w:tr w:rsidR="00091195" w:rsidRPr="00521958" w14:paraId="110554F6" w14:textId="77777777" w:rsidTr="0091649F">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390C60" w14:textId="77777777" w:rsidR="00607C5E" w:rsidRPr="00521958" w:rsidRDefault="00607C5E" w:rsidP="00607C5E">
            <w:pPr>
              <w:overflowPunct/>
              <w:autoSpaceDE/>
              <w:autoSpaceDN/>
              <w:adjustRightInd/>
              <w:jc w:val="right"/>
              <w:rPr>
                <w:color w:val="000000"/>
                <w:szCs w:val="26"/>
              </w:rPr>
            </w:pPr>
            <w:r w:rsidRPr="00521958">
              <w:rPr>
                <w:color w:val="000000"/>
                <w:szCs w:val="26"/>
              </w:rPr>
              <w:t>Total MBE (AFA)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B9C9FE8" w14:textId="77777777" w:rsidR="00607C5E" w:rsidRPr="00521958" w:rsidRDefault="00607C5E" w:rsidP="00607C5E">
            <w:pPr>
              <w:overflowPunct/>
              <w:autoSpaceDE/>
              <w:autoSpaceDN/>
              <w:adjustRightInd/>
              <w:jc w:val="center"/>
              <w:rPr>
                <w:color w:val="000000"/>
                <w:szCs w:val="26"/>
              </w:rPr>
            </w:pPr>
            <w:r w:rsidRPr="00521958">
              <w:rPr>
                <w:color w:val="000000"/>
                <w:szCs w:val="26"/>
              </w:rPr>
              <w:t>$90,500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F69BD" w14:textId="77777777" w:rsidR="00607C5E" w:rsidRPr="00521958" w:rsidRDefault="00607C5E" w:rsidP="00607C5E">
            <w:pPr>
              <w:overflowPunct/>
              <w:autoSpaceDE/>
              <w:autoSpaceDN/>
              <w:adjustRightInd/>
              <w:jc w:val="center"/>
              <w:rPr>
                <w:color w:val="000000"/>
                <w:szCs w:val="26"/>
              </w:rPr>
            </w:pPr>
            <w:r w:rsidRPr="00521958">
              <w:rPr>
                <w:color w:val="000000"/>
                <w:szCs w:val="26"/>
              </w:rPr>
              <w:t>8%</w:t>
            </w:r>
          </w:p>
        </w:tc>
      </w:tr>
      <w:tr w:rsidR="00091195" w:rsidRPr="00521958" w14:paraId="3DDDE571" w14:textId="77777777" w:rsidTr="0091649F">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FE42A4" w14:textId="77777777" w:rsidR="00607C5E" w:rsidRPr="00521958" w:rsidRDefault="00607C5E" w:rsidP="00607C5E">
            <w:pPr>
              <w:overflowPunct/>
              <w:autoSpaceDE/>
              <w:autoSpaceDN/>
              <w:adjustRightInd/>
              <w:jc w:val="right"/>
              <w:rPr>
                <w:color w:val="000000"/>
                <w:szCs w:val="26"/>
              </w:rPr>
            </w:pPr>
            <w:r w:rsidRPr="00521958">
              <w:rPr>
                <w:color w:val="000000"/>
                <w:szCs w:val="26"/>
              </w:rPr>
              <w:t>Total MBE (ASA)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34F6087" w14:textId="77777777" w:rsidR="00607C5E" w:rsidRPr="00521958" w:rsidRDefault="00607C5E" w:rsidP="00607C5E">
            <w:pPr>
              <w:overflowPunct/>
              <w:autoSpaceDE/>
              <w:autoSpaceDN/>
              <w:adjustRightInd/>
              <w:jc w:val="center"/>
              <w:rPr>
                <w:color w:val="000000"/>
                <w:szCs w:val="26"/>
              </w:rPr>
            </w:pPr>
            <w:r w:rsidRPr="00521958">
              <w:rPr>
                <w:color w:val="000000"/>
                <w:szCs w:val="26"/>
              </w:rPr>
              <w:t>$99,025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D172" w14:textId="77777777" w:rsidR="00607C5E" w:rsidRPr="00521958" w:rsidRDefault="00607C5E" w:rsidP="00607C5E">
            <w:pPr>
              <w:overflowPunct/>
              <w:autoSpaceDE/>
              <w:autoSpaceDN/>
              <w:adjustRightInd/>
              <w:jc w:val="center"/>
              <w:rPr>
                <w:color w:val="000000"/>
                <w:szCs w:val="26"/>
              </w:rPr>
            </w:pPr>
            <w:r w:rsidRPr="00521958">
              <w:rPr>
                <w:color w:val="000000"/>
                <w:szCs w:val="26"/>
              </w:rPr>
              <w:t>8%</w:t>
            </w:r>
          </w:p>
        </w:tc>
      </w:tr>
      <w:tr w:rsidR="00091195" w:rsidRPr="00521958" w14:paraId="246AF283" w14:textId="77777777" w:rsidTr="0091649F">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4A1D0B" w14:textId="77777777" w:rsidR="00607C5E" w:rsidRPr="00521958" w:rsidRDefault="00607C5E" w:rsidP="00607C5E">
            <w:pPr>
              <w:overflowPunct/>
              <w:autoSpaceDE/>
              <w:autoSpaceDN/>
              <w:adjustRightInd/>
              <w:jc w:val="right"/>
              <w:rPr>
                <w:color w:val="000000"/>
                <w:szCs w:val="26"/>
              </w:rPr>
            </w:pPr>
            <w:r w:rsidRPr="00521958">
              <w:rPr>
                <w:color w:val="000000"/>
                <w:szCs w:val="26"/>
              </w:rPr>
              <w:t>Total VOSB</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348DC68" w14:textId="77777777" w:rsidR="00607C5E" w:rsidRPr="00521958" w:rsidRDefault="00607C5E" w:rsidP="00607C5E">
            <w:pPr>
              <w:overflowPunct/>
              <w:autoSpaceDE/>
              <w:autoSpaceDN/>
              <w:adjustRightInd/>
              <w:jc w:val="center"/>
              <w:rPr>
                <w:color w:val="000000"/>
                <w:szCs w:val="26"/>
              </w:rPr>
            </w:pPr>
            <w:r w:rsidRPr="00521958">
              <w:rPr>
                <w:color w:val="000000"/>
                <w:szCs w:val="26"/>
              </w:rPr>
              <w:t>$37,500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381A" w14:textId="77777777" w:rsidR="00607C5E" w:rsidRPr="00521958" w:rsidRDefault="00607C5E" w:rsidP="00607C5E">
            <w:pPr>
              <w:overflowPunct/>
              <w:autoSpaceDE/>
              <w:autoSpaceDN/>
              <w:adjustRightInd/>
              <w:jc w:val="center"/>
              <w:rPr>
                <w:color w:val="000000"/>
                <w:szCs w:val="26"/>
              </w:rPr>
            </w:pPr>
            <w:r w:rsidRPr="00521958">
              <w:rPr>
                <w:color w:val="000000"/>
                <w:szCs w:val="26"/>
              </w:rPr>
              <w:t>3%</w:t>
            </w:r>
          </w:p>
        </w:tc>
      </w:tr>
      <w:tr w:rsidR="00091195" w:rsidRPr="00521958" w14:paraId="39F5E91C" w14:textId="77777777" w:rsidTr="0091649F">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D70BB9" w14:textId="77777777" w:rsidR="00607C5E" w:rsidRPr="00521958" w:rsidRDefault="00607C5E" w:rsidP="00607C5E">
            <w:pPr>
              <w:overflowPunct/>
              <w:autoSpaceDE/>
              <w:autoSpaceDN/>
              <w:adjustRightInd/>
              <w:jc w:val="right"/>
              <w:rPr>
                <w:color w:val="000000"/>
                <w:szCs w:val="26"/>
              </w:rPr>
            </w:pPr>
            <w:r w:rsidRPr="00521958">
              <w:rPr>
                <w:color w:val="000000"/>
                <w:szCs w:val="26"/>
              </w:rPr>
              <w:t>Total WBE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BE9ABC0" w14:textId="77777777" w:rsidR="00607C5E" w:rsidRPr="00521958" w:rsidRDefault="00607C5E" w:rsidP="00607C5E">
            <w:pPr>
              <w:overflowPunct/>
              <w:autoSpaceDE/>
              <w:autoSpaceDN/>
              <w:adjustRightInd/>
              <w:jc w:val="center"/>
              <w:rPr>
                <w:color w:val="000000"/>
                <w:szCs w:val="26"/>
              </w:rPr>
            </w:pPr>
            <w:r w:rsidRPr="00521958">
              <w:rPr>
                <w:color w:val="000000"/>
                <w:szCs w:val="26"/>
              </w:rPr>
              <w:t>$179,000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9BD2" w14:textId="77777777" w:rsidR="00607C5E" w:rsidRPr="00521958" w:rsidRDefault="00607C5E" w:rsidP="00607C5E">
            <w:pPr>
              <w:overflowPunct/>
              <w:autoSpaceDE/>
              <w:autoSpaceDN/>
              <w:adjustRightInd/>
              <w:jc w:val="center"/>
              <w:rPr>
                <w:color w:val="000000"/>
                <w:szCs w:val="26"/>
              </w:rPr>
            </w:pPr>
            <w:r w:rsidRPr="00521958">
              <w:rPr>
                <w:color w:val="000000"/>
                <w:szCs w:val="26"/>
              </w:rPr>
              <w:t>15%</w:t>
            </w:r>
          </w:p>
        </w:tc>
      </w:tr>
      <w:tr w:rsidR="00091195" w:rsidRPr="00521958" w14:paraId="118618CF" w14:textId="77777777" w:rsidTr="0091649F">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86BF51" w14:textId="77777777" w:rsidR="00607C5E" w:rsidRPr="00521958" w:rsidRDefault="00607C5E" w:rsidP="00607C5E">
            <w:pPr>
              <w:overflowPunct/>
              <w:autoSpaceDE/>
              <w:autoSpaceDN/>
              <w:adjustRightInd/>
              <w:jc w:val="right"/>
              <w:rPr>
                <w:color w:val="000000"/>
                <w:szCs w:val="26"/>
              </w:rPr>
            </w:pPr>
            <w:r w:rsidRPr="00521958">
              <w:rPr>
                <w:color w:val="000000"/>
                <w:szCs w:val="26"/>
              </w:rPr>
              <w:t>Total Diversity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4E35" w14:textId="77777777" w:rsidR="00607C5E" w:rsidRPr="00521958" w:rsidRDefault="00607C5E" w:rsidP="00607C5E">
            <w:pPr>
              <w:overflowPunct/>
              <w:autoSpaceDE/>
              <w:autoSpaceDN/>
              <w:adjustRightInd/>
              <w:jc w:val="center"/>
              <w:rPr>
                <w:color w:val="000000"/>
                <w:szCs w:val="26"/>
              </w:rPr>
            </w:pPr>
            <w:r w:rsidRPr="00521958">
              <w:rPr>
                <w:color w:val="000000"/>
                <w:szCs w:val="26"/>
              </w:rPr>
              <w:t>$406,025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218A" w14:textId="77777777" w:rsidR="00607C5E" w:rsidRPr="00521958" w:rsidRDefault="00607C5E" w:rsidP="00607C5E">
            <w:pPr>
              <w:overflowPunct/>
              <w:autoSpaceDE/>
              <w:autoSpaceDN/>
              <w:adjustRightInd/>
              <w:jc w:val="center"/>
              <w:rPr>
                <w:color w:val="000000"/>
                <w:szCs w:val="26"/>
              </w:rPr>
            </w:pPr>
            <w:r w:rsidRPr="00521958">
              <w:rPr>
                <w:color w:val="000000"/>
                <w:szCs w:val="26"/>
              </w:rPr>
              <w:t>34%</w:t>
            </w:r>
          </w:p>
        </w:tc>
      </w:tr>
    </w:tbl>
    <w:p w14:paraId="0692CB0F" w14:textId="77777777" w:rsidR="00607C5E" w:rsidRPr="00521958" w:rsidRDefault="00607C5E" w:rsidP="00C13221">
      <w:pPr>
        <w:pStyle w:val="Default"/>
        <w:tabs>
          <w:tab w:val="left" w:pos="1440"/>
        </w:tabs>
        <w:spacing w:line="480" w:lineRule="auto"/>
        <w:rPr>
          <w:rFonts w:ascii="Times New Roman" w:hAnsi="Times New Roman" w:cs="Times New Roman"/>
          <w:color w:val="auto"/>
          <w:sz w:val="26"/>
          <w:szCs w:val="26"/>
        </w:rPr>
      </w:pPr>
    </w:p>
    <w:sectPr w:rsidR="00607C5E" w:rsidRPr="00521958" w:rsidSect="00521958">
      <w:type w:val="continuous"/>
      <w:pgSz w:w="12240" w:h="15840" w:code="1"/>
      <w:pgMar w:top="720" w:right="1440" w:bottom="1440" w:left="144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12ED" w14:textId="77777777" w:rsidR="005729E7" w:rsidRDefault="005729E7" w:rsidP="00614D17">
      <w:r>
        <w:separator/>
      </w:r>
    </w:p>
  </w:endnote>
  <w:endnote w:type="continuationSeparator" w:id="0">
    <w:p w14:paraId="687C72AD" w14:textId="77777777" w:rsidR="005729E7" w:rsidRDefault="005729E7" w:rsidP="0061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A319" w14:textId="77777777" w:rsidR="00C911E0" w:rsidRDefault="00C91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AE0C" w14:textId="77777777" w:rsidR="00C911E0" w:rsidRDefault="00C9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3CE9" w14:textId="77777777" w:rsidR="00C911E0" w:rsidRDefault="00C9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5E34" w14:textId="77777777" w:rsidR="005729E7" w:rsidRDefault="005729E7" w:rsidP="00614D17">
      <w:r>
        <w:separator/>
      </w:r>
    </w:p>
  </w:footnote>
  <w:footnote w:type="continuationSeparator" w:id="0">
    <w:p w14:paraId="2B54F20D" w14:textId="77777777" w:rsidR="005729E7" w:rsidRDefault="005729E7" w:rsidP="00614D17">
      <w:r>
        <w:continuationSeparator/>
      </w:r>
    </w:p>
  </w:footnote>
  <w:footnote w:id="1">
    <w:p w14:paraId="50BB3D78" w14:textId="3C2ECBCC" w:rsidR="009B32D4" w:rsidRPr="0091649F" w:rsidRDefault="009B32D4" w:rsidP="009B32D4">
      <w:pPr>
        <w:pStyle w:val="FootnoteText"/>
        <w:ind w:left="180" w:hanging="180"/>
      </w:pPr>
      <w:r w:rsidRPr="008D7AC4">
        <w:rPr>
          <w:rStyle w:val="FootnoteReference"/>
          <w:sz w:val="22"/>
          <w:szCs w:val="22"/>
        </w:rPr>
        <w:footnoteRef/>
      </w:r>
      <w:r w:rsidRPr="0091649F">
        <w:tab/>
        <w:t xml:space="preserve">A selection committee consisting of Mark Roessler (Facilities and Services, Capital Programs, </w:t>
      </w:r>
      <w:r w:rsidR="00D053D7">
        <w:t>c</w:t>
      </w:r>
      <w:r w:rsidRPr="0091649F">
        <w:t>hair), Donna McClure (Facilities and Services, Engineering Services), Chris Rogan (University Office of Capital Programs and Real Estate Services), and Dale Morrison (Office of Procurement Diversity) interviewed the following firms:  Altusworks, Inc., Chicago, I</w:t>
      </w:r>
      <w:r w:rsidR="00D053D7">
        <w:t>L;</w:t>
      </w:r>
      <w:r w:rsidRPr="0091649F">
        <w:t xml:space="preserve"> Johnson Lasky Kindelin Architects, Chicago, </w:t>
      </w:r>
      <w:r w:rsidR="00D053D7">
        <w:t>IL</w:t>
      </w:r>
      <w:r w:rsidRPr="0091649F">
        <w:t>; Klein &amp; Hoffman, Inc., Chicago, I</w:t>
      </w:r>
      <w:r w:rsidR="00D053D7">
        <w:t>L;</w:t>
      </w:r>
      <w:r w:rsidRPr="0091649F">
        <w:t xml:space="preserve"> White and Borgognoni Architects, P.C., Carbondale, IL</w:t>
      </w:r>
      <w:r w:rsidR="00D053D7">
        <w:t>;</w:t>
      </w:r>
      <w:r w:rsidRPr="0091649F">
        <w:t xml:space="preserve"> and Wiss</w:t>
      </w:r>
      <w:r w:rsidR="00D053D7">
        <w:t>,</w:t>
      </w:r>
      <w:r w:rsidRPr="0091649F">
        <w:t xml:space="preserve"> Janney</w:t>
      </w:r>
      <w:r w:rsidR="00D053D7">
        <w:t>,</w:t>
      </w:r>
      <w:r w:rsidRPr="0091649F">
        <w:t xml:space="preserve"> Elstner Associates, Inc., Northbrook, IL.</w:t>
      </w:r>
      <w:r w:rsidR="00D053D7">
        <w:t xml:space="preserve"> </w:t>
      </w:r>
      <w:r w:rsidRPr="0091649F">
        <w:t xml:space="preserve"> The committee recommended Wiss</w:t>
      </w:r>
      <w:r w:rsidR="00D053D7">
        <w:t>,</w:t>
      </w:r>
      <w:r w:rsidRPr="0091649F">
        <w:t xml:space="preserve"> Janney</w:t>
      </w:r>
      <w:r w:rsidR="00D053D7">
        <w:t>,</w:t>
      </w:r>
      <w:r w:rsidRPr="0091649F">
        <w:t xml:space="preserve"> Elstner Associates, Inc., Northbrook, IL</w:t>
      </w:r>
      <w:r w:rsidR="00D053D7">
        <w:t>,</w:t>
      </w:r>
      <w:r w:rsidRPr="0091649F">
        <w:t xml:space="preserve"> as best meeting the criteria for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7F7" w14:textId="77777777" w:rsidR="00C911E0" w:rsidRDefault="00C9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385676"/>
      <w:docPartObj>
        <w:docPartGallery w:val="Page Numbers (Top of Page)"/>
        <w:docPartUnique/>
      </w:docPartObj>
    </w:sdtPr>
    <w:sdtEndPr>
      <w:rPr>
        <w:noProof/>
      </w:rPr>
    </w:sdtEndPr>
    <w:sdtContent>
      <w:p w14:paraId="442A19B5" w14:textId="274458DA" w:rsidR="00737B51" w:rsidRDefault="00737B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2AF5B0" w14:textId="77777777" w:rsidR="00737B51" w:rsidRDefault="00737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8F6" w14:textId="77777777" w:rsidR="00C911E0" w:rsidRDefault="00C91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5D"/>
    <w:rsid w:val="000056CF"/>
    <w:rsid w:val="00090184"/>
    <w:rsid w:val="00091195"/>
    <w:rsid w:val="000B38EC"/>
    <w:rsid w:val="000E5CA6"/>
    <w:rsid w:val="00117DAB"/>
    <w:rsid w:val="00124CF0"/>
    <w:rsid w:val="0014339B"/>
    <w:rsid w:val="00165D8C"/>
    <w:rsid w:val="001A7766"/>
    <w:rsid w:val="001B2A59"/>
    <w:rsid w:val="001D6379"/>
    <w:rsid w:val="002168D6"/>
    <w:rsid w:val="0024440A"/>
    <w:rsid w:val="00270FE3"/>
    <w:rsid w:val="002E67E6"/>
    <w:rsid w:val="002F5428"/>
    <w:rsid w:val="00343A32"/>
    <w:rsid w:val="00350B89"/>
    <w:rsid w:val="00413921"/>
    <w:rsid w:val="004778E7"/>
    <w:rsid w:val="004779FE"/>
    <w:rsid w:val="0048537B"/>
    <w:rsid w:val="00491635"/>
    <w:rsid w:val="004B44D1"/>
    <w:rsid w:val="004E7485"/>
    <w:rsid w:val="00521958"/>
    <w:rsid w:val="00524BBD"/>
    <w:rsid w:val="005729E7"/>
    <w:rsid w:val="005F5723"/>
    <w:rsid w:val="00607C5E"/>
    <w:rsid w:val="00614D17"/>
    <w:rsid w:val="00614E04"/>
    <w:rsid w:val="0061513F"/>
    <w:rsid w:val="006852DE"/>
    <w:rsid w:val="006D31EF"/>
    <w:rsid w:val="0073412D"/>
    <w:rsid w:val="00737B51"/>
    <w:rsid w:val="0074443E"/>
    <w:rsid w:val="007E2A18"/>
    <w:rsid w:val="008275F7"/>
    <w:rsid w:val="00865D6C"/>
    <w:rsid w:val="008B18CC"/>
    <w:rsid w:val="008C5F31"/>
    <w:rsid w:val="009017C7"/>
    <w:rsid w:val="00903509"/>
    <w:rsid w:val="0091649F"/>
    <w:rsid w:val="009353B6"/>
    <w:rsid w:val="009504D2"/>
    <w:rsid w:val="00950533"/>
    <w:rsid w:val="00976BF0"/>
    <w:rsid w:val="009813BF"/>
    <w:rsid w:val="009B32D4"/>
    <w:rsid w:val="009C57FE"/>
    <w:rsid w:val="009E558B"/>
    <w:rsid w:val="00A00470"/>
    <w:rsid w:val="00A210CD"/>
    <w:rsid w:val="00AE06F1"/>
    <w:rsid w:val="00AF22FB"/>
    <w:rsid w:val="00B27DB8"/>
    <w:rsid w:val="00B6235D"/>
    <w:rsid w:val="00B62471"/>
    <w:rsid w:val="00C0641E"/>
    <w:rsid w:val="00C10237"/>
    <w:rsid w:val="00C13221"/>
    <w:rsid w:val="00C474C6"/>
    <w:rsid w:val="00C678A8"/>
    <w:rsid w:val="00C911E0"/>
    <w:rsid w:val="00CF017B"/>
    <w:rsid w:val="00CF62CE"/>
    <w:rsid w:val="00D02EDC"/>
    <w:rsid w:val="00D053D7"/>
    <w:rsid w:val="00D4406F"/>
    <w:rsid w:val="00D560EF"/>
    <w:rsid w:val="00DB4712"/>
    <w:rsid w:val="00DB5E25"/>
    <w:rsid w:val="00DD069B"/>
    <w:rsid w:val="00DE75F3"/>
    <w:rsid w:val="00E575DB"/>
    <w:rsid w:val="00E62EDD"/>
    <w:rsid w:val="00E63E6A"/>
    <w:rsid w:val="00E8669E"/>
    <w:rsid w:val="00F00B41"/>
    <w:rsid w:val="00F07835"/>
    <w:rsid w:val="00F955B0"/>
    <w:rsid w:val="00FC0242"/>
    <w:rsid w:val="00FD0DF5"/>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361C3"/>
  <w14:defaultImageDpi w14:val="0"/>
  <w15:docId w15:val="{BDEB0A70-A323-4A9C-B409-FBF62D1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D6"/>
    <w:pPr>
      <w:overflowPunct w:val="0"/>
      <w:autoSpaceDE w:val="0"/>
      <w:autoSpaceDN w:val="0"/>
      <w:adjustRightInd w:val="0"/>
      <w:spacing w:after="0" w:line="240" w:lineRule="auto"/>
    </w:pPr>
    <w:rPr>
      <w:sz w:val="26"/>
      <w:szCs w:val="20"/>
    </w:rPr>
  </w:style>
  <w:style w:type="paragraph" w:styleId="Heading1">
    <w:name w:val="heading 1"/>
    <w:basedOn w:val="Default"/>
    <w:next w:val="Normal"/>
    <w:link w:val="Heading1Char"/>
    <w:uiPriority w:val="9"/>
    <w:qFormat/>
    <w:rsid w:val="00350B89"/>
    <w:pPr>
      <w:jc w:val="center"/>
      <w:outlineLvl w:val="0"/>
    </w:pPr>
    <w:rPr>
      <w:rFonts w:ascii="Times New Roman" w:hAnsi="Times New Roman" w:cs="Times New Roman"/>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rPr>
  </w:style>
  <w:style w:type="paragraph" w:customStyle="1" w:styleId="bdstyle1">
    <w:name w:val="bdstyle1"/>
    <w:basedOn w:val="Normal"/>
    <w:uiPriority w:val="99"/>
    <w:rsid w:val="002168D6"/>
    <w:pPr>
      <w:tabs>
        <w:tab w:val="left" w:pos="720"/>
        <w:tab w:val="left" w:pos="1440"/>
      </w:tabs>
      <w:ind w:left="1440" w:hanging="1440"/>
    </w:pPr>
  </w:style>
  <w:style w:type="character" w:styleId="Hyperlink">
    <w:name w:val="Hyperlink"/>
    <w:basedOn w:val="DefaultParagraphFont"/>
    <w:uiPriority w:val="99"/>
    <w:rsid w:val="00DE75F3"/>
    <w:rPr>
      <w:color w:val="0000FF" w:themeColor="hyperlink"/>
      <w:u w:val="single"/>
    </w:rPr>
  </w:style>
  <w:style w:type="character" w:styleId="CommentReference">
    <w:name w:val="annotation reference"/>
    <w:basedOn w:val="DefaultParagraphFont"/>
    <w:uiPriority w:val="99"/>
    <w:rsid w:val="009813BF"/>
    <w:rPr>
      <w:sz w:val="16"/>
      <w:szCs w:val="16"/>
    </w:rPr>
  </w:style>
  <w:style w:type="paragraph" w:styleId="CommentText">
    <w:name w:val="annotation text"/>
    <w:basedOn w:val="Normal"/>
    <w:link w:val="CommentTextChar"/>
    <w:uiPriority w:val="99"/>
    <w:rsid w:val="009813BF"/>
    <w:rPr>
      <w:sz w:val="20"/>
    </w:rPr>
  </w:style>
  <w:style w:type="character" w:customStyle="1" w:styleId="CommentTextChar">
    <w:name w:val="Comment Text Char"/>
    <w:basedOn w:val="DefaultParagraphFont"/>
    <w:link w:val="CommentText"/>
    <w:uiPriority w:val="99"/>
    <w:rsid w:val="009813BF"/>
    <w:rPr>
      <w:sz w:val="20"/>
      <w:szCs w:val="20"/>
    </w:rPr>
  </w:style>
  <w:style w:type="paragraph" w:styleId="CommentSubject">
    <w:name w:val="annotation subject"/>
    <w:basedOn w:val="CommentText"/>
    <w:next w:val="CommentText"/>
    <w:link w:val="CommentSubjectChar"/>
    <w:uiPriority w:val="99"/>
    <w:rsid w:val="009813BF"/>
    <w:rPr>
      <w:b/>
      <w:bCs/>
    </w:rPr>
  </w:style>
  <w:style w:type="character" w:customStyle="1" w:styleId="CommentSubjectChar">
    <w:name w:val="Comment Subject Char"/>
    <w:basedOn w:val="CommentTextChar"/>
    <w:link w:val="CommentSubject"/>
    <w:uiPriority w:val="99"/>
    <w:rsid w:val="009813BF"/>
    <w:rPr>
      <w:b/>
      <w:bCs/>
      <w:sz w:val="20"/>
      <w:szCs w:val="20"/>
    </w:rPr>
  </w:style>
  <w:style w:type="paragraph" w:styleId="BalloonText">
    <w:name w:val="Balloon Text"/>
    <w:basedOn w:val="Normal"/>
    <w:link w:val="BalloonTextChar"/>
    <w:uiPriority w:val="99"/>
    <w:rsid w:val="009813BF"/>
    <w:rPr>
      <w:rFonts w:ascii="Segoe UI" w:hAnsi="Segoe UI" w:cs="Segoe UI"/>
      <w:sz w:val="18"/>
      <w:szCs w:val="18"/>
    </w:rPr>
  </w:style>
  <w:style w:type="character" w:customStyle="1" w:styleId="BalloonTextChar">
    <w:name w:val="Balloon Text Char"/>
    <w:basedOn w:val="DefaultParagraphFont"/>
    <w:link w:val="BalloonText"/>
    <w:uiPriority w:val="99"/>
    <w:rsid w:val="009813BF"/>
    <w:rPr>
      <w:rFonts w:ascii="Segoe UI" w:hAnsi="Segoe UI" w:cs="Segoe UI"/>
      <w:sz w:val="18"/>
      <w:szCs w:val="18"/>
    </w:rPr>
  </w:style>
  <w:style w:type="paragraph" w:styleId="FootnoteText">
    <w:name w:val="footnote text"/>
    <w:basedOn w:val="Normal"/>
    <w:link w:val="FootnoteTextChar"/>
    <w:rsid w:val="00614D17"/>
    <w:rPr>
      <w:sz w:val="20"/>
    </w:rPr>
  </w:style>
  <w:style w:type="character" w:customStyle="1" w:styleId="FootnoteTextChar">
    <w:name w:val="Footnote Text Char"/>
    <w:basedOn w:val="DefaultParagraphFont"/>
    <w:link w:val="FootnoteText"/>
    <w:rsid w:val="00614D17"/>
    <w:rPr>
      <w:sz w:val="20"/>
      <w:szCs w:val="20"/>
    </w:rPr>
  </w:style>
  <w:style w:type="character" w:styleId="FootnoteReference">
    <w:name w:val="footnote reference"/>
    <w:basedOn w:val="DefaultParagraphFont"/>
    <w:rsid w:val="00614D17"/>
    <w:rPr>
      <w:vertAlign w:val="superscript"/>
    </w:rPr>
  </w:style>
  <w:style w:type="paragraph" w:styleId="Revision">
    <w:name w:val="Revision"/>
    <w:hidden/>
    <w:uiPriority w:val="99"/>
    <w:semiHidden/>
    <w:rsid w:val="00C13221"/>
    <w:pPr>
      <w:spacing w:after="0" w:line="240" w:lineRule="auto"/>
    </w:pPr>
    <w:rPr>
      <w:sz w:val="26"/>
      <w:szCs w:val="20"/>
    </w:rPr>
  </w:style>
  <w:style w:type="paragraph" w:styleId="Header">
    <w:name w:val="header"/>
    <w:basedOn w:val="Normal"/>
    <w:link w:val="HeaderChar"/>
    <w:uiPriority w:val="99"/>
    <w:rsid w:val="00737B51"/>
    <w:pPr>
      <w:tabs>
        <w:tab w:val="center" w:pos="4680"/>
        <w:tab w:val="right" w:pos="9360"/>
      </w:tabs>
    </w:pPr>
  </w:style>
  <w:style w:type="character" w:customStyle="1" w:styleId="HeaderChar">
    <w:name w:val="Header Char"/>
    <w:basedOn w:val="DefaultParagraphFont"/>
    <w:link w:val="Header"/>
    <w:uiPriority w:val="99"/>
    <w:rsid w:val="00737B51"/>
    <w:rPr>
      <w:sz w:val="26"/>
      <w:szCs w:val="20"/>
    </w:rPr>
  </w:style>
  <w:style w:type="paragraph" w:styleId="Footer">
    <w:name w:val="footer"/>
    <w:basedOn w:val="Normal"/>
    <w:link w:val="FooterChar"/>
    <w:uiPriority w:val="99"/>
    <w:rsid w:val="00737B51"/>
    <w:pPr>
      <w:tabs>
        <w:tab w:val="center" w:pos="4680"/>
        <w:tab w:val="right" w:pos="9360"/>
      </w:tabs>
    </w:pPr>
  </w:style>
  <w:style w:type="character" w:customStyle="1" w:styleId="FooterChar">
    <w:name w:val="Footer Char"/>
    <w:basedOn w:val="DefaultParagraphFont"/>
    <w:link w:val="Footer"/>
    <w:uiPriority w:val="99"/>
    <w:rsid w:val="00737B51"/>
    <w:rPr>
      <w:sz w:val="26"/>
      <w:szCs w:val="20"/>
    </w:rPr>
  </w:style>
  <w:style w:type="character" w:customStyle="1" w:styleId="Heading1Char">
    <w:name w:val="Heading 1 Char"/>
    <w:basedOn w:val="DefaultParagraphFont"/>
    <w:link w:val="Heading1"/>
    <w:uiPriority w:val="9"/>
    <w:rsid w:val="00350B8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7107">
      <w:bodyDiv w:val="1"/>
      <w:marLeft w:val="0"/>
      <w:marRight w:val="0"/>
      <w:marTop w:val="0"/>
      <w:marBottom w:val="0"/>
      <w:divBdr>
        <w:top w:val="none" w:sz="0" w:space="0" w:color="auto"/>
        <w:left w:val="none" w:sz="0" w:space="0" w:color="auto"/>
        <w:bottom w:val="none" w:sz="0" w:space="0" w:color="auto"/>
        <w:right w:val="none" w:sz="0" w:space="0" w:color="auto"/>
      </w:divBdr>
    </w:div>
    <w:div w:id="826240161">
      <w:bodyDiv w:val="1"/>
      <w:marLeft w:val="0"/>
      <w:marRight w:val="0"/>
      <w:marTop w:val="0"/>
      <w:marBottom w:val="0"/>
      <w:divBdr>
        <w:top w:val="none" w:sz="0" w:space="0" w:color="auto"/>
        <w:left w:val="none" w:sz="0" w:space="0" w:color="auto"/>
        <w:bottom w:val="none" w:sz="0" w:space="0" w:color="auto"/>
        <w:right w:val="none" w:sz="0" w:space="0" w:color="auto"/>
      </w:divBdr>
    </w:div>
    <w:div w:id="1912889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dc:description/>
  <cp:lastModifiedBy>Williams, Aubrie</cp:lastModifiedBy>
  <cp:revision>10</cp:revision>
  <cp:lastPrinted>2012-02-01T21:23:00Z</cp:lastPrinted>
  <dcterms:created xsi:type="dcterms:W3CDTF">2023-03-03T13:44:00Z</dcterms:created>
  <dcterms:modified xsi:type="dcterms:W3CDTF">2023-03-30T16:51:00Z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f5e9f526aa3a7ccd83f2324c8114e7ca68ef7da04ab46384c148001b2405060f</vt:lpwstr>
  </property>
</Properties>
</file>