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DB9B" w14:textId="77777777" w:rsidR="00971C4E" w:rsidRDefault="00971C4E" w:rsidP="0097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139874FF" w14:textId="77777777" w:rsidR="00971C4E" w:rsidRDefault="00971C4E" w:rsidP="0097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May 16, 2024</w:t>
      </w:r>
    </w:p>
    <w:p w14:paraId="6E14F000" w14:textId="45405377" w:rsidR="00614A35" w:rsidRDefault="006D46EC" w:rsidP="00614A35">
      <w:pPr>
        <w:tabs>
          <w:tab w:val="left" w:pos="7200"/>
        </w:tabs>
        <w:jc w:val="right"/>
        <w:rPr>
          <w:szCs w:val="26"/>
        </w:rPr>
      </w:pPr>
      <w:r>
        <w:rPr>
          <w:b/>
          <w:sz w:val="60"/>
          <w:szCs w:val="60"/>
        </w:rPr>
        <w:t>14</w:t>
      </w:r>
    </w:p>
    <w:p w14:paraId="68407CA1" w14:textId="77777777" w:rsidR="00E577D9" w:rsidRDefault="00E577D9" w:rsidP="009B6A47">
      <w:pPr>
        <w:rPr>
          <w:szCs w:val="26"/>
        </w:rPr>
      </w:pPr>
    </w:p>
    <w:p w14:paraId="37BCE2B9" w14:textId="77777777" w:rsidR="00D3148E" w:rsidRPr="00EB7C30" w:rsidRDefault="00D3148E" w:rsidP="009B6A47">
      <w:pPr>
        <w:rPr>
          <w:szCs w:val="26"/>
        </w:rPr>
      </w:pPr>
    </w:p>
    <w:p w14:paraId="642852FC" w14:textId="77777777" w:rsidR="009B6A47" w:rsidRPr="00EB7C30" w:rsidRDefault="009B6A47" w:rsidP="009B6A47">
      <w:pPr>
        <w:pStyle w:val="bdheading2"/>
        <w:rPr>
          <w:szCs w:val="26"/>
        </w:rPr>
      </w:pPr>
      <w:r w:rsidRPr="00EB7C30">
        <w:rPr>
          <w:szCs w:val="26"/>
        </w:rPr>
        <w:tab/>
        <w:t>Board Meeting</w:t>
      </w:r>
    </w:p>
    <w:p w14:paraId="7A046788" w14:textId="19BC4645" w:rsidR="009B6A47" w:rsidRPr="00EB7C30" w:rsidRDefault="009B6A47" w:rsidP="009B6A47">
      <w:pPr>
        <w:pStyle w:val="bdheading2"/>
        <w:rPr>
          <w:szCs w:val="26"/>
        </w:rPr>
      </w:pPr>
      <w:r w:rsidRPr="00EB7C30">
        <w:rPr>
          <w:szCs w:val="26"/>
        </w:rPr>
        <w:tab/>
      </w:r>
      <w:r w:rsidR="00170BAF" w:rsidRPr="00EB7C30">
        <w:rPr>
          <w:szCs w:val="26"/>
        </w:rPr>
        <w:t>May 1</w:t>
      </w:r>
      <w:r w:rsidR="00614A35">
        <w:rPr>
          <w:szCs w:val="26"/>
        </w:rPr>
        <w:t>6</w:t>
      </w:r>
      <w:r w:rsidR="00170BAF" w:rsidRPr="00EB7C30">
        <w:rPr>
          <w:szCs w:val="26"/>
        </w:rPr>
        <w:t>, 202</w:t>
      </w:r>
      <w:r w:rsidR="00614A35">
        <w:rPr>
          <w:szCs w:val="26"/>
        </w:rPr>
        <w:t>4</w:t>
      </w:r>
    </w:p>
    <w:p w14:paraId="1604D262" w14:textId="77777777" w:rsidR="009B6A47" w:rsidRPr="00EB7C30" w:rsidRDefault="009B6A47" w:rsidP="009B6A47">
      <w:pPr>
        <w:pStyle w:val="bdheading2"/>
        <w:rPr>
          <w:szCs w:val="26"/>
        </w:rPr>
      </w:pPr>
    </w:p>
    <w:p w14:paraId="5207A463" w14:textId="77777777" w:rsidR="00E35BE4" w:rsidRPr="00EB7C30" w:rsidRDefault="00E35BE4" w:rsidP="009B6A47">
      <w:pPr>
        <w:jc w:val="center"/>
        <w:rPr>
          <w:szCs w:val="26"/>
        </w:rPr>
      </w:pPr>
    </w:p>
    <w:p w14:paraId="0A3A38F1" w14:textId="77777777" w:rsidR="009B6A47" w:rsidRPr="00EB7C30" w:rsidRDefault="009B6A47" w:rsidP="009B6A47">
      <w:pPr>
        <w:jc w:val="center"/>
        <w:rPr>
          <w:szCs w:val="26"/>
        </w:rPr>
      </w:pPr>
      <w:r w:rsidRPr="00EB7C30">
        <w:rPr>
          <w:szCs w:val="26"/>
        </w:rPr>
        <w:t>ROLL CALL</w:t>
      </w:r>
    </w:p>
    <w:p w14:paraId="76A73A42" w14:textId="77777777" w:rsidR="009B6A47" w:rsidRPr="00EB7C30" w:rsidRDefault="009B6A47" w:rsidP="009B6A47">
      <w:pPr>
        <w:jc w:val="center"/>
        <w:rPr>
          <w:szCs w:val="26"/>
        </w:rPr>
      </w:pPr>
    </w:p>
    <w:p w14:paraId="0872E579" w14:textId="09C99C9E" w:rsidR="00E1213B" w:rsidRPr="00EB7C30" w:rsidRDefault="00533443" w:rsidP="00D30A9C">
      <w:pPr>
        <w:pStyle w:val="Heading1"/>
        <w:rPr>
          <w:szCs w:val="26"/>
        </w:rPr>
      </w:pPr>
      <w:r w:rsidRPr="00EB7C30">
        <w:rPr>
          <w:szCs w:val="26"/>
        </w:rPr>
        <w:t xml:space="preserve">APPROVE PROFESSIONAL SERVICES CONSULTANT CONTRACT </w:t>
      </w:r>
      <w:r w:rsidR="00DB7110" w:rsidRPr="00EB7C30">
        <w:rPr>
          <w:szCs w:val="26"/>
        </w:rPr>
        <w:t>FOR</w:t>
      </w:r>
      <w:r w:rsidR="00E1213B" w:rsidRPr="00EB7C30">
        <w:rPr>
          <w:szCs w:val="26"/>
        </w:rPr>
        <w:t xml:space="preserve"> </w:t>
      </w:r>
      <w:r w:rsidR="00172060">
        <w:rPr>
          <w:szCs w:val="26"/>
        </w:rPr>
        <w:t>UI</w:t>
      </w:r>
      <w:r w:rsidR="00D81BF6">
        <w:rPr>
          <w:szCs w:val="26"/>
        </w:rPr>
        <w:t xml:space="preserve"> HEALTH</w:t>
      </w:r>
      <w:r w:rsidR="00172060">
        <w:rPr>
          <w:szCs w:val="26"/>
        </w:rPr>
        <w:t xml:space="preserve"> MASTER </w:t>
      </w:r>
      <w:r w:rsidR="000E5E15">
        <w:rPr>
          <w:szCs w:val="26"/>
        </w:rPr>
        <w:t xml:space="preserve">FACILITIES </w:t>
      </w:r>
      <w:r w:rsidR="00172060">
        <w:rPr>
          <w:szCs w:val="26"/>
        </w:rPr>
        <w:t>PLAN</w:t>
      </w:r>
      <w:r w:rsidR="00E1213B" w:rsidRPr="00EB7C30">
        <w:rPr>
          <w:szCs w:val="26"/>
        </w:rPr>
        <w:t>, CHICAGO</w:t>
      </w:r>
    </w:p>
    <w:p w14:paraId="3ADA1139" w14:textId="77777777" w:rsidR="00E1213B" w:rsidRPr="00EB7C30" w:rsidRDefault="00E1213B" w:rsidP="00E1213B">
      <w:pPr>
        <w:jc w:val="center"/>
        <w:rPr>
          <w:szCs w:val="26"/>
        </w:rPr>
      </w:pPr>
    </w:p>
    <w:p w14:paraId="5AD38F5F" w14:textId="77777777" w:rsidR="00E1213B" w:rsidRPr="00EB7C30" w:rsidRDefault="00E1213B" w:rsidP="00E1213B">
      <w:pPr>
        <w:jc w:val="center"/>
        <w:rPr>
          <w:szCs w:val="26"/>
        </w:rPr>
      </w:pPr>
    </w:p>
    <w:p w14:paraId="01301D49" w14:textId="32434D32" w:rsidR="00E1213B" w:rsidRPr="00EB7C30" w:rsidRDefault="00E1213B" w:rsidP="00E1213B">
      <w:pPr>
        <w:pStyle w:val="bdstyle1"/>
        <w:rPr>
          <w:szCs w:val="26"/>
        </w:rPr>
      </w:pPr>
      <w:r w:rsidRPr="00EB7C30">
        <w:rPr>
          <w:b/>
          <w:bCs/>
          <w:szCs w:val="26"/>
        </w:rPr>
        <w:t xml:space="preserve">Action: </w:t>
      </w:r>
      <w:r w:rsidRPr="00EB7C30">
        <w:rPr>
          <w:b/>
          <w:bCs/>
          <w:szCs w:val="26"/>
        </w:rPr>
        <w:tab/>
      </w:r>
      <w:r w:rsidRPr="00EB7C30">
        <w:rPr>
          <w:szCs w:val="26"/>
        </w:rPr>
        <w:t xml:space="preserve">Approve </w:t>
      </w:r>
      <w:r w:rsidR="00533443" w:rsidRPr="00EB7C30">
        <w:rPr>
          <w:szCs w:val="26"/>
        </w:rPr>
        <w:t xml:space="preserve">Professional Services Consultant Contract </w:t>
      </w:r>
      <w:r w:rsidRPr="00EB7C30">
        <w:rPr>
          <w:szCs w:val="26"/>
        </w:rPr>
        <w:t xml:space="preserve">for </w:t>
      </w:r>
      <w:r w:rsidR="00172060">
        <w:rPr>
          <w:szCs w:val="26"/>
        </w:rPr>
        <w:t>UI</w:t>
      </w:r>
      <w:r w:rsidR="00D81BF6">
        <w:rPr>
          <w:szCs w:val="26"/>
        </w:rPr>
        <w:t xml:space="preserve"> Health</w:t>
      </w:r>
      <w:r w:rsidR="00172060">
        <w:rPr>
          <w:szCs w:val="26"/>
        </w:rPr>
        <w:t xml:space="preserve"> Master </w:t>
      </w:r>
      <w:r w:rsidR="000E5E15">
        <w:rPr>
          <w:szCs w:val="26"/>
        </w:rPr>
        <w:t xml:space="preserve">Facilities </w:t>
      </w:r>
      <w:r w:rsidR="00172060">
        <w:rPr>
          <w:szCs w:val="26"/>
        </w:rPr>
        <w:t>Plan</w:t>
      </w:r>
    </w:p>
    <w:p w14:paraId="2DE030F8" w14:textId="77777777" w:rsidR="00E1213B" w:rsidRPr="00EB7C30" w:rsidRDefault="00E1213B" w:rsidP="00E1213B">
      <w:pPr>
        <w:pStyle w:val="Default"/>
        <w:rPr>
          <w:rFonts w:ascii="Times New Roman" w:hAnsi="Times New Roman"/>
          <w:sz w:val="26"/>
          <w:szCs w:val="26"/>
        </w:rPr>
      </w:pPr>
    </w:p>
    <w:p w14:paraId="3DE51BCC" w14:textId="6E6DF273" w:rsidR="00E1213B" w:rsidRDefault="00E1213B" w:rsidP="007F0C43">
      <w:pPr>
        <w:pStyle w:val="bdstyle1"/>
        <w:rPr>
          <w:szCs w:val="26"/>
        </w:rPr>
      </w:pPr>
      <w:r w:rsidRPr="00EB7C30">
        <w:rPr>
          <w:b/>
          <w:bCs/>
          <w:szCs w:val="26"/>
        </w:rPr>
        <w:t xml:space="preserve">Funding: </w:t>
      </w:r>
      <w:r w:rsidRPr="00EB7C30">
        <w:rPr>
          <w:b/>
          <w:bCs/>
          <w:szCs w:val="26"/>
        </w:rPr>
        <w:tab/>
      </w:r>
      <w:r w:rsidR="007F0C43" w:rsidRPr="007F0C43">
        <w:rPr>
          <w:szCs w:val="26"/>
        </w:rPr>
        <w:t>Restricted Funds Operating Budget</w:t>
      </w:r>
    </w:p>
    <w:p w14:paraId="5C7D4781" w14:textId="77777777" w:rsidR="007F0C43" w:rsidRPr="00EB7C30" w:rsidRDefault="007F0C43" w:rsidP="007F0C43">
      <w:pPr>
        <w:pStyle w:val="bdstyle1"/>
        <w:rPr>
          <w:szCs w:val="26"/>
        </w:rPr>
      </w:pPr>
    </w:p>
    <w:p w14:paraId="19682B7A" w14:textId="77777777" w:rsidR="00170BAF" w:rsidRPr="00EB7C30" w:rsidRDefault="00170BAF" w:rsidP="007420A0">
      <w:pPr>
        <w:overflowPunct/>
        <w:textAlignment w:val="auto"/>
        <w:rPr>
          <w:color w:val="000000"/>
          <w:szCs w:val="26"/>
        </w:rPr>
      </w:pPr>
    </w:p>
    <w:p w14:paraId="7524BAA3" w14:textId="77777777" w:rsidR="00106BA2" w:rsidRPr="00106BA2" w:rsidRDefault="00106BA2" w:rsidP="00106BA2">
      <w:pPr>
        <w:pStyle w:val="bdstyle2"/>
        <w:rPr>
          <w:bCs/>
          <w:szCs w:val="26"/>
        </w:rPr>
      </w:pPr>
      <w:bookmarkStart w:id="2" w:name="_Hlk161049163"/>
      <w:r w:rsidRPr="00106BA2">
        <w:rPr>
          <w:bCs/>
          <w:szCs w:val="26"/>
        </w:rPr>
        <w:t>In May 2008, the Board approved the selection of an architect to perform a design study specific to UI Health. This study was subsequently incorporated into University of Illinois Chicago Master Plans approved by the Board in November 2010 and November 2018.</w:t>
      </w:r>
    </w:p>
    <w:p w14:paraId="5A088C77" w14:textId="06DD2B04" w:rsidR="000E5E15" w:rsidRDefault="000E5E15" w:rsidP="000E5E15">
      <w:pPr>
        <w:pStyle w:val="bdstyle2"/>
        <w:rPr>
          <w:bCs/>
          <w:szCs w:val="26"/>
        </w:rPr>
      </w:pPr>
      <w:r>
        <w:rPr>
          <w:bCs/>
          <w:szCs w:val="26"/>
        </w:rPr>
        <w:t>In 2021, the U</w:t>
      </w:r>
      <w:r w:rsidR="00001971">
        <w:rPr>
          <w:bCs/>
          <w:szCs w:val="26"/>
        </w:rPr>
        <w:t xml:space="preserve">niversity of Illinois Hospital </w:t>
      </w:r>
      <w:r w:rsidR="00C91453">
        <w:rPr>
          <w:bCs/>
          <w:szCs w:val="26"/>
        </w:rPr>
        <w:t>and</w:t>
      </w:r>
      <w:r w:rsidR="00001971">
        <w:rPr>
          <w:bCs/>
          <w:szCs w:val="26"/>
        </w:rPr>
        <w:t xml:space="preserve"> Clinics </w:t>
      </w:r>
      <w:r>
        <w:rPr>
          <w:bCs/>
          <w:szCs w:val="26"/>
        </w:rPr>
        <w:t xml:space="preserve">adopted a </w:t>
      </w:r>
      <w:r w:rsidR="00C91453">
        <w:rPr>
          <w:bCs/>
          <w:szCs w:val="26"/>
        </w:rPr>
        <w:t>s</w:t>
      </w:r>
      <w:r>
        <w:rPr>
          <w:bCs/>
          <w:szCs w:val="26"/>
        </w:rPr>
        <w:t xml:space="preserve">trategic </w:t>
      </w:r>
      <w:r w:rsidR="00C91453">
        <w:rPr>
          <w:bCs/>
          <w:szCs w:val="26"/>
        </w:rPr>
        <w:t>p</w:t>
      </w:r>
      <w:r>
        <w:rPr>
          <w:bCs/>
          <w:szCs w:val="26"/>
        </w:rPr>
        <w:t xml:space="preserve">lan to guide its future activities. The proposed </w:t>
      </w:r>
      <w:r w:rsidR="00001971">
        <w:rPr>
          <w:bCs/>
          <w:szCs w:val="26"/>
        </w:rPr>
        <w:t xml:space="preserve">UI Health </w:t>
      </w:r>
      <w:r>
        <w:rPr>
          <w:bCs/>
          <w:szCs w:val="26"/>
        </w:rPr>
        <w:t>Master Facilities Plan</w:t>
      </w:r>
      <w:r w:rsidR="00332B0A">
        <w:rPr>
          <w:bCs/>
          <w:szCs w:val="26"/>
        </w:rPr>
        <w:t>, which will focus on certain existing UI Health facilities,</w:t>
      </w:r>
      <w:r>
        <w:rPr>
          <w:bCs/>
          <w:szCs w:val="26"/>
        </w:rPr>
        <w:t xml:space="preserve"> will align the goals outlined in the</w:t>
      </w:r>
      <w:r w:rsidR="00001971">
        <w:rPr>
          <w:bCs/>
          <w:szCs w:val="26"/>
        </w:rPr>
        <w:t xml:space="preserve"> hospital’s </w:t>
      </w:r>
      <w:r w:rsidR="00F81EC0">
        <w:rPr>
          <w:bCs/>
          <w:szCs w:val="26"/>
        </w:rPr>
        <w:t xml:space="preserve">2021 </w:t>
      </w:r>
      <w:r>
        <w:rPr>
          <w:bCs/>
          <w:szCs w:val="26"/>
        </w:rPr>
        <w:t>Strategic Plan with the facility needs to grow the healthcare delivery enterprise and fulfill the increasing demand for patient care services.</w:t>
      </w:r>
    </w:p>
    <w:bookmarkEnd w:id="2"/>
    <w:p w14:paraId="56ECA27D" w14:textId="38C9706A" w:rsidR="00D5104D" w:rsidRPr="00172060" w:rsidRDefault="00465767" w:rsidP="00172060">
      <w:pPr>
        <w:pStyle w:val="bdstyle2"/>
        <w:rPr>
          <w:bCs/>
          <w:szCs w:val="26"/>
        </w:rPr>
      </w:pPr>
      <w:r w:rsidRPr="00EB7C30">
        <w:rPr>
          <w:szCs w:val="26"/>
        </w:rPr>
        <w:t xml:space="preserve">In </w:t>
      </w:r>
      <w:r w:rsidR="00172060">
        <w:rPr>
          <w:szCs w:val="26"/>
        </w:rPr>
        <w:t>May</w:t>
      </w:r>
      <w:r w:rsidRPr="00EB7C30">
        <w:rPr>
          <w:szCs w:val="26"/>
        </w:rPr>
        <w:t xml:space="preserve"> 202</w:t>
      </w:r>
      <w:r w:rsidR="00172060">
        <w:rPr>
          <w:szCs w:val="26"/>
        </w:rPr>
        <w:t>3</w:t>
      </w:r>
      <w:r w:rsidRPr="00EB7C30">
        <w:rPr>
          <w:szCs w:val="26"/>
        </w:rPr>
        <w:t xml:space="preserve">, the University commenced a </w:t>
      </w:r>
      <w:r w:rsidR="00E577D9" w:rsidRPr="00EB7C30">
        <w:rPr>
          <w:szCs w:val="26"/>
        </w:rPr>
        <w:t>p</w:t>
      </w:r>
      <w:r w:rsidRPr="00EB7C30">
        <w:rPr>
          <w:szCs w:val="26"/>
        </w:rPr>
        <w:t xml:space="preserve">rofessional </w:t>
      </w:r>
      <w:r w:rsidR="00E577D9" w:rsidRPr="00EB7C30">
        <w:rPr>
          <w:szCs w:val="26"/>
        </w:rPr>
        <w:t>s</w:t>
      </w:r>
      <w:r w:rsidRPr="00EB7C30">
        <w:rPr>
          <w:szCs w:val="26"/>
        </w:rPr>
        <w:t xml:space="preserve">ervices </w:t>
      </w:r>
      <w:r w:rsidR="00E577D9" w:rsidRPr="00EB7C30">
        <w:rPr>
          <w:szCs w:val="26"/>
        </w:rPr>
        <w:t>c</w:t>
      </w:r>
      <w:r w:rsidRPr="00EB7C30">
        <w:rPr>
          <w:szCs w:val="26"/>
        </w:rPr>
        <w:t>onsultant selection process</w:t>
      </w:r>
      <w:r w:rsidR="004B092A" w:rsidRPr="00EB7C30">
        <w:rPr>
          <w:szCs w:val="26"/>
        </w:rPr>
        <w:t xml:space="preserve">. </w:t>
      </w:r>
      <w:r w:rsidRPr="00EB7C30">
        <w:rPr>
          <w:szCs w:val="26"/>
        </w:rPr>
        <w:t xml:space="preserve">For the </w:t>
      </w:r>
      <w:r w:rsidR="00D5104D" w:rsidRPr="00EB7C30">
        <w:rPr>
          <w:szCs w:val="26"/>
        </w:rPr>
        <w:t xml:space="preserve">project to proceed, </w:t>
      </w:r>
      <w:r w:rsidR="00875B36" w:rsidRPr="00EB7C30">
        <w:rPr>
          <w:szCs w:val="26"/>
        </w:rPr>
        <w:t>employing</w:t>
      </w:r>
      <w:r w:rsidR="00D5104D" w:rsidRPr="00EB7C30">
        <w:rPr>
          <w:szCs w:val="26"/>
        </w:rPr>
        <w:t xml:space="preserve"> an architect/engineer for the required professional services</w:t>
      </w:r>
      <w:r w:rsidR="00875B36" w:rsidRPr="00EB7C30">
        <w:rPr>
          <w:szCs w:val="26"/>
        </w:rPr>
        <w:t xml:space="preserve"> is </w:t>
      </w:r>
      <w:r w:rsidR="00687773" w:rsidRPr="00EB7C30">
        <w:rPr>
          <w:szCs w:val="26"/>
        </w:rPr>
        <w:t>necessary.</w:t>
      </w:r>
      <w:r w:rsidR="00D5104D" w:rsidRPr="00EB7C30">
        <w:rPr>
          <w:szCs w:val="26"/>
        </w:rPr>
        <w:t xml:space="preserve"> The selection of the architect/engineer for this </w:t>
      </w:r>
      <w:r w:rsidR="00D5104D" w:rsidRPr="00EB7C30">
        <w:rPr>
          <w:szCs w:val="26"/>
        </w:rPr>
        <w:lastRenderedPageBreak/>
        <w:t>project was</w:t>
      </w:r>
      <w:r w:rsidR="00001971">
        <w:rPr>
          <w:szCs w:val="26"/>
        </w:rPr>
        <w:t xml:space="preserve"> completed</w:t>
      </w:r>
      <w:r w:rsidR="00D5104D" w:rsidRPr="00EB7C30">
        <w:rPr>
          <w:szCs w:val="26"/>
        </w:rPr>
        <w:t xml:space="preserve"> in accordance with the requirements and provisions of Public Act 87-673 (Architectural, Engineering</w:t>
      </w:r>
      <w:r w:rsidR="00687773" w:rsidRPr="00EB7C30">
        <w:rPr>
          <w:szCs w:val="26"/>
        </w:rPr>
        <w:t>,</w:t>
      </w:r>
      <w:r w:rsidR="00D5104D" w:rsidRPr="00EB7C30">
        <w:rPr>
          <w:szCs w:val="26"/>
        </w:rPr>
        <w:t xml:space="preserve"> and Land Surveying Qualifications-Based Selection Act).</w:t>
      </w:r>
      <w:r w:rsidR="00D5104D" w:rsidRPr="00EB7C30">
        <w:rPr>
          <w:rStyle w:val="FootnoteReference"/>
          <w:szCs w:val="26"/>
        </w:rPr>
        <w:footnoteReference w:id="2"/>
      </w:r>
    </w:p>
    <w:p w14:paraId="4F228678" w14:textId="1EB6FF7D" w:rsidR="00730B09" w:rsidRDefault="00D5104D" w:rsidP="00287376">
      <w:pPr>
        <w:pStyle w:val="bdstyle2"/>
        <w:rPr>
          <w:szCs w:val="26"/>
        </w:rPr>
      </w:pPr>
      <w:r w:rsidRPr="00EB7C30">
        <w:rPr>
          <w:szCs w:val="26"/>
        </w:rPr>
        <w:t xml:space="preserve">Accordingly, the </w:t>
      </w:r>
      <w:r w:rsidR="00935F64">
        <w:rPr>
          <w:szCs w:val="26"/>
        </w:rPr>
        <w:t>c</w:t>
      </w:r>
      <w:r w:rsidRPr="00EB7C30">
        <w:rPr>
          <w:szCs w:val="26"/>
        </w:rPr>
        <w:t>hancellor</w:t>
      </w:r>
      <w:r w:rsidR="00533443" w:rsidRPr="00EB7C30">
        <w:rPr>
          <w:szCs w:val="26"/>
        </w:rPr>
        <w:t>, University of Illinois</w:t>
      </w:r>
      <w:r w:rsidRPr="00EB7C30">
        <w:rPr>
          <w:szCs w:val="26"/>
        </w:rPr>
        <w:t xml:space="preserve"> </w:t>
      </w:r>
      <w:r w:rsidR="00595BA3" w:rsidRPr="00EB7C30">
        <w:rPr>
          <w:szCs w:val="26"/>
        </w:rPr>
        <w:t>Chicago</w:t>
      </w:r>
      <w:r w:rsidR="00533443" w:rsidRPr="00EB7C30">
        <w:rPr>
          <w:szCs w:val="26"/>
        </w:rPr>
        <w:t xml:space="preserve">, and </w:t>
      </w:r>
      <w:r w:rsidR="00935F64">
        <w:rPr>
          <w:szCs w:val="26"/>
        </w:rPr>
        <w:t>v</w:t>
      </w:r>
      <w:r w:rsidR="00935F64" w:rsidRPr="00EB7C30">
        <w:rPr>
          <w:szCs w:val="26"/>
        </w:rPr>
        <w:t xml:space="preserve">ice </w:t>
      </w:r>
      <w:r w:rsidR="00935F64">
        <w:rPr>
          <w:szCs w:val="26"/>
        </w:rPr>
        <w:t>p</w:t>
      </w:r>
      <w:r w:rsidR="00935F64" w:rsidRPr="00EB7C30">
        <w:rPr>
          <w:szCs w:val="26"/>
        </w:rPr>
        <w:t>resident</w:t>
      </w:r>
      <w:r w:rsidR="00533443" w:rsidRPr="00EB7C30">
        <w:rPr>
          <w:szCs w:val="26"/>
        </w:rPr>
        <w:t>, University of Illinois</w:t>
      </w:r>
      <w:r w:rsidRPr="00EB7C30">
        <w:rPr>
          <w:szCs w:val="26"/>
        </w:rPr>
        <w:t xml:space="preserve"> </w:t>
      </w:r>
      <w:r w:rsidR="000C0954" w:rsidRPr="00EB7C30">
        <w:rPr>
          <w:szCs w:val="26"/>
        </w:rPr>
        <w:t>System</w:t>
      </w:r>
      <w:r w:rsidR="00E577D9" w:rsidRPr="00EB7C30">
        <w:rPr>
          <w:szCs w:val="26"/>
        </w:rPr>
        <w:t>,</w:t>
      </w:r>
      <w:r w:rsidR="000C0954" w:rsidRPr="00EB7C30">
        <w:rPr>
          <w:szCs w:val="26"/>
        </w:rPr>
        <w:t xml:space="preserve"> </w:t>
      </w:r>
      <w:r w:rsidRPr="00EB7C30">
        <w:rPr>
          <w:szCs w:val="26"/>
        </w:rPr>
        <w:t>with the concurrence of the appropriate administrative officers</w:t>
      </w:r>
      <w:r w:rsidR="00E577D9" w:rsidRPr="00EB7C30">
        <w:rPr>
          <w:szCs w:val="26"/>
        </w:rPr>
        <w:t>,</w:t>
      </w:r>
      <w:r w:rsidRPr="00EB7C30">
        <w:rPr>
          <w:szCs w:val="26"/>
        </w:rPr>
        <w:t xml:space="preserve"> recommend</w:t>
      </w:r>
      <w:r w:rsidR="00E577D9" w:rsidRPr="00EB7C30">
        <w:rPr>
          <w:szCs w:val="26"/>
        </w:rPr>
        <w:t>s</w:t>
      </w:r>
      <w:r w:rsidRPr="00EB7C30">
        <w:rPr>
          <w:szCs w:val="26"/>
        </w:rPr>
        <w:t xml:space="preserve"> that</w:t>
      </w:r>
      <w:r w:rsidR="008711F9" w:rsidRPr="00EB7C30">
        <w:rPr>
          <w:szCs w:val="26"/>
        </w:rPr>
        <w:t xml:space="preserve"> </w:t>
      </w:r>
      <w:bookmarkStart w:id="3" w:name="_Hlk161049436"/>
      <w:r w:rsidR="001435BD">
        <w:rPr>
          <w:szCs w:val="26"/>
        </w:rPr>
        <w:t>Perkins</w:t>
      </w:r>
      <w:r w:rsidR="00681D0E" w:rsidRPr="00EB7C30">
        <w:rPr>
          <w:szCs w:val="26"/>
        </w:rPr>
        <w:t xml:space="preserve"> &amp; </w:t>
      </w:r>
      <w:r w:rsidR="001435BD">
        <w:rPr>
          <w:szCs w:val="26"/>
        </w:rPr>
        <w:t>Will</w:t>
      </w:r>
      <w:r w:rsidR="009541B5" w:rsidRPr="00EB7C30">
        <w:rPr>
          <w:szCs w:val="26"/>
        </w:rPr>
        <w:t xml:space="preserve"> </w:t>
      </w:r>
      <w:bookmarkEnd w:id="3"/>
      <w:r w:rsidR="004B6D99" w:rsidRPr="00EB7C30">
        <w:rPr>
          <w:szCs w:val="26"/>
        </w:rPr>
        <w:t>of</w:t>
      </w:r>
      <w:r w:rsidR="00C51BBB" w:rsidRPr="00EB7C30">
        <w:rPr>
          <w:szCs w:val="26"/>
        </w:rPr>
        <w:t xml:space="preserve"> </w:t>
      </w:r>
      <w:r w:rsidR="008711F9" w:rsidRPr="00EB7C30">
        <w:rPr>
          <w:szCs w:val="26"/>
        </w:rPr>
        <w:t>Chicago, IL</w:t>
      </w:r>
      <w:r w:rsidR="00687773" w:rsidRPr="00EB7C30">
        <w:rPr>
          <w:szCs w:val="26"/>
        </w:rPr>
        <w:t>,</w:t>
      </w:r>
      <w:r w:rsidRPr="00EB7C30">
        <w:rPr>
          <w:szCs w:val="26"/>
        </w:rPr>
        <w:t xml:space="preserve"> be employed for the professional services required </w:t>
      </w:r>
      <w:r w:rsidR="005C31E7" w:rsidRPr="00EB7C30">
        <w:rPr>
          <w:szCs w:val="26"/>
        </w:rPr>
        <w:t>for this project</w:t>
      </w:r>
      <w:r w:rsidRPr="00EB7C30">
        <w:rPr>
          <w:szCs w:val="26"/>
        </w:rPr>
        <w:t xml:space="preserve">. The firm’s fees </w:t>
      </w:r>
      <w:r w:rsidR="005C31E7" w:rsidRPr="00EB7C30">
        <w:rPr>
          <w:szCs w:val="26"/>
        </w:rPr>
        <w:t xml:space="preserve">for this project </w:t>
      </w:r>
      <w:r w:rsidRPr="00EB7C30">
        <w:rPr>
          <w:szCs w:val="26"/>
        </w:rPr>
        <w:t xml:space="preserve">will </w:t>
      </w:r>
      <w:r w:rsidR="00E0624E" w:rsidRPr="00EB7C30">
        <w:rPr>
          <w:szCs w:val="26"/>
        </w:rPr>
        <w:t>not exceed</w:t>
      </w:r>
      <w:r w:rsidRPr="00EB7C30">
        <w:rPr>
          <w:szCs w:val="26"/>
        </w:rPr>
        <w:t xml:space="preserve"> </w:t>
      </w:r>
      <w:r w:rsidR="007B1D6A" w:rsidRPr="00EB7C30">
        <w:rPr>
          <w:szCs w:val="26"/>
        </w:rPr>
        <w:t xml:space="preserve">a </w:t>
      </w:r>
      <w:r w:rsidRPr="00EB7C30">
        <w:rPr>
          <w:szCs w:val="26"/>
        </w:rPr>
        <w:t xml:space="preserve">fee </w:t>
      </w:r>
      <w:r w:rsidRPr="007F0C43">
        <w:rPr>
          <w:szCs w:val="26"/>
        </w:rPr>
        <w:t xml:space="preserve">of </w:t>
      </w:r>
      <w:bookmarkStart w:id="4" w:name="_Hlk161049455"/>
      <w:r w:rsidRPr="007F0C43">
        <w:rPr>
          <w:szCs w:val="26"/>
        </w:rPr>
        <w:t>$</w:t>
      </w:r>
      <w:r w:rsidR="00767F57" w:rsidRPr="007F0C43">
        <w:rPr>
          <w:szCs w:val="26"/>
        </w:rPr>
        <w:t>2,</w:t>
      </w:r>
      <w:r w:rsidR="008E0827">
        <w:rPr>
          <w:szCs w:val="26"/>
        </w:rPr>
        <w:t>464</w:t>
      </w:r>
      <w:r w:rsidR="00767F57" w:rsidRPr="007F0C43">
        <w:rPr>
          <w:szCs w:val="26"/>
        </w:rPr>
        <w:t>,</w:t>
      </w:r>
      <w:r w:rsidR="008E0827">
        <w:rPr>
          <w:szCs w:val="26"/>
        </w:rPr>
        <w:t>95</w:t>
      </w:r>
      <w:r w:rsidR="001435BD" w:rsidRPr="007F0C43">
        <w:rPr>
          <w:szCs w:val="26"/>
        </w:rPr>
        <w:t>0</w:t>
      </w:r>
      <w:bookmarkEnd w:id="4"/>
      <w:r w:rsidR="00971AD2" w:rsidRPr="007F0C43">
        <w:rPr>
          <w:szCs w:val="26"/>
        </w:rPr>
        <w:t>,</w:t>
      </w:r>
      <w:r w:rsidR="007B1D6A" w:rsidRPr="007F0C43">
        <w:rPr>
          <w:szCs w:val="26"/>
        </w:rPr>
        <w:t xml:space="preserve"> </w:t>
      </w:r>
      <w:r w:rsidR="00730B09" w:rsidRPr="007F0C43">
        <w:rPr>
          <w:szCs w:val="26"/>
        </w:rPr>
        <w:t xml:space="preserve">including </w:t>
      </w:r>
      <w:r w:rsidRPr="007F0C43">
        <w:rPr>
          <w:szCs w:val="26"/>
        </w:rPr>
        <w:t>reimbursable</w:t>
      </w:r>
      <w:r w:rsidR="00C91161" w:rsidRPr="007F0C43">
        <w:rPr>
          <w:szCs w:val="26"/>
        </w:rPr>
        <w:t xml:space="preserve"> expenses</w:t>
      </w:r>
      <w:r w:rsidR="00730B09" w:rsidRPr="007F0C43">
        <w:rPr>
          <w:szCs w:val="26"/>
        </w:rPr>
        <w:t>.</w:t>
      </w:r>
      <w:r w:rsidR="00767F57" w:rsidRPr="007F0C43">
        <w:rPr>
          <w:szCs w:val="26"/>
        </w:rPr>
        <w:t xml:space="preserve"> The </w:t>
      </w:r>
      <w:r w:rsidR="00C91161" w:rsidRPr="007F0C43">
        <w:rPr>
          <w:szCs w:val="26"/>
        </w:rPr>
        <w:t xml:space="preserve">professional services contract is broken down as follows: </w:t>
      </w:r>
      <w:r w:rsidR="00687773" w:rsidRPr="007F0C43">
        <w:rPr>
          <w:szCs w:val="26"/>
        </w:rPr>
        <w:t xml:space="preserve">the </w:t>
      </w:r>
      <w:r w:rsidR="00C91161" w:rsidRPr="007F0C43">
        <w:rPr>
          <w:szCs w:val="26"/>
        </w:rPr>
        <w:t>firm’s fixed fee for basic design services will be $</w:t>
      </w:r>
      <w:r w:rsidR="001435BD" w:rsidRPr="007F0C43">
        <w:rPr>
          <w:szCs w:val="26"/>
        </w:rPr>
        <w:t>2,</w:t>
      </w:r>
      <w:r w:rsidR="008E0827">
        <w:rPr>
          <w:szCs w:val="26"/>
        </w:rPr>
        <w:t>454</w:t>
      </w:r>
      <w:r w:rsidR="001435BD" w:rsidRPr="007F0C43">
        <w:rPr>
          <w:szCs w:val="26"/>
        </w:rPr>
        <w:t>,</w:t>
      </w:r>
      <w:r w:rsidR="008E0827">
        <w:rPr>
          <w:szCs w:val="26"/>
        </w:rPr>
        <w:t>950</w:t>
      </w:r>
      <w:r w:rsidR="00E01358" w:rsidRPr="007F0C43">
        <w:rPr>
          <w:szCs w:val="26"/>
        </w:rPr>
        <w:t>;</w:t>
      </w:r>
      <w:r w:rsidR="00C91161" w:rsidRPr="007F0C43">
        <w:rPr>
          <w:szCs w:val="26"/>
        </w:rPr>
        <w:t xml:space="preserve"> and </w:t>
      </w:r>
      <w:r w:rsidR="001435BD" w:rsidRPr="007F0C43">
        <w:rPr>
          <w:szCs w:val="26"/>
        </w:rPr>
        <w:t>a</w:t>
      </w:r>
      <w:r w:rsidR="00C91453">
        <w:rPr>
          <w:szCs w:val="26"/>
        </w:rPr>
        <w:t>n</w:t>
      </w:r>
      <w:r w:rsidR="001435BD" w:rsidRPr="007F0C43">
        <w:rPr>
          <w:szCs w:val="26"/>
        </w:rPr>
        <w:t xml:space="preserve"> </w:t>
      </w:r>
      <w:r w:rsidR="00C91161" w:rsidRPr="007F0C43">
        <w:rPr>
          <w:szCs w:val="26"/>
        </w:rPr>
        <w:t>estimated</w:t>
      </w:r>
      <w:r w:rsidR="00C91453">
        <w:rPr>
          <w:szCs w:val="26"/>
        </w:rPr>
        <w:t xml:space="preserve"> fee of</w:t>
      </w:r>
      <w:r w:rsidR="00C91161" w:rsidRPr="007F0C43">
        <w:rPr>
          <w:szCs w:val="26"/>
        </w:rPr>
        <w:t xml:space="preserve"> $</w:t>
      </w:r>
      <w:r w:rsidR="001435BD" w:rsidRPr="007F0C43">
        <w:rPr>
          <w:szCs w:val="26"/>
        </w:rPr>
        <w:t>10,</w:t>
      </w:r>
      <w:r w:rsidR="008E0827">
        <w:rPr>
          <w:szCs w:val="26"/>
        </w:rPr>
        <w:t>00</w:t>
      </w:r>
      <w:r w:rsidR="001435BD" w:rsidRPr="007F0C43">
        <w:rPr>
          <w:szCs w:val="26"/>
        </w:rPr>
        <w:t>0</w:t>
      </w:r>
      <w:r w:rsidR="00C91453">
        <w:rPr>
          <w:szCs w:val="26"/>
        </w:rPr>
        <w:t xml:space="preserve"> </w:t>
      </w:r>
      <w:r w:rsidR="00C91453" w:rsidRPr="007F0C43">
        <w:rPr>
          <w:szCs w:val="26"/>
        </w:rPr>
        <w:t>for authorized reimbursable expenses</w:t>
      </w:r>
      <w:r w:rsidR="00C91161" w:rsidRPr="00EB7C30">
        <w:rPr>
          <w:szCs w:val="26"/>
        </w:rPr>
        <w:t>.</w:t>
      </w:r>
      <w:r w:rsidR="003D0CD0">
        <w:rPr>
          <w:szCs w:val="26"/>
        </w:rPr>
        <w:t xml:space="preserve">  </w:t>
      </w:r>
    </w:p>
    <w:p w14:paraId="17B3A4EA" w14:textId="77777777" w:rsidR="00C91453" w:rsidRDefault="00C91453" w:rsidP="00C91453">
      <w:pPr>
        <w:pStyle w:val="bdstyle2"/>
        <w:rPr>
          <w:szCs w:val="26"/>
        </w:rPr>
      </w:pPr>
      <w:r w:rsidRPr="007F0C43">
        <w:rPr>
          <w:szCs w:val="26"/>
        </w:rPr>
        <w:t>Funds for this project are available from the operating budget of the University of Illinois Hospital.</w:t>
      </w:r>
    </w:p>
    <w:p w14:paraId="7A8D77D1" w14:textId="1389C92C" w:rsidR="00287376" w:rsidRPr="00EB7C30" w:rsidRDefault="00287376" w:rsidP="00287376">
      <w:pPr>
        <w:pStyle w:val="bdstyle2"/>
        <w:rPr>
          <w:szCs w:val="26"/>
        </w:rPr>
      </w:pPr>
      <w:r w:rsidRPr="00EB7C30">
        <w:rPr>
          <w:szCs w:val="26"/>
        </w:rPr>
        <w:t xml:space="preserve">The </w:t>
      </w:r>
      <w:r w:rsidR="001D053A" w:rsidRPr="00EB7C30">
        <w:rPr>
          <w:szCs w:val="26"/>
        </w:rPr>
        <w:t>B</w:t>
      </w:r>
      <w:r w:rsidRPr="00EB7C30">
        <w:rPr>
          <w:szCs w:val="26"/>
        </w:rPr>
        <w:t xml:space="preserve">oard action recommended in this item complies in all material respects with applicable State and federal laws, University of Illinois </w:t>
      </w:r>
      <w:r w:rsidRPr="00EB7C30">
        <w:rPr>
          <w:i/>
          <w:szCs w:val="26"/>
        </w:rPr>
        <w:t>Statutes</w:t>
      </w:r>
      <w:r w:rsidRPr="00EB7C30">
        <w:rPr>
          <w:szCs w:val="26"/>
        </w:rPr>
        <w:t xml:space="preserve">, </w:t>
      </w:r>
      <w:r w:rsidRPr="00EB7C30">
        <w:rPr>
          <w:i/>
          <w:szCs w:val="26"/>
        </w:rPr>
        <w:t>The General Rules Concerning University Organization and Procedure</w:t>
      </w:r>
      <w:r w:rsidRPr="00EB7C30">
        <w:rPr>
          <w:szCs w:val="26"/>
        </w:rPr>
        <w:t>, and Board of Trustees policies and directives.</w:t>
      </w:r>
    </w:p>
    <w:p w14:paraId="7F28950B" w14:textId="3AA102D8" w:rsidR="00821435" w:rsidRPr="00EB7C30" w:rsidRDefault="000C0954" w:rsidP="00287376">
      <w:pPr>
        <w:pStyle w:val="bdstyle2"/>
        <w:rPr>
          <w:szCs w:val="26"/>
        </w:rPr>
      </w:pPr>
      <w:r w:rsidRPr="00EB7C30">
        <w:rPr>
          <w:szCs w:val="26"/>
        </w:rPr>
        <w:t xml:space="preserve">The </w:t>
      </w:r>
      <w:r w:rsidR="000A179E">
        <w:rPr>
          <w:szCs w:val="26"/>
        </w:rPr>
        <w:t>p</w:t>
      </w:r>
      <w:r w:rsidR="000A179E" w:rsidRPr="00EB7C30">
        <w:rPr>
          <w:szCs w:val="26"/>
        </w:rPr>
        <w:t xml:space="preserve">resident </w:t>
      </w:r>
      <w:r w:rsidRPr="00EB7C30">
        <w:rPr>
          <w:szCs w:val="26"/>
        </w:rPr>
        <w:t>of the University of Illinois System concurs.</w:t>
      </w:r>
    </w:p>
    <w:p w14:paraId="52EAD536" w14:textId="77777777" w:rsidR="00821435" w:rsidRDefault="00821435" w:rsidP="00287376">
      <w:pPr>
        <w:pStyle w:val="bdstyle2"/>
        <w:sectPr w:rsidR="00821435" w:rsidSect="00704290">
          <w:headerReference w:type="default" r:id="rId11"/>
          <w:type w:val="nextColumn"/>
          <w:pgSz w:w="12240" w:h="15840" w:code="1"/>
          <w:pgMar w:top="720" w:right="1440" w:bottom="1440" w:left="1440" w:header="720" w:footer="720" w:gutter="0"/>
          <w:paperSrc w:first="15" w:other="15"/>
          <w:cols w:space="720"/>
          <w:titlePg/>
          <w:docGrid w:linePitch="354"/>
        </w:sectPr>
      </w:pP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1622"/>
        <w:gridCol w:w="2068"/>
        <w:gridCol w:w="1619"/>
        <w:gridCol w:w="184"/>
        <w:gridCol w:w="1164"/>
        <w:gridCol w:w="273"/>
        <w:gridCol w:w="1348"/>
        <w:gridCol w:w="1621"/>
        <w:gridCol w:w="1800"/>
        <w:gridCol w:w="1440"/>
      </w:tblGrid>
      <w:tr w:rsidR="00821435" w:rsidRPr="002849A3" w14:paraId="2D1462B9" w14:textId="77777777" w:rsidTr="007F0C43">
        <w:trPr>
          <w:trHeight w:val="345"/>
        </w:trPr>
        <w:tc>
          <w:tcPr>
            <w:tcW w:w="20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492B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lastRenderedPageBreak/>
              <w:t>Table 1: Diverse Vendor Participation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B436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7614C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C66D1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14155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38D1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  <w:tr w:rsidR="00821435" w:rsidRPr="002849A3" w14:paraId="5407D1E9" w14:textId="77777777" w:rsidTr="001368BB">
        <w:trPr>
          <w:gridAfter w:val="1"/>
          <w:wAfter w:w="548" w:type="pct"/>
          <w:trHeight w:val="1005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1C20E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Awarded Consultant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274BFC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Contract Value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9AC502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Diversity?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84D2FA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Contract Value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9EBC01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% of Work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9F3D8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Classification</w:t>
            </w:r>
          </w:p>
        </w:tc>
      </w:tr>
      <w:tr w:rsidR="00821435" w:rsidRPr="002849A3" w14:paraId="46067489" w14:textId="77777777" w:rsidTr="001368BB">
        <w:trPr>
          <w:gridAfter w:val="1"/>
          <w:wAfter w:w="548" w:type="pct"/>
          <w:trHeight w:val="330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B322" w14:textId="475AA102" w:rsidR="00821435" w:rsidRPr="002849A3" w:rsidRDefault="001435BD" w:rsidP="007E733B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Perkins &amp; Will,</w:t>
            </w:r>
            <w:r w:rsidR="00821435" w:rsidRPr="00C91161">
              <w:rPr>
                <w:szCs w:val="26"/>
              </w:rPr>
              <w:t xml:space="preserve"> Chicago, IL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0E0" w14:textId="3244E883" w:rsidR="00821435" w:rsidRPr="007F0C4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 xml:space="preserve"> $</w:t>
            </w:r>
            <w:r w:rsidR="001435BD" w:rsidRPr="007F0C43">
              <w:rPr>
                <w:color w:val="000000"/>
                <w:szCs w:val="26"/>
              </w:rPr>
              <w:t>2,</w:t>
            </w:r>
            <w:r w:rsidR="008E0827">
              <w:rPr>
                <w:color w:val="000000"/>
                <w:szCs w:val="26"/>
              </w:rPr>
              <w:t>464</w:t>
            </w:r>
            <w:r w:rsidR="001435BD" w:rsidRPr="007F0C43">
              <w:rPr>
                <w:color w:val="000000"/>
                <w:szCs w:val="26"/>
              </w:rPr>
              <w:t>,</w:t>
            </w:r>
            <w:r w:rsidR="008E0827">
              <w:rPr>
                <w:color w:val="000000"/>
                <w:szCs w:val="26"/>
              </w:rPr>
              <w:t>95</w:t>
            </w:r>
            <w:r w:rsidR="001435BD" w:rsidRPr="007F0C43">
              <w:rPr>
                <w:color w:val="000000"/>
                <w:szCs w:val="26"/>
              </w:rPr>
              <w:t>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CD3" w14:textId="77777777" w:rsidR="00821435" w:rsidRPr="007F0C4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N/A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77C" w14:textId="37B662D3" w:rsidR="00821435" w:rsidRPr="007F0C43" w:rsidRDefault="007F0C43" w:rsidP="007E733B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$</w:t>
            </w:r>
            <w:r w:rsidR="008E0827">
              <w:rPr>
                <w:color w:val="000000"/>
                <w:szCs w:val="26"/>
              </w:rPr>
              <w:t>494</w:t>
            </w:r>
            <w:r w:rsidRPr="007F0C43">
              <w:rPr>
                <w:color w:val="000000"/>
                <w:szCs w:val="26"/>
              </w:rPr>
              <w:t>,</w:t>
            </w:r>
            <w:r w:rsidR="008E0827">
              <w:rPr>
                <w:color w:val="000000"/>
                <w:szCs w:val="26"/>
              </w:rPr>
              <w:t>176</w:t>
            </w:r>
            <w:r w:rsidR="001435BD" w:rsidRPr="007F0C43">
              <w:rPr>
                <w:color w:val="000000"/>
                <w:szCs w:val="26"/>
              </w:rPr>
              <w:t xml:space="preserve">  </w:t>
            </w:r>
            <w:r w:rsidR="00821435" w:rsidRPr="007F0C43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B34" w14:textId="372DA0F9" w:rsidR="00821435" w:rsidRPr="007F0C43" w:rsidRDefault="00300F66" w:rsidP="007E733B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20</w:t>
            </w:r>
            <w:r w:rsidR="00821435" w:rsidRPr="007F0C43">
              <w:rPr>
                <w:color w:val="000000"/>
                <w:szCs w:val="26"/>
              </w:rPr>
              <w:t>%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47D" w14:textId="73A105A2" w:rsidR="00821435" w:rsidRPr="007F0C43" w:rsidRDefault="00821435" w:rsidP="007E733B">
            <w:pPr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MBE</w:t>
            </w:r>
          </w:p>
        </w:tc>
      </w:tr>
      <w:tr w:rsidR="000A179E" w:rsidRPr="002849A3" w14:paraId="1E016234" w14:textId="77777777" w:rsidTr="001368BB">
        <w:trPr>
          <w:gridAfter w:val="1"/>
          <w:wAfter w:w="548" w:type="pct"/>
          <w:trHeight w:val="330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7D4C" w14:textId="685BD411" w:rsidR="000A179E" w:rsidRPr="002849A3" w:rsidRDefault="000A179E" w:rsidP="000A179E">
            <w:pPr>
              <w:rPr>
                <w:color w:val="000000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7D2A" w14:textId="7EC0DC55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82B5" w14:textId="7FC3DCF8" w:rsidR="000A179E" w:rsidRPr="007F0C43" w:rsidRDefault="000A179E" w:rsidP="000A179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45E9" w14:textId="795CD414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$</w:t>
            </w:r>
            <w:r>
              <w:rPr>
                <w:color w:val="000000"/>
                <w:szCs w:val="26"/>
              </w:rPr>
              <w:t>75</w:t>
            </w:r>
            <w:r w:rsidRPr="007F0C43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>000</w:t>
            </w:r>
            <w:r w:rsidRPr="007F0C43">
              <w:rPr>
                <w:color w:val="000000"/>
                <w:szCs w:val="26"/>
              </w:rPr>
              <w:t xml:space="preserve">  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F03B" w14:textId="7940FC7F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7F0C43">
              <w:rPr>
                <w:color w:val="000000"/>
                <w:szCs w:val="26"/>
              </w:rPr>
              <w:t>%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F98C" w14:textId="4D239071" w:rsidR="000A179E" w:rsidRPr="007F0C43" w:rsidRDefault="000A179E" w:rsidP="000A179E">
            <w:pPr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VBE</w:t>
            </w:r>
          </w:p>
        </w:tc>
      </w:tr>
      <w:tr w:rsidR="000A179E" w:rsidRPr="002849A3" w14:paraId="117BB821" w14:textId="77777777" w:rsidTr="001368BB">
        <w:trPr>
          <w:gridAfter w:val="1"/>
          <w:wAfter w:w="548" w:type="pct"/>
          <w:trHeight w:val="330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1F8F" w14:textId="77777777" w:rsidR="000A179E" w:rsidRPr="002849A3" w:rsidRDefault="000A179E" w:rsidP="000A179E">
            <w:pPr>
              <w:rPr>
                <w:color w:val="000000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9368" w14:textId="77777777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CA2F" w14:textId="77777777" w:rsidR="000A179E" w:rsidRPr="007F0C43" w:rsidRDefault="000A179E" w:rsidP="000A179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38E6" w14:textId="24396DC9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$2</w:t>
            </w:r>
            <w:r>
              <w:rPr>
                <w:color w:val="000000"/>
                <w:szCs w:val="26"/>
              </w:rPr>
              <w:t>47</w:t>
            </w:r>
            <w:r w:rsidRPr="007F0C43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>150</w:t>
            </w:r>
            <w:r w:rsidRPr="007F0C43">
              <w:rPr>
                <w:color w:val="000000"/>
                <w:szCs w:val="26"/>
              </w:rPr>
              <w:t xml:space="preserve">  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C8DE" w14:textId="7F0AB190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10%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A31F" w14:textId="584AE077" w:rsidR="000A179E" w:rsidRPr="007F0C43" w:rsidRDefault="000A179E" w:rsidP="000A179E">
            <w:pPr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WBE</w:t>
            </w:r>
          </w:p>
        </w:tc>
      </w:tr>
      <w:tr w:rsidR="000A179E" w:rsidRPr="002849A3" w14:paraId="747C343E" w14:textId="77777777" w:rsidTr="001368BB">
        <w:trPr>
          <w:gridAfter w:val="1"/>
          <w:wAfter w:w="548" w:type="pct"/>
          <w:trHeight w:val="345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71A0" w14:textId="77777777" w:rsidR="000A179E" w:rsidRPr="002849A3" w:rsidRDefault="000A179E" w:rsidP="000A179E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Professional Services Total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E455" w14:textId="77777777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8F94" w14:textId="77777777" w:rsidR="000A179E" w:rsidRPr="007F0C43" w:rsidRDefault="000A179E" w:rsidP="000A179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26E4" w14:textId="3EC326EB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$</w:t>
            </w:r>
            <w:r>
              <w:rPr>
                <w:color w:val="000000"/>
                <w:szCs w:val="26"/>
              </w:rPr>
              <w:t>816</w:t>
            </w:r>
            <w:r w:rsidRPr="007F0C43">
              <w:rPr>
                <w:color w:val="000000"/>
                <w:szCs w:val="26"/>
              </w:rPr>
              <w:t>,3</w:t>
            </w:r>
            <w:r>
              <w:rPr>
                <w:color w:val="000000"/>
                <w:szCs w:val="26"/>
              </w:rPr>
              <w:t>26</w:t>
            </w:r>
            <w:r w:rsidRPr="007F0C43">
              <w:rPr>
                <w:color w:val="000000"/>
                <w:szCs w:val="26"/>
              </w:rPr>
              <w:t xml:space="preserve">  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1B2" w14:textId="5FB8CA3B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3</w:t>
            </w:r>
            <w:r>
              <w:rPr>
                <w:color w:val="000000"/>
                <w:szCs w:val="26"/>
              </w:rPr>
              <w:t>3</w:t>
            </w:r>
            <w:r w:rsidRPr="007F0C43">
              <w:rPr>
                <w:color w:val="000000"/>
                <w:szCs w:val="26"/>
              </w:rPr>
              <w:t>%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4B3" w14:textId="77777777" w:rsidR="000A179E" w:rsidRPr="007F0C43" w:rsidRDefault="000A179E" w:rsidP="000A179E">
            <w:pPr>
              <w:rPr>
                <w:color w:val="000000"/>
                <w:szCs w:val="26"/>
              </w:rPr>
            </w:pPr>
          </w:p>
        </w:tc>
      </w:tr>
      <w:tr w:rsidR="000A179E" w:rsidRPr="002849A3" w14:paraId="39040946" w14:textId="77777777" w:rsidTr="007F0C43">
        <w:trPr>
          <w:trHeight w:val="345"/>
        </w:trPr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17B9" w14:textId="77777777" w:rsidR="000A179E" w:rsidRPr="002849A3" w:rsidRDefault="000A179E" w:rsidP="000A179E">
            <w:pPr>
              <w:rPr>
                <w:color w:val="000000"/>
                <w:szCs w:val="26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EEF2" w14:textId="77777777" w:rsidR="000A179E" w:rsidRPr="002849A3" w:rsidRDefault="000A179E" w:rsidP="000A179E">
            <w:pPr>
              <w:rPr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927A" w14:textId="77777777" w:rsidR="000A179E" w:rsidRPr="002849A3" w:rsidRDefault="000A179E" w:rsidP="000A179E">
            <w:pPr>
              <w:jc w:val="right"/>
              <w:rPr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6FC" w14:textId="77777777" w:rsidR="000A179E" w:rsidRPr="002849A3" w:rsidRDefault="000A179E" w:rsidP="000A179E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444" w14:textId="77777777" w:rsidR="000A179E" w:rsidRPr="002849A3" w:rsidRDefault="000A179E" w:rsidP="000A179E">
            <w:pPr>
              <w:jc w:val="center"/>
              <w:rPr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92EC" w14:textId="77777777" w:rsidR="000A179E" w:rsidRPr="002849A3" w:rsidRDefault="000A179E" w:rsidP="000A179E">
            <w:pPr>
              <w:rPr>
                <w:szCs w:val="2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8FE" w14:textId="77777777" w:rsidR="000A179E" w:rsidRPr="002849A3" w:rsidRDefault="000A179E" w:rsidP="000A179E">
            <w:pPr>
              <w:rPr>
                <w:szCs w:val="26"/>
              </w:rPr>
            </w:pPr>
          </w:p>
        </w:tc>
      </w:tr>
    </w:tbl>
    <w:p w14:paraId="6AE48377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tbl>
      <w:tblPr>
        <w:tblW w:w="3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956"/>
        <w:gridCol w:w="1596"/>
        <w:gridCol w:w="1675"/>
      </w:tblGrid>
      <w:tr w:rsidR="000A179E" w:rsidRPr="00C91161" w14:paraId="39ADB2E7" w14:textId="77777777" w:rsidTr="000A179E">
        <w:trPr>
          <w:trHeight w:val="375"/>
        </w:trPr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3BF3A" w14:textId="79E5B476" w:rsidR="008E0827" w:rsidRPr="002849A3" w:rsidRDefault="008E0827" w:rsidP="008E0827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BF76E" w14:textId="77777777" w:rsidR="008E0827" w:rsidRPr="007F0C43" w:rsidRDefault="008E0827" w:rsidP="008E0827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FE4E5" w14:textId="7234C739" w:rsidR="008E0827" w:rsidRPr="007F0C43" w:rsidRDefault="008E0827" w:rsidP="008E0827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 xml:space="preserve">  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CE5EE" w14:textId="3C760473" w:rsidR="008E0827" w:rsidRPr="007F0C43" w:rsidRDefault="008E0827" w:rsidP="008E0827">
            <w:pPr>
              <w:jc w:val="right"/>
              <w:rPr>
                <w:color w:val="000000"/>
                <w:szCs w:val="26"/>
              </w:rPr>
            </w:pPr>
          </w:p>
        </w:tc>
      </w:tr>
      <w:tr w:rsidR="000A179E" w:rsidRPr="00C91161" w14:paraId="4FEA9A2D" w14:textId="77777777" w:rsidTr="001368BB">
        <w:trPr>
          <w:trHeight w:val="375"/>
        </w:trPr>
        <w:tc>
          <w:tcPr>
            <w:tcW w:w="18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3396CE" w14:textId="76842CA3" w:rsidR="000A179E" w:rsidRPr="002849A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MBE</w:t>
            </w:r>
            <w:r>
              <w:rPr>
                <w:color w:val="000000"/>
                <w:szCs w:val="26"/>
              </w:rPr>
              <w:t xml:space="preserve"> (</w:t>
            </w:r>
            <w:r w:rsidRPr="002849A3">
              <w:rPr>
                <w:color w:val="000000"/>
                <w:szCs w:val="26"/>
              </w:rPr>
              <w:t>ASA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2D20F2" w14:textId="77777777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55C206" w14:textId="47B15303" w:rsidR="000A179E" w:rsidRPr="007F0C43" w:rsidDel="000A179E" w:rsidRDefault="000A179E" w:rsidP="000A179E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$247,088</w:t>
            </w:r>
            <w:r w:rsidRPr="007F0C43">
              <w:rPr>
                <w:color w:val="000000"/>
                <w:szCs w:val="26"/>
              </w:rPr>
              <w:t xml:space="preserve">   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013F6A" w14:textId="78CA8635" w:rsidR="000A179E" w:rsidRPr="007F0C43" w:rsidDel="000A179E" w:rsidRDefault="000A179E" w:rsidP="000A179E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Pr="007F0C43">
              <w:rPr>
                <w:color w:val="000000"/>
                <w:szCs w:val="26"/>
              </w:rPr>
              <w:t>0%</w:t>
            </w:r>
          </w:p>
        </w:tc>
      </w:tr>
      <w:tr w:rsidR="000A179E" w:rsidRPr="00C91161" w14:paraId="18718EDE" w14:textId="77777777" w:rsidTr="001368BB">
        <w:trPr>
          <w:trHeight w:val="375"/>
        </w:trPr>
        <w:tc>
          <w:tcPr>
            <w:tcW w:w="1859" w:type="pct"/>
            <w:shd w:val="clear" w:color="auto" w:fill="auto"/>
            <w:noWrap/>
            <w:vAlign w:val="bottom"/>
          </w:tcPr>
          <w:p w14:paraId="32963494" w14:textId="37F5E093" w:rsidR="000A179E" w:rsidRPr="002849A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MBE</w:t>
            </w:r>
            <w:r>
              <w:rPr>
                <w:color w:val="000000"/>
                <w:szCs w:val="26"/>
              </w:rPr>
              <w:t xml:space="preserve"> (H</w:t>
            </w:r>
            <w:r w:rsidRPr="002849A3">
              <w:rPr>
                <w:color w:val="000000"/>
                <w:szCs w:val="26"/>
              </w:rPr>
              <w:t>A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476BF1F9" w14:textId="77777777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shd w:val="clear" w:color="auto" w:fill="auto"/>
            <w:vAlign w:val="bottom"/>
          </w:tcPr>
          <w:p w14:paraId="132EBFFE" w14:textId="441E43EF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$247,088</w:t>
            </w:r>
          </w:p>
        </w:tc>
        <w:tc>
          <w:tcPr>
            <w:tcW w:w="845" w:type="pct"/>
            <w:shd w:val="clear" w:color="auto" w:fill="auto"/>
            <w:noWrap/>
            <w:vAlign w:val="bottom"/>
          </w:tcPr>
          <w:p w14:paraId="03882149" w14:textId="02E87084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10%</w:t>
            </w:r>
          </w:p>
        </w:tc>
      </w:tr>
      <w:tr w:rsidR="000A179E" w:rsidRPr="00C91161" w14:paraId="0EDEFC49" w14:textId="77777777" w:rsidTr="001368BB">
        <w:trPr>
          <w:trHeight w:val="375"/>
        </w:trPr>
        <w:tc>
          <w:tcPr>
            <w:tcW w:w="1859" w:type="pct"/>
            <w:shd w:val="clear" w:color="auto" w:fill="auto"/>
            <w:noWrap/>
            <w:vAlign w:val="bottom"/>
            <w:hideMark/>
          </w:tcPr>
          <w:p w14:paraId="57B520C8" w14:textId="16957AC9" w:rsidR="000A179E" w:rsidRPr="002849A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Total </w:t>
            </w:r>
            <w:r>
              <w:rPr>
                <w:color w:val="000000"/>
                <w:szCs w:val="26"/>
              </w:rPr>
              <w:t>V</w:t>
            </w:r>
            <w:r w:rsidRPr="002849A3">
              <w:rPr>
                <w:color w:val="000000"/>
                <w:szCs w:val="26"/>
              </w:rPr>
              <w:t>BE</w:t>
            </w: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5AB782D4" w14:textId="77777777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14:paraId="4D22E79D" w14:textId="2D71EE91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$</w:t>
            </w:r>
            <w:r>
              <w:rPr>
                <w:color w:val="000000"/>
                <w:szCs w:val="26"/>
              </w:rPr>
              <w:t>75,000</w:t>
            </w:r>
            <w:r w:rsidRPr="007F0C43">
              <w:rPr>
                <w:color w:val="000000"/>
                <w:szCs w:val="26"/>
              </w:rPr>
              <w:t xml:space="preserve">   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F1C61C1" w14:textId="06D9F457" w:rsidR="000A179E" w:rsidRPr="007F0C43" w:rsidRDefault="000A179E" w:rsidP="000A179E">
            <w:pPr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 xml:space="preserve">               </w:t>
            </w:r>
            <w:r>
              <w:rPr>
                <w:color w:val="000000"/>
                <w:szCs w:val="26"/>
              </w:rPr>
              <w:t xml:space="preserve">  3</w:t>
            </w:r>
            <w:r w:rsidRPr="007F0C43">
              <w:rPr>
                <w:color w:val="000000"/>
                <w:szCs w:val="26"/>
              </w:rPr>
              <w:t>%</w:t>
            </w:r>
          </w:p>
        </w:tc>
      </w:tr>
      <w:tr w:rsidR="000A179E" w:rsidRPr="00C91161" w14:paraId="32479E39" w14:textId="77777777" w:rsidTr="000A179E">
        <w:trPr>
          <w:trHeight w:val="375"/>
        </w:trPr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8147D3" w14:textId="727F61E7" w:rsidR="000A179E" w:rsidRPr="002849A3" w:rsidRDefault="000A179E" w:rsidP="000A179E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Total WBE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AD322F" w14:textId="77777777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146B0853" w14:textId="5592AC5D" w:rsidR="000A179E" w:rsidRPr="007F0C43" w:rsidRDefault="000A179E" w:rsidP="001368BB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$247,150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2B040F" w14:textId="3C702A90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10%</w:t>
            </w:r>
          </w:p>
        </w:tc>
      </w:tr>
      <w:tr w:rsidR="000A179E" w:rsidRPr="00C91161" w14:paraId="33A6F795" w14:textId="77777777" w:rsidTr="000A179E">
        <w:trPr>
          <w:trHeight w:val="375"/>
        </w:trPr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455" w14:textId="77777777" w:rsidR="000A179E" w:rsidRPr="002849A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Diversity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B19944" w14:textId="77777777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D519BE0" w14:textId="361DAA28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$</w:t>
            </w:r>
            <w:r>
              <w:rPr>
                <w:color w:val="000000"/>
                <w:szCs w:val="26"/>
              </w:rPr>
              <w:t>816</w:t>
            </w:r>
            <w:r w:rsidRPr="007F0C43">
              <w:rPr>
                <w:color w:val="000000"/>
                <w:szCs w:val="26"/>
              </w:rPr>
              <w:t>,3</w:t>
            </w:r>
            <w:r>
              <w:rPr>
                <w:color w:val="000000"/>
                <w:szCs w:val="26"/>
              </w:rPr>
              <w:t>26</w:t>
            </w:r>
            <w:r w:rsidRPr="007F0C43">
              <w:rPr>
                <w:color w:val="000000"/>
                <w:szCs w:val="26"/>
              </w:rPr>
              <w:t xml:space="preserve">   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AF9" w14:textId="2B15A430" w:rsidR="000A179E" w:rsidRPr="007F0C43" w:rsidRDefault="000A179E" w:rsidP="000A179E">
            <w:pPr>
              <w:jc w:val="right"/>
              <w:rPr>
                <w:color w:val="000000"/>
                <w:szCs w:val="26"/>
              </w:rPr>
            </w:pPr>
            <w:r w:rsidRPr="007F0C43">
              <w:rPr>
                <w:color w:val="000000"/>
                <w:szCs w:val="26"/>
              </w:rPr>
              <w:t>3</w:t>
            </w:r>
            <w:r>
              <w:rPr>
                <w:color w:val="000000"/>
                <w:szCs w:val="26"/>
              </w:rPr>
              <w:t>3</w:t>
            </w:r>
            <w:r w:rsidRPr="007F0C43">
              <w:rPr>
                <w:color w:val="000000"/>
                <w:szCs w:val="26"/>
              </w:rPr>
              <w:t>%</w:t>
            </w:r>
          </w:p>
        </w:tc>
      </w:tr>
    </w:tbl>
    <w:p w14:paraId="2774E0A7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p w14:paraId="49DB321F" w14:textId="77777777" w:rsidR="00821435" w:rsidRPr="00287376" w:rsidRDefault="00821435" w:rsidP="00287376">
      <w:pPr>
        <w:pStyle w:val="bdstyle2"/>
      </w:pPr>
    </w:p>
    <w:sectPr w:rsidR="00821435" w:rsidRPr="00287376" w:rsidSect="00704290">
      <w:pgSz w:w="15840" w:h="12240" w:orient="landscape" w:code="1"/>
      <w:pgMar w:top="720" w:right="1440" w:bottom="1440" w:left="1440" w:header="720" w:footer="720" w:gutter="0"/>
      <w:paperSrc w:first="15" w:other="15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F8DC" w14:textId="77777777" w:rsidR="001B4632" w:rsidRDefault="001B4632">
      <w:r>
        <w:separator/>
      </w:r>
    </w:p>
  </w:endnote>
  <w:endnote w:type="continuationSeparator" w:id="0">
    <w:p w14:paraId="5DC62ADB" w14:textId="77777777" w:rsidR="001B4632" w:rsidRDefault="001B4632">
      <w:r>
        <w:continuationSeparator/>
      </w:r>
    </w:p>
  </w:endnote>
  <w:endnote w:type="continuationNotice" w:id="1">
    <w:p w14:paraId="06606BB6" w14:textId="77777777" w:rsidR="001B4632" w:rsidRDefault="001B4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CCD83" w14:textId="77777777" w:rsidR="001B4632" w:rsidRDefault="001B4632">
      <w:r>
        <w:separator/>
      </w:r>
    </w:p>
  </w:footnote>
  <w:footnote w:type="continuationSeparator" w:id="0">
    <w:p w14:paraId="31557965" w14:textId="77777777" w:rsidR="001B4632" w:rsidRDefault="001B4632">
      <w:r>
        <w:continuationSeparator/>
      </w:r>
    </w:p>
  </w:footnote>
  <w:footnote w:type="continuationNotice" w:id="1">
    <w:p w14:paraId="35E8E553" w14:textId="77777777" w:rsidR="001B4632" w:rsidRDefault="001B4632"/>
  </w:footnote>
  <w:footnote w:id="2">
    <w:p w14:paraId="1DE1D34F" w14:textId="43A9D3BD" w:rsidR="00B536F9" w:rsidRPr="00C91453" w:rsidRDefault="00B536F9" w:rsidP="00D5104D">
      <w:pPr>
        <w:pStyle w:val="bdfootnote"/>
        <w:rPr>
          <w:szCs w:val="26"/>
        </w:rPr>
      </w:pPr>
      <w:r w:rsidRPr="00C91453">
        <w:rPr>
          <w:rStyle w:val="FootnoteReference"/>
          <w:szCs w:val="26"/>
        </w:rPr>
        <w:footnoteRef/>
      </w:r>
      <w:r w:rsidRPr="00C91453">
        <w:rPr>
          <w:szCs w:val="26"/>
        </w:rPr>
        <w:t xml:space="preserve"> </w:t>
      </w:r>
      <w:r w:rsidR="001435BD" w:rsidRPr="00C91453">
        <w:rPr>
          <w:szCs w:val="26"/>
        </w:rPr>
        <w:t>A selection committee consisting of  Walter Hainsfurther (Planning, Sustainability and Project Management); Pamela Hill (Planning, Sustainability and Project Management); Michael Zenn (UI Health); Julia Louie (UI Health); Dale Morrisson (Office of Procurement Diversity); Ebone White (University Office of Capital Programs, Real Estate and Utility Services) evaluated the following firms (listed in ranking order): (1) Perkins + Will., Chicago IL; (2) Perkins Eastman PDC, New York, NY; (3) Skidmore, Owings &amp; Merrill, LLP, Chicago, 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265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5EBC9" w14:textId="240651EA" w:rsidR="00E577D9" w:rsidRDefault="00E577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5AD9B" w14:textId="77777777" w:rsidR="00687773" w:rsidRDefault="00687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6E2"/>
    <w:multiLevelType w:val="hybridMultilevel"/>
    <w:tmpl w:val="6262DE7E"/>
    <w:lvl w:ilvl="0" w:tplc="E14E0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878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2tDAxMzExsTAyNjVV0lEKTi0uzszPAykwrAUA2S0O7SwAAAA="/>
  </w:docVars>
  <w:rsids>
    <w:rsidRoot w:val="00B327B4"/>
    <w:rsid w:val="00001971"/>
    <w:rsid w:val="0001226A"/>
    <w:rsid w:val="00021C73"/>
    <w:rsid w:val="00026158"/>
    <w:rsid w:val="00032098"/>
    <w:rsid w:val="00033D56"/>
    <w:rsid w:val="00035908"/>
    <w:rsid w:val="00051091"/>
    <w:rsid w:val="0005376C"/>
    <w:rsid w:val="00064C48"/>
    <w:rsid w:val="0006501B"/>
    <w:rsid w:val="00072697"/>
    <w:rsid w:val="00083935"/>
    <w:rsid w:val="000A0F6D"/>
    <w:rsid w:val="000A179E"/>
    <w:rsid w:val="000B3951"/>
    <w:rsid w:val="000B7C42"/>
    <w:rsid w:val="000C00B1"/>
    <w:rsid w:val="000C0954"/>
    <w:rsid w:val="000C3EB4"/>
    <w:rsid w:val="000D3198"/>
    <w:rsid w:val="000D4220"/>
    <w:rsid w:val="000E2019"/>
    <w:rsid w:val="000E5E15"/>
    <w:rsid w:val="000F7CA3"/>
    <w:rsid w:val="00106BA2"/>
    <w:rsid w:val="00113C63"/>
    <w:rsid w:val="00121520"/>
    <w:rsid w:val="00121A5C"/>
    <w:rsid w:val="0013095A"/>
    <w:rsid w:val="00133743"/>
    <w:rsid w:val="001368BB"/>
    <w:rsid w:val="00137562"/>
    <w:rsid w:val="001375A3"/>
    <w:rsid w:val="00141723"/>
    <w:rsid w:val="001435BD"/>
    <w:rsid w:val="00146E62"/>
    <w:rsid w:val="00151D40"/>
    <w:rsid w:val="00154BB6"/>
    <w:rsid w:val="001555EF"/>
    <w:rsid w:val="00161389"/>
    <w:rsid w:val="00170BAF"/>
    <w:rsid w:val="00172060"/>
    <w:rsid w:val="00174D59"/>
    <w:rsid w:val="00182B0D"/>
    <w:rsid w:val="00186240"/>
    <w:rsid w:val="00186378"/>
    <w:rsid w:val="00187732"/>
    <w:rsid w:val="00191CD7"/>
    <w:rsid w:val="001B11F5"/>
    <w:rsid w:val="001B140F"/>
    <w:rsid w:val="001B3479"/>
    <w:rsid w:val="001B4632"/>
    <w:rsid w:val="001C2436"/>
    <w:rsid w:val="001C4349"/>
    <w:rsid w:val="001D053A"/>
    <w:rsid w:val="001E1C5F"/>
    <w:rsid w:val="001E3A19"/>
    <w:rsid w:val="001F74A7"/>
    <w:rsid w:val="00202C09"/>
    <w:rsid w:val="00203DA3"/>
    <w:rsid w:val="00204221"/>
    <w:rsid w:val="00206273"/>
    <w:rsid w:val="0021286B"/>
    <w:rsid w:val="00221C46"/>
    <w:rsid w:val="00222C9A"/>
    <w:rsid w:val="00242C57"/>
    <w:rsid w:val="00247CB9"/>
    <w:rsid w:val="00264F1A"/>
    <w:rsid w:val="00275AEF"/>
    <w:rsid w:val="00283EC2"/>
    <w:rsid w:val="002849A3"/>
    <w:rsid w:val="00287376"/>
    <w:rsid w:val="0029619D"/>
    <w:rsid w:val="002B07D6"/>
    <w:rsid w:val="002B432D"/>
    <w:rsid w:val="002E6F49"/>
    <w:rsid w:val="002F3295"/>
    <w:rsid w:val="002F7619"/>
    <w:rsid w:val="00300F66"/>
    <w:rsid w:val="0030531B"/>
    <w:rsid w:val="003055A9"/>
    <w:rsid w:val="00310AF7"/>
    <w:rsid w:val="003162AD"/>
    <w:rsid w:val="00316B90"/>
    <w:rsid w:val="00332B0A"/>
    <w:rsid w:val="00345F0C"/>
    <w:rsid w:val="00370A7F"/>
    <w:rsid w:val="00375450"/>
    <w:rsid w:val="0039552C"/>
    <w:rsid w:val="003A5324"/>
    <w:rsid w:val="003B28D0"/>
    <w:rsid w:val="003B2FAF"/>
    <w:rsid w:val="003B3ED5"/>
    <w:rsid w:val="003C79C1"/>
    <w:rsid w:val="003D0CD0"/>
    <w:rsid w:val="003D36DA"/>
    <w:rsid w:val="003D4A7A"/>
    <w:rsid w:val="003E0120"/>
    <w:rsid w:val="003E51C0"/>
    <w:rsid w:val="003E51DD"/>
    <w:rsid w:val="0040117C"/>
    <w:rsid w:val="00402D14"/>
    <w:rsid w:val="00404351"/>
    <w:rsid w:val="00404E1E"/>
    <w:rsid w:val="00420E19"/>
    <w:rsid w:val="00437FB3"/>
    <w:rsid w:val="004431B8"/>
    <w:rsid w:val="004432D1"/>
    <w:rsid w:val="00456B6C"/>
    <w:rsid w:val="004643C7"/>
    <w:rsid w:val="00465767"/>
    <w:rsid w:val="0048738B"/>
    <w:rsid w:val="00487EFD"/>
    <w:rsid w:val="004A05BD"/>
    <w:rsid w:val="004B092A"/>
    <w:rsid w:val="004B157E"/>
    <w:rsid w:val="004B2411"/>
    <w:rsid w:val="004B6D99"/>
    <w:rsid w:val="004B7605"/>
    <w:rsid w:val="004C5EC5"/>
    <w:rsid w:val="004D0AAF"/>
    <w:rsid w:val="004D423A"/>
    <w:rsid w:val="004D70D6"/>
    <w:rsid w:val="004E588F"/>
    <w:rsid w:val="004F7A15"/>
    <w:rsid w:val="00506E91"/>
    <w:rsid w:val="00510CDC"/>
    <w:rsid w:val="0051224A"/>
    <w:rsid w:val="005152A7"/>
    <w:rsid w:val="0051678F"/>
    <w:rsid w:val="00522310"/>
    <w:rsid w:val="00526C84"/>
    <w:rsid w:val="00533443"/>
    <w:rsid w:val="00536CA1"/>
    <w:rsid w:val="0054048B"/>
    <w:rsid w:val="00546143"/>
    <w:rsid w:val="005542A1"/>
    <w:rsid w:val="00554774"/>
    <w:rsid w:val="0056378F"/>
    <w:rsid w:val="00573A70"/>
    <w:rsid w:val="00582A47"/>
    <w:rsid w:val="00595BA3"/>
    <w:rsid w:val="005C0EF5"/>
    <w:rsid w:val="005C0FD1"/>
    <w:rsid w:val="005C31E7"/>
    <w:rsid w:val="005D221A"/>
    <w:rsid w:val="005D4844"/>
    <w:rsid w:val="005E3EBD"/>
    <w:rsid w:val="005E60C5"/>
    <w:rsid w:val="005E7315"/>
    <w:rsid w:val="005E79CC"/>
    <w:rsid w:val="00607F01"/>
    <w:rsid w:val="00610D30"/>
    <w:rsid w:val="00614A35"/>
    <w:rsid w:val="00640FFA"/>
    <w:rsid w:val="0064524B"/>
    <w:rsid w:val="0064764E"/>
    <w:rsid w:val="006629DE"/>
    <w:rsid w:val="00662A5C"/>
    <w:rsid w:val="006632AA"/>
    <w:rsid w:val="006670BD"/>
    <w:rsid w:val="00667C97"/>
    <w:rsid w:val="0067137C"/>
    <w:rsid w:val="00681D0E"/>
    <w:rsid w:val="00687773"/>
    <w:rsid w:val="006A1C13"/>
    <w:rsid w:val="006A3344"/>
    <w:rsid w:val="006B4E00"/>
    <w:rsid w:val="006C0F48"/>
    <w:rsid w:val="006D46EC"/>
    <w:rsid w:val="006D5D18"/>
    <w:rsid w:val="006E2605"/>
    <w:rsid w:val="006F1223"/>
    <w:rsid w:val="007032CF"/>
    <w:rsid w:val="00704290"/>
    <w:rsid w:val="007151BF"/>
    <w:rsid w:val="00730B09"/>
    <w:rsid w:val="007420A0"/>
    <w:rsid w:val="007527FB"/>
    <w:rsid w:val="00767F57"/>
    <w:rsid w:val="00767FA1"/>
    <w:rsid w:val="00781356"/>
    <w:rsid w:val="00790CB9"/>
    <w:rsid w:val="0079348B"/>
    <w:rsid w:val="007A5B21"/>
    <w:rsid w:val="007B1D6A"/>
    <w:rsid w:val="007B7920"/>
    <w:rsid w:val="007B7B5D"/>
    <w:rsid w:val="007C2156"/>
    <w:rsid w:val="007C5BDC"/>
    <w:rsid w:val="007D08C8"/>
    <w:rsid w:val="007E015A"/>
    <w:rsid w:val="007E0EED"/>
    <w:rsid w:val="007E733B"/>
    <w:rsid w:val="007F0C43"/>
    <w:rsid w:val="00805692"/>
    <w:rsid w:val="00806E1F"/>
    <w:rsid w:val="00816D8D"/>
    <w:rsid w:val="00821435"/>
    <w:rsid w:val="008428C3"/>
    <w:rsid w:val="00847CA6"/>
    <w:rsid w:val="00850AE4"/>
    <w:rsid w:val="008530A2"/>
    <w:rsid w:val="0085457E"/>
    <w:rsid w:val="008552F6"/>
    <w:rsid w:val="00860331"/>
    <w:rsid w:val="00870053"/>
    <w:rsid w:val="008711F9"/>
    <w:rsid w:val="00873CB4"/>
    <w:rsid w:val="00875B36"/>
    <w:rsid w:val="00877A4A"/>
    <w:rsid w:val="00885D26"/>
    <w:rsid w:val="00887E84"/>
    <w:rsid w:val="008A7291"/>
    <w:rsid w:val="008A7820"/>
    <w:rsid w:val="008B7865"/>
    <w:rsid w:val="008C31B9"/>
    <w:rsid w:val="008C5DE2"/>
    <w:rsid w:val="008D7977"/>
    <w:rsid w:val="008E0827"/>
    <w:rsid w:val="008F5501"/>
    <w:rsid w:val="00902D92"/>
    <w:rsid w:val="009142FA"/>
    <w:rsid w:val="009172BE"/>
    <w:rsid w:val="00923F3C"/>
    <w:rsid w:val="00924FAA"/>
    <w:rsid w:val="00925C5F"/>
    <w:rsid w:val="00934462"/>
    <w:rsid w:val="00935F64"/>
    <w:rsid w:val="009541B5"/>
    <w:rsid w:val="00955272"/>
    <w:rsid w:val="00971AD2"/>
    <w:rsid w:val="00971C4E"/>
    <w:rsid w:val="009745E1"/>
    <w:rsid w:val="0099201D"/>
    <w:rsid w:val="009977B9"/>
    <w:rsid w:val="009B0614"/>
    <w:rsid w:val="009B1566"/>
    <w:rsid w:val="009B59F7"/>
    <w:rsid w:val="009B6A47"/>
    <w:rsid w:val="009B7E1C"/>
    <w:rsid w:val="009D7650"/>
    <w:rsid w:val="009E1958"/>
    <w:rsid w:val="00A04E10"/>
    <w:rsid w:val="00A17ABE"/>
    <w:rsid w:val="00A33953"/>
    <w:rsid w:val="00A41966"/>
    <w:rsid w:val="00A45B3F"/>
    <w:rsid w:val="00A45BB3"/>
    <w:rsid w:val="00A52CE1"/>
    <w:rsid w:val="00A579CE"/>
    <w:rsid w:val="00A81563"/>
    <w:rsid w:val="00A825D0"/>
    <w:rsid w:val="00A853B6"/>
    <w:rsid w:val="00A85962"/>
    <w:rsid w:val="00A91159"/>
    <w:rsid w:val="00A939BB"/>
    <w:rsid w:val="00A966B5"/>
    <w:rsid w:val="00AA416E"/>
    <w:rsid w:val="00AA4A50"/>
    <w:rsid w:val="00AB0359"/>
    <w:rsid w:val="00AB48E0"/>
    <w:rsid w:val="00AD1222"/>
    <w:rsid w:val="00AD3E02"/>
    <w:rsid w:val="00AD6388"/>
    <w:rsid w:val="00AE53CC"/>
    <w:rsid w:val="00AE53E4"/>
    <w:rsid w:val="00B0205F"/>
    <w:rsid w:val="00B04F7D"/>
    <w:rsid w:val="00B13FD4"/>
    <w:rsid w:val="00B17965"/>
    <w:rsid w:val="00B24ACE"/>
    <w:rsid w:val="00B25372"/>
    <w:rsid w:val="00B25FEE"/>
    <w:rsid w:val="00B31DDF"/>
    <w:rsid w:val="00B327B4"/>
    <w:rsid w:val="00B34C8B"/>
    <w:rsid w:val="00B508F4"/>
    <w:rsid w:val="00B536F9"/>
    <w:rsid w:val="00B54019"/>
    <w:rsid w:val="00B55EF7"/>
    <w:rsid w:val="00B654CC"/>
    <w:rsid w:val="00B70D1C"/>
    <w:rsid w:val="00B8050F"/>
    <w:rsid w:val="00B97F35"/>
    <w:rsid w:val="00BA0DB4"/>
    <w:rsid w:val="00BA4219"/>
    <w:rsid w:val="00BC5BEC"/>
    <w:rsid w:val="00BF2DB7"/>
    <w:rsid w:val="00C06104"/>
    <w:rsid w:val="00C14F7C"/>
    <w:rsid w:val="00C2004A"/>
    <w:rsid w:val="00C40CC3"/>
    <w:rsid w:val="00C51BBB"/>
    <w:rsid w:val="00C648FD"/>
    <w:rsid w:val="00C6519A"/>
    <w:rsid w:val="00C76408"/>
    <w:rsid w:val="00C80575"/>
    <w:rsid w:val="00C80A5C"/>
    <w:rsid w:val="00C8442C"/>
    <w:rsid w:val="00C87469"/>
    <w:rsid w:val="00C91161"/>
    <w:rsid w:val="00C91453"/>
    <w:rsid w:val="00C94A15"/>
    <w:rsid w:val="00CF4AA4"/>
    <w:rsid w:val="00D01A9B"/>
    <w:rsid w:val="00D10220"/>
    <w:rsid w:val="00D16E0A"/>
    <w:rsid w:val="00D266E2"/>
    <w:rsid w:val="00D30A9C"/>
    <w:rsid w:val="00D3148E"/>
    <w:rsid w:val="00D3236D"/>
    <w:rsid w:val="00D326EF"/>
    <w:rsid w:val="00D33F8E"/>
    <w:rsid w:val="00D348F4"/>
    <w:rsid w:val="00D415EF"/>
    <w:rsid w:val="00D4260B"/>
    <w:rsid w:val="00D42F13"/>
    <w:rsid w:val="00D45194"/>
    <w:rsid w:val="00D5104D"/>
    <w:rsid w:val="00D61D77"/>
    <w:rsid w:val="00D75910"/>
    <w:rsid w:val="00D81BF6"/>
    <w:rsid w:val="00D91F70"/>
    <w:rsid w:val="00D96CA7"/>
    <w:rsid w:val="00DB0D27"/>
    <w:rsid w:val="00DB1134"/>
    <w:rsid w:val="00DB7110"/>
    <w:rsid w:val="00DC60B5"/>
    <w:rsid w:val="00DD10B6"/>
    <w:rsid w:val="00DD1A2D"/>
    <w:rsid w:val="00DD7D84"/>
    <w:rsid w:val="00DD7FD1"/>
    <w:rsid w:val="00DE6576"/>
    <w:rsid w:val="00DE6CB8"/>
    <w:rsid w:val="00DF03E9"/>
    <w:rsid w:val="00E01358"/>
    <w:rsid w:val="00E0624E"/>
    <w:rsid w:val="00E11801"/>
    <w:rsid w:val="00E1213B"/>
    <w:rsid w:val="00E13DFB"/>
    <w:rsid w:val="00E264F8"/>
    <w:rsid w:val="00E2720F"/>
    <w:rsid w:val="00E35BE4"/>
    <w:rsid w:val="00E35F8D"/>
    <w:rsid w:val="00E427AD"/>
    <w:rsid w:val="00E444A4"/>
    <w:rsid w:val="00E577D9"/>
    <w:rsid w:val="00E602FF"/>
    <w:rsid w:val="00E662B0"/>
    <w:rsid w:val="00E82D0C"/>
    <w:rsid w:val="00E90269"/>
    <w:rsid w:val="00E9161B"/>
    <w:rsid w:val="00EA661A"/>
    <w:rsid w:val="00EB57B1"/>
    <w:rsid w:val="00EB7C30"/>
    <w:rsid w:val="00ED45F0"/>
    <w:rsid w:val="00EE08E8"/>
    <w:rsid w:val="00EF4DDF"/>
    <w:rsid w:val="00F040EC"/>
    <w:rsid w:val="00F04FAD"/>
    <w:rsid w:val="00F050E4"/>
    <w:rsid w:val="00F07D36"/>
    <w:rsid w:val="00F11A32"/>
    <w:rsid w:val="00F165BC"/>
    <w:rsid w:val="00F2611C"/>
    <w:rsid w:val="00F275B7"/>
    <w:rsid w:val="00F3669E"/>
    <w:rsid w:val="00F46104"/>
    <w:rsid w:val="00F57BFA"/>
    <w:rsid w:val="00F71C42"/>
    <w:rsid w:val="00F81EC0"/>
    <w:rsid w:val="00FD3C65"/>
    <w:rsid w:val="00FD3EF0"/>
    <w:rsid w:val="00FD631F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433BE"/>
  <w15:chartTrackingRefBased/>
  <w15:docId w15:val="{3646F59D-1427-4D4D-9C78-D2DCA580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D30A9C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uiPriority w:val="99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873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53CC"/>
    <w:rPr>
      <w:sz w:val="20"/>
    </w:rPr>
  </w:style>
  <w:style w:type="character" w:styleId="FootnoteReference">
    <w:name w:val="footnote reference"/>
    <w:semiHidden/>
    <w:rsid w:val="00AE53CC"/>
    <w:rPr>
      <w:vertAlign w:val="superscript"/>
    </w:rPr>
  </w:style>
  <w:style w:type="paragraph" w:customStyle="1" w:styleId="Default">
    <w:name w:val="Default"/>
    <w:uiPriority w:val="99"/>
    <w:rsid w:val="004B6D99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36F9"/>
    <w:rPr>
      <w:sz w:val="26"/>
    </w:rPr>
  </w:style>
  <w:style w:type="paragraph" w:styleId="Footer">
    <w:name w:val="footer"/>
    <w:basedOn w:val="Normal"/>
    <w:link w:val="Foot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36F9"/>
    <w:rPr>
      <w:sz w:val="26"/>
    </w:rPr>
  </w:style>
  <w:style w:type="paragraph" w:styleId="Revision">
    <w:name w:val="Revision"/>
    <w:hidden/>
    <w:uiPriority w:val="99"/>
    <w:semiHidden/>
    <w:rsid w:val="00283EC2"/>
    <w:rPr>
      <w:sz w:val="26"/>
    </w:rPr>
  </w:style>
  <w:style w:type="character" w:styleId="CommentReference">
    <w:name w:val="annotation reference"/>
    <w:uiPriority w:val="99"/>
    <w:rsid w:val="005D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8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44"/>
  </w:style>
  <w:style w:type="paragraph" w:styleId="CommentSubject">
    <w:name w:val="annotation subject"/>
    <w:basedOn w:val="CommentText"/>
    <w:next w:val="CommentText"/>
    <w:link w:val="CommentSubjectChar"/>
    <w:rsid w:val="005D4844"/>
    <w:rPr>
      <w:b/>
      <w:bCs/>
    </w:rPr>
  </w:style>
  <w:style w:type="character" w:customStyle="1" w:styleId="CommentSubjectChar">
    <w:name w:val="Comment Subject Char"/>
    <w:link w:val="CommentSubject"/>
    <w:rsid w:val="005D484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30A9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86A84669F24CA90784EC6BE0B698" ma:contentTypeVersion="13" ma:contentTypeDescription="Create a new document." ma:contentTypeScope="" ma:versionID="d97ea1525f87c446d9e641b229082096">
  <xsd:schema xmlns:xsd="http://www.w3.org/2001/XMLSchema" xmlns:xs="http://www.w3.org/2001/XMLSchema" xmlns:p="http://schemas.microsoft.com/office/2006/metadata/properties" xmlns:ns3="59ffc7fc-016a-4aed-9d59-5b7a3a986ab2" xmlns:ns4="62392855-1efe-4492-b4e0-5957eb1ce0a1" targetNamespace="http://schemas.microsoft.com/office/2006/metadata/properties" ma:root="true" ma:fieldsID="f14d6f899f96d6e850d5ac53cf022599" ns3:_="" ns4:_="">
    <xsd:import namespace="59ffc7fc-016a-4aed-9d59-5b7a3a986ab2"/>
    <xsd:import namespace="62392855-1efe-4492-b4e0-5957eb1ce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7fc-016a-4aed-9d59-5b7a3a98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2855-1efe-4492-b4e0-5957eb1c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fc7fc-016a-4aed-9d59-5b7a3a986ab2" xsi:nil="true"/>
  </documentManagement>
</p:properties>
</file>

<file path=customXml/itemProps1.xml><?xml version="1.0" encoding="utf-8"?>
<ds:datastoreItem xmlns:ds="http://schemas.openxmlformats.org/officeDocument/2006/customXml" ds:itemID="{549490C6-45B3-49FE-A0C0-5C84235C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B88B3-4067-431A-9FB1-1B4F0CE1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fc7fc-016a-4aed-9d59-5b7a3a986ab2"/>
    <ds:schemaRef ds:uri="62392855-1efe-4492-b4e0-5957eb1c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E93AB-872B-4165-BB35-D777A023D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55F5E-1E60-40EF-863E-7827046F7F93}">
  <ds:schemaRefs>
    <ds:schemaRef ds:uri="http://schemas.microsoft.com/office/2006/metadata/properties"/>
    <ds:schemaRef ds:uri="http://schemas.microsoft.com/office/infopath/2007/PartnerControls"/>
    <ds:schemaRef ds:uri="59ffc7fc-016a-4aed-9d59-5b7a3a986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</cp:lastModifiedBy>
  <cp:revision>8</cp:revision>
  <cp:lastPrinted>2023-04-27T14:28:00Z</cp:lastPrinted>
  <dcterms:created xsi:type="dcterms:W3CDTF">2024-04-19T19:29:00Z</dcterms:created>
  <dcterms:modified xsi:type="dcterms:W3CDTF">2024-05-16T16:53:00Z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0x01010038A686A84669F24CA90784EC6BE0B698</vt:lpwstr>
  </property>
  <property fmtid="{D5CDD505-2E9C-101B-9397-08002B2CF9AE}" pid="3" name="_activity">
    <vt:lpwstr/>
  </property>
  <property fmtid="{D5CDD505-2E9C-101B-9397-08002B2CF9AE}" pid="4" name="GrammarlyDocumentId">
    <vt:lpwstr>a62105df20c71b4f8f243b221c350d76e7ce9ca1a93a58218c0ce1c37744084a</vt:lpwstr>
  </property>
</Properties>
</file>