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C0E3" w14:textId="77777777" w:rsidR="00F76BD2" w:rsidRPr="00F76BD2" w:rsidRDefault="00F76BD2" w:rsidP="00F76BD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eastAsia="Times New Roman"/>
          <w:color w:val="FF0000"/>
          <w:szCs w:val="26"/>
        </w:rPr>
      </w:pPr>
      <w:bookmarkStart w:id="0" w:name="_Hlk77839959"/>
      <w:bookmarkStart w:id="1" w:name="_Hlk93577479"/>
      <w:r w:rsidRPr="00F76BD2">
        <w:rPr>
          <w:rFonts w:eastAsia="Times New Roman"/>
          <w:color w:val="FF0000"/>
          <w:szCs w:val="26"/>
        </w:rPr>
        <w:t>Approved by the Board of Trustees</w:t>
      </w:r>
    </w:p>
    <w:bookmarkEnd w:id="0"/>
    <w:bookmarkEnd w:id="1"/>
    <w:p w14:paraId="3CC190D1" w14:textId="77777777" w:rsidR="00F76BD2" w:rsidRPr="00F76BD2" w:rsidRDefault="00F76BD2" w:rsidP="00F76BD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eastAsia="Times New Roman"/>
          <w:color w:val="FF0000"/>
          <w:szCs w:val="26"/>
        </w:rPr>
      </w:pPr>
      <w:r w:rsidRPr="00F76BD2">
        <w:rPr>
          <w:rFonts w:eastAsia="Times New Roman"/>
          <w:color w:val="FF0000"/>
          <w:szCs w:val="26"/>
        </w:rPr>
        <w:t>May 16, 2024</w:t>
      </w:r>
    </w:p>
    <w:p w14:paraId="6E36DDA8" w14:textId="517DF3E2" w:rsidR="002F2D48" w:rsidRPr="006F284F" w:rsidRDefault="000E3AD5"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19</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5C205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029A53DB" w:rsidR="002F2D48" w:rsidRPr="006F284F" w:rsidRDefault="00DE4DA2" w:rsidP="005C205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May 16</w:t>
      </w:r>
      <w:r w:rsidR="002F2D48" w:rsidRPr="006F284F">
        <w:rPr>
          <w:rFonts w:eastAsia="Times New Roman"/>
          <w:szCs w:val="26"/>
        </w:rPr>
        <w:t>, 2024</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6F284F" w:rsidRDefault="002F2D48" w:rsidP="002F2D4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6F284F">
        <w:rPr>
          <w:rFonts w:eastAsia="Times New Roman"/>
          <w:color w:val="000000"/>
          <w:szCs w:val="26"/>
        </w:rPr>
        <w:t>PURCHASE RECOMMENDATIONS</w:t>
      </w:r>
    </w:p>
    <w:p w14:paraId="5B7E567D"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378A36D2"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6F284F">
        <w:rPr>
          <w:rFonts w:eastAsia="Times New Roman"/>
          <w:color w:val="000000"/>
          <w:szCs w:val="26"/>
        </w:rPr>
        <w:t xml:space="preserve">Following are purchase recommendations proposed by each University and the System Office. The purchases are to be funded from State appropriations or institutional funds as appropriate. Unless otherwise specified or indicated, purchases are based on the lowest acceptable bid. The </w:t>
      </w:r>
      <w:r w:rsidR="005C2056">
        <w:rPr>
          <w:rFonts w:eastAsia="Times New Roman"/>
          <w:color w:val="000000"/>
          <w:szCs w:val="26"/>
        </w:rPr>
        <w:t>v</w:t>
      </w:r>
      <w:r w:rsidRPr="006F284F">
        <w:rPr>
          <w:rFonts w:eastAsia="Times New Roman"/>
          <w:color w:val="000000"/>
          <w:szCs w:val="26"/>
        </w:rPr>
        <w:t xml:space="preserve">ice </w:t>
      </w:r>
      <w:r w:rsidR="005C2056">
        <w:rPr>
          <w:rFonts w:eastAsia="Times New Roman"/>
          <w:color w:val="000000"/>
          <w:szCs w:val="26"/>
        </w:rPr>
        <w:t>p</w:t>
      </w:r>
      <w:r w:rsidRPr="006F284F">
        <w:rPr>
          <w:rFonts w:eastAsia="Times New Roman"/>
          <w:color w:val="000000"/>
          <w:szCs w:val="26"/>
        </w:rPr>
        <w:t xml:space="preserve">resident, </w:t>
      </w:r>
      <w:r w:rsidR="005C2056">
        <w:rPr>
          <w:rFonts w:eastAsia="Times New Roman"/>
          <w:color w:val="000000"/>
          <w:szCs w:val="26"/>
        </w:rPr>
        <w:t>c</w:t>
      </w:r>
      <w:r w:rsidRPr="006F284F">
        <w:rPr>
          <w:rFonts w:eastAsia="Times New Roman"/>
          <w:color w:val="000000"/>
          <w:szCs w:val="26"/>
        </w:rPr>
        <w:t xml:space="preserve">hief </w:t>
      </w:r>
      <w:r w:rsidR="005C2056">
        <w:rPr>
          <w:rFonts w:eastAsia="Times New Roman"/>
          <w:color w:val="000000"/>
          <w:szCs w:val="26"/>
        </w:rPr>
        <w:t>f</w:t>
      </w:r>
      <w:r w:rsidRPr="006F284F">
        <w:rPr>
          <w:rFonts w:eastAsia="Times New Roman"/>
          <w:color w:val="000000"/>
          <w:szCs w:val="26"/>
        </w:rPr>
        <w:t xml:space="preserve">inancial </w:t>
      </w:r>
      <w:r w:rsidR="005C2056">
        <w:rPr>
          <w:rFonts w:eastAsia="Times New Roman"/>
          <w:color w:val="000000"/>
          <w:szCs w:val="26"/>
        </w:rPr>
        <w:t>o</w:t>
      </w:r>
      <w:r w:rsidRPr="006F284F">
        <w:rPr>
          <w:rFonts w:eastAsia="Times New Roman"/>
          <w:color w:val="000000"/>
          <w:szCs w:val="26"/>
        </w:rPr>
        <w:t xml:space="preserve">fficer and </w:t>
      </w:r>
      <w:r w:rsidR="005C2056">
        <w:rPr>
          <w:rFonts w:eastAsia="Times New Roman"/>
          <w:color w:val="000000"/>
          <w:szCs w:val="26"/>
        </w:rPr>
        <w:t>c</w:t>
      </w:r>
      <w:r w:rsidRPr="006F284F">
        <w:rPr>
          <w:rFonts w:eastAsia="Times New Roman"/>
          <w:color w:val="000000"/>
          <w:szCs w:val="26"/>
        </w:rPr>
        <w:t xml:space="preserve">omptroller has approved all purchases to be funded from State appropriations in accordance with the </w:t>
      </w:r>
      <w:r w:rsidRPr="006F284F">
        <w:rPr>
          <w:rFonts w:eastAsia="Times New Roman"/>
          <w:i/>
          <w:color w:val="000000"/>
          <w:szCs w:val="26"/>
        </w:rPr>
        <w:t xml:space="preserve">Bylaws of the Board of Trustees </w:t>
      </w:r>
      <w:r w:rsidRPr="006F284F">
        <w:rPr>
          <w:rFonts w:eastAsia="Times New Roman"/>
          <w:color w:val="000000"/>
          <w:szCs w:val="26"/>
        </w:rPr>
        <w:t xml:space="preserve">and the </w:t>
      </w:r>
      <w:r w:rsidRPr="006F284F">
        <w:rPr>
          <w:rFonts w:eastAsia="Times New Roman"/>
          <w:i/>
          <w:color w:val="000000"/>
          <w:szCs w:val="26"/>
        </w:rPr>
        <w:t>General Rules Concerning University Organization and Procedure.</w:t>
      </w:r>
    </w:p>
    <w:p w14:paraId="702878B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7D5B17ED"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6F284F">
        <w:rPr>
          <w:rFonts w:eastAsia="Times New Roman"/>
          <w:color w:val="000000"/>
          <w:szCs w:val="26"/>
        </w:rPr>
        <w:t xml:space="preserve">The Board action recommended in this item complies in all material respects with applicable State and </w:t>
      </w:r>
      <w:r w:rsidR="005C2056">
        <w:rPr>
          <w:rFonts w:eastAsia="Times New Roman"/>
          <w:color w:val="000000"/>
          <w:szCs w:val="26"/>
        </w:rPr>
        <w:t>f</w:t>
      </w:r>
      <w:r w:rsidRPr="006F284F">
        <w:rPr>
          <w:rFonts w:eastAsia="Times New Roman"/>
          <w:color w:val="000000"/>
          <w:szCs w:val="26"/>
        </w:rPr>
        <w:t xml:space="preserve">ederal laws, University of Illinois </w:t>
      </w:r>
      <w:r w:rsidRPr="006F284F">
        <w:rPr>
          <w:rFonts w:eastAsia="Times New Roman"/>
          <w:i/>
          <w:color w:val="000000"/>
          <w:szCs w:val="26"/>
        </w:rPr>
        <w:t>Statutes, The General Rules Concerning University Organization and Procedure</w:t>
      </w:r>
      <w:r w:rsidRPr="006F284F">
        <w:rPr>
          <w:rFonts w:eastAsia="Times New Roman"/>
          <w:color w:val="000000"/>
          <w:szCs w:val="26"/>
        </w:rPr>
        <w:t>, and Board of Trustees policies and directives.</w:t>
      </w:r>
    </w:p>
    <w:p w14:paraId="552D226E"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6F284F">
        <w:rPr>
          <w:rFonts w:eastAsia="Times New Roman"/>
          <w:color w:val="000000"/>
          <w:szCs w:val="26"/>
        </w:rPr>
        <w:t>The president of the University of Illinois System concurs.</w:t>
      </w:r>
    </w:p>
    <w:p w14:paraId="19EA8323" w14:textId="54B584C5" w:rsidR="00252F86" w:rsidRPr="00353536"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0BDB4969" w14:textId="7ECED5C2" w:rsidR="00EB675E" w:rsidRDefault="00252F86" w:rsidP="00252F86">
      <w:pPr>
        <w:spacing w:after="0" w:line="240" w:lineRule="auto"/>
        <w:jc w:val="center"/>
        <w:rPr>
          <w:b/>
          <w:szCs w:val="26"/>
        </w:rPr>
      </w:pPr>
      <w:r w:rsidRPr="00353536">
        <w:rPr>
          <w:b/>
          <w:szCs w:val="26"/>
        </w:rPr>
        <w:t>PURCHASES RECOMMENDED</w:t>
      </w:r>
    </w:p>
    <w:p w14:paraId="5FEB6345" w14:textId="77777777" w:rsidR="006722F9" w:rsidRDefault="006722F9" w:rsidP="00252F86">
      <w:pPr>
        <w:spacing w:after="0" w:line="240" w:lineRule="auto"/>
        <w:jc w:val="center"/>
        <w:rPr>
          <w:b/>
          <w:szCs w:val="26"/>
        </w:rPr>
      </w:pPr>
    </w:p>
    <w:tbl>
      <w:tblPr>
        <w:tblW w:w="9558" w:type="dxa"/>
        <w:tblLayout w:type="fixed"/>
        <w:tblCellMar>
          <w:left w:w="72" w:type="dxa"/>
          <w:right w:w="72" w:type="dxa"/>
        </w:tblCellMar>
        <w:tblLook w:val="0000" w:firstRow="0" w:lastRow="0" w:firstColumn="0" w:lastColumn="0" w:noHBand="0" w:noVBand="0"/>
      </w:tblPr>
      <w:tblGrid>
        <w:gridCol w:w="342"/>
        <w:gridCol w:w="1098"/>
        <w:gridCol w:w="8118"/>
      </w:tblGrid>
      <w:tr w:rsidR="00091CFA" w:rsidRPr="00F53616" w14:paraId="434E2894" w14:textId="77777777" w:rsidTr="00F43583">
        <w:trPr>
          <w:trHeight w:val="120"/>
        </w:trPr>
        <w:tc>
          <w:tcPr>
            <w:tcW w:w="342" w:type="dxa"/>
          </w:tcPr>
          <w:p w14:paraId="401F0F7F" w14:textId="77777777" w:rsidR="00091CFA" w:rsidRPr="00F53616" w:rsidRDefault="00091CFA" w:rsidP="00091CFA">
            <w:pPr>
              <w:pStyle w:val="NoSpacing"/>
              <w:rPr>
                <w:sz w:val="26"/>
                <w:szCs w:val="26"/>
              </w:rPr>
            </w:pPr>
          </w:p>
        </w:tc>
        <w:tc>
          <w:tcPr>
            <w:tcW w:w="1098" w:type="dxa"/>
          </w:tcPr>
          <w:p w14:paraId="02A261B8" w14:textId="77777777" w:rsidR="00091CFA" w:rsidRPr="00F53616" w:rsidRDefault="00091CFA" w:rsidP="00091CFA">
            <w:pPr>
              <w:pStyle w:val="NoSpacing"/>
              <w:rPr>
                <w:sz w:val="26"/>
                <w:szCs w:val="26"/>
              </w:rPr>
            </w:pPr>
          </w:p>
        </w:tc>
        <w:tc>
          <w:tcPr>
            <w:tcW w:w="8118" w:type="dxa"/>
          </w:tcPr>
          <w:p w14:paraId="2A8B7682" w14:textId="77777777" w:rsidR="00091CFA" w:rsidRPr="00F53616" w:rsidRDefault="00091CFA" w:rsidP="00091CFA">
            <w:pPr>
              <w:pStyle w:val="NoSpacing"/>
              <w:rPr>
                <w:spacing w:val="-3"/>
                <w:sz w:val="26"/>
                <w:szCs w:val="26"/>
              </w:rPr>
            </w:pPr>
          </w:p>
        </w:tc>
      </w:tr>
      <w:tr w:rsidR="00091CFA" w:rsidRPr="00F53616" w14:paraId="3E8AF208" w14:textId="77777777" w:rsidTr="00F43583">
        <w:trPr>
          <w:trHeight w:val="120"/>
        </w:trPr>
        <w:tc>
          <w:tcPr>
            <w:tcW w:w="9555"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F53616" w14:paraId="209C5A9A" w14:textId="77777777" w:rsidTr="0025577D">
              <w:trPr>
                <w:trHeight w:val="114"/>
              </w:trPr>
              <w:tc>
                <w:tcPr>
                  <w:tcW w:w="9454" w:type="dxa"/>
                  <w:tcBorders>
                    <w:top w:val="single" w:sz="18" w:space="0" w:color="auto"/>
                    <w:bottom w:val="single" w:sz="18" w:space="0" w:color="auto"/>
                  </w:tcBorders>
                </w:tcPr>
                <w:p w14:paraId="55B87639" w14:textId="550EDD76" w:rsidR="00091CFA" w:rsidRPr="00F53616"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F53616">
                    <w:rPr>
                      <w:rFonts w:eastAsia="Times New Roman"/>
                      <w:b/>
                      <w:szCs w:val="26"/>
                    </w:rPr>
                    <w:t>University of Illinois</w:t>
                  </w:r>
                  <w:r w:rsidR="00130E3F">
                    <w:rPr>
                      <w:rFonts w:eastAsia="Times New Roman"/>
                      <w:b/>
                      <w:szCs w:val="26"/>
                    </w:rPr>
                    <w:t xml:space="preserve"> </w:t>
                  </w:r>
                  <w:r w:rsidR="00B62DED">
                    <w:rPr>
                      <w:rFonts w:eastAsia="Times New Roman"/>
                      <w:b/>
                      <w:szCs w:val="26"/>
                    </w:rPr>
                    <w:t>Urbana-Champaign</w:t>
                  </w:r>
                </w:p>
              </w:tc>
            </w:tr>
          </w:tbl>
          <w:p w14:paraId="107DA0B5" w14:textId="77777777" w:rsidR="00091CFA" w:rsidRPr="00F53616" w:rsidRDefault="00091CFA" w:rsidP="00091CFA">
            <w:pPr>
              <w:pStyle w:val="NoSpacing"/>
              <w:rPr>
                <w:spacing w:val="-3"/>
                <w:sz w:val="26"/>
                <w:szCs w:val="26"/>
              </w:rPr>
            </w:pPr>
          </w:p>
        </w:tc>
      </w:tr>
      <w:tr w:rsidR="00B775E6" w:rsidRPr="00F53616" w14:paraId="0E86D7C9" w14:textId="77777777" w:rsidTr="00F43583">
        <w:trPr>
          <w:trHeight w:val="120"/>
        </w:trPr>
        <w:tc>
          <w:tcPr>
            <w:tcW w:w="342" w:type="dxa"/>
            <w:tcBorders>
              <w:bottom w:val="double" w:sz="6" w:space="0" w:color="auto"/>
            </w:tcBorders>
          </w:tcPr>
          <w:p w14:paraId="2A853B15" w14:textId="3D6DFDD0" w:rsidR="00B775E6" w:rsidRPr="00F53616" w:rsidRDefault="00B32B03" w:rsidP="00B775E6">
            <w:pPr>
              <w:pStyle w:val="NoSpacing"/>
              <w:rPr>
                <w:sz w:val="26"/>
                <w:szCs w:val="26"/>
              </w:rPr>
            </w:pPr>
            <w:r>
              <w:rPr>
                <w:sz w:val="26"/>
                <w:szCs w:val="26"/>
              </w:rPr>
              <w:t>1</w:t>
            </w:r>
          </w:p>
        </w:tc>
        <w:tc>
          <w:tcPr>
            <w:tcW w:w="1098" w:type="dxa"/>
            <w:tcBorders>
              <w:bottom w:val="double" w:sz="6" w:space="0" w:color="auto"/>
            </w:tcBorders>
          </w:tcPr>
          <w:p w14:paraId="54386F5E" w14:textId="77777777" w:rsidR="00B775E6" w:rsidRPr="00F53616" w:rsidRDefault="00B775E6" w:rsidP="00B775E6">
            <w:pPr>
              <w:pStyle w:val="NoSpacing"/>
              <w:rPr>
                <w:sz w:val="26"/>
                <w:szCs w:val="26"/>
              </w:rPr>
            </w:pPr>
            <w:r w:rsidRPr="00F53616">
              <w:rPr>
                <w:sz w:val="26"/>
                <w:szCs w:val="26"/>
              </w:rPr>
              <w:t>Unit</w:t>
            </w:r>
          </w:p>
        </w:tc>
        <w:tc>
          <w:tcPr>
            <w:tcW w:w="8118" w:type="dxa"/>
            <w:tcBorders>
              <w:bottom w:val="double" w:sz="6" w:space="0" w:color="auto"/>
            </w:tcBorders>
          </w:tcPr>
          <w:p w14:paraId="141541B7" w14:textId="195145A2" w:rsidR="00A44D7C" w:rsidRPr="00F53616" w:rsidRDefault="00EA29B4" w:rsidP="002F2D48">
            <w:pPr>
              <w:pStyle w:val="NoSpacing"/>
              <w:rPr>
                <w:sz w:val="26"/>
                <w:szCs w:val="26"/>
              </w:rPr>
            </w:pPr>
            <w:r>
              <w:rPr>
                <w:sz w:val="26"/>
              </w:rPr>
              <w:t>Roy J. Carver Biotechnology Center</w:t>
            </w:r>
          </w:p>
        </w:tc>
      </w:tr>
      <w:tr w:rsidR="00B775E6" w:rsidRPr="00F53616" w14:paraId="16D04378" w14:textId="77777777" w:rsidTr="00F43583">
        <w:trPr>
          <w:trHeight w:val="648"/>
        </w:trPr>
        <w:tc>
          <w:tcPr>
            <w:tcW w:w="342" w:type="dxa"/>
          </w:tcPr>
          <w:p w14:paraId="6610E660" w14:textId="77777777" w:rsidR="00B775E6" w:rsidRPr="00F53616" w:rsidRDefault="00B775E6" w:rsidP="00B775E6">
            <w:pPr>
              <w:pStyle w:val="NoSpacing"/>
              <w:rPr>
                <w:sz w:val="26"/>
                <w:szCs w:val="26"/>
              </w:rPr>
            </w:pPr>
          </w:p>
        </w:tc>
        <w:tc>
          <w:tcPr>
            <w:tcW w:w="1098" w:type="dxa"/>
          </w:tcPr>
          <w:p w14:paraId="21F9BBE9" w14:textId="77777777" w:rsidR="002F2D48" w:rsidRDefault="002F2D48" w:rsidP="00B775E6">
            <w:pPr>
              <w:pStyle w:val="NoSpacing"/>
              <w:rPr>
                <w:sz w:val="26"/>
                <w:szCs w:val="26"/>
              </w:rPr>
            </w:pPr>
          </w:p>
          <w:p w14:paraId="39157CFA" w14:textId="3E782394" w:rsidR="00B775E6" w:rsidRPr="00F53616" w:rsidRDefault="00B775E6" w:rsidP="00B775E6">
            <w:pPr>
              <w:pStyle w:val="NoSpacing"/>
              <w:rPr>
                <w:sz w:val="26"/>
                <w:szCs w:val="26"/>
              </w:rPr>
            </w:pPr>
            <w:r w:rsidRPr="00F53616">
              <w:rPr>
                <w:sz w:val="26"/>
                <w:szCs w:val="26"/>
              </w:rPr>
              <w:t xml:space="preserve">Item      </w:t>
            </w:r>
          </w:p>
        </w:tc>
        <w:tc>
          <w:tcPr>
            <w:tcW w:w="8118" w:type="dxa"/>
          </w:tcPr>
          <w:p w14:paraId="1F61BF83" w14:textId="77777777" w:rsidR="002F2D48" w:rsidRPr="002F2D48" w:rsidRDefault="002F2D48" w:rsidP="002F2D48">
            <w:pPr>
              <w:pStyle w:val="NoSpacing"/>
              <w:rPr>
                <w:sz w:val="26"/>
                <w:szCs w:val="26"/>
              </w:rPr>
            </w:pPr>
          </w:p>
          <w:p w14:paraId="25646054" w14:textId="6DFE1078" w:rsidR="00B775E6" w:rsidRPr="00B775E6" w:rsidRDefault="00EA29B4" w:rsidP="002F2D48">
            <w:pPr>
              <w:pStyle w:val="NoSpacing"/>
              <w:rPr>
                <w:sz w:val="26"/>
                <w:szCs w:val="26"/>
              </w:rPr>
            </w:pPr>
            <w:r>
              <w:rPr>
                <w:sz w:val="26"/>
                <w:szCs w:val="26"/>
              </w:rPr>
              <w:t>Reagents for DNA Analyzer Systems for the period July 1, 2024 through June 30, 2029 with 1 five-year renewal option.</w:t>
            </w:r>
          </w:p>
        </w:tc>
      </w:tr>
      <w:tr w:rsidR="00B775E6" w:rsidRPr="00F53616" w14:paraId="65073756" w14:textId="77777777" w:rsidTr="00F43583">
        <w:trPr>
          <w:trHeight w:val="792"/>
        </w:trPr>
        <w:tc>
          <w:tcPr>
            <w:tcW w:w="342" w:type="dxa"/>
          </w:tcPr>
          <w:p w14:paraId="4EB91AF9" w14:textId="77777777" w:rsidR="00B775E6" w:rsidRPr="00F53616" w:rsidRDefault="00B775E6" w:rsidP="00B775E6">
            <w:pPr>
              <w:pStyle w:val="NoSpacing"/>
              <w:rPr>
                <w:sz w:val="26"/>
                <w:szCs w:val="26"/>
              </w:rPr>
            </w:pPr>
            <w:r w:rsidRPr="00F53616">
              <w:rPr>
                <w:sz w:val="26"/>
                <w:szCs w:val="26"/>
              </w:rPr>
              <w:t xml:space="preserve"> </w:t>
            </w:r>
          </w:p>
        </w:tc>
        <w:tc>
          <w:tcPr>
            <w:tcW w:w="1098" w:type="dxa"/>
          </w:tcPr>
          <w:p w14:paraId="2E4CAE21" w14:textId="77777777" w:rsidR="00B775E6" w:rsidRPr="00F53616" w:rsidRDefault="00B775E6" w:rsidP="00B775E6">
            <w:pPr>
              <w:pStyle w:val="NoSpacing"/>
              <w:rPr>
                <w:sz w:val="26"/>
                <w:szCs w:val="26"/>
              </w:rPr>
            </w:pPr>
          </w:p>
          <w:p w14:paraId="4EC10280" w14:textId="77777777" w:rsidR="00B775E6" w:rsidRPr="00F53616" w:rsidRDefault="00B775E6" w:rsidP="00B775E6">
            <w:pPr>
              <w:pStyle w:val="NoSpacing"/>
              <w:rPr>
                <w:sz w:val="26"/>
                <w:szCs w:val="26"/>
              </w:rPr>
            </w:pPr>
            <w:r w:rsidRPr="00F53616">
              <w:rPr>
                <w:sz w:val="26"/>
                <w:szCs w:val="26"/>
              </w:rPr>
              <w:t>Cost</w:t>
            </w:r>
          </w:p>
        </w:tc>
        <w:tc>
          <w:tcPr>
            <w:tcW w:w="8118" w:type="dxa"/>
          </w:tcPr>
          <w:p w14:paraId="16BB3D59" w14:textId="77777777" w:rsidR="00B775E6" w:rsidRDefault="00B775E6" w:rsidP="00B775E6">
            <w:pPr>
              <w:pStyle w:val="NoSpacing"/>
              <w:rPr>
                <w:spacing w:val="-3"/>
                <w:sz w:val="26"/>
                <w:szCs w:val="26"/>
              </w:rPr>
            </w:pPr>
          </w:p>
          <w:p w14:paraId="2112B06E" w14:textId="6AD36318" w:rsidR="00B775E6" w:rsidRPr="00EA29B4" w:rsidRDefault="00EA29B4" w:rsidP="00EA29B4">
            <w:pPr>
              <w:tabs>
                <w:tab w:val="left" w:pos="-720"/>
                <w:tab w:val="left" w:pos="0"/>
                <w:tab w:val="left" w:pos="720"/>
                <w:tab w:val="left" w:pos="1080"/>
                <w:tab w:val="left" w:pos="1440"/>
              </w:tabs>
              <w:suppressAutoHyphens/>
              <w:jc w:val="both"/>
              <w:rPr>
                <w:szCs w:val="26"/>
              </w:rPr>
            </w:pPr>
            <w:r>
              <w:rPr>
                <w:szCs w:val="26"/>
              </w:rPr>
              <w:t xml:space="preserve">$25,000,000.00 (estimated) </w:t>
            </w:r>
          </w:p>
        </w:tc>
      </w:tr>
      <w:tr w:rsidR="00B775E6" w:rsidRPr="00F53616" w14:paraId="2DD649F2" w14:textId="77777777" w:rsidTr="00F43583">
        <w:trPr>
          <w:trHeight w:val="657"/>
        </w:trPr>
        <w:tc>
          <w:tcPr>
            <w:tcW w:w="342" w:type="dxa"/>
          </w:tcPr>
          <w:p w14:paraId="6B4C7E29" w14:textId="77777777" w:rsidR="00B775E6" w:rsidRPr="00F53616" w:rsidRDefault="00B775E6" w:rsidP="00B775E6">
            <w:pPr>
              <w:pStyle w:val="NoSpacing"/>
              <w:rPr>
                <w:sz w:val="26"/>
                <w:szCs w:val="26"/>
              </w:rPr>
            </w:pPr>
          </w:p>
        </w:tc>
        <w:tc>
          <w:tcPr>
            <w:tcW w:w="1098" w:type="dxa"/>
            <w:shd w:val="clear" w:color="auto" w:fill="auto"/>
          </w:tcPr>
          <w:p w14:paraId="7090DF1B" w14:textId="1998C646" w:rsidR="00B775E6" w:rsidRPr="00F53616" w:rsidRDefault="00B775E6" w:rsidP="00B775E6">
            <w:pPr>
              <w:pStyle w:val="NoSpacing"/>
              <w:rPr>
                <w:sz w:val="26"/>
                <w:szCs w:val="26"/>
              </w:rPr>
            </w:pPr>
            <w:r>
              <w:rPr>
                <w:sz w:val="26"/>
                <w:szCs w:val="26"/>
              </w:rPr>
              <w:t>Vendor</w:t>
            </w:r>
          </w:p>
        </w:tc>
        <w:tc>
          <w:tcPr>
            <w:tcW w:w="8118" w:type="dxa"/>
            <w:shd w:val="clear" w:color="auto" w:fill="auto"/>
          </w:tcPr>
          <w:p w14:paraId="00CC0486" w14:textId="6634EB49" w:rsidR="00EA29B4" w:rsidRPr="00EA29B4" w:rsidRDefault="00287CC8" w:rsidP="00EA29B4">
            <w:r>
              <w:t>Illumina                                                                        San Diego, CA</w:t>
            </w:r>
          </w:p>
        </w:tc>
      </w:tr>
      <w:tr w:rsidR="00B775E6" w:rsidRPr="00F53616" w14:paraId="2DE86FAC" w14:textId="77777777" w:rsidTr="00F43583">
        <w:trPr>
          <w:trHeight w:val="990"/>
        </w:trPr>
        <w:tc>
          <w:tcPr>
            <w:tcW w:w="342" w:type="dxa"/>
          </w:tcPr>
          <w:p w14:paraId="259A8EB8" w14:textId="77777777" w:rsidR="00B775E6" w:rsidRPr="00F53616" w:rsidRDefault="00B775E6" w:rsidP="00B775E6">
            <w:pPr>
              <w:pStyle w:val="NoSpacing"/>
              <w:rPr>
                <w:sz w:val="26"/>
                <w:szCs w:val="26"/>
              </w:rPr>
            </w:pPr>
          </w:p>
        </w:tc>
        <w:tc>
          <w:tcPr>
            <w:tcW w:w="1098" w:type="dxa"/>
            <w:shd w:val="clear" w:color="auto" w:fill="auto"/>
          </w:tcPr>
          <w:p w14:paraId="3561F559" w14:textId="77777777" w:rsidR="00B775E6" w:rsidRPr="00F53616" w:rsidRDefault="00B775E6" w:rsidP="00B775E6">
            <w:pPr>
              <w:pStyle w:val="NoSpacing"/>
              <w:rPr>
                <w:sz w:val="26"/>
                <w:szCs w:val="26"/>
              </w:rPr>
            </w:pPr>
          </w:p>
        </w:tc>
        <w:tc>
          <w:tcPr>
            <w:tcW w:w="8118" w:type="dxa"/>
            <w:shd w:val="clear" w:color="auto" w:fill="auto"/>
          </w:tcPr>
          <w:p w14:paraId="2F9C8E5B" w14:textId="6F6D979D" w:rsidR="00EA29B4" w:rsidRDefault="00EA29B4" w:rsidP="00EA29B4">
            <w:pPr>
              <w:rPr>
                <w:szCs w:val="26"/>
              </w:rPr>
            </w:pPr>
            <w:r>
              <w:rPr>
                <w:szCs w:val="26"/>
              </w:rPr>
              <w:t>This purchase is a sole source because the items are patented, required for research, and no other source can meet the researcher’s documented need.</w:t>
            </w:r>
          </w:p>
          <w:p w14:paraId="4B0BF252" w14:textId="0CE95BA6" w:rsidR="00EA29B4" w:rsidRDefault="00EA29B4" w:rsidP="00EA29B4">
            <w:pPr>
              <w:rPr>
                <w:szCs w:val="26"/>
              </w:rPr>
            </w:pPr>
            <w:r>
              <w:rPr>
                <w:szCs w:val="26"/>
              </w:rPr>
              <w:t>The Roy J. Carver Biotechnology Center currently owns six Illumina DNA Sequencing Instruments, which require the use of the same vendor’s DNA Analyzer reagents.  The instruments provide cutting-edge, ‘next generation’ sequencing of DNA, and each DNA run requires the use of a new reagent.</w:t>
            </w:r>
          </w:p>
          <w:p w14:paraId="7BDF7B82" w14:textId="35976ACF" w:rsidR="00EA29B4" w:rsidRDefault="00EA29B4" w:rsidP="00EA29B4">
            <w:pPr>
              <w:rPr>
                <w:szCs w:val="26"/>
              </w:rPr>
            </w:pPr>
            <w:r>
              <w:rPr>
                <w:szCs w:val="26"/>
              </w:rPr>
              <w:t>These reagents will be used by multi-disciplinary researchers in various campus departments, and external customers, for ongoing projects that include sequencing of small RNA, quantitative expression, de novo sequencing, and the re-sequencing of organisms for SNP (genetic markers) detection.</w:t>
            </w:r>
          </w:p>
          <w:p w14:paraId="1DF728E4" w14:textId="6CCAA7E2" w:rsidR="00B775E6" w:rsidRPr="00F53616" w:rsidRDefault="00EA29B4" w:rsidP="00AB3CE5">
            <w:pPr>
              <w:rPr>
                <w:szCs w:val="26"/>
              </w:rPr>
            </w:pPr>
            <w:r w:rsidRPr="006C06E5">
              <w:rPr>
                <w:b/>
                <w:bCs/>
                <w:szCs w:val="26"/>
              </w:rPr>
              <w:t>Business Enterprise Program (BEP)</w:t>
            </w:r>
            <w:r>
              <w:rPr>
                <w:szCs w:val="26"/>
              </w:rPr>
              <w:t xml:space="preserve"> goals are not established as there are no other sources able to meet the need</w:t>
            </w:r>
          </w:p>
        </w:tc>
      </w:tr>
      <w:tr w:rsidR="00287CC8" w:rsidRPr="00353536" w14:paraId="6D236FF2" w14:textId="77777777" w:rsidTr="00F43583">
        <w:trPr>
          <w:trHeight w:val="150"/>
        </w:trPr>
        <w:tc>
          <w:tcPr>
            <w:tcW w:w="342" w:type="dxa"/>
          </w:tcPr>
          <w:p w14:paraId="59C42418" w14:textId="77777777" w:rsidR="00287CC8" w:rsidRPr="00F53616" w:rsidRDefault="00287CC8" w:rsidP="00B775E6">
            <w:pPr>
              <w:pStyle w:val="NoSpacing"/>
              <w:rPr>
                <w:sz w:val="26"/>
                <w:szCs w:val="26"/>
              </w:rPr>
            </w:pPr>
          </w:p>
        </w:tc>
        <w:tc>
          <w:tcPr>
            <w:tcW w:w="1098" w:type="dxa"/>
            <w:shd w:val="clear" w:color="auto" w:fill="auto"/>
          </w:tcPr>
          <w:p w14:paraId="54A9A37B" w14:textId="77777777" w:rsidR="00287CC8" w:rsidRPr="00F53616" w:rsidRDefault="00287CC8" w:rsidP="00B775E6">
            <w:pPr>
              <w:pStyle w:val="NoSpacing"/>
              <w:rPr>
                <w:sz w:val="26"/>
                <w:szCs w:val="26"/>
              </w:rPr>
            </w:pPr>
          </w:p>
        </w:tc>
        <w:tc>
          <w:tcPr>
            <w:tcW w:w="8118" w:type="dxa"/>
            <w:shd w:val="clear" w:color="auto" w:fill="auto"/>
          </w:tcPr>
          <w:p w14:paraId="0AF17BB4" w14:textId="77777777" w:rsidR="00287CC8" w:rsidRPr="00075885" w:rsidRDefault="00287CC8" w:rsidP="00B775E6">
            <w:pPr>
              <w:spacing w:after="0" w:line="240" w:lineRule="auto"/>
              <w:ind w:left="1478"/>
              <w:rPr>
                <w:szCs w:val="26"/>
              </w:rPr>
            </w:pPr>
          </w:p>
        </w:tc>
      </w:tr>
      <w:tr w:rsidR="00287CC8" w:rsidRPr="00353536" w14:paraId="48BD0061" w14:textId="77777777" w:rsidTr="00F43583">
        <w:trPr>
          <w:trHeight w:val="150"/>
        </w:trPr>
        <w:tc>
          <w:tcPr>
            <w:tcW w:w="342" w:type="dxa"/>
            <w:tcBorders>
              <w:bottom w:val="double" w:sz="4" w:space="0" w:color="auto"/>
            </w:tcBorders>
          </w:tcPr>
          <w:p w14:paraId="0B8FB78D" w14:textId="10EAB642" w:rsidR="00287CC8" w:rsidRPr="00F53616" w:rsidRDefault="00287CC8" w:rsidP="00287CC8">
            <w:pPr>
              <w:pStyle w:val="NoSpacing"/>
              <w:rPr>
                <w:sz w:val="26"/>
                <w:szCs w:val="26"/>
              </w:rPr>
            </w:pPr>
            <w:r>
              <w:rPr>
                <w:sz w:val="26"/>
                <w:szCs w:val="26"/>
              </w:rPr>
              <w:t>2</w:t>
            </w:r>
          </w:p>
        </w:tc>
        <w:tc>
          <w:tcPr>
            <w:tcW w:w="1098" w:type="dxa"/>
            <w:tcBorders>
              <w:bottom w:val="double" w:sz="4" w:space="0" w:color="auto"/>
            </w:tcBorders>
            <w:shd w:val="clear" w:color="auto" w:fill="auto"/>
          </w:tcPr>
          <w:p w14:paraId="238160DC" w14:textId="2BA14F9E" w:rsidR="00287CC8" w:rsidRPr="00F53616" w:rsidRDefault="00287CC8" w:rsidP="00287CC8">
            <w:pPr>
              <w:pStyle w:val="NoSpacing"/>
              <w:rPr>
                <w:sz w:val="26"/>
                <w:szCs w:val="26"/>
              </w:rPr>
            </w:pPr>
            <w:r w:rsidRPr="00F53616">
              <w:rPr>
                <w:sz w:val="26"/>
                <w:szCs w:val="26"/>
              </w:rPr>
              <w:t>Unit</w:t>
            </w:r>
          </w:p>
        </w:tc>
        <w:tc>
          <w:tcPr>
            <w:tcW w:w="8118" w:type="dxa"/>
            <w:tcBorders>
              <w:bottom w:val="double" w:sz="4" w:space="0" w:color="auto"/>
            </w:tcBorders>
            <w:shd w:val="clear" w:color="auto" w:fill="auto"/>
          </w:tcPr>
          <w:p w14:paraId="356D9A16" w14:textId="6E86D405" w:rsidR="00287CC8" w:rsidRPr="00075885" w:rsidRDefault="00287CC8" w:rsidP="00287CC8">
            <w:pPr>
              <w:spacing w:after="0" w:line="240" w:lineRule="auto"/>
              <w:rPr>
                <w:szCs w:val="26"/>
              </w:rPr>
            </w:pPr>
            <w:r>
              <w:t>Beckman Institute</w:t>
            </w:r>
          </w:p>
        </w:tc>
      </w:tr>
      <w:tr w:rsidR="00287CC8" w:rsidRPr="00353536" w14:paraId="4796BAD7" w14:textId="77777777" w:rsidTr="00F43583">
        <w:trPr>
          <w:trHeight w:val="150"/>
        </w:trPr>
        <w:tc>
          <w:tcPr>
            <w:tcW w:w="342" w:type="dxa"/>
            <w:tcBorders>
              <w:top w:val="double" w:sz="4" w:space="0" w:color="auto"/>
            </w:tcBorders>
          </w:tcPr>
          <w:p w14:paraId="260A292D" w14:textId="77777777" w:rsidR="00287CC8" w:rsidRPr="00F53616" w:rsidRDefault="00287CC8" w:rsidP="00287CC8">
            <w:pPr>
              <w:pStyle w:val="NoSpacing"/>
              <w:rPr>
                <w:sz w:val="26"/>
                <w:szCs w:val="26"/>
              </w:rPr>
            </w:pPr>
          </w:p>
        </w:tc>
        <w:tc>
          <w:tcPr>
            <w:tcW w:w="1098" w:type="dxa"/>
            <w:tcBorders>
              <w:top w:val="double" w:sz="4" w:space="0" w:color="auto"/>
            </w:tcBorders>
            <w:shd w:val="clear" w:color="auto" w:fill="auto"/>
          </w:tcPr>
          <w:p w14:paraId="2401A383" w14:textId="77777777" w:rsidR="00287CC8" w:rsidRDefault="00287CC8" w:rsidP="00287CC8">
            <w:pPr>
              <w:pStyle w:val="NoSpacing"/>
              <w:rPr>
                <w:sz w:val="26"/>
                <w:szCs w:val="26"/>
              </w:rPr>
            </w:pPr>
          </w:p>
          <w:p w14:paraId="6EDA7C5C" w14:textId="6DEA8C96" w:rsidR="00287CC8" w:rsidRPr="00F53616" w:rsidRDefault="00287CC8" w:rsidP="00287CC8">
            <w:pPr>
              <w:pStyle w:val="NoSpacing"/>
              <w:rPr>
                <w:sz w:val="26"/>
                <w:szCs w:val="26"/>
              </w:rPr>
            </w:pPr>
            <w:r w:rsidRPr="00F53616">
              <w:rPr>
                <w:sz w:val="26"/>
                <w:szCs w:val="26"/>
              </w:rPr>
              <w:t xml:space="preserve">Item      </w:t>
            </w:r>
          </w:p>
        </w:tc>
        <w:tc>
          <w:tcPr>
            <w:tcW w:w="8118" w:type="dxa"/>
            <w:tcBorders>
              <w:top w:val="double" w:sz="4" w:space="0" w:color="auto"/>
            </w:tcBorders>
            <w:shd w:val="clear" w:color="auto" w:fill="auto"/>
          </w:tcPr>
          <w:p w14:paraId="46B6CECE" w14:textId="77777777" w:rsidR="00287CC8" w:rsidRDefault="00287CC8" w:rsidP="00287CC8">
            <w:pPr>
              <w:spacing w:after="0" w:line="240" w:lineRule="auto"/>
              <w:rPr>
                <w:szCs w:val="26"/>
              </w:rPr>
            </w:pPr>
          </w:p>
          <w:p w14:paraId="4EE1CD88" w14:textId="20B74EA7" w:rsidR="00287CC8" w:rsidRPr="00075885" w:rsidRDefault="00287CC8" w:rsidP="00287CC8">
            <w:pPr>
              <w:spacing w:after="0" w:line="240" w:lineRule="auto"/>
              <w:rPr>
                <w:szCs w:val="26"/>
              </w:rPr>
            </w:pPr>
            <w:r>
              <w:rPr>
                <w:szCs w:val="26"/>
              </w:rPr>
              <w:t>Furnish and deliver an automated high-throughput system for combinatorial design and development of complex polymer systems</w:t>
            </w:r>
            <w:r w:rsidR="00600269">
              <w:rPr>
                <w:szCs w:val="26"/>
              </w:rPr>
              <w:t>.</w:t>
            </w:r>
          </w:p>
        </w:tc>
      </w:tr>
      <w:tr w:rsidR="00287CC8" w:rsidRPr="00353536" w14:paraId="6004260B" w14:textId="77777777" w:rsidTr="00F43583">
        <w:trPr>
          <w:trHeight w:val="150"/>
        </w:trPr>
        <w:tc>
          <w:tcPr>
            <w:tcW w:w="342" w:type="dxa"/>
          </w:tcPr>
          <w:p w14:paraId="7BD6EBC2" w14:textId="77777777" w:rsidR="00287CC8" w:rsidRPr="00F53616" w:rsidRDefault="00287CC8" w:rsidP="00287CC8">
            <w:pPr>
              <w:pStyle w:val="NoSpacing"/>
              <w:rPr>
                <w:sz w:val="26"/>
                <w:szCs w:val="26"/>
              </w:rPr>
            </w:pPr>
          </w:p>
        </w:tc>
        <w:tc>
          <w:tcPr>
            <w:tcW w:w="1098" w:type="dxa"/>
            <w:shd w:val="clear" w:color="auto" w:fill="auto"/>
          </w:tcPr>
          <w:p w14:paraId="5A2058F1" w14:textId="77777777" w:rsidR="00287CC8" w:rsidRPr="00F53616" w:rsidRDefault="00287CC8" w:rsidP="00287CC8">
            <w:pPr>
              <w:pStyle w:val="NoSpacing"/>
              <w:rPr>
                <w:sz w:val="26"/>
                <w:szCs w:val="26"/>
              </w:rPr>
            </w:pPr>
          </w:p>
          <w:p w14:paraId="7F1F7499" w14:textId="2600F888" w:rsidR="00287CC8" w:rsidRPr="00F53616" w:rsidRDefault="00287CC8" w:rsidP="00287CC8">
            <w:pPr>
              <w:pStyle w:val="NoSpacing"/>
              <w:rPr>
                <w:sz w:val="26"/>
                <w:szCs w:val="26"/>
              </w:rPr>
            </w:pPr>
            <w:r w:rsidRPr="00F53616">
              <w:rPr>
                <w:sz w:val="26"/>
                <w:szCs w:val="26"/>
              </w:rPr>
              <w:t>Cost</w:t>
            </w:r>
          </w:p>
        </w:tc>
        <w:tc>
          <w:tcPr>
            <w:tcW w:w="8118" w:type="dxa"/>
            <w:shd w:val="clear" w:color="auto" w:fill="auto"/>
          </w:tcPr>
          <w:p w14:paraId="25860E0E" w14:textId="77777777" w:rsidR="00287CC8" w:rsidRDefault="00287CC8" w:rsidP="00287CC8">
            <w:pPr>
              <w:spacing w:after="0" w:line="240" w:lineRule="auto"/>
              <w:rPr>
                <w:szCs w:val="26"/>
              </w:rPr>
            </w:pPr>
          </w:p>
          <w:p w14:paraId="05EDD71F" w14:textId="4A958D6D" w:rsidR="00287CC8" w:rsidRDefault="00287CC8" w:rsidP="00287CC8">
            <w:pPr>
              <w:spacing w:after="0" w:line="240" w:lineRule="auto"/>
              <w:rPr>
                <w:szCs w:val="26"/>
              </w:rPr>
            </w:pPr>
            <w:r>
              <w:rPr>
                <w:szCs w:val="26"/>
              </w:rPr>
              <w:t>$3,595,900.00 (estimated)</w:t>
            </w:r>
            <w:r w:rsidR="00600269">
              <w:rPr>
                <w:szCs w:val="26"/>
              </w:rPr>
              <w:t xml:space="preserve"> one-time purchase</w:t>
            </w:r>
          </w:p>
          <w:p w14:paraId="74C90CFC" w14:textId="77777777" w:rsidR="00287CC8" w:rsidRPr="00075885" w:rsidRDefault="00287CC8" w:rsidP="00287CC8">
            <w:pPr>
              <w:spacing w:after="0" w:line="240" w:lineRule="auto"/>
              <w:rPr>
                <w:szCs w:val="26"/>
              </w:rPr>
            </w:pPr>
          </w:p>
        </w:tc>
      </w:tr>
      <w:tr w:rsidR="00287CC8" w:rsidRPr="00353536" w14:paraId="3C4C85DA" w14:textId="77777777" w:rsidTr="00F43583">
        <w:trPr>
          <w:trHeight w:val="150"/>
        </w:trPr>
        <w:tc>
          <w:tcPr>
            <w:tcW w:w="342" w:type="dxa"/>
          </w:tcPr>
          <w:p w14:paraId="348B75A6" w14:textId="77777777" w:rsidR="00287CC8" w:rsidRPr="00F53616" w:rsidRDefault="00287CC8" w:rsidP="00287CC8">
            <w:pPr>
              <w:pStyle w:val="NoSpacing"/>
              <w:rPr>
                <w:sz w:val="26"/>
                <w:szCs w:val="26"/>
              </w:rPr>
            </w:pPr>
          </w:p>
        </w:tc>
        <w:tc>
          <w:tcPr>
            <w:tcW w:w="1098" w:type="dxa"/>
            <w:shd w:val="clear" w:color="auto" w:fill="auto"/>
          </w:tcPr>
          <w:p w14:paraId="652D2543" w14:textId="0E4B513A" w:rsidR="00287CC8" w:rsidRPr="00F53616" w:rsidRDefault="00287CC8" w:rsidP="00287CC8">
            <w:pPr>
              <w:pStyle w:val="NoSpacing"/>
              <w:rPr>
                <w:sz w:val="26"/>
                <w:szCs w:val="26"/>
              </w:rPr>
            </w:pPr>
            <w:r>
              <w:rPr>
                <w:sz w:val="26"/>
                <w:szCs w:val="26"/>
              </w:rPr>
              <w:t>Vendor</w:t>
            </w:r>
          </w:p>
        </w:tc>
        <w:tc>
          <w:tcPr>
            <w:tcW w:w="8118" w:type="dxa"/>
            <w:shd w:val="clear" w:color="auto" w:fill="auto"/>
          </w:tcPr>
          <w:p w14:paraId="7D71A818" w14:textId="0EF6B393" w:rsidR="00287CC8" w:rsidRDefault="00287CC8" w:rsidP="00287CC8">
            <w:pPr>
              <w:pStyle w:val="Heading2"/>
              <w:spacing w:before="0"/>
              <w:rPr>
                <w:rFonts w:ascii="Times New Roman" w:hAnsi="Times New Roman"/>
                <w:b w:val="0"/>
                <w:i w:val="0"/>
                <w:sz w:val="26"/>
                <w:szCs w:val="26"/>
              </w:rPr>
            </w:pPr>
            <w:r>
              <w:rPr>
                <w:rFonts w:ascii="Times New Roman" w:hAnsi="Times New Roman"/>
                <w:b w:val="0"/>
                <w:i w:val="0"/>
                <w:sz w:val="26"/>
                <w:szCs w:val="26"/>
              </w:rPr>
              <w:t>Labman Automation Limited</w:t>
            </w:r>
            <w:r w:rsidR="00315214">
              <w:rPr>
                <w:rFonts w:ascii="Times New Roman" w:hAnsi="Times New Roman"/>
                <w:b w:val="0"/>
                <w:i w:val="0"/>
                <w:sz w:val="26"/>
                <w:szCs w:val="26"/>
              </w:rPr>
              <w:t xml:space="preserve">                      </w:t>
            </w:r>
            <w:r>
              <w:rPr>
                <w:rFonts w:ascii="Times New Roman" w:hAnsi="Times New Roman"/>
                <w:b w:val="0"/>
                <w:i w:val="0"/>
                <w:sz w:val="26"/>
                <w:szCs w:val="26"/>
              </w:rPr>
              <w:t>Stokesley Middlesbrough, UK</w:t>
            </w:r>
            <w:r w:rsidRPr="00F539E1">
              <w:rPr>
                <w:rFonts w:ascii="Times New Roman" w:hAnsi="Times New Roman"/>
                <w:b w:val="0"/>
                <w:i w:val="0"/>
                <w:sz w:val="26"/>
                <w:szCs w:val="26"/>
              </w:rPr>
              <w:t xml:space="preserve">    </w:t>
            </w:r>
          </w:p>
          <w:p w14:paraId="0FFB71E1" w14:textId="77777777" w:rsidR="00287CC8" w:rsidRPr="00075885" w:rsidRDefault="00287CC8" w:rsidP="00287CC8">
            <w:pPr>
              <w:spacing w:after="0" w:line="240" w:lineRule="auto"/>
              <w:rPr>
                <w:szCs w:val="26"/>
              </w:rPr>
            </w:pPr>
          </w:p>
        </w:tc>
      </w:tr>
      <w:tr w:rsidR="00287CC8" w:rsidRPr="00353536" w14:paraId="6AB58BF1" w14:textId="77777777" w:rsidTr="00F43583">
        <w:trPr>
          <w:trHeight w:val="150"/>
        </w:trPr>
        <w:tc>
          <w:tcPr>
            <w:tcW w:w="342" w:type="dxa"/>
          </w:tcPr>
          <w:p w14:paraId="21ECFEEB" w14:textId="77777777" w:rsidR="00287CC8" w:rsidRPr="00F53616" w:rsidRDefault="00287CC8" w:rsidP="00287CC8">
            <w:pPr>
              <w:pStyle w:val="NoSpacing"/>
              <w:rPr>
                <w:sz w:val="26"/>
                <w:szCs w:val="26"/>
              </w:rPr>
            </w:pPr>
          </w:p>
        </w:tc>
        <w:tc>
          <w:tcPr>
            <w:tcW w:w="1098" w:type="dxa"/>
            <w:shd w:val="clear" w:color="auto" w:fill="auto"/>
          </w:tcPr>
          <w:p w14:paraId="1BFC368B" w14:textId="77777777" w:rsidR="00287CC8" w:rsidRPr="00F53616" w:rsidRDefault="00287CC8" w:rsidP="00287CC8">
            <w:pPr>
              <w:pStyle w:val="NoSpacing"/>
              <w:rPr>
                <w:sz w:val="26"/>
                <w:szCs w:val="26"/>
              </w:rPr>
            </w:pPr>
          </w:p>
        </w:tc>
        <w:tc>
          <w:tcPr>
            <w:tcW w:w="8118" w:type="dxa"/>
            <w:shd w:val="clear" w:color="auto" w:fill="auto"/>
          </w:tcPr>
          <w:p w14:paraId="338A5F00" w14:textId="24696EA2" w:rsidR="00287CC8" w:rsidRDefault="00287CC8" w:rsidP="00287CC8">
            <w:pPr>
              <w:rPr>
                <w:szCs w:val="26"/>
              </w:rPr>
            </w:pPr>
            <w:r>
              <w:rPr>
                <w:szCs w:val="26"/>
              </w:rPr>
              <w:t>This purchase is a sole source because the items are patented, required for research, and no other source can meet the researcher’s documented need.</w:t>
            </w:r>
          </w:p>
          <w:p w14:paraId="557F90AD" w14:textId="7BC60E25" w:rsidR="00287CC8" w:rsidRDefault="00287CC8" w:rsidP="00287CC8">
            <w:pPr>
              <w:rPr>
                <w:color w:val="000000"/>
                <w:szCs w:val="26"/>
                <w:shd w:val="clear" w:color="auto" w:fill="FFFFFF"/>
              </w:rPr>
            </w:pPr>
            <w:r w:rsidRPr="00B016EF">
              <w:rPr>
                <w:color w:val="000000"/>
                <w:szCs w:val="26"/>
                <w:shd w:val="clear" w:color="auto" w:fill="FFFFFF"/>
              </w:rPr>
              <w:t xml:space="preserve">The University has a need for a custom, automated, high throughput materials formulation, processing, and characterization system and accompanying software. The integrated system includes modular formulation and processing components, instrumentation for thermal analysis (dynamic scanning calorimetry, thermal imaging of polymer crosslinking), extrusion testing, and a rheometer. The robotic arms and custom software that automate the processes and data collection enable programmable variability within a repeatable environment. </w:t>
            </w:r>
          </w:p>
          <w:p w14:paraId="7A01D99F" w14:textId="7819A4B6" w:rsidR="00287CC8" w:rsidRPr="00287CC8" w:rsidRDefault="00287CC8" w:rsidP="00287CC8">
            <w:pPr>
              <w:rPr>
                <w:color w:val="000000"/>
                <w:szCs w:val="26"/>
                <w:shd w:val="clear" w:color="auto" w:fill="FFFFFF"/>
              </w:rPr>
            </w:pPr>
            <w:r>
              <w:rPr>
                <w:color w:val="000000"/>
                <w:szCs w:val="26"/>
                <w:shd w:val="clear" w:color="auto" w:fill="FFFFFF"/>
              </w:rPr>
              <w:t>The</w:t>
            </w:r>
            <w:r w:rsidRPr="00B016EF">
              <w:rPr>
                <w:color w:val="000000"/>
                <w:szCs w:val="26"/>
                <w:shd w:val="clear" w:color="auto" w:fill="FFFFFF"/>
              </w:rPr>
              <w:t xml:space="preserve"> system will allow for the development of sustainable and high-performance polymers using data-driven, closed-loop methods that couple high-throughput experiments with artificial intelligence-based innovation of material properties. </w:t>
            </w:r>
            <w:r>
              <w:rPr>
                <w:color w:val="000000"/>
                <w:szCs w:val="26"/>
                <w:shd w:val="clear" w:color="auto" w:fill="FFFFFF"/>
              </w:rPr>
              <w:t>This</w:t>
            </w:r>
            <w:r w:rsidRPr="00B016EF">
              <w:rPr>
                <w:color w:val="000000"/>
                <w:szCs w:val="26"/>
                <w:shd w:val="clear" w:color="auto" w:fill="FFFFFF"/>
              </w:rPr>
              <w:t xml:space="preserve"> system will greatly increase the speed, accuracy, and repeatability of data collection, which is a key enabler for the </w:t>
            </w:r>
            <w:r w:rsidRPr="00B016EF">
              <w:rPr>
                <w:color w:val="000000"/>
                <w:szCs w:val="26"/>
                <w:shd w:val="clear" w:color="auto" w:fill="FFFFFF"/>
              </w:rPr>
              <w:lastRenderedPageBreak/>
              <w:t>implementation of artificial intelligence and machine learning-based approaches for materials discovery, design, and property prediction.</w:t>
            </w:r>
          </w:p>
          <w:p w14:paraId="35C53CAD" w14:textId="34069E7A" w:rsidR="00287CC8" w:rsidRPr="00075885" w:rsidRDefault="00287CC8" w:rsidP="00287CC8">
            <w:pPr>
              <w:spacing w:after="0" w:line="240" w:lineRule="auto"/>
              <w:rPr>
                <w:szCs w:val="26"/>
              </w:rPr>
            </w:pPr>
            <w:r w:rsidRPr="006C06E5">
              <w:rPr>
                <w:b/>
                <w:bCs/>
                <w:szCs w:val="26"/>
              </w:rPr>
              <w:t>Business Enterprise Program (BEP)</w:t>
            </w:r>
            <w:r>
              <w:rPr>
                <w:szCs w:val="26"/>
              </w:rPr>
              <w:t xml:space="preserve"> goals are not established as there are no other sources able to meet the need.</w:t>
            </w:r>
          </w:p>
        </w:tc>
      </w:tr>
      <w:tr w:rsidR="00287CC8" w:rsidRPr="00353536" w14:paraId="0B25B887" w14:textId="77777777" w:rsidTr="00F43583">
        <w:trPr>
          <w:trHeight w:val="150"/>
        </w:trPr>
        <w:tc>
          <w:tcPr>
            <w:tcW w:w="342" w:type="dxa"/>
          </w:tcPr>
          <w:p w14:paraId="66652AFA" w14:textId="77777777" w:rsidR="00287CC8" w:rsidRPr="00F53616" w:rsidRDefault="00287CC8" w:rsidP="00287CC8">
            <w:pPr>
              <w:pStyle w:val="NoSpacing"/>
              <w:rPr>
                <w:sz w:val="26"/>
                <w:szCs w:val="26"/>
              </w:rPr>
            </w:pPr>
          </w:p>
        </w:tc>
        <w:tc>
          <w:tcPr>
            <w:tcW w:w="1098" w:type="dxa"/>
            <w:shd w:val="clear" w:color="auto" w:fill="auto"/>
          </w:tcPr>
          <w:p w14:paraId="522E9F06" w14:textId="77777777" w:rsidR="00287CC8" w:rsidRPr="00F53616" w:rsidRDefault="00287CC8" w:rsidP="00287CC8">
            <w:pPr>
              <w:pStyle w:val="NoSpacing"/>
              <w:rPr>
                <w:sz w:val="26"/>
                <w:szCs w:val="26"/>
              </w:rPr>
            </w:pPr>
          </w:p>
        </w:tc>
        <w:tc>
          <w:tcPr>
            <w:tcW w:w="8118" w:type="dxa"/>
            <w:shd w:val="clear" w:color="auto" w:fill="auto"/>
          </w:tcPr>
          <w:p w14:paraId="2D0925B8" w14:textId="77777777" w:rsidR="00287CC8" w:rsidRDefault="00287CC8" w:rsidP="00287CC8">
            <w:pPr>
              <w:spacing w:after="0" w:line="240" w:lineRule="auto"/>
              <w:rPr>
                <w:szCs w:val="26"/>
              </w:rPr>
            </w:pPr>
          </w:p>
          <w:p w14:paraId="2BA60A91" w14:textId="77777777" w:rsidR="007F6B3E" w:rsidRDefault="007F6B3E" w:rsidP="00287CC8">
            <w:pPr>
              <w:spacing w:after="0" w:line="240" w:lineRule="auto"/>
              <w:rPr>
                <w:szCs w:val="26"/>
              </w:rPr>
            </w:pPr>
          </w:p>
          <w:p w14:paraId="6443B2DB" w14:textId="77777777" w:rsidR="007F6B3E" w:rsidRDefault="007F6B3E" w:rsidP="00287CC8">
            <w:pPr>
              <w:spacing w:after="0" w:line="240" w:lineRule="auto"/>
              <w:rPr>
                <w:szCs w:val="26"/>
              </w:rPr>
            </w:pPr>
          </w:p>
          <w:p w14:paraId="619779BA" w14:textId="77777777" w:rsidR="007F6B3E" w:rsidRPr="00075885" w:rsidRDefault="007F6B3E" w:rsidP="00287CC8">
            <w:pPr>
              <w:spacing w:after="0" w:line="240" w:lineRule="auto"/>
              <w:rPr>
                <w:szCs w:val="26"/>
              </w:rPr>
            </w:pPr>
          </w:p>
        </w:tc>
      </w:tr>
      <w:tr w:rsidR="00287CC8" w:rsidRPr="00353536" w14:paraId="314337C2" w14:textId="77777777" w:rsidTr="00F43583">
        <w:trPr>
          <w:trHeight w:val="150"/>
        </w:trPr>
        <w:tc>
          <w:tcPr>
            <w:tcW w:w="9555"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287CC8" w:rsidRPr="00F53616" w14:paraId="7D619902" w14:textId="77777777" w:rsidTr="00701ADE">
              <w:trPr>
                <w:trHeight w:val="114"/>
              </w:trPr>
              <w:tc>
                <w:tcPr>
                  <w:tcW w:w="9454" w:type="dxa"/>
                  <w:tcBorders>
                    <w:top w:val="single" w:sz="18" w:space="0" w:color="auto"/>
                    <w:bottom w:val="single" w:sz="18" w:space="0" w:color="auto"/>
                  </w:tcBorders>
                </w:tcPr>
                <w:p w14:paraId="7D172E8C" w14:textId="43543CF3" w:rsidR="00287CC8" w:rsidRPr="00F53616" w:rsidRDefault="00287CC8" w:rsidP="00287CC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F53616">
                    <w:rPr>
                      <w:rFonts w:eastAsia="Times New Roman"/>
                      <w:b/>
                      <w:szCs w:val="26"/>
                    </w:rPr>
                    <w:t xml:space="preserve">University of Illinois </w:t>
                  </w:r>
                  <w:r>
                    <w:rPr>
                      <w:rFonts w:eastAsia="Times New Roman"/>
                      <w:b/>
                      <w:szCs w:val="26"/>
                    </w:rPr>
                    <w:t>Chicago</w:t>
                  </w:r>
                </w:p>
              </w:tc>
            </w:tr>
          </w:tbl>
          <w:p w14:paraId="4D903B64" w14:textId="77777777" w:rsidR="00287CC8" w:rsidRPr="00075885" w:rsidRDefault="00287CC8" w:rsidP="00287CC8">
            <w:pPr>
              <w:spacing w:after="0" w:line="240" w:lineRule="auto"/>
              <w:ind w:left="1478"/>
              <w:rPr>
                <w:szCs w:val="26"/>
              </w:rPr>
            </w:pPr>
          </w:p>
        </w:tc>
      </w:tr>
      <w:tr w:rsidR="00287CC8" w:rsidRPr="00353536" w14:paraId="6FAD3153" w14:textId="77777777" w:rsidTr="00F43583">
        <w:trPr>
          <w:trHeight w:val="150"/>
        </w:trPr>
        <w:tc>
          <w:tcPr>
            <w:tcW w:w="342" w:type="dxa"/>
            <w:tcBorders>
              <w:bottom w:val="double" w:sz="4" w:space="0" w:color="auto"/>
            </w:tcBorders>
          </w:tcPr>
          <w:p w14:paraId="414628F7" w14:textId="0913E618" w:rsidR="00287CC8" w:rsidRPr="00277A66" w:rsidRDefault="00600269" w:rsidP="00287CC8">
            <w:pPr>
              <w:pStyle w:val="NoSpacing"/>
              <w:rPr>
                <w:sz w:val="26"/>
                <w:szCs w:val="26"/>
              </w:rPr>
            </w:pPr>
            <w:r w:rsidRPr="00277A66">
              <w:rPr>
                <w:sz w:val="26"/>
                <w:szCs w:val="26"/>
              </w:rPr>
              <w:t>3</w:t>
            </w:r>
          </w:p>
        </w:tc>
        <w:tc>
          <w:tcPr>
            <w:tcW w:w="1098" w:type="dxa"/>
            <w:tcBorders>
              <w:bottom w:val="double" w:sz="4" w:space="0" w:color="auto"/>
            </w:tcBorders>
            <w:shd w:val="clear" w:color="auto" w:fill="auto"/>
          </w:tcPr>
          <w:p w14:paraId="3B9E5490" w14:textId="4969B5B4" w:rsidR="00287CC8" w:rsidRPr="00277A66" w:rsidRDefault="00287CC8" w:rsidP="00287CC8">
            <w:pPr>
              <w:pStyle w:val="NoSpacing"/>
              <w:rPr>
                <w:sz w:val="26"/>
                <w:szCs w:val="26"/>
              </w:rPr>
            </w:pPr>
            <w:r w:rsidRPr="00277A66">
              <w:rPr>
                <w:sz w:val="26"/>
                <w:szCs w:val="26"/>
              </w:rPr>
              <w:t>Unit</w:t>
            </w:r>
          </w:p>
        </w:tc>
        <w:tc>
          <w:tcPr>
            <w:tcW w:w="8118" w:type="dxa"/>
            <w:tcBorders>
              <w:bottom w:val="double" w:sz="4" w:space="0" w:color="auto"/>
            </w:tcBorders>
            <w:shd w:val="clear" w:color="auto" w:fill="auto"/>
          </w:tcPr>
          <w:p w14:paraId="441EE111" w14:textId="3AD0F6A2" w:rsidR="00287CC8" w:rsidRPr="00277A66" w:rsidRDefault="007F6B3E" w:rsidP="007F6B3E">
            <w:pPr>
              <w:pStyle w:val="NoSpacing"/>
              <w:rPr>
                <w:sz w:val="26"/>
                <w:szCs w:val="26"/>
              </w:rPr>
            </w:pPr>
            <w:r w:rsidRPr="00277A66">
              <w:rPr>
                <w:sz w:val="26"/>
                <w:szCs w:val="26"/>
              </w:rPr>
              <w:t>Office of Vice Chancellor for Student Affairs</w:t>
            </w:r>
          </w:p>
        </w:tc>
      </w:tr>
      <w:tr w:rsidR="00287CC8" w:rsidRPr="00353536" w14:paraId="56000687" w14:textId="77777777" w:rsidTr="00F43583">
        <w:trPr>
          <w:trHeight w:val="150"/>
        </w:trPr>
        <w:tc>
          <w:tcPr>
            <w:tcW w:w="342" w:type="dxa"/>
            <w:tcBorders>
              <w:top w:val="double" w:sz="4" w:space="0" w:color="auto"/>
            </w:tcBorders>
          </w:tcPr>
          <w:p w14:paraId="3242B2D0" w14:textId="77777777" w:rsidR="00287CC8" w:rsidRPr="00277A66" w:rsidRDefault="00287CC8" w:rsidP="00287CC8">
            <w:pPr>
              <w:pStyle w:val="NoSpacing"/>
              <w:rPr>
                <w:sz w:val="26"/>
                <w:szCs w:val="26"/>
              </w:rPr>
            </w:pPr>
          </w:p>
        </w:tc>
        <w:tc>
          <w:tcPr>
            <w:tcW w:w="1098" w:type="dxa"/>
            <w:tcBorders>
              <w:top w:val="double" w:sz="4" w:space="0" w:color="auto"/>
            </w:tcBorders>
            <w:shd w:val="clear" w:color="auto" w:fill="auto"/>
          </w:tcPr>
          <w:p w14:paraId="426D2FF5" w14:textId="77777777" w:rsidR="00287CC8" w:rsidRPr="00277A66" w:rsidRDefault="00287CC8" w:rsidP="00287CC8">
            <w:pPr>
              <w:pStyle w:val="NoSpacing"/>
              <w:rPr>
                <w:sz w:val="26"/>
                <w:szCs w:val="26"/>
              </w:rPr>
            </w:pPr>
          </w:p>
          <w:p w14:paraId="43D29374" w14:textId="562AC8FB" w:rsidR="00287CC8" w:rsidRPr="00277A66" w:rsidRDefault="00287CC8" w:rsidP="00287CC8">
            <w:pPr>
              <w:pStyle w:val="NoSpacing"/>
              <w:rPr>
                <w:sz w:val="26"/>
                <w:szCs w:val="26"/>
              </w:rPr>
            </w:pPr>
            <w:r w:rsidRPr="00277A66">
              <w:rPr>
                <w:sz w:val="26"/>
                <w:szCs w:val="26"/>
              </w:rPr>
              <w:t xml:space="preserve">Item      </w:t>
            </w:r>
          </w:p>
        </w:tc>
        <w:tc>
          <w:tcPr>
            <w:tcW w:w="8118" w:type="dxa"/>
            <w:tcBorders>
              <w:top w:val="double" w:sz="4" w:space="0" w:color="auto"/>
            </w:tcBorders>
            <w:shd w:val="clear" w:color="auto" w:fill="auto"/>
          </w:tcPr>
          <w:p w14:paraId="2B0CD1E0" w14:textId="77777777" w:rsidR="00287CC8" w:rsidRPr="00277A66" w:rsidRDefault="00287CC8" w:rsidP="00287CC8">
            <w:pPr>
              <w:pStyle w:val="NoSpacing"/>
              <w:rPr>
                <w:sz w:val="26"/>
                <w:szCs w:val="26"/>
              </w:rPr>
            </w:pPr>
          </w:p>
          <w:p w14:paraId="3E87E226" w14:textId="77777777" w:rsidR="00287CC8" w:rsidRPr="00277A66" w:rsidRDefault="007F6B3E" w:rsidP="00287CC8">
            <w:pPr>
              <w:spacing w:after="0" w:line="240" w:lineRule="auto"/>
              <w:rPr>
                <w:szCs w:val="26"/>
              </w:rPr>
            </w:pPr>
            <w:r w:rsidRPr="00277A66">
              <w:rPr>
                <w:szCs w:val="26"/>
              </w:rPr>
              <w:t>The awarded vendor will provide management and operations of the University’s Residential Dining Program, Retail/Convenience stores, Catering, Vending and Concessions by providing innovative food service solutions for students, faculty, staff, and visitors while working to increase brand affinity and community engagement across campus. The term of the awarded contract will be July 1, 2024 through June 30, 2034 for a total of (10) ten years, with no renewal options.</w:t>
            </w:r>
          </w:p>
          <w:p w14:paraId="006FA455" w14:textId="2DAD2E35" w:rsidR="007F6B3E" w:rsidRPr="00277A66" w:rsidRDefault="007F6B3E" w:rsidP="00287CC8">
            <w:pPr>
              <w:spacing w:after="0" w:line="240" w:lineRule="auto"/>
              <w:rPr>
                <w:szCs w:val="26"/>
              </w:rPr>
            </w:pPr>
          </w:p>
        </w:tc>
      </w:tr>
      <w:tr w:rsidR="00F43583" w:rsidRPr="00353536" w14:paraId="2735AE7D" w14:textId="77777777" w:rsidTr="00F43583">
        <w:trPr>
          <w:trHeight w:val="150"/>
        </w:trPr>
        <w:tc>
          <w:tcPr>
            <w:tcW w:w="342" w:type="dxa"/>
          </w:tcPr>
          <w:p w14:paraId="38FF11BC" w14:textId="77777777" w:rsidR="00F43583" w:rsidRPr="00277A66" w:rsidRDefault="00F43583" w:rsidP="00287CC8">
            <w:pPr>
              <w:pStyle w:val="NoSpacing"/>
              <w:rPr>
                <w:sz w:val="26"/>
                <w:szCs w:val="26"/>
              </w:rPr>
            </w:pPr>
          </w:p>
        </w:tc>
        <w:tc>
          <w:tcPr>
            <w:tcW w:w="1098" w:type="dxa"/>
            <w:shd w:val="clear" w:color="auto" w:fill="auto"/>
          </w:tcPr>
          <w:p w14:paraId="2C58213B" w14:textId="5C60912C" w:rsidR="00F43583" w:rsidRPr="00277A66" w:rsidRDefault="00F43583" w:rsidP="00287CC8">
            <w:pPr>
              <w:pStyle w:val="NoSpacing"/>
              <w:rPr>
                <w:sz w:val="26"/>
                <w:szCs w:val="26"/>
              </w:rPr>
            </w:pPr>
            <w:r>
              <w:rPr>
                <w:sz w:val="26"/>
                <w:szCs w:val="26"/>
              </w:rPr>
              <w:t>Meal Plan Pass-Through</w:t>
            </w:r>
          </w:p>
        </w:tc>
        <w:tc>
          <w:tcPr>
            <w:tcW w:w="8118" w:type="dxa"/>
            <w:shd w:val="clear" w:color="auto" w:fill="auto"/>
          </w:tcPr>
          <w:p w14:paraId="4BFF964C" w14:textId="5FF26511" w:rsidR="00F43583" w:rsidRPr="00144450" w:rsidRDefault="00F43583" w:rsidP="007F6B3E">
            <w:pPr>
              <w:pStyle w:val="TableParagraph"/>
              <w:spacing w:before="1"/>
              <w:ind w:left="44"/>
              <w:rPr>
                <w:rFonts w:eastAsia="Calibri"/>
                <w:sz w:val="26"/>
                <w:szCs w:val="26"/>
              </w:rPr>
            </w:pPr>
            <w:r w:rsidRPr="00144450">
              <w:rPr>
                <w:sz w:val="26"/>
                <w:szCs w:val="26"/>
              </w:rPr>
              <w:t>$113,000,000 (estimated)</w:t>
            </w:r>
          </w:p>
        </w:tc>
      </w:tr>
      <w:tr w:rsidR="00144450" w:rsidRPr="00353536" w14:paraId="5221E46C" w14:textId="77777777" w:rsidTr="00F43583">
        <w:trPr>
          <w:trHeight w:val="150"/>
        </w:trPr>
        <w:tc>
          <w:tcPr>
            <w:tcW w:w="342" w:type="dxa"/>
          </w:tcPr>
          <w:p w14:paraId="75412084" w14:textId="77777777" w:rsidR="00144450" w:rsidRPr="00277A66" w:rsidRDefault="00144450" w:rsidP="00287CC8">
            <w:pPr>
              <w:pStyle w:val="NoSpacing"/>
              <w:rPr>
                <w:sz w:val="26"/>
                <w:szCs w:val="26"/>
              </w:rPr>
            </w:pPr>
          </w:p>
        </w:tc>
        <w:tc>
          <w:tcPr>
            <w:tcW w:w="1098" w:type="dxa"/>
            <w:shd w:val="clear" w:color="auto" w:fill="auto"/>
          </w:tcPr>
          <w:p w14:paraId="5E89696D" w14:textId="77777777" w:rsidR="00144450" w:rsidRDefault="00144450" w:rsidP="00287CC8">
            <w:pPr>
              <w:pStyle w:val="NoSpacing"/>
              <w:rPr>
                <w:sz w:val="26"/>
                <w:szCs w:val="26"/>
              </w:rPr>
            </w:pPr>
          </w:p>
        </w:tc>
        <w:tc>
          <w:tcPr>
            <w:tcW w:w="8118" w:type="dxa"/>
            <w:shd w:val="clear" w:color="auto" w:fill="auto"/>
          </w:tcPr>
          <w:p w14:paraId="589E7601" w14:textId="77777777" w:rsidR="00144450" w:rsidRPr="00277A66" w:rsidRDefault="00144450" w:rsidP="007F6B3E">
            <w:pPr>
              <w:pStyle w:val="TableParagraph"/>
              <w:spacing w:before="1"/>
              <w:ind w:left="44"/>
              <w:rPr>
                <w:rFonts w:eastAsia="Calibri"/>
                <w:sz w:val="26"/>
                <w:szCs w:val="26"/>
              </w:rPr>
            </w:pPr>
          </w:p>
        </w:tc>
      </w:tr>
      <w:tr w:rsidR="00287CC8" w:rsidRPr="00353536" w14:paraId="156E60B7" w14:textId="77777777" w:rsidTr="00F43583">
        <w:trPr>
          <w:trHeight w:val="150"/>
        </w:trPr>
        <w:tc>
          <w:tcPr>
            <w:tcW w:w="342" w:type="dxa"/>
          </w:tcPr>
          <w:p w14:paraId="07998497" w14:textId="7FAE299C" w:rsidR="00287CC8" w:rsidRPr="00277A66" w:rsidRDefault="00287CC8" w:rsidP="00287CC8">
            <w:pPr>
              <w:pStyle w:val="NoSpacing"/>
              <w:rPr>
                <w:sz w:val="26"/>
                <w:szCs w:val="26"/>
              </w:rPr>
            </w:pPr>
          </w:p>
        </w:tc>
        <w:tc>
          <w:tcPr>
            <w:tcW w:w="1098" w:type="dxa"/>
            <w:shd w:val="clear" w:color="auto" w:fill="auto"/>
          </w:tcPr>
          <w:p w14:paraId="278055F8" w14:textId="6947FBA3" w:rsidR="00287CC8" w:rsidRPr="00277A66" w:rsidRDefault="00144450" w:rsidP="00287CC8">
            <w:pPr>
              <w:pStyle w:val="NoSpacing"/>
              <w:rPr>
                <w:sz w:val="26"/>
                <w:szCs w:val="26"/>
              </w:rPr>
            </w:pPr>
            <w:r>
              <w:rPr>
                <w:sz w:val="26"/>
                <w:szCs w:val="26"/>
              </w:rPr>
              <w:t>Other Costs</w:t>
            </w:r>
          </w:p>
        </w:tc>
        <w:tc>
          <w:tcPr>
            <w:tcW w:w="8118" w:type="dxa"/>
            <w:shd w:val="clear" w:color="auto" w:fill="auto"/>
          </w:tcPr>
          <w:p w14:paraId="0A115103" w14:textId="77777777" w:rsidR="007F6B3E" w:rsidRPr="00277A66" w:rsidRDefault="007F6B3E" w:rsidP="007F6B3E">
            <w:pPr>
              <w:pStyle w:val="TableParagraph"/>
              <w:spacing w:before="1"/>
              <w:ind w:left="44"/>
              <w:rPr>
                <w:rFonts w:eastAsia="Calibri"/>
                <w:sz w:val="26"/>
                <w:szCs w:val="26"/>
              </w:rPr>
            </w:pPr>
            <w:r w:rsidRPr="00277A66">
              <w:rPr>
                <w:rFonts w:eastAsia="Calibri"/>
                <w:sz w:val="26"/>
                <w:szCs w:val="26"/>
              </w:rPr>
              <w:t>$49,000,000 (estimated)</w:t>
            </w:r>
          </w:p>
          <w:p w14:paraId="016EDF05" w14:textId="712C2796" w:rsidR="00287CC8" w:rsidRPr="00277A66" w:rsidRDefault="00287CC8" w:rsidP="00287CC8">
            <w:pPr>
              <w:spacing w:after="0" w:line="240" w:lineRule="auto"/>
              <w:rPr>
                <w:rFonts w:eastAsia="Times New Roman"/>
                <w:b/>
                <w:color w:val="000000"/>
                <w:szCs w:val="26"/>
                <w:highlight w:val="yellow"/>
              </w:rPr>
            </w:pPr>
          </w:p>
        </w:tc>
      </w:tr>
      <w:tr w:rsidR="00144450" w:rsidRPr="00353536" w14:paraId="4E5E844A" w14:textId="77777777" w:rsidTr="00F43583">
        <w:trPr>
          <w:trHeight w:val="150"/>
        </w:trPr>
        <w:tc>
          <w:tcPr>
            <w:tcW w:w="342" w:type="dxa"/>
          </w:tcPr>
          <w:p w14:paraId="350776C7" w14:textId="77777777" w:rsidR="00144450" w:rsidRPr="00277A66" w:rsidRDefault="00144450" w:rsidP="00287CC8">
            <w:pPr>
              <w:pStyle w:val="NoSpacing"/>
              <w:rPr>
                <w:sz w:val="26"/>
                <w:szCs w:val="26"/>
              </w:rPr>
            </w:pPr>
          </w:p>
        </w:tc>
        <w:tc>
          <w:tcPr>
            <w:tcW w:w="1098" w:type="dxa"/>
            <w:shd w:val="clear" w:color="auto" w:fill="auto"/>
          </w:tcPr>
          <w:p w14:paraId="7A648C60" w14:textId="77777777" w:rsidR="00144450" w:rsidRPr="00277A66" w:rsidRDefault="00144450" w:rsidP="00287CC8">
            <w:pPr>
              <w:pStyle w:val="NoSpacing"/>
              <w:rPr>
                <w:sz w:val="26"/>
                <w:szCs w:val="26"/>
              </w:rPr>
            </w:pPr>
          </w:p>
        </w:tc>
        <w:tc>
          <w:tcPr>
            <w:tcW w:w="8118" w:type="dxa"/>
            <w:shd w:val="clear" w:color="auto" w:fill="auto"/>
          </w:tcPr>
          <w:p w14:paraId="7E6A4824" w14:textId="77777777" w:rsidR="00144450" w:rsidRPr="00277A66" w:rsidRDefault="00144450" w:rsidP="00287CC8">
            <w:pPr>
              <w:rPr>
                <w:rFonts w:eastAsia="Times New Roman"/>
                <w:bCs/>
                <w:iCs/>
                <w:szCs w:val="26"/>
              </w:rPr>
            </w:pPr>
          </w:p>
        </w:tc>
      </w:tr>
      <w:tr w:rsidR="00287CC8" w:rsidRPr="00353536" w14:paraId="305870E5" w14:textId="77777777" w:rsidTr="00F43583">
        <w:trPr>
          <w:trHeight w:val="150"/>
        </w:trPr>
        <w:tc>
          <w:tcPr>
            <w:tcW w:w="342" w:type="dxa"/>
          </w:tcPr>
          <w:p w14:paraId="6DAC217B" w14:textId="77777777" w:rsidR="00287CC8" w:rsidRPr="00277A66" w:rsidRDefault="00287CC8" w:rsidP="00287CC8">
            <w:pPr>
              <w:pStyle w:val="NoSpacing"/>
              <w:rPr>
                <w:sz w:val="26"/>
                <w:szCs w:val="26"/>
              </w:rPr>
            </w:pPr>
          </w:p>
        </w:tc>
        <w:tc>
          <w:tcPr>
            <w:tcW w:w="1098" w:type="dxa"/>
            <w:shd w:val="clear" w:color="auto" w:fill="auto"/>
          </w:tcPr>
          <w:p w14:paraId="7F8D6EBB" w14:textId="58E05C92" w:rsidR="00287CC8" w:rsidRPr="00277A66" w:rsidRDefault="00287CC8" w:rsidP="00287CC8">
            <w:pPr>
              <w:pStyle w:val="NoSpacing"/>
              <w:rPr>
                <w:sz w:val="26"/>
                <w:szCs w:val="26"/>
              </w:rPr>
            </w:pPr>
            <w:r w:rsidRPr="00277A66">
              <w:rPr>
                <w:sz w:val="26"/>
                <w:szCs w:val="26"/>
              </w:rPr>
              <w:t>Vendor</w:t>
            </w:r>
          </w:p>
        </w:tc>
        <w:tc>
          <w:tcPr>
            <w:tcW w:w="8118" w:type="dxa"/>
            <w:shd w:val="clear" w:color="auto" w:fill="auto"/>
          </w:tcPr>
          <w:p w14:paraId="6FDDF04B" w14:textId="72733E5F" w:rsidR="00287CC8" w:rsidRPr="00277A66" w:rsidRDefault="007F6B3E" w:rsidP="00287CC8">
            <w:pPr>
              <w:rPr>
                <w:rFonts w:eastAsia="Times New Roman"/>
                <w:bCs/>
                <w:iCs/>
                <w:szCs w:val="26"/>
                <w:highlight w:val="yellow"/>
              </w:rPr>
            </w:pPr>
            <w:r w:rsidRPr="00277A66">
              <w:rPr>
                <w:rFonts w:eastAsia="Times New Roman"/>
                <w:bCs/>
                <w:iCs/>
                <w:szCs w:val="26"/>
              </w:rPr>
              <w:t>SodexoMagic                                                             Beverly Hills, CA</w:t>
            </w:r>
            <w:r w:rsidRPr="00277A66">
              <w:rPr>
                <w:rFonts w:eastAsia="Times New Roman"/>
                <w:bCs/>
                <w:iCs/>
                <w:szCs w:val="26"/>
                <w:highlight w:val="yellow"/>
              </w:rPr>
              <w:t xml:space="preserve"> </w:t>
            </w:r>
          </w:p>
        </w:tc>
      </w:tr>
      <w:tr w:rsidR="00287CC8" w:rsidRPr="00353536" w14:paraId="76979B6C" w14:textId="77777777" w:rsidTr="00F43583">
        <w:trPr>
          <w:trHeight w:val="150"/>
        </w:trPr>
        <w:tc>
          <w:tcPr>
            <w:tcW w:w="342" w:type="dxa"/>
          </w:tcPr>
          <w:p w14:paraId="10350B94" w14:textId="77777777" w:rsidR="00287CC8" w:rsidRPr="00277A66" w:rsidRDefault="00287CC8" w:rsidP="00287CC8">
            <w:pPr>
              <w:pStyle w:val="NoSpacing"/>
              <w:rPr>
                <w:sz w:val="26"/>
                <w:szCs w:val="26"/>
              </w:rPr>
            </w:pPr>
          </w:p>
        </w:tc>
        <w:tc>
          <w:tcPr>
            <w:tcW w:w="1098" w:type="dxa"/>
            <w:shd w:val="clear" w:color="auto" w:fill="auto"/>
          </w:tcPr>
          <w:p w14:paraId="5E09DAD8" w14:textId="77777777" w:rsidR="00287CC8" w:rsidRPr="00277A66" w:rsidRDefault="00287CC8" w:rsidP="00287CC8">
            <w:pPr>
              <w:pStyle w:val="NoSpacing"/>
              <w:rPr>
                <w:sz w:val="26"/>
                <w:szCs w:val="26"/>
              </w:rPr>
            </w:pPr>
          </w:p>
        </w:tc>
        <w:tc>
          <w:tcPr>
            <w:tcW w:w="8118" w:type="dxa"/>
            <w:shd w:val="clear" w:color="auto" w:fill="auto"/>
          </w:tcPr>
          <w:p w14:paraId="51AD5570" w14:textId="77777777" w:rsidR="00287CC8" w:rsidRDefault="007F6B3E" w:rsidP="00F43583">
            <w:pPr>
              <w:pStyle w:val="TableParagraph"/>
              <w:ind w:left="43"/>
              <w:rPr>
                <w:rFonts w:eastAsia="Calibri"/>
                <w:sz w:val="26"/>
                <w:szCs w:val="26"/>
              </w:rPr>
            </w:pPr>
            <w:r w:rsidRPr="00277A66">
              <w:rPr>
                <w:rFonts w:eastAsia="Calibri"/>
                <w:sz w:val="26"/>
                <w:szCs w:val="26"/>
              </w:rPr>
              <w:t>Competitive bidding or solicitation procedures were followed in accordance with the Illinois Procurement Code (30 ILCS 500/20-15).</w:t>
            </w:r>
          </w:p>
          <w:p w14:paraId="567608B9" w14:textId="77777777" w:rsidR="00277A66" w:rsidRPr="00277A66" w:rsidRDefault="00277A66" w:rsidP="00F43583">
            <w:pPr>
              <w:pStyle w:val="TableParagraph"/>
              <w:ind w:left="43"/>
              <w:rPr>
                <w:rFonts w:eastAsia="Calibri"/>
                <w:sz w:val="26"/>
                <w:szCs w:val="26"/>
              </w:rPr>
            </w:pPr>
          </w:p>
          <w:p w14:paraId="14A07121" w14:textId="77777777" w:rsidR="00F43583" w:rsidRPr="00F43583" w:rsidRDefault="00F43583" w:rsidP="00F43583">
            <w:pPr>
              <w:pStyle w:val="ListParagraph"/>
              <w:widowControl w:val="0"/>
              <w:numPr>
                <w:ilvl w:val="0"/>
                <w:numId w:val="21"/>
              </w:numPr>
              <w:tabs>
                <w:tab w:val="left" w:pos="880"/>
              </w:tabs>
              <w:autoSpaceDE w:val="0"/>
              <w:autoSpaceDN w:val="0"/>
              <w:spacing w:after="0" w:line="235" w:lineRule="auto"/>
              <w:ind w:right="380"/>
              <w:contextualSpacing w:val="0"/>
              <w:rPr>
                <w:rFonts w:ascii="Times New Roman" w:hAnsi="Times New Roman" w:cs="Times New Roman"/>
                <w:szCs w:val="26"/>
              </w:rPr>
            </w:pPr>
            <w:r w:rsidRPr="00F43583">
              <w:rPr>
                <w:rFonts w:ascii="Times New Roman" w:hAnsi="Times New Roman" w:cs="Times New Roman"/>
                <w:szCs w:val="26"/>
              </w:rPr>
              <w:t>Meal</w:t>
            </w:r>
            <w:r w:rsidRPr="00F43583">
              <w:rPr>
                <w:rFonts w:ascii="Times New Roman" w:hAnsi="Times New Roman" w:cs="Times New Roman"/>
                <w:spacing w:val="-4"/>
                <w:szCs w:val="26"/>
              </w:rPr>
              <w:t xml:space="preserve"> </w:t>
            </w:r>
            <w:r w:rsidRPr="00F43583">
              <w:rPr>
                <w:rFonts w:ascii="Times New Roman" w:hAnsi="Times New Roman" w:cs="Times New Roman"/>
                <w:szCs w:val="26"/>
              </w:rPr>
              <w:t>Plan:</w:t>
            </w:r>
            <w:r w:rsidRPr="00F43583">
              <w:rPr>
                <w:rFonts w:ascii="Times New Roman" w:hAnsi="Times New Roman" w:cs="Times New Roman"/>
                <w:spacing w:val="-4"/>
                <w:szCs w:val="26"/>
              </w:rPr>
              <w:t xml:space="preserve"> The estimated total meal plan costs that are passed through to SodexoMagic by University on behalf of students is $113,000,000 over 10 years (based on 5% year over year inflationary adjustments each year). That figure is based on approximately 2500 meal plans per year. </w:t>
            </w:r>
            <w:r w:rsidRPr="00F43583">
              <w:rPr>
                <w:rFonts w:ascii="Times New Roman" w:hAnsi="Times New Roman" w:cs="Times New Roman"/>
                <w:szCs w:val="26"/>
              </w:rPr>
              <w:t>Meal plan rates are approved by the Board annually with tuition, fees and housing rates.</w:t>
            </w:r>
          </w:p>
          <w:p w14:paraId="20CB021D" w14:textId="3C26F76B" w:rsidR="00144450" w:rsidRPr="00144450" w:rsidRDefault="00F43583" w:rsidP="00144450">
            <w:pPr>
              <w:pStyle w:val="ListParagraph"/>
              <w:widowControl w:val="0"/>
              <w:numPr>
                <w:ilvl w:val="0"/>
                <w:numId w:val="21"/>
              </w:numPr>
              <w:tabs>
                <w:tab w:val="left" w:pos="950"/>
              </w:tabs>
              <w:autoSpaceDE w:val="0"/>
              <w:autoSpaceDN w:val="0"/>
              <w:spacing w:before="274" w:after="0" w:line="252" w:lineRule="auto"/>
              <w:ind w:right="975"/>
              <w:contextualSpacing w:val="0"/>
              <w:rPr>
                <w:sz w:val="24"/>
              </w:rPr>
            </w:pPr>
            <w:r w:rsidRPr="00F43583">
              <w:rPr>
                <w:rFonts w:ascii="Times New Roman" w:hAnsi="Times New Roman" w:cs="Times New Roman"/>
                <w:szCs w:val="26"/>
              </w:rPr>
              <w:t>Catering and Miscellaneous: The</w:t>
            </w:r>
            <w:r w:rsidRPr="00F43583">
              <w:rPr>
                <w:rFonts w:ascii="Times New Roman" w:hAnsi="Times New Roman" w:cs="Times New Roman"/>
                <w:spacing w:val="-5"/>
                <w:szCs w:val="26"/>
              </w:rPr>
              <w:t xml:space="preserve"> </w:t>
            </w:r>
            <w:r w:rsidRPr="00F43583">
              <w:rPr>
                <w:rFonts w:ascii="Times New Roman" w:hAnsi="Times New Roman" w:cs="Times New Roman"/>
                <w:szCs w:val="26"/>
              </w:rPr>
              <w:t>estimated</w:t>
            </w:r>
            <w:r w:rsidRPr="00F43583">
              <w:rPr>
                <w:rFonts w:ascii="Times New Roman" w:hAnsi="Times New Roman" w:cs="Times New Roman"/>
                <w:spacing w:val="-3"/>
                <w:szCs w:val="26"/>
              </w:rPr>
              <w:t xml:space="preserve"> </w:t>
            </w:r>
            <w:r w:rsidRPr="00F43583">
              <w:rPr>
                <w:rFonts w:ascii="Times New Roman" w:hAnsi="Times New Roman" w:cs="Times New Roman"/>
                <w:szCs w:val="26"/>
              </w:rPr>
              <w:t>$49,000,000</w:t>
            </w:r>
            <w:r w:rsidRPr="00F43583">
              <w:rPr>
                <w:rFonts w:ascii="Times New Roman" w:hAnsi="Times New Roman" w:cs="Times New Roman"/>
                <w:spacing w:val="-3"/>
                <w:szCs w:val="26"/>
              </w:rPr>
              <w:t xml:space="preserve"> in additional </w:t>
            </w:r>
            <w:r w:rsidRPr="00F43583">
              <w:rPr>
                <w:rFonts w:ascii="Times New Roman" w:hAnsi="Times New Roman" w:cs="Times New Roman"/>
                <w:szCs w:val="26"/>
              </w:rPr>
              <w:t>spend</w:t>
            </w:r>
            <w:r w:rsidRPr="00F43583">
              <w:rPr>
                <w:rFonts w:ascii="Times New Roman" w:hAnsi="Times New Roman" w:cs="Times New Roman"/>
                <w:spacing w:val="-3"/>
                <w:szCs w:val="26"/>
              </w:rPr>
              <w:t xml:space="preserve"> </w:t>
            </w:r>
            <w:r w:rsidRPr="00F43583">
              <w:rPr>
                <w:rFonts w:ascii="Times New Roman" w:hAnsi="Times New Roman" w:cs="Times New Roman"/>
                <w:szCs w:val="26"/>
              </w:rPr>
              <w:t>over</w:t>
            </w:r>
            <w:r w:rsidRPr="00F43583">
              <w:rPr>
                <w:rFonts w:ascii="Times New Roman" w:hAnsi="Times New Roman" w:cs="Times New Roman"/>
                <w:spacing w:val="-3"/>
                <w:szCs w:val="26"/>
              </w:rPr>
              <w:t xml:space="preserve"> </w:t>
            </w:r>
            <w:r w:rsidRPr="00F43583">
              <w:rPr>
                <w:rFonts w:ascii="Times New Roman" w:hAnsi="Times New Roman" w:cs="Times New Roman"/>
                <w:szCs w:val="26"/>
              </w:rPr>
              <w:t>10</w:t>
            </w:r>
            <w:r w:rsidRPr="00F43583">
              <w:rPr>
                <w:rFonts w:ascii="Times New Roman" w:hAnsi="Times New Roman" w:cs="Times New Roman"/>
                <w:spacing w:val="-3"/>
                <w:szCs w:val="26"/>
              </w:rPr>
              <w:t xml:space="preserve"> </w:t>
            </w:r>
            <w:r w:rsidRPr="00F43583">
              <w:rPr>
                <w:rFonts w:ascii="Times New Roman" w:hAnsi="Times New Roman" w:cs="Times New Roman"/>
                <w:szCs w:val="26"/>
              </w:rPr>
              <w:t>years</w:t>
            </w:r>
            <w:r w:rsidRPr="00F43583">
              <w:rPr>
                <w:rFonts w:ascii="Times New Roman" w:hAnsi="Times New Roman" w:cs="Times New Roman"/>
                <w:spacing w:val="-3"/>
                <w:szCs w:val="26"/>
              </w:rPr>
              <w:t xml:space="preserve"> </w:t>
            </w:r>
            <w:r w:rsidRPr="00F43583">
              <w:rPr>
                <w:rFonts w:ascii="Times New Roman" w:hAnsi="Times New Roman" w:cs="Times New Roman"/>
                <w:szCs w:val="26"/>
              </w:rPr>
              <w:t>is</w:t>
            </w:r>
            <w:r w:rsidRPr="00F43583">
              <w:rPr>
                <w:rFonts w:ascii="Times New Roman" w:hAnsi="Times New Roman" w:cs="Times New Roman"/>
                <w:spacing w:val="-1"/>
                <w:szCs w:val="26"/>
              </w:rPr>
              <w:t xml:space="preserve"> </w:t>
            </w:r>
            <w:r w:rsidRPr="00F43583">
              <w:rPr>
                <w:rFonts w:ascii="Times New Roman" w:hAnsi="Times New Roman" w:cs="Times New Roman"/>
                <w:szCs w:val="26"/>
              </w:rPr>
              <w:t>from</w:t>
            </w:r>
            <w:r w:rsidRPr="00F43583">
              <w:rPr>
                <w:rFonts w:ascii="Times New Roman" w:hAnsi="Times New Roman" w:cs="Times New Roman"/>
                <w:spacing w:val="-2"/>
                <w:szCs w:val="26"/>
              </w:rPr>
              <w:t xml:space="preserve"> </w:t>
            </w:r>
            <w:r w:rsidRPr="00F43583">
              <w:rPr>
                <w:rFonts w:ascii="Times New Roman" w:hAnsi="Times New Roman" w:cs="Times New Roman"/>
                <w:szCs w:val="26"/>
              </w:rPr>
              <w:t>two</w:t>
            </w:r>
            <w:r w:rsidRPr="00F43583">
              <w:rPr>
                <w:rFonts w:ascii="Times New Roman" w:hAnsi="Times New Roman" w:cs="Times New Roman"/>
                <w:spacing w:val="-3"/>
                <w:szCs w:val="26"/>
              </w:rPr>
              <w:t xml:space="preserve"> </w:t>
            </w:r>
            <w:r w:rsidRPr="00F43583">
              <w:rPr>
                <w:rFonts w:ascii="Times New Roman" w:hAnsi="Times New Roman" w:cs="Times New Roman"/>
                <w:szCs w:val="26"/>
              </w:rPr>
              <w:t>categories:</w:t>
            </w:r>
            <w:r w:rsidRPr="00F43583">
              <w:rPr>
                <w:rFonts w:ascii="Times New Roman" w:hAnsi="Times New Roman" w:cs="Times New Roman"/>
                <w:spacing w:val="-2"/>
                <w:szCs w:val="26"/>
              </w:rPr>
              <w:t xml:space="preserve"> </w:t>
            </w:r>
            <w:r w:rsidRPr="00F43583">
              <w:rPr>
                <w:rFonts w:ascii="Times New Roman" w:hAnsi="Times New Roman" w:cs="Times New Roman"/>
                <w:szCs w:val="26"/>
              </w:rPr>
              <w:t>1)</w:t>
            </w:r>
            <w:r w:rsidRPr="00F43583">
              <w:rPr>
                <w:rFonts w:ascii="Times New Roman" w:hAnsi="Times New Roman" w:cs="Times New Roman"/>
                <w:spacing w:val="-3"/>
                <w:szCs w:val="26"/>
              </w:rPr>
              <w:t xml:space="preserve"> </w:t>
            </w:r>
            <w:r w:rsidRPr="00F43583">
              <w:rPr>
                <w:rFonts w:ascii="Times New Roman" w:hAnsi="Times New Roman" w:cs="Times New Roman"/>
                <w:szCs w:val="26"/>
              </w:rPr>
              <w:t>catering;</w:t>
            </w:r>
            <w:r w:rsidRPr="00F43583">
              <w:rPr>
                <w:rFonts w:ascii="Times New Roman" w:hAnsi="Times New Roman" w:cs="Times New Roman"/>
                <w:spacing w:val="-3"/>
                <w:szCs w:val="26"/>
              </w:rPr>
              <w:t xml:space="preserve"> </w:t>
            </w:r>
            <w:r w:rsidRPr="00F43583">
              <w:rPr>
                <w:rFonts w:ascii="Times New Roman" w:hAnsi="Times New Roman" w:cs="Times New Roman"/>
                <w:szCs w:val="26"/>
              </w:rPr>
              <w:t>and</w:t>
            </w:r>
            <w:r w:rsidRPr="00F43583">
              <w:rPr>
                <w:rFonts w:ascii="Times New Roman" w:hAnsi="Times New Roman" w:cs="Times New Roman"/>
                <w:spacing w:val="-2"/>
                <w:szCs w:val="26"/>
              </w:rPr>
              <w:t xml:space="preserve"> </w:t>
            </w:r>
            <w:r w:rsidRPr="00F43583">
              <w:rPr>
                <w:rFonts w:ascii="Times New Roman" w:hAnsi="Times New Roman" w:cs="Times New Roman"/>
                <w:szCs w:val="26"/>
              </w:rPr>
              <w:t xml:space="preserve">2) miscellaneous. The estimated annual spend </w:t>
            </w:r>
            <w:r w:rsidRPr="00F43583">
              <w:rPr>
                <w:rFonts w:ascii="Times New Roman" w:hAnsi="Times New Roman" w:cs="Times New Roman"/>
                <w:szCs w:val="26"/>
              </w:rPr>
              <w:lastRenderedPageBreak/>
              <w:t>for each category is: 1) catering $4.4 Million (average per year over the 10-year term, based on 5% year over year inflationary adjustment each year); and 2) miscellaneous $500,000 annually.</w:t>
            </w:r>
            <w:r>
              <w:rPr>
                <w:sz w:val="24"/>
              </w:rPr>
              <w:t xml:space="preserve"> </w:t>
            </w:r>
          </w:p>
          <w:p w14:paraId="3CBF7E86" w14:textId="77777777" w:rsidR="00144450" w:rsidRDefault="00144450" w:rsidP="00144450">
            <w:pPr>
              <w:pStyle w:val="TableParagraph"/>
              <w:spacing w:line="256" w:lineRule="auto"/>
              <w:ind w:right="-1350"/>
              <w:rPr>
                <w:rFonts w:eastAsia="Calibri"/>
                <w:sz w:val="26"/>
                <w:szCs w:val="26"/>
              </w:rPr>
            </w:pPr>
          </w:p>
          <w:p w14:paraId="4226D635" w14:textId="6BCD443B" w:rsidR="00277A66" w:rsidRPr="00277A66" w:rsidRDefault="00277A66" w:rsidP="00F43583">
            <w:pPr>
              <w:pStyle w:val="TableParagraph"/>
              <w:numPr>
                <w:ilvl w:val="0"/>
                <w:numId w:val="21"/>
              </w:numPr>
              <w:spacing w:line="256" w:lineRule="auto"/>
              <w:ind w:right="-1350"/>
              <w:rPr>
                <w:rFonts w:eastAsia="Calibri"/>
                <w:sz w:val="26"/>
                <w:szCs w:val="26"/>
              </w:rPr>
            </w:pPr>
            <w:r w:rsidRPr="00277A66">
              <w:rPr>
                <w:rFonts w:eastAsia="Calibri"/>
                <w:sz w:val="26"/>
                <w:szCs w:val="26"/>
              </w:rPr>
              <w:t xml:space="preserve">SodexoMagic submitted the required BEP/VBP utilization plans </w:t>
            </w:r>
          </w:p>
          <w:p w14:paraId="773458A8" w14:textId="77777777" w:rsidR="00277A66" w:rsidRPr="00277A66" w:rsidRDefault="00277A66" w:rsidP="00277A66">
            <w:pPr>
              <w:pStyle w:val="TableParagraph"/>
              <w:spacing w:line="256" w:lineRule="auto"/>
              <w:ind w:left="720" w:right="-1350"/>
              <w:rPr>
                <w:rFonts w:eastAsia="Calibri"/>
                <w:sz w:val="26"/>
                <w:szCs w:val="26"/>
              </w:rPr>
            </w:pPr>
            <w:r w:rsidRPr="00277A66">
              <w:rPr>
                <w:rFonts w:eastAsia="Calibri"/>
                <w:sz w:val="26"/>
                <w:szCs w:val="26"/>
              </w:rPr>
              <w:t xml:space="preserve">identifying 18 certified BEP/VBP vendors they will partner with to </w:t>
            </w:r>
          </w:p>
          <w:p w14:paraId="5DE3AE0F" w14:textId="727E7EB6" w:rsidR="00277A66" w:rsidRDefault="00277A66" w:rsidP="00277A66">
            <w:pPr>
              <w:pStyle w:val="TableParagraph"/>
              <w:spacing w:line="256" w:lineRule="auto"/>
              <w:ind w:left="720" w:right="-1350"/>
              <w:rPr>
                <w:rFonts w:eastAsia="Calibri"/>
                <w:sz w:val="26"/>
                <w:szCs w:val="26"/>
              </w:rPr>
            </w:pPr>
            <w:r w:rsidRPr="00277A66">
              <w:rPr>
                <w:rFonts w:eastAsia="Calibri"/>
                <w:sz w:val="26"/>
                <w:szCs w:val="26"/>
              </w:rPr>
              <w:t>meet the 30% BEP and the 3% VBP goals.</w:t>
            </w:r>
          </w:p>
          <w:p w14:paraId="74BD82DA" w14:textId="77777777" w:rsidR="00277A66" w:rsidRPr="00277A66" w:rsidRDefault="00277A66" w:rsidP="00277A66">
            <w:pPr>
              <w:pStyle w:val="TableParagraph"/>
              <w:spacing w:line="256" w:lineRule="auto"/>
              <w:ind w:left="720" w:right="-1350"/>
              <w:rPr>
                <w:rFonts w:eastAsia="Calibri"/>
                <w:sz w:val="26"/>
                <w:szCs w:val="26"/>
              </w:rPr>
            </w:pPr>
          </w:p>
          <w:p w14:paraId="51DC4C05" w14:textId="77777777" w:rsidR="00277A66" w:rsidRDefault="00277A66" w:rsidP="00F43583">
            <w:pPr>
              <w:pStyle w:val="TableParagraph"/>
              <w:numPr>
                <w:ilvl w:val="0"/>
                <w:numId w:val="21"/>
              </w:numPr>
              <w:tabs>
                <w:tab w:val="left" w:pos="770"/>
              </w:tabs>
              <w:ind w:right="326"/>
              <w:rPr>
                <w:rFonts w:eastAsia="Calibri"/>
                <w:sz w:val="26"/>
                <w:szCs w:val="26"/>
              </w:rPr>
            </w:pPr>
            <w:r w:rsidRPr="00277A66">
              <w:rPr>
                <w:rFonts w:eastAsia="Calibri"/>
                <w:sz w:val="26"/>
                <w:szCs w:val="26"/>
              </w:rPr>
              <w:t>The Office of Procurement Diversity reviewed the 18 BEP/VBP firms and deemed all to be in compliance with the BEP/VBP goals.</w:t>
            </w:r>
          </w:p>
          <w:p w14:paraId="77E30E43" w14:textId="77777777" w:rsidR="00277A66" w:rsidRPr="00277A66" w:rsidRDefault="00277A66" w:rsidP="00277A66">
            <w:pPr>
              <w:pStyle w:val="TableParagraph"/>
              <w:tabs>
                <w:tab w:val="left" w:pos="770"/>
              </w:tabs>
              <w:ind w:left="720" w:right="326"/>
              <w:rPr>
                <w:rFonts w:eastAsia="Calibri"/>
                <w:sz w:val="26"/>
                <w:szCs w:val="26"/>
              </w:rPr>
            </w:pPr>
          </w:p>
          <w:p w14:paraId="0B5D2BB2" w14:textId="77777777" w:rsidR="00277A66" w:rsidRDefault="00277A66" w:rsidP="00F43583">
            <w:pPr>
              <w:pStyle w:val="TableParagraph"/>
              <w:numPr>
                <w:ilvl w:val="0"/>
                <w:numId w:val="21"/>
              </w:numPr>
              <w:tabs>
                <w:tab w:val="left" w:pos="770"/>
              </w:tabs>
              <w:ind w:right="71"/>
              <w:rPr>
                <w:rFonts w:eastAsia="Calibri"/>
                <w:sz w:val="26"/>
                <w:szCs w:val="26"/>
              </w:rPr>
            </w:pPr>
            <w:r w:rsidRPr="00277A66">
              <w:rPr>
                <w:rFonts w:eastAsia="Calibri"/>
                <w:sz w:val="26"/>
                <w:szCs w:val="26"/>
              </w:rPr>
              <w:t>SodexoMagic provided a comprehensive transition marketing strategy program plan which integrates the vendor with the University, which is vital to the growth of sales on campus. The program plan articulates solutions to the needs and concerns of students, faculty, staff and guests.</w:t>
            </w:r>
          </w:p>
          <w:p w14:paraId="0EAA3383" w14:textId="77777777" w:rsidR="00277A66" w:rsidRPr="00277A66" w:rsidRDefault="00277A66" w:rsidP="00277A66">
            <w:pPr>
              <w:pStyle w:val="TableParagraph"/>
              <w:tabs>
                <w:tab w:val="left" w:pos="770"/>
              </w:tabs>
              <w:ind w:right="71"/>
              <w:rPr>
                <w:rFonts w:eastAsia="Calibri"/>
                <w:sz w:val="26"/>
                <w:szCs w:val="26"/>
              </w:rPr>
            </w:pPr>
          </w:p>
          <w:p w14:paraId="106207E9" w14:textId="77777777" w:rsidR="00277A66" w:rsidRDefault="00277A66" w:rsidP="00F43583">
            <w:pPr>
              <w:pStyle w:val="TableParagraph"/>
              <w:numPr>
                <w:ilvl w:val="0"/>
                <w:numId w:val="21"/>
              </w:numPr>
              <w:tabs>
                <w:tab w:val="left" w:pos="770"/>
              </w:tabs>
              <w:ind w:right="343"/>
              <w:rPr>
                <w:rFonts w:eastAsia="Calibri"/>
                <w:sz w:val="26"/>
                <w:szCs w:val="26"/>
              </w:rPr>
            </w:pPr>
            <w:r w:rsidRPr="00277A66">
              <w:rPr>
                <w:rFonts w:eastAsia="Calibri"/>
                <w:sz w:val="26"/>
                <w:szCs w:val="26"/>
              </w:rPr>
              <w:t>SodexoMagic demonstrated they understand the diversity and unique culture of UIC and have proposed many diverse food offerings.</w:t>
            </w:r>
          </w:p>
          <w:p w14:paraId="5523AA3B" w14:textId="77777777" w:rsidR="00277A66" w:rsidRPr="00277A66" w:rsidRDefault="00277A66" w:rsidP="00277A66">
            <w:pPr>
              <w:pStyle w:val="TableParagraph"/>
              <w:tabs>
                <w:tab w:val="left" w:pos="770"/>
              </w:tabs>
              <w:ind w:right="343"/>
              <w:rPr>
                <w:rFonts w:eastAsia="Calibri"/>
                <w:sz w:val="26"/>
                <w:szCs w:val="26"/>
              </w:rPr>
            </w:pPr>
          </w:p>
          <w:p w14:paraId="1BD62A9F" w14:textId="77777777" w:rsidR="00277A66" w:rsidRDefault="00277A66" w:rsidP="00F43583">
            <w:pPr>
              <w:pStyle w:val="TableParagraph"/>
              <w:numPr>
                <w:ilvl w:val="0"/>
                <w:numId w:val="21"/>
              </w:numPr>
              <w:tabs>
                <w:tab w:val="left" w:pos="770"/>
              </w:tabs>
              <w:ind w:right="451"/>
              <w:rPr>
                <w:rFonts w:eastAsia="Calibri"/>
                <w:sz w:val="26"/>
                <w:szCs w:val="26"/>
              </w:rPr>
            </w:pPr>
            <w:r w:rsidRPr="00277A66">
              <w:rPr>
                <w:rFonts w:eastAsia="Calibri"/>
                <w:sz w:val="26"/>
                <w:szCs w:val="26"/>
              </w:rPr>
              <w:t>SodexoMagic proposed various food trucks across several locations on the UIC campus.</w:t>
            </w:r>
          </w:p>
          <w:p w14:paraId="4763E6A8" w14:textId="77777777" w:rsidR="00277A66" w:rsidRPr="00277A66" w:rsidRDefault="00277A66" w:rsidP="00277A66">
            <w:pPr>
              <w:pStyle w:val="TableParagraph"/>
              <w:tabs>
                <w:tab w:val="left" w:pos="770"/>
              </w:tabs>
              <w:ind w:right="451"/>
              <w:rPr>
                <w:rFonts w:eastAsia="Calibri"/>
                <w:sz w:val="26"/>
                <w:szCs w:val="26"/>
              </w:rPr>
            </w:pPr>
          </w:p>
          <w:p w14:paraId="022DD95A" w14:textId="77777777" w:rsidR="00277A66" w:rsidRDefault="00277A66" w:rsidP="00F43583">
            <w:pPr>
              <w:pStyle w:val="TableParagraph"/>
              <w:numPr>
                <w:ilvl w:val="0"/>
                <w:numId w:val="21"/>
              </w:numPr>
              <w:tabs>
                <w:tab w:val="left" w:pos="770"/>
                <w:tab w:val="left" w:pos="829"/>
              </w:tabs>
              <w:ind w:right="399"/>
              <w:rPr>
                <w:rFonts w:eastAsia="Calibri"/>
                <w:sz w:val="26"/>
                <w:szCs w:val="26"/>
              </w:rPr>
            </w:pPr>
            <w:r w:rsidRPr="00277A66">
              <w:rPr>
                <w:rFonts w:eastAsia="Calibri"/>
                <w:sz w:val="26"/>
                <w:szCs w:val="26"/>
              </w:rPr>
              <w:t>SodexoMagic’s proposal honors the terms of the exclusive beverage contract with Pepsi.</w:t>
            </w:r>
          </w:p>
          <w:p w14:paraId="4D1036FD" w14:textId="77777777" w:rsidR="00277A66" w:rsidRPr="00277A66" w:rsidRDefault="00277A66" w:rsidP="00277A66">
            <w:pPr>
              <w:pStyle w:val="TableParagraph"/>
              <w:tabs>
                <w:tab w:val="left" w:pos="770"/>
                <w:tab w:val="left" w:pos="829"/>
              </w:tabs>
              <w:ind w:right="399"/>
              <w:rPr>
                <w:rFonts w:eastAsia="Calibri"/>
                <w:sz w:val="26"/>
                <w:szCs w:val="26"/>
              </w:rPr>
            </w:pPr>
          </w:p>
          <w:p w14:paraId="33F7FF07" w14:textId="77777777" w:rsidR="00277A66" w:rsidRDefault="00277A66" w:rsidP="00F43583">
            <w:pPr>
              <w:pStyle w:val="TableParagraph"/>
              <w:numPr>
                <w:ilvl w:val="0"/>
                <w:numId w:val="21"/>
              </w:numPr>
              <w:tabs>
                <w:tab w:val="left" w:pos="770"/>
              </w:tabs>
              <w:ind w:right="1047"/>
              <w:rPr>
                <w:rFonts w:eastAsia="Calibri"/>
                <w:sz w:val="26"/>
                <w:szCs w:val="26"/>
              </w:rPr>
            </w:pPr>
            <w:r w:rsidRPr="00277A66">
              <w:rPr>
                <w:rFonts w:eastAsia="Calibri"/>
                <w:sz w:val="26"/>
                <w:szCs w:val="26"/>
              </w:rPr>
              <w:t>SodexoMagic’s proposal adheres to UIC’s sustainability efforts.</w:t>
            </w:r>
          </w:p>
          <w:p w14:paraId="311A13A7" w14:textId="77777777" w:rsidR="00277A66" w:rsidRPr="00277A66" w:rsidRDefault="00277A66" w:rsidP="00277A66">
            <w:pPr>
              <w:pStyle w:val="TableParagraph"/>
              <w:tabs>
                <w:tab w:val="left" w:pos="770"/>
              </w:tabs>
              <w:ind w:right="1047"/>
              <w:rPr>
                <w:rFonts w:eastAsia="Calibri"/>
                <w:sz w:val="26"/>
                <w:szCs w:val="26"/>
              </w:rPr>
            </w:pPr>
          </w:p>
          <w:p w14:paraId="4BFF8543" w14:textId="77777777" w:rsidR="00277A66" w:rsidRDefault="00277A66" w:rsidP="00F43583">
            <w:pPr>
              <w:pStyle w:val="TableParagraph"/>
              <w:numPr>
                <w:ilvl w:val="0"/>
                <w:numId w:val="21"/>
              </w:numPr>
              <w:tabs>
                <w:tab w:val="left" w:pos="770"/>
              </w:tabs>
              <w:spacing w:line="276" w:lineRule="exact"/>
              <w:ind w:right="233"/>
              <w:rPr>
                <w:rFonts w:eastAsia="Calibri"/>
                <w:sz w:val="26"/>
                <w:szCs w:val="26"/>
              </w:rPr>
            </w:pPr>
            <w:r w:rsidRPr="00277A66">
              <w:rPr>
                <w:rFonts w:eastAsia="Calibri"/>
                <w:sz w:val="26"/>
                <w:szCs w:val="26"/>
              </w:rPr>
              <w:t>SodexoMagic proposed to purchase all goods within a 250-mile radius of Chicago, where possible.</w:t>
            </w:r>
          </w:p>
          <w:p w14:paraId="6900F677" w14:textId="77777777" w:rsidR="00277A66" w:rsidRPr="00277A66" w:rsidRDefault="00277A66" w:rsidP="00277A66">
            <w:pPr>
              <w:pStyle w:val="TableParagraph"/>
              <w:tabs>
                <w:tab w:val="left" w:pos="770"/>
              </w:tabs>
              <w:spacing w:line="276" w:lineRule="exact"/>
              <w:ind w:right="233"/>
              <w:rPr>
                <w:rFonts w:eastAsia="Calibri"/>
                <w:sz w:val="26"/>
                <w:szCs w:val="26"/>
              </w:rPr>
            </w:pPr>
          </w:p>
          <w:p w14:paraId="24A84464" w14:textId="77777777" w:rsidR="00277A66" w:rsidRDefault="00277A66" w:rsidP="00F43583">
            <w:pPr>
              <w:pStyle w:val="ListParagraph"/>
              <w:numPr>
                <w:ilvl w:val="0"/>
                <w:numId w:val="21"/>
              </w:numPr>
              <w:tabs>
                <w:tab w:val="left" w:pos="990"/>
              </w:tabs>
              <w:ind w:right="850"/>
              <w:rPr>
                <w:rFonts w:ascii="Times New Roman" w:hAnsi="Times New Roman" w:cs="Times New Roman"/>
                <w:szCs w:val="26"/>
              </w:rPr>
            </w:pPr>
            <w:r w:rsidRPr="00277A66">
              <w:rPr>
                <w:rFonts w:ascii="Times New Roman" w:hAnsi="Times New Roman" w:cs="Times New Roman"/>
                <w:szCs w:val="26"/>
              </w:rPr>
              <w:t>SodexoMagic proposed to provide a minimum guarantee of $24,250,000 in commission over the life of the contract.</w:t>
            </w:r>
          </w:p>
          <w:p w14:paraId="52B4C1F9" w14:textId="77777777" w:rsidR="00277A66" w:rsidRPr="00277A66" w:rsidRDefault="00277A66" w:rsidP="00277A66">
            <w:pPr>
              <w:pStyle w:val="ListParagraph"/>
              <w:tabs>
                <w:tab w:val="left" w:pos="990"/>
              </w:tabs>
              <w:ind w:right="850"/>
              <w:rPr>
                <w:rFonts w:ascii="Times New Roman" w:hAnsi="Times New Roman" w:cs="Times New Roman"/>
                <w:szCs w:val="26"/>
              </w:rPr>
            </w:pPr>
          </w:p>
          <w:p w14:paraId="72C45E71" w14:textId="73C052A9" w:rsidR="00277A66" w:rsidRDefault="00277A66" w:rsidP="00F43583">
            <w:pPr>
              <w:pStyle w:val="ListParagraph"/>
              <w:numPr>
                <w:ilvl w:val="0"/>
                <w:numId w:val="21"/>
              </w:numPr>
              <w:tabs>
                <w:tab w:val="left" w:pos="990"/>
              </w:tabs>
              <w:spacing w:after="0"/>
              <w:ind w:right="850"/>
              <w:rPr>
                <w:rFonts w:ascii="Times New Roman" w:hAnsi="Times New Roman" w:cs="Times New Roman"/>
                <w:szCs w:val="26"/>
              </w:rPr>
            </w:pPr>
            <w:r w:rsidRPr="00277A66">
              <w:rPr>
                <w:rFonts w:ascii="Times New Roman" w:hAnsi="Times New Roman" w:cs="Times New Roman"/>
                <w:szCs w:val="26"/>
              </w:rPr>
              <w:t>SodexoMagic proposed $15,170,000 in capital investment funds (facility renovations) over the life of the contract.</w:t>
            </w:r>
          </w:p>
          <w:p w14:paraId="33FAD331" w14:textId="77777777" w:rsidR="00277A66" w:rsidRPr="00277A66" w:rsidRDefault="00277A66" w:rsidP="00277A66">
            <w:pPr>
              <w:tabs>
                <w:tab w:val="left" w:pos="990"/>
              </w:tabs>
              <w:spacing w:after="0"/>
              <w:ind w:right="850"/>
              <w:rPr>
                <w:szCs w:val="26"/>
              </w:rPr>
            </w:pPr>
          </w:p>
          <w:p w14:paraId="285014FB" w14:textId="55679214" w:rsidR="00277A66" w:rsidRDefault="00277A66" w:rsidP="00F43583">
            <w:pPr>
              <w:pStyle w:val="ListParagraph"/>
              <w:numPr>
                <w:ilvl w:val="0"/>
                <w:numId w:val="21"/>
              </w:numPr>
              <w:tabs>
                <w:tab w:val="left" w:pos="990"/>
              </w:tabs>
              <w:spacing w:after="0"/>
              <w:ind w:right="850"/>
              <w:rPr>
                <w:rFonts w:ascii="Times New Roman" w:hAnsi="Times New Roman" w:cs="Times New Roman"/>
                <w:szCs w:val="26"/>
              </w:rPr>
            </w:pPr>
            <w:r w:rsidRPr="00277A66">
              <w:rPr>
                <w:rFonts w:ascii="Times New Roman" w:hAnsi="Times New Roman" w:cs="Times New Roman"/>
                <w:szCs w:val="26"/>
              </w:rPr>
              <w:t>SodexoMagic proposed to provide $350,000 in scholarship funds over the life of the contract.</w:t>
            </w:r>
          </w:p>
          <w:p w14:paraId="4168A356" w14:textId="77777777" w:rsidR="00277A66" w:rsidRPr="00277A66" w:rsidRDefault="00277A66" w:rsidP="00277A66">
            <w:pPr>
              <w:tabs>
                <w:tab w:val="left" w:pos="990"/>
              </w:tabs>
              <w:spacing w:after="0"/>
              <w:ind w:right="850"/>
              <w:rPr>
                <w:szCs w:val="26"/>
              </w:rPr>
            </w:pPr>
          </w:p>
          <w:p w14:paraId="116FCEAA" w14:textId="77777777" w:rsidR="00277A66" w:rsidRDefault="00277A66" w:rsidP="00F43583">
            <w:pPr>
              <w:pStyle w:val="ListParagraph"/>
              <w:numPr>
                <w:ilvl w:val="0"/>
                <w:numId w:val="21"/>
              </w:numPr>
              <w:tabs>
                <w:tab w:val="left" w:pos="990"/>
              </w:tabs>
              <w:spacing w:after="0"/>
              <w:ind w:right="850"/>
              <w:rPr>
                <w:rFonts w:ascii="Times New Roman" w:hAnsi="Times New Roman" w:cs="Times New Roman"/>
                <w:szCs w:val="26"/>
              </w:rPr>
            </w:pPr>
            <w:r w:rsidRPr="00277A66">
              <w:rPr>
                <w:rFonts w:ascii="Times New Roman" w:hAnsi="Times New Roman" w:cs="Times New Roman"/>
                <w:szCs w:val="26"/>
              </w:rPr>
              <w:t>SodexoMagic proposed to provide 300 free meal swipes, annually, for students in need over the life of the contract.</w:t>
            </w:r>
          </w:p>
          <w:p w14:paraId="538389CB" w14:textId="77777777" w:rsidR="00277A66" w:rsidRPr="00277A66" w:rsidRDefault="00277A66" w:rsidP="00277A66">
            <w:pPr>
              <w:tabs>
                <w:tab w:val="left" w:pos="990"/>
              </w:tabs>
              <w:spacing w:after="0"/>
              <w:ind w:right="850"/>
              <w:rPr>
                <w:szCs w:val="26"/>
              </w:rPr>
            </w:pPr>
          </w:p>
          <w:p w14:paraId="3B1D8582" w14:textId="7C8B7A4F" w:rsidR="00277A66" w:rsidRPr="00277A66" w:rsidRDefault="00277A66" w:rsidP="00F43583">
            <w:pPr>
              <w:pStyle w:val="ListParagraph"/>
              <w:numPr>
                <w:ilvl w:val="0"/>
                <w:numId w:val="21"/>
              </w:numPr>
              <w:tabs>
                <w:tab w:val="left" w:pos="990"/>
              </w:tabs>
              <w:spacing w:after="0"/>
              <w:rPr>
                <w:rFonts w:ascii="Times New Roman" w:hAnsi="Times New Roman" w:cs="Times New Roman"/>
                <w:szCs w:val="26"/>
              </w:rPr>
            </w:pPr>
            <w:r w:rsidRPr="00277A66">
              <w:rPr>
                <w:rFonts w:ascii="Times New Roman" w:hAnsi="Times New Roman" w:cs="Times New Roman"/>
                <w:szCs w:val="26"/>
              </w:rPr>
              <w:t>SodexoMagic proposed to provide $1,050,000 in sponsorship funds over the life of the contract.</w:t>
            </w:r>
          </w:p>
        </w:tc>
      </w:tr>
      <w:tr w:rsidR="00287CC8" w:rsidRPr="00353536" w14:paraId="118EBAF9" w14:textId="77777777" w:rsidTr="00F43583">
        <w:trPr>
          <w:trHeight w:val="150"/>
        </w:trPr>
        <w:tc>
          <w:tcPr>
            <w:tcW w:w="342" w:type="dxa"/>
          </w:tcPr>
          <w:p w14:paraId="592E0880" w14:textId="77777777" w:rsidR="00287CC8" w:rsidRPr="00F53616" w:rsidRDefault="00287CC8" w:rsidP="00287CC8">
            <w:pPr>
              <w:pStyle w:val="NoSpacing"/>
              <w:rPr>
                <w:sz w:val="26"/>
                <w:szCs w:val="26"/>
              </w:rPr>
            </w:pPr>
          </w:p>
        </w:tc>
        <w:tc>
          <w:tcPr>
            <w:tcW w:w="1098" w:type="dxa"/>
            <w:shd w:val="clear" w:color="auto" w:fill="auto"/>
          </w:tcPr>
          <w:p w14:paraId="5608FEE0" w14:textId="77777777" w:rsidR="00287CC8" w:rsidRPr="00353536" w:rsidRDefault="00287CC8" w:rsidP="00287CC8">
            <w:pPr>
              <w:pStyle w:val="NoSpacing"/>
              <w:rPr>
                <w:sz w:val="26"/>
                <w:szCs w:val="26"/>
              </w:rPr>
            </w:pPr>
          </w:p>
        </w:tc>
        <w:tc>
          <w:tcPr>
            <w:tcW w:w="8118" w:type="dxa"/>
            <w:shd w:val="clear" w:color="auto" w:fill="auto"/>
          </w:tcPr>
          <w:p w14:paraId="3226B230" w14:textId="77777777" w:rsidR="00287CC8" w:rsidRDefault="00287CC8" w:rsidP="00287CC8">
            <w:pPr>
              <w:spacing w:after="0"/>
              <w:rPr>
                <w:szCs w:val="26"/>
              </w:rPr>
            </w:pPr>
          </w:p>
        </w:tc>
      </w:tr>
    </w:tbl>
    <w:p w14:paraId="44F94AB2" w14:textId="77777777"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353536" w14:paraId="00DCA86F" w14:textId="77777777" w:rsidTr="008856C6">
        <w:trPr>
          <w:trHeight w:val="567"/>
        </w:trPr>
        <w:tc>
          <w:tcPr>
            <w:tcW w:w="342" w:type="dxa"/>
          </w:tcPr>
          <w:p w14:paraId="2FED4914" w14:textId="77777777" w:rsidR="00881246" w:rsidRPr="00353536" w:rsidRDefault="00881246" w:rsidP="005274CF">
            <w:pPr>
              <w:pStyle w:val="NoSpacing"/>
              <w:jc w:val="both"/>
              <w:rPr>
                <w:sz w:val="26"/>
                <w:szCs w:val="26"/>
              </w:rPr>
            </w:pPr>
          </w:p>
        </w:tc>
        <w:tc>
          <w:tcPr>
            <w:tcW w:w="990" w:type="dxa"/>
          </w:tcPr>
          <w:p w14:paraId="3D1945D4" w14:textId="77777777" w:rsidR="00881246" w:rsidRPr="00353536" w:rsidRDefault="00881246" w:rsidP="005274CF">
            <w:pPr>
              <w:pStyle w:val="NoSpacing"/>
              <w:jc w:val="both"/>
              <w:rPr>
                <w:sz w:val="26"/>
                <w:szCs w:val="26"/>
              </w:rPr>
            </w:pPr>
          </w:p>
        </w:tc>
        <w:tc>
          <w:tcPr>
            <w:tcW w:w="8118" w:type="dxa"/>
          </w:tcPr>
          <w:p w14:paraId="35405A80" w14:textId="25987F20" w:rsidR="00881246" w:rsidRPr="00353536" w:rsidRDefault="0081669D"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szCs w:val="26"/>
              </w:rPr>
            </w:pPr>
            <w:r w:rsidRPr="00353536">
              <w:rPr>
                <w:rFonts w:eastAsia="Times New Roman"/>
                <w:b/>
                <w:color w:val="000000"/>
                <w:szCs w:val="26"/>
              </w:rPr>
              <w:tab/>
            </w:r>
            <w:r w:rsidR="00D6273A">
              <w:rPr>
                <w:rFonts w:eastAsia="Times New Roman"/>
                <w:b/>
                <w:color w:val="000000"/>
                <w:szCs w:val="26"/>
              </w:rPr>
              <w:t xml:space="preserve">                 </w:t>
            </w:r>
            <w:r w:rsidRPr="00353536">
              <w:rPr>
                <w:rFonts w:eastAsia="Times New Roman"/>
                <w:b/>
                <w:color w:val="000000"/>
                <w:szCs w:val="26"/>
              </w:rPr>
              <w:t xml:space="preserve">CHANGE ORDER </w:t>
            </w:r>
            <w:r w:rsidR="00881246" w:rsidRPr="00353536">
              <w:rPr>
                <w:rFonts w:eastAsia="Times New Roman"/>
                <w:b/>
                <w:color w:val="000000"/>
                <w:szCs w:val="26"/>
              </w:rPr>
              <w:t>RECOMMENDED</w:t>
            </w: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353536" w14:paraId="23EE4603" w14:textId="77777777" w:rsidTr="00503D31">
        <w:trPr>
          <w:trHeight w:val="114"/>
        </w:trPr>
        <w:tc>
          <w:tcPr>
            <w:tcW w:w="9454" w:type="dxa"/>
            <w:tcBorders>
              <w:top w:val="single" w:sz="18" w:space="0" w:color="auto"/>
              <w:bottom w:val="single" w:sz="18" w:space="0" w:color="auto"/>
            </w:tcBorders>
          </w:tcPr>
          <w:p w14:paraId="3F8672C8" w14:textId="053DE874" w:rsidR="00FE4204" w:rsidRPr="00353536"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 xml:space="preserve">University of Illinois </w:t>
            </w:r>
            <w:r w:rsidR="002F2D48">
              <w:rPr>
                <w:rFonts w:eastAsia="Times New Roman"/>
                <w:b/>
                <w:szCs w:val="26"/>
              </w:rPr>
              <w:t>Urbana-Champaign</w:t>
            </w:r>
          </w:p>
        </w:tc>
      </w:tr>
    </w:tbl>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F6377E" w:rsidRPr="00353536" w14:paraId="3BB2299D" w14:textId="77777777" w:rsidTr="00BD5FE0">
        <w:trPr>
          <w:trHeight w:val="120"/>
        </w:trPr>
        <w:tc>
          <w:tcPr>
            <w:tcW w:w="450" w:type="dxa"/>
            <w:tcBorders>
              <w:bottom w:val="double" w:sz="6" w:space="0" w:color="auto"/>
            </w:tcBorders>
          </w:tcPr>
          <w:p w14:paraId="1F8AFA6C" w14:textId="10BC8A1D" w:rsidR="00F6377E" w:rsidRPr="00277A66" w:rsidRDefault="007F6B3E" w:rsidP="00F6377E">
            <w:pPr>
              <w:pStyle w:val="NoSpacing"/>
              <w:rPr>
                <w:sz w:val="26"/>
                <w:szCs w:val="26"/>
              </w:rPr>
            </w:pPr>
            <w:r w:rsidRPr="00277A66">
              <w:rPr>
                <w:sz w:val="26"/>
                <w:szCs w:val="26"/>
              </w:rPr>
              <w:t>4</w:t>
            </w:r>
          </w:p>
        </w:tc>
        <w:tc>
          <w:tcPr>
            <w:tcW w:w="990" w:type="dxa"/>
            <w:tcBorders>
              <w:bottom w:val="double" w:sz="6" w:space="0" w:color="auto"/>
            </w:tcBorders>
          </w:tcPr>
          <w:p w14:paraId="31B5CEDC" w14:textId="77777777" w:rsidR="00F6377E" w:rsidRPr="00277A66" w:rsidRDefault="00F6377E" w:rsidP="00F6377E">
            <w:pPr>
              <w:pStyle w:val="NoSpacing"/>
              <w:rPr>
                <w:sz w:val="26"/>
                <w:szCs w:val="26"/>
              </w:rPr>
            </w:pPr>
            <w:r w:rsidRPr="00277A66">
              <w:rPr>
                <w:sz w:val="26"/>
                <w:szCs w:val="26"/>
              </w:rPr>
              <w:t>Unit</w:t>
            </w:r>
          </w:p>
        </w:tc>
        <w:tc>
          <w:tcPr>
            <w:tcW w:w="7920" w:type="dxa"/>
            <w:tcBorders>
              <w:bottom w:val="double" w:sz="6" w:space="0" w:color="auto"/>
            </w:tcBorders>
          </w:tcPr>
          <w:p w14:paraId="26CDAEA8" w14:textId="1C3489CF" w:rsidR="00F6377E" w:rsidRPr="00277A66" w:rsidRDefault="002D16F8" w:rsidP="00F6377E">
            <w:pPr>
              <w:pStyle w:val="NoSpacing"/>
              <w:rPr>
                <w:sz w:val="26"/>
                <w:szCs w:val="26"/>
              </w:rPr>
            </w:pPr>
            <w:r w:rsidRPr="00277A66">
              <w:rPr>
                <w:sz w:val="26"/>
                <w:szCs w:val="26"/>
              </w:rPr>
              <w:t>Gies College of Business</w:t>
            </w:r>
          </w:p>
        </w:tc>
      </w:tr>
      <w:tr w:rsidR="00F6377E" w:rsidRPr="00353536" w14:paraId="55FAE87F" w14:textId="77777777" w:rsidTr="00BD5FE0">
        <w:trPr>
          <w:trHeight w:val="648"/>
        </w:trPr>
        <w:tc>
          <w:tcPr>
            <w:tcW w:w="450" w:type="dxa"/>
          </w:tcPr>
          <w:p w14:paraId="3CF349EC" w14:textId="77777777" w:rsidR="00F6377E" w:rsidRPr="00277A66" w:rsidRDefault="00F6377E" w:rsidP="00F6377E">
            <w:pPr>
              <w:pStyle w:val="NoSpacing"/>
              <w:rPr>
                <w:sz w:val="26"/>
                <w:szCs w:val="26"/>
              </w:rPr>
            </w:pPr>
          </w:p>
        </w:tc>
        <w:tc>
          <w:tcPr>
            <w:tcW w:w="990" w:type="dxa"/>
          </w:tcPr>
          <w:p w14:paraId="5C67AD10" w14:textId="77777777" w:rsidR="00F6377E" w:rsidRPr="00277A66" w:rsidRDefault="00F6377E" w:rsidP="00F6377E">
            <w:pPr>
              <w:pStyle w:val="NoSpacing"/>
              <w:rPr>
                <w:sz w:val="26"/>
                <w:szCs w:val="26"/>
              </w:rPr>
            </w:pPr>
          </w:p>
          <w:p w14:paraId="10671FD9" w14:textId="77777777" w:rsidR="00F6377E" w:rsidRPr="00277A66" w:rsidRDefault="00F6377E" w:rsidP="00F6377E">
            <w:pPr>
              <w:pStyle w:val="NoSpacing"/>
              <w:rPr>
                <w:sz w:val="26"/>
                <w:szCs w:val="26"/>
              </w:rPr>
            </w:pPr>
            <w:r w:rsidRPr="00277A66">
              <w:rPr>
                <w:sz w:val="26"/>
                <w:szCs w:val="26"/>
              </w:rPr>
              <w:t>Item</w:t>
            </w:r>
          </w:p>
        </w:tc>
        <w:tc>
          <w:tcPr>
            <w:tcW w:w="7920" w:type="dxa"/>
            <w:vAlign w:val="center"/>
          </w:tcPr>
          <w:p w14:paraId="7AE818BC" w14:textId="77777777" w:rsidR="002F2D48" w:rsidRPr="00277A66" w:rsidRDefault="002F2D48" w:rsidP="00F6377E">
            <w:pPr>
              <w:pStyle w:val="NoSpacing"/>
              <w:rPr>
                <w:sz w:val="26"/>
                <w:szCs w:val="26"/>
              </w:rPr>
            </w:pPr>
          </w:p>
          <w:p w14:paraId="5F3D83EC" w14:textId="1982427A" w:rsidR="00F6377E" w:rsidRPr="00277A66" w:rsidRDefault="002D16F8" w:rsidP="00F6377E">
            <w:pPr>
              <w:pStyle w:val="NoSpacing"/>
              <w:rPr>
                <w:sz w:val="26"/>
                <w:szCs w:val="26"/>
              </w:rPr>
            </w:pPr>
            <w:r w:rsidRPr="00277A66">
              <w:rPr>
                <w:sz w:val="26"/>
                <w:szCs w:val="26"/>
              </w:rPr>
              <w:t xml:space="preserve">Furnish a comprehensive media buying plan, in the United States and International Markets to target prospective students (undergraduate, graduate, and online programs) to promote the college’s innovative programs and centers of excellence for the period March 15, 2021 through March 14, 2025 </w:t>
            </w:r>
            <w:r w:rsidR="00060939">
              <w:rPr>
                <w:sz w:val="26"/>
                <w:szCs w:val="26"/>
              </w:rPr>
              <w:t xml:space="preserve">for an initial, Board approved $12,000,000 </w:t>
            </w:r>
            <w:r w:rsidRPr="00277A66">
              <w:rPr>
                <w:sz w:val="26"/>
                <w:szCs w:val="26"/>
              </w:rPr>
              <w:t>with 2 one-year renewal options.</w:t>
            </w:r>
            <w:r w:rsidR="00060939">
              <w:rPr>
                <w:sz w:val="26"/>
                <w:szCs w:val="26"/>
              </w:rPr>
              <w:t xml:space="preserve"> This change order would add $6,000,000 to be used from the approval date, until March 14, 2025, approximately 10 months.</w:t>
            </w:r>
          </w:p>
        </w:tc>
      </w:tr>
      <w:tr w:rsidR="00F6377E" w:rsidRPr="00353536" w14:paraId="29935A0B" w14:textId="77777777" w:rsidTr="00BD5FE0">
        <w:trPr>
          <w:trHeight w:val="315"/>
        </w:trPr>
        <w:tc>
          <w:tcPr>
            <w:tcW w:w="450" w:type="dxa"/>
          </w:tcPr>
          <w:p w14:paraId="15B64255" w14:textId="77777777" w:rsidR="00F6377E" w:rsidRPr="00277A66" w:rsidRDefault="00F6377E" w:rsidP="00F6377E">
            <w:pPr>
              <w:pStyle w:val="NoSpacing"/>
              <w:rPr>
                <w:sz w:val="26"/>
                <w:szCs w:val="26"/>
              </w:rPr>
            </w:pPr>
          </w:p>
        </w:tc>
        <w:tc>
          <w:tcPr>
            <w:tcW w:w="990" w:type="dxa"/>
          </w:tcPr>
          <w:p w14:paraId="0C1B6377" w14:textId="77777777" w:rsidR="00F6377E" w:rsidRPr="00277A66" w:rsidRDefault="00F6377E" w:rsidP="00F6377E">
            <w:pPr>
              <w:pStyle w:val="NoSpacing"/>
              <w:rPr>
                <w:sz w:val="26"/>
                <w:szCs w:val="26"/>
              </w:rPr>
            </w:pPr>
          </w:p>
          <w:p w14:paraId="11C382A2" w14:textId="77777777" w:rsidR="00F6377E" w:rsidRPr="00277A66" w:rsidRDefault="00F6377E" w:rsidP="00F6377E">
            <w:pPr>
              <w:pStyle w:val="NoSpacing"/>
              <w:rPr>
                <w:sz w:val="26"/>
                <w:szCs w:val="26"/>
              </w:rPr>
            </w:pPr>
            <w:r w:rsidRPr="00277A66">
              <w:rPr>
                <w:sz w:val="26"/>
                <w:szCs w:val="26"/>
              </w:rPr>
              <w:t>Cost</w:t>
            </w:r>
          </w:p>
        </w:tc>
        <w:tc>
          <w:tcPr>
            <w:tcW w:w="7920" w:type="dxa"/>
          </w:tcPr>
          <w:p w14:paraId="6526F004" w14:textId="77777777" w:rsidR="001B4A24" w:rsidRPr="00277A66" w:rsidRDefault="001B4A24" w:rsidP="001B4A24">
            <w:pPr>
              <w:pStyle w:val="NoSpacing"/>
              <w:rPr>
                <w:sz w:val="26"/>
                <w:szCs w:val="26"/>
              </w:rPr>
            </w:pPr>
          </w:p>
          <w:p w14:paraId="3B6194B9" w14:textId="05F21549" w:rsidR="00934FC6" w:rsidRPr="00277A66" w:rsidRDefault="002D16F8" w:rsidP="001B4A24">
            <w:pPr>
              <w:tabs>
                <w:tab w:val="left" w:pos="-720"/>
                <w:tab w:val="left" w:pos="0"/>
                <w:tab w:val="left" w:pos="720"/>
                <w:tab w:val="left" w:pos="1080"/>
                <w:tab w:val="left" w:pos="1440"/>
              </w:tabs>
              <w:suppressAutoHyphens/>
              <w:jc w:val="both"/>
              <w:rPr>
                <w:szCs w:val="26"/>
              </w:rPr>
            </w:pPr>
            <w:r w:rsidRPr="00277A66">
              <w:rPr>
                <w:szCs w:val="26"/>
              </w:rPr>
              <w:t xml:space="preserve">$6,000,000 (Estimated) </w:t>
            </w:r>
          </w:p>
        </w:tc>
      </w:tr>
      <w:tr w:rsidR="00F6377E" w:rsidRPr="00353536" w14:paraId="766A4E98" w14:textId="77777777" w:rsidTr="00BD5FE0">
        <w:trPr>
          <w:trHeight w:val="150"/>
        </w:trPr>
        <w:tc>
          <w:tcPr>
            <w:tcW w:w="450" w:type="dxa"/>
          </w:tcPr>
          <w:p w14:paraId="14F233DC" w14:textId="77777777" w:rsidR="00F6377E" w:rsidRPr="00277A66" w:rsidRDefault="00F6377E" w:rsidP="00F6377E">
            <w:pPr>
              <w:pStyle w:val="NoSpacing"/>
              <w:rPr>
                <w:sz w:val="26"/>
                <w:szCs w:val="26"/>
              </w:rPr>
            </w:pPr>
          </w:p>
        </w:tc>
        <w:tc>
          <w:tcPr>
            <w:tcW w:w="990" w:type="dxa"/>
            <w:shd w:val="clear" w:color="auto" w:fill="auto"/>
          </w:tcPr>
          <w:p w14:paraId="7C865FCA" w14:textId="77777777" w:rsidR="001B4A24" w:rsidRPr="00277A66" w:rsidRDefault="001B4A24" w:rsidP="00F6377E">
            <w:pPr>
              <w:pStyle w:val="NoSpacing"/>
              <w:rPr>
                <w:sz w:val="26"/>
                <w:szCs w:val="26"/>
              </w:rPr>
            </w:pPr>
          </w:p>
          <w:p w14:paraId="14DFD6F3" w14:textId="4072507B" w:rsidR="00F6377E" w:rsidRPr="00277A66" w:rsidRDefault="00F6377E" w:rsidP="00F6377E">
            <w:pPr>
              <w:pStyle w:val="NoSpacing"/>
              <w:rPr>
                <w:sz w:val="26"/>
                <w:szCs w:val="26"/>
              </w:rPr>
            </w:pPr>
            <w:r w:rsidRPr="00277A66">
              <w:rPr>
                <w:sz w:val="26"/>
                <w:szCs w:val="26"/>
              </w:rPr>
              <w:t>Vendor</w:t>
            </w:r>
          </w:p>
        </w:tc>
        <w:tc>
          <w:tcPr>
            <w:tcW w:w="7920" w:type="dxa"/>
            <w:shd w:val="clear" w:color="auto" w:fill="auto"/>
          </w:tcPr>
          <w:p w14:paraId="6DB5E075" w14:textId="77777777" w:rsidR="001B4A24" w:rsidRPr="00277A66" w:rsidRDefault="001B4A24" w:rsidP="001B4A24">
            <w:pPr>
              <w:pStyle w:val="NoSpacing"/>
              <w:rPr>
                <w:sz w:val="26"/>
                <w:szCs w:val="26"/>
              </w:rPr>
            </w:pPr>
          </w:p>
          <w:p w14:paraId="2984DA34" w14:textId="23DD5128" w:rsidR="002D16F8" w:rsidRPr="00277A66" w:rsidRDefault="002D16F8" w:rsidP="002D16F8">
            <w:pPr>
              <w:pStyle w:val="Heading2"/>
              <w:spacing w:before="0"/>
              <w:rPr>
                <w:rFonts w:ascii="Times New Roman" w:hAnsi="Times New Roman"/>
                <w:b w:val="0"/>
                <w:i w:val="0"/>
                <w:sz w:val="26"/>
                <w:szCs w:val="26"/>
              </w:rPr>
            </w:pPr>
            <w:r w:rsidRPr="00277A66">
              <w:rPr>
                <w:rFonts w:ascii="Times New Roman" w:hAnsi="Times New Roman"/>
                <w:b w:val="0"/>
                <w:i w:val="0"/>
                <w:sz w:val="26"/>
                <w:szCs w:val="26"/>
              </w:rPr>
              <w:t xml:space="preserve">Central States Media                                                             Peoria, IL    </w:t>
            </w:r>
          </w:p>
          <w:p w14:paraId="14D2CF60" w14:textId="77777777" w:rsidR="00F6377E" w:rsidRPr="00277A66" w:rsidRDefault="00F6377E" w:rsidP="00F6377E">
            <w:pPr>
              <w:pStyle w:val="NoSpacing"/>
              <w:jc w:val="both"/>
              <w:rPr>
                <w:sz w:val="26"/>
                <w:szCs w:val="26"/>
              </w:rPr>
            </w:pPr>
          </w:p>
        </w:tc>
      </w:tr>
      <w:tr w:rsidR="00F6377E" w:rsidRPr="00353536" w14:paraId="0CC80085" w14:textId="77777777" w:rsidTr="00BD5FE0">
        <w:trPr>
          <w:trHeight w:val="150"/>
        </w:trPr>
        <w:tc>
          <w:tcPr>
            <w:tcW w:w="450" w:type="dxa"/>
          </w:tcPr>
          <w:p w14:paraId="67560A50" w14:textId="77777777" w:rsidR="00F6377E" w:rsidRPr="00277A66" w:rsidRDefault="00F6377E" w:rsidP="00F6377E">
            <w:pPr>
              <w:pStyle w:val="NoSpacing"/>
              <w:rPr>
                <w:sz w:val="26"/>
                <w:szCs w:val="26"/>
              </w:rPr>
            </w:pPr>
          </w:p>
        </w:tc>
        <w:tc>
          <w:tcPr>
            <w:tcW w:w="990" w:type="dxa"/>
            <w:shd w:val="clear" w:color="auto" w:fill="auto"/>
          </w:tcPr>
          <w:p w14:paraId="6AD68AE2" w14:textId="77777777" w:rsidR="00F6377E" w:rsidRPr="00277A66" w:rsidRDefault="00F6377E" w:rsidP="00F6377E">
            <w:pPr>
              <w:pStyle w:val="NoSpacing"/>
              <w:rPr>
                <w:sz w:val="26"/>
                <w:szCs w:val="26"/>
              </w:rPr>
            </w:pPr>
          </w:p>
        </w:tc>
        <w:tc>
          <w:tcPr>
            <w:tcW w:w="7920" w:type="dxa"/>
            <w:shd w:val="clear" w:color="auto" w:fill="auto"/>
          </w:tcPr>
          <w:p w14:paraId="2B97ED75" w14:textId="353CF3B3" w:rsidR="002D16F8" w:rsidRPr="00277A66" w:rsidRDefault="002D16F8" w:rsidP="002D16F8">
            <w:pPr>
              <w:rPr>
                <w:szCs w:val="26"/>
              </w:rPr>
            </w:pPr>
            <w:r w:rsidRPr="00277A66">
              <w:rPr>
                <w:szCs w:val="26"/>
              </w:rPr>
              <w:t>Competitive bidding procedures were followed in accordance with the Illinois Procurement Code. The Board of Trustees approved the initial purchase on March 11, 2021.</w:t>
            </w:r>
          </w:p>
          <w:p w14:paraId="7E7D6F93" w14:textId="0349B50D" w:rsidR="002D16F8" w:rsidRPr="00277A66" w:rsidRDefault="002D16F8" w:rsidP="002D16F8">
            <w:pPr>
              <w:rPr>
                <w:color w:val="000000"/>
                <w:szCs w:val="26"/>
              </w:rPr>
            </w:pPr>
            <w:r w:rsidRPr="00277A66">
              <w:rPr>
                <w:color w:val="000000"/>
                <w:szCs w:val="26"/>
              </w:rPr>
              <w:t xml:space="preserve">Gies College of Business at the University of Illinois Urbana-Champaign, already a Top 10 US Public Business School, gained national attention in 2017 with its naming by alumnus Larry Gies. Since then, it has been aggressively investing in recruitment for its highly ranked undergraduate program, its residential graduate degrees, and the launch of its fast-growing online graduate business degrees.  Quickly growing from 114 to 5700 students from 48 states and 92 countries around the world. Two online degrees were added in 2017 and 2020.  Fierce competition has come with this success. The pandemic prompted business schools that previously had been resistant to entering the online space due to lack of knowledge or experience to enter the fray now that they have paid the fixed cost of entry. </w:t>
            </w:r>
          </w:p>
          <w:p w14:paraId="1ABB145C" w14:textId="5F8D031D" w:rsidR="002D16F8" w:rsidRPr="00277A66" w:rsidRDefault="002D16F8" w:rsidP="002D16F8">
            <w:pPr>
              <w:rPr>
                <w:color w:val="000000"/>
                <w:szCs w:val="26"/>
              </w:rPr>
            </w:pPr>
            <w:r w:rsidRPr="00277A66">
              <w:rPr>
                <w:color w:val="000000"/>
                <w:szCs w:val="26"/>
              </w:rPr>
              <w:lastRenderedPageBreak/>
              <w:t xml:space="preserve">Based on the competitive marketing landscape, brand building and recruitment marketing is critical to the future growth of all academic programs within the College, and this can only be achieved effectively through multi-channel paid media buying. Prior to onboarding Central States Media, it was inefficient and ineffective to manage this volume of media buying and distribution management internally.  Central States Media has reduced internal employee costs, as well as providing long-term buying opportunities that has reduced our purchase price but increase reach effectiveness.  </w:t>
            </w:r>
          </w:p>
          <w:p w14:paraId="28D84B28" w14:textId="1608BE81" w:rsidR="00080C61" w:rsidRPr="00277A66" w:rsidRDefault="002D16F8" w:rsidP="002D16F8">
            <w:pPr>
              <w:pStyle w:val="NoSpacing"/>
              <w:tabs>
                <w:tab w:val="left" w:pos="975"/>
              </w:tabs>
              <w:rPr>
                <w:b/>
                <w:bCs/>
                <w:color w:val="000000"/>
                <w:sz w:val="26"/>
                <w:szCs w:val="26"/>
              </w:rPr>
            </w:pPr>
            <w:r w:rsidRPr="00277A66">
              <w:rPr>
                <w:b/>
                <w:bCs/>
                <w:sz w:val="26"/>
                <w:szCs w:val="26"/>
              </w:rPr>
              <w:t xml:space="preserve">Central State Media is a Certified BEP firm.  </w:t>
            </w:r>
          </w:p>
        </w:tc>
      </w:tr>
      <w:tr w:rsidR="002F2D48" w:rsidRPr="00353536" w14:paraId="31D27605" w14:textId="77777777" w:rsidTr="00BD5FE0">
        <w:trPr>
          <w:trHeight w:val="432"/>
        </w:trPr>
        <w:tc>
          <w:tcPr>
            <w:tcW w:w="450" w:type="dxa"/>
            <w:tcBorders>
              <w:bottom w:val="single" w:sz="18" w:space="0" w:color="auto"/>
            </w:tcBorders>
          </w:tcPr>
          <w:p w14:paraId="4B44AAE9" w14:textId="77777777" w:rsidR="002F2D48" w:rsidRPr="00353536" w:rsidRDefault="002F2D48" w:rsidP="00F6377E">
            <w:pPr>
              <w:pStyle w:val="NoSpacing"/>
              <w:rPr>
                <w:sz w:val="26"/>
                <w:szCs w:val="26"/>
              </w:rPr>
            </w:pPr>
          </w:p>
        </w:tc>
        <w:tc>
          <w:tcPr>
            <w:tcW w:w="990" w:type="dxa"/>
            <w:tcBorders>
              <w:bottom w:val="single" w:sz="18" w:space="0" w:color="auto"/>
            </w:tcBorders>
          </w:tcPr>
          <w:p w14:paraId="245D903A" w14:textId="77777777" w:rsidR="002F2D48" w:rsidRPr="00353536" w:rsidRDefault="002F2D48" w:rsidP="00F6377E">
            <w:pPr>
              <w:pStyle w:val="NoSpacing"/>
              <w:rPr>
                <w:sz w:val="26"/>
                <w:szCs w:val="26"/>
              </w:rPr>
            </w:pPr>
          </w:p>
        </w:tc>
        <w:tc>
          <w:tcPr>
            <w:tcW w:w="7920" w:type="dxa"/>
            <w:tcBorders>
              <w:bottom w:val="single" w:sz="18" w:space="0" w:color="auto"/>
            </w:tcBorders>
          </w:tcPr>
          <w:p w14:paraId="3472C3E8" w14:textId="77777777" w:rsidR="00080C61" w:rsidRDefault="00080C61" w:rsidP="00080C61">
            <w:pPr>
              <w:tabs>
                <w:tab w:val="left" w:pos="-720"/>
                <w:tab w:val="left" w:pos="9090"/>
              </w:tabs>
              <w:suppressAutoHyphens/>
              <w:overflowPunct w:val="0"/>
              <w:autoSpaceDE w:val="0"/>
              <w:autoSpaceDN w:val="0"/>
              <w:adjustRightInd w:val="0"/>
              <w:spacing w:after="0" w:line="240" w:lineRule="auto"/>
              <w:textAlignment w:val="baseline"/>
              <w:rPr>
                <w:szCs w:val="26"/>
              </w:rPr>
            </w:pPr>
          </w:p>
        </w:tc>
      </w:tr>
    </w:tbl>
    <w:p w14:paraId="33C686F8" w14:textId="6F1D6868" w:rsidR="0076023D" w:rsidRPr="00353536" w:rsidRDefault="0076023D" w:rsidP="002C343C">
      <w:pPr>
        <w:pStyle w:val="NoSpacing"/>
        <w:rPr>
          <w:rFonts w:eastAsia="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SUMMARY OF PURCHASES</w:t>
            </w:r>
          </w:p>
        </w:tc>
      </w:tr>
      <w:tr w:rsidR="00361DE1" w:rsidRPr="00353536" w14:paraId="5E95681F" w14:textId="77777777" w:rsidTr="00A05784">
        <w:trPr>
          <w:trHeight w:val="394"/>
        </w:trPr>
        <w:tc>
          <w:tcPr>
            <w:tcW w:w="5693" w:type="dxa"/>
          </w:tcPr>
          <w:p w14:paraId="568ECDE7" w14:textId="3B51AA69" w:rsidR="00361DE1" w:rsidRPr="00353536" w:rsidRDefault="00361DE1"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University of Illinois</w:t>
            </w:r>
            <w:r>
              <w:rPr>
                <w:rFonts w:eastAsia="Times New Roman"/>
                <w:szCs w:val="26"/>
              </w:rPr>
              <w:t xml:space="preserve"> </w:t>
            </w:r>
            <w:r w:rsidR="002F2D48">
              <w:rPr>
                <w:rFonts w:eastAsia="Times New Roman"/>
                <w:szCs w:val="26"/>
              </w:rPr>
              <w:t>Urbana-Champaign</w:t>
            </w:r>
          </w:p>
        </w:tc>
        <w:tc>
          <w:tcPr>
            <w:tcW w:w="1902" w:type="dxa"/>
            <w:shd w:val="clear" w:color="auto" w:fill="auto"/>
          </w:tcPr>
          <w:p w14:paraId="3F7DF7BA" w14:textId="6218AC9E" w:rsidR="00361DE1" w:rsidRPr="0097228A" w:rsidRDefault="00361DE1" w:rsidP="002D64CF">
            <w:pPr>
              <w:overflowPunct w:val="0"/>
              <w:autoSpaceDE w:val="0"/>
              <w:autoSpaceDN w:val="0"/>
              <w:adjustRightInd w:val="0"/>
              <w:spacing w:after="0" w:line="240" w:lineRule="auto"/>
              <w:jc w:val="right"/>
              <w:textAlignment w:val="baseline"/>
              <w:rPr>
                <w:rFonts w:eastAsia="Times New Roman"/>
                <w:szCs w:val="26"/>
              </w:rPr>
            </w:pPr>
            <w:r w:rsidRPr="0097228A">
              <w:rPr>
                <w:rFonts w:eastAsia="Times New Roman"/>
                <w:szCs w:val="26"/>
              </w:rPr>
              <w:t>$</w:t>
            </w:r>
            <w:r w:rsidR="002D16F8">
              <w:rPr>
                <w:rFonts w:eastAsia="Times New Roman"/>
                <w:szCs w:val="26"/>
              </w:rPr>
              <w:t xml:space="preserve"> </w:t>
            </w:r>
            <w:r w:rsidR="002D64CF">
              <w:rPr>
                <w:rFonts w:eastAsia="Times New Roman"/>
                <w:szCs w:val="26"/>
              </w:rPr>
              <w:t xml:space="preserve"> </w:t>
            </w:r>
            <w:r w:rsidR="002D16F8">
              <w:rPr>
                <w:rFonts w:eastAsia="Times New Roman"/>
                <w:szCs w:val="26"/>
              </w:rPr>
              <w:t>28</w:t>
            </w:r>
            <w:r w:rsidR="0097228A">
              <w:rPr>
                <w:rFonts w:eastAsia="Times New Roman"/>
                <w:szCs w:val="26"/>
              </w:rPr>
              <w:t>,</w:t>
            </w:r>
            <w:r w:rsidR="002D16F8">
              <w:rPr>
                <w:rFonts w:eastAsia="Times New Roman"/>
                <w:szCs w:val="26"/>
              </w:rPr>
              <w:t>595</w:t>
            </w:r>
            <w:r w:rsidR="0097228A">
              <w:rPr>
                <w:rFonts w:eastAsia="Times New Roman"/>
                <w:szCs w:val="26"/>
              </w:rPr>
              <w:t>,</w:t>
            </w:r>
            <w:r w:rsidR="002D16F8">
              <w:rPr>
                <w:rFonts w:eastAsia="Times New Roman"/>
                <w:szCs w:val="26"/>
              </w:rPr>
              <w:t>9</w:t>
            </w:r>
            <w:r w:rsidR="0097228A">
              <w:rPr>
                <w:rFonts w:eastAsia="Times New Roman"/>
                <w:szCs w:val="26"/>
              </w:rPr>
              <w:t>00</w:t>
            </w:r>
          </w:p>
        </w:tc>
      </w:tr>
      <w:tr w:rsidR="000E15C9" w:rsidRPr="00353536" w14:paraId="3EBF655C" w14:textId="77777777" w:rsidTr="00A05784">
        <w:trPr>
          <w:trHeight w:val="394"/>
        </w:trPr>
        <w:tc>
          <w:tcPr>
            <w:tcW w:w="5693" w:type="dxa"/>
          </w:tcPr>
          <w:p w14:paraId="78561DD1" w14:textId="6EEF966C" w:rsidR="000E15C9" w:rsidRPr="00353536" w:rsidRDefault="000E15C9"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 xml:space="preserve">University of Illinois </w:t>
            </w:r>
            <w:r w:rsidR="002F2D48">
              <w:rPr>
                <w:rFonts w:eastAsia="Times New Roman"/>
                <w:szCs w:val="26"/>
              </w:rPr>
              <w:t>Chicago</w:t>
            </w:r>
          </w:p>
        </w:tc>
        <w:tc>
          <w:tcPr>
            <w:tcW w:w="1902" w:type="dxa"/>
            <w:shd w:val="clear" w:color="auto" w:fill="auto"/>
          </w:tcPr>
          <w:p w14:paraId="1AC2D057" w14:textId="7326BFE6" w:rsidR="000E15C9" w:rsidRPr="0097228A" w:rsidRDefault="002D64CF" w:rsidP="002D64CF">
            <w:pPr>
              <w:overflowPunct w:val="0"/>
              <w:autoSpaceDE w:val="0"/>
              <w:autoSpaceDN w:val="0"/>
              <w:adjustRightInd w:val="0"/>
              <w:spacing w:after="0" w:line="240" w:lineRule="auto"/>
              <w:jc w:val="right"/>
              <w:textAlignment w:val="baseline"/>
              <w:rPr>
                <w:rFonts w:eastAsia="Times New Roman"/>
                <w:szCs w:val="26"/>
              </w:rPr>
            </w:pPr>
            <w:r>
              <w:rPr>
                <w:rFonts w:eastAsia="Times New Roman"/>
                <w:szCs w:val="26"/>
              </w:rPr>
              <w:t>$162,000,000</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color w:val="000000"/>
                <w:szCs w:val="26"/>
              </w:rPr>
              <w:t>Grand Total</w:t>
            </w:r>
          </w:p>
        </w:tc>
        <w:tc>
          <w:tcPr>
            <w:tcW w:w="1902" w:type="dxa"/>
            <w:shd w:val="clear" w:color="auto" w:fill="auto"/>
          </w:tcPr>
          <w:p w14:paraId="0B588B2D" w14:textId="054924E2" w:rsidR="002C343C" w:rsidRPr="0097228A" w:rsidRDefault="002C343C" w:rsidP="002D64CF">
            <w:pPr>
              <w:overflowPunct w:val="0"/>
              <w:autoSpaceDE w:val="0"/>
              <w:autoSpaceDN w:val="0"/>
              <w:adjustRightInd w:val="0"/>
              <w:spacing w:after="0" w:line="240" w:lineRule="auto"/>
              <w:jc w:val="right"/>
              <w:textAlignment w:val="baseline"/>
              <w:rPr>
                <w:rFonts w:eastAsia="Times New Roman"/>
                <w:szCs w:val="26"/>
              </w:rPr>
            </w:pPr>
            <w:r w:rsidRPr="0097228A">
              <w:rPr>
                <w:rFonts w:eastAsia="Times New Roman"/>
                <w:szCs w:val="26"/>
              </w:rPr>
              <w:t>$</w:t>
            </w:r>
            <w:r w:rsidR="002D64CF">
              <w:rPr>
                <w:rFonts w:eastAsia="Times New Roman"/>
                <w:szCs w:val="26"/>
              </w:rPr>
              <w:t>190</w:t>
            </w:r>
            <w:r w:rsidR="00464D6F">
              <w:rPr>
                <w:rFonts w:eastAsia="Times New Roman"/>
                <w:szCs w:val="26"/>
              </w:rPr>
              <w:t>,</w:t>
            </w:r>
            <w:r w:rsidR="00AB7216">
              <w:rPr>
                <w:rFonts w:eastAsia="Times New Roman"/>
                <w:szCs w:val="26"/>
              </w:rPr>
              <w:t>59</w:t>
            </w:r>
            <w:r w:rsidR="002D16F8">
              <w:rPr>
                <w:rFonts w:eastAsia="Times New Roman"/>
                <w:szCs w:val="26"/>
              </w:rPr>
              <w:t>5</w:t>
            </w:r>
            <w:r w:rsidR="00464D6F">
              <w:rPr>
                <w:rFonts w:eastAsia="Times New Roman"/>
                <w:szCs w:val="26"/>
              </w:rPr>
              <w:t>,9</w:t>
            </w:r>
            <w:r w:rsidR="00AB7216">
              <w:rPr>
                <w:rFonts w:eastAsia="Times New Roman"/>
                <w:szCs w:val="26"/>
              </w:rPr>
              <w:t>0</w:t>
            </w:r>
            <w:r w:rsidR="002D16F8">
              <w:rPr>
                <w:rFonts w:eastAsia="Times New Roman"/>
                <w:szCs w:val="26"/>
              </w:rPr>
              <w:t>0</w:t>
            </w:r>
          </w:p>
        </w:tc>
      </w:tr>
      <w:tr w:rsidR="00A53454" w:rsidRPr="00353536" w14:paraId="5E40F003" w14:textId="77777777" w:rsidTr="00A05784">
        <w:trPr>
          <w:trHeight w:val="394"/>
        </w:trPr>
        <w:tc>
          <w:tcPr>
            <w:tcW w:w="5693" w:type="dxa"/>
          </w:tcPr>
          <w:p w14:paraId="6F8FE53B" w14:textId="77777777" w:rsidR="00A53454" w:rsidRPr="00353536" w:rsidRDefault="00A53454" w:rsidP="009412F7">
            <w:pPr>
              <w:overflowPunct w:val="0"/>
              <w:autoSpaceDE w:val="0"/>
              <w:autoSpaceDN w:val="0"/>
              <w:adjustRightInd w:val="0"/>
              <w:spacing w:after="0" w:line="240" w:lineRule="auto"/>
              <w:textAlignment w:val="baseline"/>
              <w:rPr>
                <w:rFonts w:eastAsia="Times New Roman"/>
                <w:szCs w:val="26"/>
              </w:rPr>
            </w:pPr>
          </w:p>
        </w:tc>
        <w:tc>
          <w:tcPr>
            <w:tcW w:w="1902" w:type="dxa"/>
            <w:shd w:val="clear" w:color="auto" w:fill="auto"/>
          </w:tcPr>
          <w:p w14:paraId="7E5A0363" w14:textId="77777777" w:rsidR="00A53454" w:rsidRPr="00353536" w:rsidRDefault="00A53454" w:rsidP="00AD2AF9">
            <w:pPr>
              <w:overflowPunct w:val="0"/>
              <w:autoSpaceDE w:val="0"/>
              <w:autoSpaceDN w:val="0"/>
              <w:adjustRightInd w:val="0"/>
              <w:spacing w:after="0" w:line="240" w:lineRule="auto"/>
              <w:textAlignment w:val="baseline"/>
              <w:rPr>
                <w:rFonts w:eastAsia="Times New Roman"/>
                <w:szCs w:val="26"/>
                <w:highlight w:val="yellow"/>
              </w:rPr>
            </w:pPr>
          </w:p>
        </w:tc>
      </w:tr>
      <w:tr w:rsidR="00A53454" w:rsidRPr="00353536" w14:paraId="61494642" w14:textId="77777777" w:rsidTr="00FC7ED3">
        <w:trPr>
          <w:trHeight w:val="350"/>
        </w:trPr>
        <w:tc>
          <w:tcPr>
            <w:tcW w:w="7595" w:type="dxa"/>
            <w:gridSpan w:val="2"/>
          </w:tcPr>
          <w:p w14:paraId="7DB9F06B" w14:textId="2C629E05"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rPr>
            </w:pPr>
            <w:r w:rsidRPr="00353536">
              <w:rPr>
                <w:rFonts w:eastAsia="Times New Roman"/>
                <w:b/>
                <w:szCs w:val="26"/>
              </w:rPr>
              <w:t xml:space="preserve">SUMMARY OF </w:t>
            </w:r>
            <w:r>
              <w:rPr>
                <w:rFonts w:eastAsia="Times New Roman"/>
                <w:b/>
                <w:szCs w:val="26"/>
              </w:rPr>
              <w:t>CHANGE ORDERS</w:t>
            </w:r>
          </w:p>
        </w:tc>
      </w:tr>
      <w:tr w:rsidR="002F2D48" w:rsidRPr="00353536" w14:paraId="76E5AA4B" w14:textId="77777777" w:rsidTr="00A05784">
        <w:trPr>
          <w:trHeight w:val="350"/>
        </w:trPr>
        <w:tc>
          <w:tcPr>
            <w:tcW w:w="5693" w:type="dxa"/>
          </w:tcPr>
          <w:p w14:paraId="173C473F" w14:textId="71461047" w:rsidR="002F2D48" w:rsidRDefault="002F2D48"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6273A">
              <w:rPr>
                <w:rFonts w:eastAsia="Times New Roman"/>
                <w:bCs/>
                <w:szCs w:val="26"/>
              </w:rPr>
              <w:t xml:space="preserve">University of Illinois </w:t>
            </w:r>
            <w:r>
              <w:rPr>
                <w:rFonts w:eastAsia="Times New Roman"/>
                <w:bCs/>
                <w:szCs w:val="26"/>
              </w:rPr>
              <w:t>Urbana-Champaign</w:t>
            </w:r>
          </w:p>
        </w:tc>
        <w:tc>
          <w:tcPr>
            <w:tcW w:w="1902" w:type="dxa"/>
            <w:shd w:val="clear" w:color="auto" w:fill="auto"/>
          </w:tcPr>
          <w:p w14:paraId="7E8607C9" w14:textId="588F80CB" w:rsidR="002F2D48" w:rsidRPr="00821EB7" w:rsidRDefault="00F3539B" w:rsidP="002D64CF">
            <w:pPr>
              <w:overflowPunct w:val="0"/>
              <w:autoSpaceDE w:val="0"/>
              <w:autoSpaceDN w:val="0"/>
              <w:adjustRightInd w:val="0"/>
              <w:spacing w:after="0" w:line="240" w:lineRule="auto"/>
              <w:jc w:val="right"/>
              <w:textAlignment w:val="baseline"/>
              <w:rPr>
                <w:rFonts w:eastAsia="Times New Roman"/>
                <w:szCs w:val="26"/>
              </w:rPr>
            </w:pPr>
            <w:r>
              <w:rPr>
                <w:rFonts w:eastAsia="Times New Roman"/>
                <w:szCs w:val="26"/>
              </w:rPr>
              <w:t xml:space="preserve">$ </w:t>
            </w:r>
            <w:r w:rsidR="002D16F8">
              <w:rPr>
                <w:rFonts w:eastAsia="Times New Roman"/>
                <w:szCs w:val="26"/>
              </w:rPr>
              <w:t>6</w:t>
            </w:r>
            <w:r>
              <w:rPr>
                <w:rFonts w:eastAsia="Times New Roman"/>
                <w:szCs w:val="26"/>
              </w:rPr>
              <w:t>,0</w:t>
            </w:r>
            <w:r w:rsidR="002D16F8">
              <w:rPr>
                <w:rFonts w:eastAsia="Times New Roman"/>
                <w:szCs w:val="26"/>
              </w:rPr>
              <w:t>00</w:t>
            </w:r>
            <w:r>
              <w:rPr>
                <w:rFonts w:eastAsia="Times New Roman"/>
                <w:szCs w:val="26"/>
              </w:rPr>
              <w:t>,000</w:t>
            </w:r>
          </w:p>
        </w:tc>
      </w:tr>
      <w:tr w:rsidR="00A53454" w:rsidRPr="00353536" w14:paraId="5449BA2F" w14:textId="77777777" w:rsidTr="00A05784">
        <w:trPr>
          <w:trHeight w:val="350"/>
        </w:trPr>
        <w:tc>
          <w:tcPr>
            <w:tcW w:w="5693" w:type="dxa"/>
          </w:tcPr>
          <w:p w14:paraId="41FBB381" w14:textId="359E226F"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 xml:space="preserve">Recommended from </w:t>
            </w:r>
            <w:r>
              <w:rPr>
                <w:rFonts w:eastAsia="Times New Roman"/>
                <w:color w:val="000000"/>
                <w:szCs w:val="26"/>
              </w:rPr>
              <w:t>Institutional</w:t>
            </w:r>
            <w:r w:rsidRPr="00353536">
              <w:rPr>
                <w:rFonts w:eastAsia="Times New Roman"/>
                <w:color w:val="000000"/>
                <w:szCs w:val="26"/>
              </w:rPr>
              <w:t xml:space="preserve"> Funds</w:t>
            </w:r>
          </w:p>
          <w:p w14:paraId="14C85AB8" w14:textId="702231E1"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Grand Total</w:t>
            </w:r>
          </w:p>
        </w:tc>
        <w:tc>
          <w:tcPr>
            <w:tcW w:w="1902" w:type="dxa"/>
            <w:shd w:val="clear" w:color="auto" w:fill="auto"/>
          </w:tcPr>
          <w:p w14:paraId="654CF46C" w14:textId="73249A9D" w:rsidR="00CC0310" w:rsidRPr="00F3539B" w:rsidRDefault="00540E60" w:rsidP="002D64CF">
            <w:pPr>
              <w:overflowPunct w:val="0"/>
              <w:autoSpaceDE w:val="0"/>
              <w:autoSpaceDN w:val="0"/>
              <w:adjustRightInd w:val="0"/>
              <w:spacing w:after="0" w:line="240" w:lineRule="auto"/>
              <w:jc w:val="right"/>
              <w:textAlignment w:val="baseline"/>
              <w:rPr>
                <w:rFonts w:eastAsia="Times New Roman"/>
                <w:szCs w:val="26"/>
              </w:rPr>
            </w:pPr>
            <w:r w:rsidRPr="00F3539B">
              <w:rPr>
                <w:rFonts w:eastAsia="Times New Roman"/>
                <w:szCs w:val="26"/>
              </w:rPr>
              <w:t xml:space="preserve">$ </w:t>
            </w:r>
            <w:r w:rsidR="002D16F8">
              <w:rPr>
                <w:rFonts w:eastAsia="Times New Roman"/>
                <w:szCs w:val="26"/>
              </w:rPr>
              <w:t>6</w:t>
            </w:r>
            <w:r w:rsidR="00CC0310">
              <w:rPr>
                <w:rFonts w:eastAsia="Times New Roman"/>
                <w:szCs w:val="26"/>
              </w:rPr>
              <w:t>,</w:t>
            </w:r>
            <w:r w:rsidR="002D16F8">
              <w:rPr>
                <w:rFonts w:eastAsia="Times New Roman"/>
                <w:szCs w:val="26"/>
              </w:rPr>
              <w:t>000</w:t>
            </w:r>
            <w:r w:rsidR="00CC0310">
              <w:rPr>
                <w:rFonts w:eastAsia="Times New Roman"/>
                <w:szCs w:val="26"/>
              </w:rPr>
              <w:t>,</w:t>
            </w:r>
            <w:r w:rsidR="002D16F8">
              <w:rPr>
                <w:rFonts w:eastAsia="Times New Roman"/>
                <w:szCs w:val="26"/>
              </w:rPr>
              <w:t>0</w:t>
            </w:r>
            <w:r w:rsidR="00CC0310">
              <w:rPr>
                <w:rFonts w:eastAsia="Times New Roman"/>
                <w:szCs w:val="26"/>
              </w:rPr>
              <w:t>00</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C130DB">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7FB15" w14:textId="77777777" w:rsidR="00824628" w:rsidRDefault="00824628" w:rsidP="00A817DF">
      <w:pPr>
        <w:spacing w:after="0" w:line="240" w:lineRule="auto"/>
      </w:pPr>
      <w:r>
        <w:separator/>
      </w:r>
    </w:p>
  </w:endnote>
  <w:endnote w:type="continuationSeparator" w:id="0">
    <w:p w14:paraId="2748D94F" w14:textId="77777777" w:rsidR="00824628" w:rsidRDefault="00824628"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9B34E" w14:textId="77777777" w:rsidR="00824628" w:rsidRDefault="00824628" w:rsidP="00A817DF">
      <w:pPr>
        <w:spacing w:after="0" w:line="240" w:lineRule="auto"/>
      </w:pPr>
      <w:r>
        <w:separator/>
      </w:r>
    </w:p>
  </w:footnote>
  <w:footnote w:type="continuationSeparator" w:id="0">
    <w:p w14:paraId="64922633" w14:textId="77777777" w:rsidR="00824628" w:rsidRDefault="00824628"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2BC0273A"/>
    <w:multiLevelType w:val="hybridMultilevel"/>
    <w:tmpl w:val="0B6A633C"/>
    <w:lvl w:ilvl="0" w:tplc="84A8B3E0">
      <w:numFmt w:val="bullet"/>
      <w:lvlText w:val=""/>
      <w:lvlJc w:val="left"/>
      <w:pPr>
        <w:ind w:left="950" w:hanging="360"/>
      </w:pPr>
      <w:rPr>
        <w:rFonts w:ascii="Symbol" w:eastAsia="Symbol" w:hAnsi="Symbol" w:cs="Symbol" w:hint="default"/>
        <w:b w:val="0"/>
        <w:bCs w:val="0"/>
        <w:i w:val="0"/>
        <w:iCs w:val="0"/>
        <w:spacing w:val="0"/>
        <w:w w:val="100"/>
        <w:sz w:val="24"/>
        <w:szCs w:val="24"/>
        <w:lang w:val="en-US" w:eastAsia="en-US" w:bidi="ar-SA"/>
      </w:rPr>
    </w:lvl>
    <w:lvl w:ilvl="1" w:tplc="3D0C6B86">
      <w:numFmt w:val="bullet"/>
      <w:lvlText w:val="•"/>
      <w:lvlJc w:val="left"/>
      <w:pPr>
        <w:ind w:left="1896" w:hanging="360"/>
      </w:pPr>
      <w:rPr>
        <w:rFonts w:hint="default"/>
        <w:lang w:val="en-US" w:eastAsia="en-US" w:bidi="ar-SA"/>
      </w:rPr>
    </w:lvl>
    <w:lvl w:ilvl="2" w:tplc="6600850C">
      <w:numFmt w:val="bullet"/>
      <w:lvlText w:val="•"/>
      <w:lvlJc w:val="left"/>
      <w:pPr>
        <w:ind w:left="2832" w:hanging="360"/>
      </w:pPr>
      <w:rPr>
        <w:rFonts w:hint="default"/>
        <w:lang w:val="en-US" w:eastAsia="en-US" w:bidi="ar-SA"/>
      </w:rPr>
    </w:lvl>
    <w:lvl w:ilvl="3" w:tplc="7E08785A">
      <w:numFmt w:val="bullet"/>
      <w:lvlText w:val="•"/>
      <w:lvlJc w:val="left"/>
      <w:pPr>
        <w:ind w:left="3768" w:hanging="360"/>
      </w:pPr>
      <w:rPr>
        <w:rFonts w:hint="default"/>
        <w:lang w:val="en-US" w:eastAsia="en-US" w:bidi="ar-SA"/>
      </w:rPr>
    </w:lvl>
    <w:lvl w:ilvl="4" w:tplc="A2343B14">
      <w:numFmt w:val="bullet"/>
      <w:lvlText w:val="•"/>
      <w:lvlJc w:val="left"/>
      <w:pPr>
        <w:ind w:left="4704" w:hanging="360"/>
      </w:pPr>
      <w:rPr>
        <w:rFonts w:hint="default"/>
        <w:lang w:val="en-US" w:eastAsia="en-US" w:bidi="ar-SA"/>
      </w:rPr>
    </w:lvl>
    <w:lvl w:ilvl="5" w:tplc="E8B27C08">
      <w:numFmt w:val="bullet"/>
      <w:lvlText w:val="•"/>
      <w:lvlJc w:val="left"/>
      <w:pPr>
        <w:ind w:left="5640" w:hanging="360"/>
      </w:pPr>
      <w:rPr>
        <w:rFonts w:hint="default"/>
        <w:lang w:val="en-US" w:eastAsia="en-US" w:bidi="ar-SA"/>
      </w:rPr>
    </w:lvl>
    <w:lvl w:ilvl="6" w:tplc="B692885E">
      <w:numFmt w:val="bullet"/>
      <w:lvlText w:val="•"/>
      <w:lvlJc w:val="left"/>
      <w:pPr>
        <w:ind w:left="6576" w:hanging="360"/>
      </w:pPr>
      <w:rPr>
        <w:rFonts w:hint="default"/>
        <w:lang w:val="en-US" w:eastAsia="en-US" w:bidi="ar-SA"/>
      </w:rPr>
    </w:lvl>
    <w:lvl w:ilvl="7" w:tplc="228E22BE">
      <w:numFmt w:val="bullet"/>
      <w:lvlText w:val="•"/>
      <w:lvlJc w:val="left"/>
      <w:pPr>
        <w:ind w:left="7512" w:hanging="360"/>
      </w:pPr>
      <w:rPr>
        <w:rFonts w:hint="default"/>
        <w:lang w:val="en-US" w:eastAsia="en-US" w:bidi="ar-SA"/>
      </w:rPr>
    </w:lvl>
    <w:lvl w:ilvl="8" w:tplc="36E42AC2">
      <w:numFmt w:val="bullet"/>
      <w:lvlText w:val="•"/>
      <w:lvlJc w:val="left"/>
      <w:pPr>
        <w:ind w:left="8448" w:hanging="360"/>
      </w:pPr>
      <w:rPr>
        <w:rFonts w:hint="default"/>
        <w:lang w:val="en-US" w:eastAsia="en-US" w:bidi="ar-SA"/>
      </w:rPr>
    </w:lvl>
  </w:abstractNum>
  <w:abstractNum w:abstractNumId="8"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54B41"/>
    <w:multiLevelType w:val="hybridMultilevel"/>
    <w:tmpl w:val="777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2"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8595F"/>
    <w:multiLevelType w:val="hybridMultilevel"/>
    <w:tmpl w:val="AF0E4D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4854B5B"/>
    <w:multiLevelType w:val="hybridMultilevel"/>
    <w:tmpl w:val="4588C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D69E9"/>
    <w:multiLevelType w:val="hybridMultilevel"/>
    <w:tmpl w:val="BC98B2EE"/>
    <w:lvl w:ilvl="0" w:tplc="D48210FA">
      <w:numFmt w:val="bullet"/>
      <w:lvlText w:val=""/>
      <w:lvlJc w:val="left"/>
      <w:pPr>
        <w:ind w:left="880" w:hanging="360"/>
      </w:pPr>
      <w:rPr>
        <w:rFonts w:ascii="Symbol" w:eastAsia="Symbol" w:hAnsi="Symbol" w:cs="Symbol" w:hint="default"/>
        <w:spacing w:val="0"/>
        <w:w w:val="98"/>
        <w:lang w:val="en-US" w:eastAsia="en-US" w:bidi="ar-SA"/>
      </w:rPr>
    </w:lvl>
    <w:lvl w:ilvl="1" w:tplc="C07613A0">
      <w:numFmt w:val="bullet"/>
      <w:lvlText w:val="•"/>
      <w:lvlJc w:val="left"/>
      <w:pPr>
        <w:ind w:left="1756" w:hanging="360"/>
      </w:pPr>
      <w:rPr>
        <w:lang w:val="en-US" w:eastAsia="en-US" w:bidi="ar-SA"/>
      </w:rPr>
    </w:lvl>
    <w:lvl w:ilvl="2" w:tplc="3F0C0978">
      <w:numFmt w:val="bullet"/>
      <w:lvlText w:val="•"/>
      <w:lvlJc w:val="left"/>
      <w:pPr>
        <w:ind w:left="2632" w:hanging="360"/>
      </w:pPr>
      <w:rPr>
        <w:lang w:val="en-US" w:eastAsia="en-US" w:bidi="ar-SA"/>
      </w:rPr>
    </w:lvl>
    <w:lvl w:ilvl="3" w:tplc="B2808D90">
      <w:numFmt w:val="bullet"/>
      <w:lvlText w:val="•"/>
      <w:lvlJc w:val="left"/>
      <w:pPr>
        <w:ind w:left="3508" w:hanging="360"/>
      </w:pPr>
      <w:rPr>
        <w:lang w:val="en-US" w:eastAsia="en-US" w:bidi="ar-SA"/>
      </w:rPr>
    </w:lvl>
    <w:lvl w:ilvl="4" w:tplc="6DDC2C2A">
      <w:numFmt w:val="bullet"/>
      <w:lvlText w:val="•"/>
      <w:lvlJc w:val="left"/>
      <w:pPr>
        <w:ind w:left="4384" w:hanging="360"/>
      </w:pPr>
      <w:rPr>
        <w:lang w:val="en-US" w:eastAsia="en-US" w:bidi="ar-SA"/>
      </w:rPr>
    </w:lvl>
    <w:lvl w:ilvl="5" w:tplc="A5BEEA74">
      <w:numFmt w:val="bullet"/>
      <w:lvlText w:val="•"/>
      <w:lvlJc w:val="left"/>
      <w:pPr>
        <w:ind w:left="5260" w:hanging="360"/>
      </w:pPr>
      <w:rPr>
        <w:lang w:val="en-US" w:eastAsia="en-US" w:bidi="ar-SA"/>
      </w:rPr>
    </w:lvl>
    <w:lvl w:ilvl="6" w:tplc="2BB07F90">
      <w:numFmt w:val="bullet"/>
      <w:lvlText w:val="•"/>
      <w:lvlJc w:val="left"/>
      <w:pPr>
        <w:ind w:left="6136" w:hanging="360"/>
      </w:pPr>
      <w:rPr>
        <w:lang w:val="en-US" w:eastAsia="en-US" w:bidi="ar-SA"/>
      </w:rPr>
    </w:lvl>
    <w:lvl w:ilvl="7" w:tplc="5D2616F0">
      <w:numFmt w:val="bullet"/>
      <w:lvlText w:val="•"/>
      <w:lvlJc w:val="left"/>
      <w:pPr>
        <w:ind w:left="7012" w:hanging="360"/>
      </w:pPr>
      <w:rPr>
        <w:lang w:val="en-US" w:eastAsia="en-US" w:bidi="ar-SA"/>
      </w:rPr>
    </w:lvl>
    <w:lvl w:ilvl="8" w:tplc="3F0C2C00">
      <w:numFmt w:val="bullet"/>
      <w:lvlText w:val="•"/>
      <w:lvlJc w:val="left"/>
      <w:pPr>
        <w:ind w:left="7888" w:hanging="360"/>
      </w:pPr>
      <w:rPr>
        <w:lang w:val="en-US" w:eastAsia="en-US" w:bidi="ar-SA"/>
      </w:rPr>
    </w:lvl>
  </w:abstractNum>
  <w:abstractNum w:abstractNumId="19"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6"/>
  </w:num>
  <w:num w:numId="2" w16cid:durableId="70201751">
    <w:abstractNumId w:val="19"/>
  </w:num>
  <w:num w:numId="3" w16cid:durableId="1048265266">
    <w:abstractNumId w:val="17"/>
  </w:num>
  <w:num w:numId="4" w16cid:durableId="1585650123">
    <w:abstractNumId w:val="3"/>
  </w:num>
  <w:num w:numId="5" w16cid:durableId="838888282">
    <w:abstractNumId w:val="1"/>
  </w:num>
  <w:num w:numId="6" w16cid:durableId="1045367517">
    <w:abstractNumId w:val="9"/>
  </w:num>
  <w:num w:numId="7" w16cid:durableId="897666194">
    <w:abstractNumId w:val="13"/>
  </w:num>
  <w:num w:numId="8" w16cid:durableId="2017615362">
    <w:abstractNumId w:val="20"/>
  </w:num>
  <w:num w:numId="9" w16cid:durableId="826671625">
    <w:abstractNumId w:val="12"/>
  </w:num>
  <w:num w:numId="10" w16cid:durableId="1128474828">
    <w:abstractNumId w:val="5"/>
  </w:num>
  <w:num w:numId="11" w16cid:durableId="402604075">
    <w:abstractNumId w:val="2"/>
  </w:num>
  <w:num w:numId="12" w16cid:durableId="2074963495">
    <w:abstractNumId w:val="6"/>
  </w:num>
  <w:num w:numId="13" w16cid:durableId="987980008">
    <w:abstractNumId w:val="8"/>
  </w:num>
  <w:num w:numId="14" w16cid:durableId="1276791993">
    <w:abstractNumId w:val="21"/>
  </w:num>
  <w:num w:numId="15" w16cid:durableId="2070229302">
    <w:abstractNumId w:val="4"/>
  </w:num>
  <w:num w:numId="16" w16cid:durableId="1960799502">
    <w:abstractNumId w:val="22"/>
  </w:num>
  <w:num w:numId="17" w16cid:durableId="1029793834">
    <w:abstractNumId w:val="0"/>
  </w:num>
  <w:num w:numId="18" w16cid:durableId="188757344">
    <w:abstractNumId w:val="11"/>
  </w:num>
  <w:num w:numId="19" w16cid:durableId="1343359715">
    <w:abstractNumId w:val="15"/>
  </w:num>
  <w:num w:numId="20" w16cid:durableId="1016230080">
    <w:abstractNumId w:val="14"/>
  </w:num>
  <w:num w:numId="21" w16cid:durableId="630331661">
    <w:abstractNumId w:val="10"/>
  </w:num>
  <w:num w:numId="22" w16cid:durableId="536822556">
    <w:abstractNumId w:val="7"/>
  </w:num>
  <w:num w:numId="23" w16cid:durableId="449904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31A9"/>
    <w:rsid w:val="00004D4E"/>
    <w:rsid w:val="00010EA7"/>
    <w:rsid w:val="00012052"/>
    <w:rsid w:val="000143EE"/>
    <w:rsid w:val="00015DC9"/>
    <w:rsid w:val="00040E89"/>
    <w:rsid w:val="00044FA0"/>
    <w:rsid w:val="00045674"/>
    <w:rsid w:val="00050736"/>
    <w:rsid w:val="00060939"/>
    <w:rsid w:val="000623F4"/>
    <w:rsid w:val="000628A6"/>
    <w:rsid w:val="000671B9"/>
    <w:rsid w:val="000707D0"/>
    <w:rsid w:val="000715A9"/>
    <w:rsid w:val="00075885"/>
    <w:rsid w:val="00080C61"/>
    <w:rsid w:val="00081788"/>
    <w:rsid w:val="00081B16"/>
    <w:rsid w:val="000833FC"/>
    <w:rsid w:val="00085CAE"/>
    <w:rsid w:val="00086CBF"/>
    <w:rsid w:val="00090A46"/>
    <w:rsid w:val="00091912"/>
    <w:rsid w:val="00091CFA"/>
    <w:rsid w:val="0009228A"/>
    <w:rsid w:val="00094741"/>
    <w:rsid w:val="000A0032"/>
    <w:rsid w:val="000A16D9"/>
    <w:rsid w:val="000B04AB"/>
    <w:rsid w:val="000B3155"/>
    <w:rsid w:val="000B3742"/>
    <w:rsid w:val="000B5B85"/>
    <w:rsid w:val="000B69D6"/>
    <w:rsid w:val="000C2912"/>
    <w:rsid w:val="000C6006"/>
    <w:rsid w:val="000D35D5"/>
    <w:rsid w:val="000D5BC3"/>
    <w:rsid w:val="000D6281"/>
    <w:rsid w:val="000E15C9"/>
    <w:rsid w:val="000E3AD5"/>
    <w:rsid w:val="000E51D1"/>
    <w:rsid w:val="000F53D3"/>
    <w:rsid w:val="000F72ED"/>
    <w:rsid w:val="00112E2B"/>
    <w:rsid w:val="00114F6C"/>
    <w:rsid w:val="00124B96"/>
    <w:rsid w:val="00125422"/>
    <w:rsid w:val="00130E3F"/>
    <w:rsid w:val="00141D9C"/>
    <w:rsid w:val="00144450"/>
    <w:rsid w:val="00151197"/>
    <w:rsid w:val="00152827"/>
    <w:rsid w:val="00160E69"/>
    <w:rsid w:val="001610D8"/>
    <w:rsid w:val="00162A4C"/>
    <w:rsid w:val="00165B0B"/>
    <w:rsid w:val="00172D76"/>
    <w:rsid w:val="001730D7"/>
    <w:rsid w:val="00182841"/>
    <w:rsid w:val="00184765"/>
    <w:rsid w:val="00196069"/>
    <w:rsid w:val="001A0B41"/>
    <w:rsid w:val="001A31BF"/>
    <w:rsid w:val="001A33EE"/>
    <w:rsid w:val="001A4080"/>
    <w:rsid w:val="001A5F67"/>
    <w:rsid w:val="001B2AC1"/>
    <w:rsid w:val="001B4A24"/>
    <w:rsid w:val="001B4AC0"/>
    <w:rsid w:val="001B4D8B"/>
    <w:rsid w:val="001B762B"/>
    <w:rsid w:val="001D3AA7"/>
    <w:rsid w:val="001D78B4"/>
    <w:rsid w:val="001E6078"/>
    <w:rsid w:val="001F257D"/>
    <w:rsid w:val="001F3416"/>
    <w:rsid w:val="001F3C70"/>
    <w:rsid w:val="001F55E7"/>
    <w:rsid w:val="001F5883"/>
    <w:rsid w:val="001F7A96"/>
    <w:rsid w:val="001F7E65"/>
    <w:rsid w:val="00212C6B"/>
    <w:rsid w:val="0021646C"/>
    <w:rsid w:val="002179D7"/>
    <w:rsid w:val="00236489"/>
    <w:rsid w:val="00241688"/>
    <w:rsid w:val="0024234E"/>
    <w:rsid w:val="002450A1"/>
    <w:rsid w:val="00247931"/>
    <w:rsid w:val="00250572"/>
    <w:rsid w:val="00252F86"/>
    <w:rsid w:val="00255F2C"/>
    <w:rsid w:val="002602E8"/>
    <w:rsid w:val="00264C63"/>
    <w:rsid w:val="00271695"/>
    <w:rsid w:val="00271CE3"/>
    <w:rsid w:val="00274904"/>
    <w:rsid w:val="00274EEF"/>
    <w:rsid w:val="00276FA8"/>
    <w:rsid w:val="00277A66"/>
    <w:rsid w:val="00283AEB"/>
    <w:rsid w:val="002870E8"/>
    <w:rsid w:val="00287CC8"/>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16F8"/>
    <w:rsid w:val="002D28AA"/>
    <w:rsid w:val="002D35E7"/>
    <w:rsid w:val="002D4035"/>
    <w:rsid w:val="002D64CF"/>
    <w:rsid w:val="002E0B93"/>
    <w:rsid w:val="002E1375"/>
    <w:rsid w:val="002E31C2"/>
    <w:rsid w:val="002E44F4"/>
    <w:rsid w:val="002F04D8"/>
    <w:rsid w:val="002F2D48"/>
    <w:rsid w:val="002F4DAF"/>
    <w:rsid w:val="003045AE"/>
    <w:rsid w:val="00306B06"/>
    <w:rsid w:val="00307B8F"/>
    <w:rsid w:val="00307D0C"/>
    <w:rsid w:val="00315214"/>
    <w:rsid w:val="00315A3D"/>
    <w:rsid w:val="003175D4"/>
    <w:rsid w:val="00317DD0"/>
    <w:rsid w:val="00333ECF"/>
    <w:rsid w:val="003376C9"/>
    <w:rsid w:val="00343729"/>
    <w:rsid w:val="00346ABB"/>
    <w:rsid w:val="00353536"/>
    <w:rsid w:val="00354DFE"/>
    <w:rsid w:val="00357D48"/>
    <w:rsid w:val="00361DE1"/>
    <w:rsid w:val="00372028"/>
    <w:rsid w:val="00380E12"/>
    <w:rsid w:val="003900FD"/>
    <w:rsid w:val="003907E9"/>
    <w:rsid w:val="00390FC0"/>
    <w:rsid w:val="0039204D"/>
    <w:rsid w:val="00395D90"/>
    <w:rsid w:val="003A175C"/>
    <w:rsid w:val="003A2088"/>
    <w:rsid w:val="003A5B58"/>
    <w:rsid w:val="003B7D68"/>
    <w:rsid w:val="003C4265"/>
    <w:rsid w:val="003D06D9"/>
    <w:rsid w:val="003D1DBE"/>
    <w:rsid w:val="003D312D"/>
    <w:rsid w:val="003D5357"/>
    <w:rsid w:val="003D7C25"/>
    <w:rsid w:val="003E14BF"/>
    <w:rsid w:val="003E1FA3"/>
    <w:rsid w:val="003E42E4"/>
    <w:rsid w:val="003E62CF"/>
    <w:rsid w:val="003F3C8D"/>
    <w:rsid w:val="003F4DDE"/>
    <w:rsid w:val="003F6C7A"/>
    <w:rsid w:val="00416087"/>
    <w:rsid w:val="00420B03"/>
    <w:rsid w:val="00425BB7"/>
    <w:rsid w:val="00426458"/>
    <w:rsid w:val="00427DA3"/>
    <w:rsid w:val="00431751"/>
    <w:rsid w:val="00435F85"/>
    <w:rsid w:val="00437797"/>
    <w:rsid w:val="00450F9C"/>
    <w:rsid w:val="00457CDE"/>
    <w:rsid w:val="00464D6F"/>
    <w:rsid w:val="00467717"/>
    <w:rsid w:val="00470228"/>
    <w:rsid w:val="0047290A"/>
    <w:rsid w:val="00477568"/>
    <w:rsid w:val="00480227"/>
    <w:rsid w:val="00481670"/>
    <w:rsid w:val="0048342A"/>
    <w:rsid w:val="00487510"/>
    <w:rsid w:val="004A1335"/>
    <w:rsid w:val="004A6CB4"/>
    <w:rsid w:val="004A7669"/>
    <w:rsid w:val="004A7B2E"/>
    <w:rsid w:val="004B23AD"/>
    <w:rsid w:val="004B2BDA"/>
    <w:rsid w:val="004C0608"/>
    <w:rsid w:val="004C43B8"/>
    <w:rsid w:val="004E2F4F"/>
    <w:rsid w:val="004F31D7"/>
    <w:rsid w:val="004F787F"/>
    <w:rsid w:val="005122F2"/>
    <w:rsid w:val="00514550"/>
    <w:rsid w:val="005145D8"/>
    <w:rsid w:val="00517741"/>
    <w:rsid w:val="00525289"/>
    <w:rsid w:val="00525D4A"/>
    <w:rsid w:val="00526A44"/>
    <w:rsid w:val="00537F38"/>
    <w:rsid w:val="00540E60"/>
    <w:rsid w:val="00542702"/>
    <w:rsid w:val="00552EB0"/>
    <w:rsid w:val="00555371"/>
    <w:rsid w:val="0057172C"/>
    <w:rsid w:val="005733AC"/>
    <w:rsid w:val="00573A23"/>
    <w:rsid w:val="005745EF"/>
    <w:rsid w:val="005917CC"/>
    <w:rsid w:val="005978EE"/>
    <w:rsid w:val="005C2056"/>
    <w:rsid w:val="005C38D7"/>
    <w:rsid w:val="005C393C"/>
    <w:rsid w:val="005C45AE"/>
    <w:rsid w:val="005D08FB"/>
    <w:rsid w:val="005D66E5"/>
    <w:rsid w:val="005D6E7E"/>
    <w:rsid w:val="005E0483"/>
    <w:rsid w:val="005E0799"/>
    <w:rsid w:val="005E6979"/>
    <w:rsid w:val="005E70D5"/>
    <w:rsid w:val="00600269"/>
    <w:rsid w:val="00602119"/>
    <w:rsid w:val="0060572F"/>
    <w:rsid w:val="006059B6"/>
    <w:rsid w:val="00606D2C"/>
    <w:rsid w:val="00610227"/>
    <w:rsid w:val="00621395"/>
    <w:rsid w:val="00631E2A"/>
    <w:rsid w:val="00652AC9"/>
    <w:rsid w:val="00652B42"/>
    <w:rsid w:val="00652F1D"/>
    <w:rsid w:val="00660DBC"/>
    <w:rsid w:val="00664CE2"/>
    <w:rsid w:val="006718D0"/>
    <w:rsid w:val="006722F9"/>
    <w:rsid w:val="00694F56"/>
    <w:rsid w:val="00696A30"/>
    <w:rsid w:val="00697A43"/>
    <w:rsid w:val="006A2B59"/>
    <w:rsid w:val="006A4606"/>
    <w:rsid w:val="006A498C"/>
    <w:rsid w:val="006A4FD8"/>
    <w:rsid w:val="006A5B1A"/>
    <w:rsid w:val="006A77EA"/>
    <w:rsid w:val="006B4216"/>
    <w:rsid w:val="006C0830"/>
    <w:rsid w:val="006C5858"/>
    <w:rsid w:val="006D4B9B"/>
    <w:rsid w:val="006D7B82"/>
    <w:rsid w:val="006E2C01"/>
    <w:rsid w:val="006F037C"/>
    <w:rsid w:val="006F141E"/>
    <w:rsid w:val="006F4DF5"/>
    <w:rsid w:val="006F53BA"/>
    <w:rsid w:val="00703E4D"/>
    <w:rsid w:val="00711A18"/>
    <w:rsid w:val="00725371"/>
    <w:rsid w:val="00725DF2"/>
    <w:rsid w:val="00755CE8"/>
    <w:rsid w:val="0076023D"/>
    <w:rsid w:val="0076251E"/>
    <w:rsid w:val="007666D1"/>
    <w:rsid w:val="0077417A"/>
    <w:rsid w:val="00777270"/>
    <w:rsid w:val="007801FE"/>
    <w:rsid w:val="00780A50"/>
    <w:rsid w:val="00790C45"/>
    <w:rsid w:val="007928FD"/>
    <w:rsid w:val="007955CD"/>
    <w:rsid w:val="00795EBC"/>
    <w:rsid w:val="007A02CB"/>
    <w:rsid w:val="007A46D4"/>
    <w:rsid w:val="007B49EB"/>
    <w:rsid w:val="007C715E"/>
    <w:rsid w:val="007D2DAF"/>
    <w:rsid w:val="007D384F"/>
    <w:rsid w:val="007E11BA"/>
    <w:rsid w:val="007E5C88"/>
    <w:rsid w:val="007F0D35"/>
    <w:rsid w:val="007F1BA7"/>
    <w:rsid w:val="007F2C48"/>
    <w:rsid w:val="007F6B3E"/>
    <w:rsid w:val="00800461"/>
    <w:rsid w:val="00802220"/>
    <w:rsid w:val="00803F05"/>
    <w:rsid w:val="00804CCE"/>
    <w:rsid w:val="00805330"/>
    <w:rsid w:val="00806DE8"/>
    <w:rsid w:val="0081669D"/>
    <w:rsid w:val="00821EB7"/>
    <w:rsid w:val="00822060"/>
    <w:rsid w:val="00824193"/>
    <w:rsid w:val="00824628"/>
    <w:rsid w:val="008327E0"/>
    <w:rsid w:val="008331ED"/>
    <w:rsid w:val="00833E5D"/>
    <w:rsid w:val="00834684"/>
    <w:rsid w:val="00837CEB"/>
    <w:rsid w:val="00840758"/>
    <w:rsid w:val="00850E03"/>
    <w:rsid w:val="00852D8E"/>
    <w:rsid w:val="00856201"/>
    <w:rsid w:val="0086174B"/>
    <w:rsid w:val="00862ECF"/>
    <w:rsid w:val="00866607"/>
    <w:rsid w:val="008667B4"/>
    <w:rsid w:val="0088073D"/>
    <w:rsid w:val="00881246"/>
    <w:rsid w:val="008856C6"/>
    <w:rsid w:val="00896404"/>
    <w:rsid w:val="008A0A3A"/>
    <w:rsid w:val="008A49BE"/>
    <w:rsid w:val="008A5F5A"/>
    <w:rsid w:val="008A76F6"/>
    <w:rsid w:val="008B1803"/>
    <w:rsid w:val="008C5291"/>
    <w:rsid w:val="008D3D78"/>
    <w:rsid w:val="008E48B9"/>
    <w:rsid w:val="0090482B"/>
    <w:rsid w:val="009112AA"/>
    <w:rsid w:val="009140AC"/>
    <w:rsid w:val="00916E9E"/>
    <w:rsid w:val="0091703F"/>
    <w:rsid w:val="009208B6"/>
    <w:rsid w:val="0092193D"/>
    <w:rsid w:val="00923084"/>
    <w:rsid w:val="009239A5"/>
    <w:rsid w:val="0093137B"/>
    <w:rsid w:val="00932F29"/>
    <w:rsid w:val="00934E68"/>
    <w:rsid w:val="00934FC6"/>
    <w:rsid w:val="00937704"/>
    <w:rsid w:val="009412F7"/>
    <w:rsid w:val="009433E2"/>
    <w:rsid w:val="0094759E"/>
    <w:rsid w:val="00947D9A"/>
    <w:rsid w:val="0095135F"/>
    <w:rsid w:val="00951987"/>
    <w:rsid w:val="00956A39"/>
    <w:rsid w:val="00964369"/>
    <w:rsid w:val="0097228A"/>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0658"/>
    <w:rsid w:val="009F4C20"/>
    <w:rsid w:val="009F54F9"/>
    <w:rsid w:val="009F7098"/>
    <w:rsid w:val="009F7C35"/>
    <w:rsid w:val="00A036DB"/>
    <w:rsid w:val="00A0766E"/>
    <w:rsid w:val="00A10CC8"/>
    <w:rsid w:val="00A11DA2"/>
    <w:rsid w:val="00A15B6B"/>
    <w:rsid w:val="00A16291"/>
    <w:rsid w:val="00A33C67"/>
    <w:rsid w:val="00A36B77"/>
    <w:rsid w:val="00A37123"/>
    <w:rsid w:val="00A44D7C"/>
    <w:rsid w:val="00A4617C"/>
    <w:rsid w:val="00A4643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A7554"/>
    <w:rsid w:val="00AB3CE5"/>
    <w:rsid w:val="00AB3F1D"/>
    <w:rsid w:val="00AB46BD"/>
    <w:rsid w:val="00AB5E95"/>
    <w:rsid w:val="00AB7216"/>
    <w:rsid w:val="00AC037A"/>
    <w:rsid w:val="00AC1317"/>
    <w:rsid w:val="00AC20BC"/>
    <w:rsid w:val="00AC2DA1"/>
    <w:rsid w:val="00AC3D48"/>
    <w:rsid w:val="00AD1DD3"/>
    <w:rsid w:val="00AD2247"/>
    <w:rsid w:val="00AD2AF9"/>
    <w:rsid w:val="00AD6BCE"/>
    <w:rsid w:val="00AE5100"/>
    <w:rsid w:val="00AE655F"/>
    <w:rsid w:val="00AE6FCA"/>
    <w:rsid w:val="00AE7E41"/>
    <w:rsid w:val="00AF1920"/>
    <w:rsid w:val="00AF7580"/>
    <w:rsid w:val="00AF7A7C"/>
    <w:rsid w:val="00B07E57"/>
    <w:rsid w:val="00B16D5F"/>
    <w:rsid w:val="00B175A3"/>
    <w:rsid w:val="00B32B03"/>
    <w:rsid w:val="00B34107"/>
    <w:rsid w:val="00B37520"/>
    <w:rsid w:val="00B42D4C"/>
    <w:rsid w:val="00B51B04"/>
    <w:rsid w:val="00B53ECD"/>
    <w:rsid w:val="00B557C9"/>
    <w:rsid w:val="00B55900"/>
    <w:rsid w:val="00B57AE3"/>
    <w:rsid w:val="00B62DED"/>
    <w:rsid w:val="00B64B99"/>
    <w:rsid w:val="00B64FF8"/>
    <w:rsid w:val="00B7436F"/>
    <w:rsid w:val="00B74CD2"/>
    <w:rsid w:val="00B75F06"/>
    <w:rsid w:val="00B775E6"/>
    <w:rsid w:val="00B77647"/>
    <w:rsid w:val="00B81279"/>
    <w:rsid w:val="00B81529"/>
    <w:rsid w:val="00B93AC4"/>
    <w:rsid w:val="00B973C4"/>
    <w:rsid w:val="00BA1D2D"/>
    <w:rsid w:val="00BA1FD0"/>
    <w:rsid w:val="00BA31FA"/>
    <w:rsid w:val="00BB45D5"/>
    <w:rsid w:val="00BD5FE0"/>
    <w:rsid w:val="00BE6129"/>
    <w:rsid w:val="00BF0F74"/>
    <w:rsid w:val="00BF29E2"/>
    <w:rsid w:val="00BF79DF"/>
    <w:rsid w:val="00C130DB"/>
    <w:rsid w:val="00C16DFA"/>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C0310"/>
    <w:rsid w:val="00CD33D1"/>
    <w:rsid w:val="00CD3429"/>
    <w:rsid w:val="00CD4B28"/>
    <w:rsid w:val="00CE657C"/>
    <w:rsid w:val="00CF0EC5"/>
    <w:rsid w:val="00CF6C35"/>
    <w:rsid w:val="00CF7DF5"/>
    <w:rsid w:val="00D0051A"/>
    <w:rsid w:val="00D058D4"/>
    <w:rsid w:val="00D1519C"/>
    <w:rsid w:val="00D20528"/>
    <w:rsid w:val="00D20988"/>
    <w:rsid w:val="00D2252D"/>
    <w:rsid w:val="00D23363"/>
    <w:rsid w:val="00D30961"/>
    <w:rsid w:val="00D33D9D"/>
    <w:rsid w:val="00D452DC"/>
    <w:rsid w:val="00D4686B"/>
    <w:rsid w:val="00D6273A"/>
    <w:rsid w:val="00D71BB4"/>
    <w:rsid w:val="00D8403A"/>
    <w:rsid w:val="00D86A58"/>
    <w:rsid w:val="00D87860"/>
    <w:rsid w:val="00D87F39"/>
    <w:rsid w:val="00D92467"/>
    <w:rsid w:val="00DA3B25"/>
    <w:rsid w:val="00DB1DE3"/>
    <w:rsid w:val="00DB4DB5"/>
    <w:rsid w:val="00DC158F"/>
    <w:rsid w:val="00DC1E5A"/>
    <w:rsid w:val="00DC4151"/>
    <w:rsid w:val="00DD2502"/>
    <w:rsid w:val="00DD6334"/>
    <w:rsid w:val="00DE4DA2"/>
    <w:rsid w:val="00DE6846"/>
    <w:rsid w:val="00DF4C72"/>
    <w:rsid w:val="00DF4DBC"/>
    <w:rsid w:val="00E026AB"/>
    <w:rsid w:val="00E11F13"/>
    <w:rsid w:val="00E31D29"/>
    <w:rsid w:val="00E3408D"/>
    <w:rsid w:val="00E44C01"/>
    <w:rsid w:val="00E44D3C"/>
    <w:rsid w:val="00E45CF9"/>
    <w:rsid w:val="00E50F57"/>
    <w:rsid w:val="00E612F0"/>
    <w:rsid w:val="00E6345C"/>
    <w:rsid w:val="00E65C97"/>
    <w:rsid w:val="00E678BD"/>
    <w:rsid w:val="00E757FE"/>
    <w:rsid w:val="00E805DA"/>
    <w:rsid w:val="00E805FF"/>
    <w:rsid w:val="00E859F8"/>
    <w:rsid w:val="00E94B0E"/>
    <w:rsid w:val="00EA29B4"/>
    <w:rsid w:val="00EA78BD"/>
    <w:rsid w:val="00EB675E"/>
    <w:rsid w:val="00EC160D"/>
    <w:rsid w:val="00EC188D"/>
    <w:rsid w:val="00EC4354"/>
    <w:rsid w:val="00EC5861"/>
    <w:rsid w:val="00ED2FEE"/>
    <w:rsid w:val="00ED57F4"/>
    <w:rsid w:val="00EF06B3"/>
    <w:rsid w:val="00EF100E"/>
    <w:rsid w:val="00EF2B70"/>
    <w:rsid w:val="00EF33AD"/>
    <w:rsid w:val="00EF47C6"/>
    <w:rsid w:val="00F03156"/>
    <w:rsid w:val="00F052D8"/>
    <w:rsid w:val="00F073A6"/>
    <w:rsid w:val="00F076EC"/>
    <w:rsid w:val="00F122AF"/>
    <w:rsid w:val="00F13CFE"/>
    <w:rsid w:val="00F17643"/>
    <w:rsid w:val="00F22646"/>
    <w:rsid w:val="00F23B9C"/>
    <w:rsid w:val="00F3108F"/>
    <w:rsid w:val="00F32041"/>
    <w:rsid w:val="00F33E3E"/>
    <w:rsid w:val="00F3539B"/>
    <w:rsid w:val="00F35A06"/>
    <w:rsid w:val="00F376EB"/>
    <w:rsid w:val="00F37A72"/>
    <w:rsid w:val="00F41ABD"/>
    <w:rsid w:val="00F4322A"/>
    <w:rsid w:val="00F43583"/>
    <w:rsid w:val="00F47925"/>
    <w:rsid w:val="00F53080"/>
    <w:rsid w:val="00F53616"/>
    <w:rsid w:val="00F53FA1"/>
    <w:rsid w:val="00F563D3"/>
    <w:rsid w:val="00F601A3"/>
    <w:rsid w:val="00F61739"/>
    <w:rsid w:val="00F61FB1"/>
    <w:rsid w:val="00F6377E"/>
    <w:rsid w:val="00F671E8"/>
    <w:rsid w:val="00F7418C"/>
    <w:rsid w:val="00F76BD2"/>
    <w:rsid w:val="00F76F2F"/>
    <w:rsid w:val="00F76FEF"/>
    <w:rsid w:val="00F77A9C"/>
    <w:rsid w:val="00F85E11"/>
    <w:rsid w:val="00F87EE6"/>
    <w:rsid w:val="00F91A54"/>
    <w:rsid w:val="00F9536A"/>
    <w:rsid w:val="00FA423B"/>
    <w:rsid w:val="00FB766B"/>
    <w:rsid w:val="00FC4CA9"/>
    <w:rsid w:val="00FC5D5F"/>
    <w:rsid w:val="00FD10D6"/>
    <w:rsid w:val="00FD438A"/>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351957413">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1910117225">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9</cp:revision>
  <cp:lastPrinted>2024-04-04T19:23:00Z</cp:lastPrinted>
  <dcterms:created xsi:type="dcterms:W3CDTF">2024-05-03T17:21:00Z</dcterms:created>
  <dcterms:modified xsi:type="dcterms:W3CDTF">2024-05-16T16:54:00Z</dcterms:modified>
</cp:coreProperties>
</file>