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F872" w14:textId="77777777" w:rsidR="0055223A" w:rsidRPr="0055223A" w:rsidRDefault="0055223A" w:rsidP="0055223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olor w:val="FF0000"/>
          <w:sz w:val="26"/>
          <w:szCs w:val="20"/>
        </w:rPr>
      </w:pPr>
      <w:bookmarkStart w:id="0" w:name="_Hlk77839959"/>
      <w:bookmarkStart w:id="1" w:name="_Hlk93577479"/>
      <w:r w:rsidRPr="0055223A">
        <w:rPr>
          <w:rFonts w:ascii="Times New Roman" w:eastAsia="Times New Roman" w:hAnsi="Times New Roman"/>
          <w:color w:val="FF0000"/>
          <w:sz w:val="26"/>
          <w:szCs w:val="20"/>
        </w:rPr>
        <w:t>Approved by the Board of Trustees</w:t>
      </w:r>
    </w:p>
    <w:bookmarkEnd w:id="0"/>
    <w:bookmarkEnd w:id="1"/>
    <w:p w14:paraId="0721DFD8" w14:textId="77777777" w:rsidR="0055223A" w:rsidRPr="0055223A" w:rsidRDefault="0055223A" w:rsidP="0055223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olor w:val="FF0000"/>
          <w:sz w:val="26"/>
          <w:szCs w:val="20"/>
        </w:rPr>
      </w:pPr>
      <w:r w:rsidRPr="0055223A">
        <w:rPr>
          <w:rFonts w:ascii="Times New Roman" w:eastAsia="Times New Roman" w:hAnsi="Times New Roman"/>
          <w:color w:val="FF0000"/>
          <w:sz w:val="26"/>
          <w:szCs w:val="20"/>
        </w:rPr>
        <w:t>May 18, 2023</w:t>
      </w:r>
    </w:p>
    <w:p w14:paraId="2212B691" w14:textId="0F8D7ECD" w:rsidR="00790C45" w:rsidRPr="0009212E" w:rsidRDefault="0048161E"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60"/>
          <w:szCs w:val="60"/>
        </w:rPr>
      </w:pPr>
      <w:r>
        <w:rPr>
          <w:rFonts w:ascii="Times New Roman" w:eastAsia="Times New Roman" w:hAnsi="Times New Roman"/>
          <w:b/>
          <w:color w:val="000000"/>
          <w:sz w:val="60"/>
          <w:szCs w:val="60"/>
        </w:rPr>
        <w:t>2</w:t>
      </w:r>
      <w:r w:rsidR="00417623">
        <w:rPr>
          <w:rFonts w:ascii="Times New Roman" w:eastAsia="Times New Roman" w:hAnsi="Times New Roman"/>
          <w:b/>
          <w:color w:val="000000"/>
          <w:sz w:val="60"/>
          <w:szCs w:val="60"/>
        </w:rPr>
        <w:t>6</w:t>
      </w:r>
    </w:p>
    <w:p w14:paraId="06078095" w14:textId="77777777" w:rsidR="0009212E" w:rsidRDefault="0009212E"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p>
    <w:p w14:paraId="4A7550C4" w14:textId="77777777" w:rsidR="0009212E" w:rsidRDefault="0009212E"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p>
    <w:p w14:paraId="7366C73E" w14:textId="46D8CB99" w:rsidR="00790C45" w:rsidRPr="00353536" w:rsidRDefault="00790C45" w:rsidP="00FD2A0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Board Meeting</w:t>
      </w:r>
    </w:p>
    <w:p w14:paraId="48F69593" w14:textId="138A7D5F" w:rsidR="00790C45" w:rsidRDefault="00CD33D1" w:rsidP="00FD2A0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sz w:val="26"/>
          <w:szCs w:val="26"/>
        </w:rPr>
      </w:pPr>
      <w:r w:rsidRPr="0009212E">
        <w:rPr>
          <w:rFonts w:ascii="Times New Roman" w:eastAsia="Times New Roman" w:hAnsi="Times New Roman"/>
          <w:sz w:val="26"/>
          <w:szCs w:val="26"/>
        </w:rPr>
        <w:t>May 18</w:t>
      </w:r>
      <w:r w:rsidR="00010EA7" w:rsidRPr="0009212E">
        <w:rPr>
          <w:rFonts w:ascii="Times New Roman" w:eastAsia="Times New Roman" w:hAnsi="Times New Roman"/>
          <w:sz w:val="26"/>
          <w:szCs w:val="26"/>
        </w:rPr>
        <w:t>, 2023</w:t>
      </w:r>
    </w:p>
    <w:p w14:paraId="02937F51" w14:textId="77777777" w:rsidR="0009212E" w:rsidRDefault="0009212E"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p>
    <w:p w14:paraId="4C435ED8" w14:textId="77777777" w:rsidR="0009212E" w:rsidRPr="0009212E" w:rsidRDefault="0009212E"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p>
    <w:p w14:paraId="27367A01" w14:textId="77777777" w:rsidR="00790C45" w:rsidRPr="0009212E"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r w:rsidRPr="0009212E">
        <w:rPr>
          <w:rFonts w:ascii="Times New Roman" w:eastAsia="Times New Roman" w:hAnsi="Times New Roman"/>
          <w:sz w:val="26"/>
          <w:szCs w:val="26"/>
        </w:rPr>
        <w:t>ROLL CALL</w:t>
      </w:r>
    </w:p>
    <w:p w14:paraId="6FF341B7" w14:textId="77777777" w:rsidR="00790C45" w:rsidRPr="00353536"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071A28" w:rsidRDefault="00790C45" w:rsidP="00071A28">
      <w:pPr>
        <w:pStyle w:val="Heading1"/>
      </w:pPr>
      <w:r w:rsidRPr="00071A28">
        <w:t>PURCHASE RECOMMENDATIONS</w:t>
      </w:r>
    </w:p>
    <w:p w14:paraId="73D97BE7" w14:textId="77777777" w:rsidR="00790C45" w:rsidRPr="00353536"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74086052" w14:textId="4C81732A" w:rsidR="009C37EA" w:rsidRPr="00165B0B" w:rsidRDefault="00964369" w:rsidP="009C37E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i/>
          <w:color w:val="000000"/>
          <w:sz w:val="24"/>
          <w:szCs w:val="24"/>
        </w:rPr>
      </w:pPr>
      <w:r w:rsidRPr="00165B0B">
        <w:rPr>
          <w:rFonts w:ascii="Bookman Old Style" w:eastAsia="Times New Roman" w:hAnsi="Bookman Old Style"/>
          <w:color w:val="000000"/>
          <w:sz w:val="24"/>
          <w:szCs w:val="24"/>
        </w:rPr>
        <w:t xml:space="preserve">Following are purchase recommendations proposed </w:t>
      </w:r>
      <w:r w:rsidR="009C37EA" w:rsidRPr="00165B0B">
        <w:rPr>
          <w:rFonts w:ascii="Bookman Old Style" w:eastAsia="Times New Roman" w:hAnsi="Bookman Old Style"/>
          <w:color w:val="000000"/>
          <w:sz w:val="24"/>
          <w:szCs w:val="24"/>
        </w:rPr>
        <w:t xml:space="preserve">by </w:t>
      </w:r>
      <w:r w:rsidRPr="00165B0B">
        <w:rPr>
          <w:rFonts w:ascii="Bookman Old Style" w:eastAsia="Times New Roman" w:hAnsi="Bookman Old Style"/>
          <w:color w:val="000000"/>
          <w:sz w:val="24"/>
          <w:szCs w:val="24"/>
        </w:rPr>
        <w:t xml:space="preserve">each </w:t>
      </w:r>
      <w:r w:rsidR="009C37EA" w:rsidRPr="00165B0B">
        <w:rPr>
          <w:rFonts w:ascii="Bookman Old Style" w:eastAsia="Times New Roman" w:hAnsi="Bookman Old Style"/>
          <w:color w:val="000000"/>
          <w:sz w:val="24"/>
          <w:szCs w:val="24"/>
        </w:rPr>
        <w:t xml:space="preserve">University and </w:t>
      </w:r>
      <w:r w:rsidRPr="00165B0B">
        <w:rPr>
          <w:rFonts w:ascii="Bookman Old Style" w:eastAsia="Times New Roman" w:hAnsi="Bookman Old Style"/>
          <w:color w:val="000000"/>
          <w:sz w:val="24"/>
          <w:szCs w:val="24"/>
        </w:rPr>
        <w:t>the System Office.  The purchases are to be funded</w:t>
      </w:r>
      <w:r w:rsidR="009C37EA" w:rsidRPr="00165B0B">
        <w:rPr>
          <w:rFonts w:ascii="Bookman Old Style" w:eastAsia="Times New Roman" w:hAnsi="Bookman Old Style"/>
          <w:color w:val="000000"/>
          <w:sz w:val="24"/>
          <w:szCs w:val="24"/>
        </w:rPr>
        <w:t xml:space="preserve"> from State </w:t>
      </w:r>
      <w:r w:rsidRPr="00165B0B">
        <w:rPr>
          <w:rFonts w:ascii="Bookman Old Style" w:eastAsia="Times New Roman" w:hAnsi="Bookman Old Style"/>
          <w:color w:val="000000"/>
          <w:sz w:val="24"/>
          <w:szCs w:val="24"/>
        </w:rPr>
        <w:t>ap</w:t>
      </w:r>
      <w:r w:rsidR="009C37EA" w:rsidRPr="00165B0B">
        <w:rPr>
          <w:rFonts w:ascii="Bookman Old Style" w:eastAsia="Times New Roman" w:hAnsi="Bookman Old Style"/>
          <w:color w:val="000000"/>
          <w:sz w:val="24"/>
          <w:szCs w:val="24"/>
        </w:rPr>
        <w:t xml:space="preserve">propriations </w:t>
      </w:r>
      <w:r w:rsidRPr="00165B0B">
        <w:rPr>
          <w:rFonts w:ascii="Bookman Old Style" w:eastAsia="Times New Roman" w:hAnsi="Bookman Old Style"/>
          <w:color w:val="000000"/>
          <w:sz w:val="24"/>
          <w:szCs w:val="24"/>
        </w:rPr>
        <w:t>or institutional funds as appropriate</w:t>
      </w:r>
      <w:r w:rsidR="009C37EA" w:rsidRPr="00165B0B">
        <w:rPr>
          <w:rFonts w:ascii="Bookman Old Style" w:eastAsia="Times New Roman" w:hAnsi="Bookman Old Style"/>
          <w:color w:val="000000"/>
          <w:sz w:val="24"/>
          <w:szCs w:val="24"/>
        </w:rPr>
        <w:t xml:space="preserve">.  </w:t>
      </w:r>
      <w:r w:rsidRPr="00165B0B">
        <w:rPr>
          <w:rFonts w:ascii="Bookman Old Style" w:eastAsia="Times New Roman" w:hAnsi="Bookman Old Style"/>
          <w:color w:val="000000"/>
          <w:sz w:val="24"/>
          <w:szCs w:val="24"/>
        </w:rPr>
        <w:t xml:space="preserve">Unless otherwise specified or indicated, purchases are based on the lowest acceptable bid.  The Interim Vice President, Chief Financial Officer and Comptroller has approved all purchases to be funded from State appropriations in accordance with the </w:t>
      </w:r>
      <w:r w:rsidRPr="00165B0B">
        <w:rPr>
          <w:rFonts w:ascii="Bookman Old Style" w:eastAsia="Times New Roman" w:hAnsi="Bookman Old Style"/>
          <w:i/>
          <w:color w:val="000000"/>
          <w:sz w:val="24"/>
          <w:szCs w:val="24"/>
        </w:rPr>
        <w:t xml:space="preserve">Bylaws of the Board of Trustees </w:t>
      </w:r>
      <w:r w:rsidRPr="00165B0B">
        <w:rPr>
          <w:rFonts w:ascii="Bookman Old Style" w:eastAsia="Times New Roman" w:hAnsi="Bookman Old Style"/>
          <w:color w:val="000000"/>
          <w:sz w:val="24"/>
          <w:szCs w:val="24"/>
        </w:rPr>
        <w:t xml:space="preserve">and the </w:t>
      </w:r>
      <w:r w:rsidRPr="00165B0B">
        <w:rPr>
          <w:rFonts w:ascii="Bookman Old Style" w:eastAsia="Times New Roman" w:hAnsi="Bookman Old Style"/>
          <w:i/>
          <w:color w:val="000000"/>
          <w:sz w:val="24"/>
          <w:szCs w:val="24"/>
        </w:rPr>
        <w:t>General Rules Concerning University Organization and Procedure.</w:t>
      </w:r>
    </w:p>
    <w:p w14:paraId="6AF2B166" w14:textId="77777777" w:rsidR="009C37EA" w:rsidRPr="00165B0B" w:rsidRDefault="009C37EA"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p>
    <w:p w14:paraId="6141300F" w14:textId="14B1990F" w:rsidR="009C37EA" w:rsidRPr="00165B0B" w:rsidRDefault="009C37EA" w:rsidP="009C37E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r w:rsidRPr="00165B0B">
        <w:rPr>
          <w:rFonts w:ascii="Bookman Old Style" w:eastAsia="Times New Roman" w:hAnsi="Bookman Old Style"/>
          <w:color w:val="000000"/>
          <w:sz w:val="24"/>
          <w:szCs w:val="24"/>
        </w:rPr>
        <w:t xml:space="preserve">The Board action recommended in this item complies in all material respects with applicable State and Federal laws, University of Illinois </w:t>
      </w:r>
      <w:r w:rsidRPr="00165B0B">
        <w:rPr>
          <w:rFonts w:ascii="Bookman Old Style" w:eastAsia="Times New Roman" w:hAnsi="Bookman Old Style"/>
          <w:i/>
          <w:color w:val="000000"/>
          <w:sz w:val="24"/>
          <w:szCs w:val="24"/>
        </w:rPr>
        <w:t>Statutes, The General Rules Concerning University Organization and Procedure</w:t>
      </w:r>
      <w:r w:rsidRPr="00165B0B">
        <w:rPr>
          <w:rFonts w:ascii="Bookman Old Style" w:eastAsia="Times New Roman" w:hAnsi="Bookman Old Style"/>
          <w:color w:val="000000"/>
          <w:sz w:val="24"/>
          <w:szCs w:val="24"/>
        </w:rPr>
        <w:t xml:space="preserve">, </w:t>
      </w:r>
      <w:r w:rsidR="00964369" w:rsidRPr="00165B0B">
        <w:rPr>
          <w:rFonts w:ascii="Bookman Old Style" w:eastAsia="Times New Roman" w:hAnsi="Bookman Old Style"/>
          <w:color w:val="000000"/>
          <w:sz w:val="24"/>
          <w:szCs w:val="24"/>
        </w:rPr>
        <w:t xml:space="preserve">the </w:t>
      </w:r>
      <w:r w:rsidR="00964369" w:rsidRPr="00165B0B">
        <w:rPr>
          <w:rFonts w:ascii="Bookman Old Style" w:eastAsia="Times New Roman" w:hAnsi="Bookman Old Style"/>
          <w:i/>
          <w:color w:val="000000"/>
          <w:sz w:val="24"/>
          <w:szCs w:val="24"/>
        </w:rPr>
        <w:t xml:space="preserve">Bylaws of the </w:t>
      </w:r>
      <w:r w:rsidRPr="00165B0B">
        <w:rPr>
          <w:rFonts w:ascii="Bookman Old Style" w:eastAsia="Times New Roman" w:hAnsi="Bookman Old Style"/>
          <w:i/>
          <w:color w:val="000000"/>
          <w:sz w:val="24"/>
          <w:szCs w:val="24"/>
        </w:rPr>
        <w:t>Board of Trustees</w:t>
      </w:r>
      <w:r w:rsidRPr="00165B0B">
        <w:rPr>
          <w:rFonts w:ascii="Bookman Old Style" w:eastAsia="Times New Roman" w:hAnsi="Bookman Old Style"/>
          <w:color w:val="000000"/>
          <w:sz w:val="24"/>
          <w:szCs w:val="24"/>
        </w:rPr>
        <w:t xml:space="preserve"> </w:t>
      </w:r>
      <w:r w:rsidR="00964369" w:rsidRPr="00165B0B">
        <w:rPr>
          <w:rFonts w:ascii="Bookman Old Style" w:eastAsia="Times New Roman" w:hAnsi="Bookman Old Style"/>
          <w:color w:val="000000"/>
          <w:sz w:val="24"/>
          <w:szCs w:val="24"/>
        </w:rPr>
        <w:t xml:space="preserve">and Board of Trustees </w:t>
      </w:r>
      <w:r w:rsidRPr="00165B0B">
        <w:rPr>
          <w:rFonts w:ascii="Bookman Old Style" w:eastAsia="Times New Roman" w:hAnsi="Bookman Old Style"/>
          <w:color w:val="000000"/>
          <w:sz w:val="24"/>
          <w:szCs w:val="24"/>
        </w:rPr>
        <w:t>policies and directives.</w:t>
      </w:r>
    </w:p>
    <w:p w14:paraId="16608FBC" w14:textId="77777777" w:rsidR="00790C45" w:rsidRPr="00165B0B"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p>
    <w:p w14:paraId="70A15680" w14:textId="3F64D274" w:rsidR="00790C45" w:rsidRPr="00165B0B"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r w:rsidRPr="00165B0B">
        <w:rPr>
          <w:rFonts w:ascii="Bookman Old Style" w:eastAsia="Times New Roman" w:hAnsi="Bookman Old Style"/>
          <w:color w:val="000000"/>
          <w:sz w:val="24"/>
          <w:szCs w:val="24"/>
        </w:rPr>
        <w:t>The President of the University concurs.</w:t>
      </w:r>
    </w:p>
    <w:p w14:paraId="19EA8323" w14:textId="54B584C5" w:rsidR="00252F86" w:rsidRPr="0035353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0BDB4969" w14:textId="7ECED5C2" w:rsidR="00EB675E" w:rsidRDefault="00252F86" w:rsidP="00252F86">
      <w:pPr>
        <w:spacing w:after="0" w:line="240" w:lineRule="auto"/>
        <w:jc w:val="center"/>
        <w:rPr>
          <w:rFonts w:ascii="Times New Roman" w:hAnsi="Times New Roman"/>
          <w:b/>
          <w:sz w:val="26"/>
          <w:szCs w:val="26"/>
        </w:rPr>
      </w:pPr>
      <w:r w:rsidRPr="00353536">
        <w:rPr>
          <w:rFonts w:ascii="Times New Roman" w:hAnsi="Times New Roman"/>
          <w:b/>
          <w:sz w:val="26"/>
          <w:szCs w:val="26"/>
        </w:rPr>
        <w:t>PURCHASES RECOMMENDED</w:t>
      </w:r>
    </w:p>
    <w:p w14:paraId="5FEB6345" w14:textId="1CDF9B68" w:rsidR="006722F9" w:rsidRDefault="00071A28" w:rsidP="00252F86">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079B6E7" wp14:editId="75384223">
                <wp:simplePos x="0" y="0"/>
                <wp:positionH relativeFrom="column">
                  <wp:posOffset>-17145</wp:posOffset>
                </wp:positionH>
                <wp:positionV relativeFrom="paragraph">
                  <wp:posOffset>194163</wp:posOffset>
                </wp:positionV>
                <wp:extent cx="6013939" cy="0"/>
                <wp:effectExtent l="0" t="0" r="0" b="0"/>
                <wp:wrapNone/>
                <wp:docPr id="116815361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39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3A9C4"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5.3pt" to="472.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" strokecolor="black [3213]" strokeweight="1.5pt">
                <v:stroke joinstyle="miter"/>
              </v:line>
            </w:pict>
          </mc:Fallback>
        </mc:AlternateContent>
      </w:r>
    </w:p>
    <w:p w14:paraId="5F1EA224" w14:textId="5CE993B5" w:rsidR="00071A28" w:rsidRDefault="00071A28" w:rsidP="00252F86">
      <w:pPr>
        <w:spacing w:after="0" w:line="240" w:lineRule="auto"/>
        <w:jc w:val="center"/>
        <w:rPr>
          <w:rFonts w:ascii="Times New Roman" w:hAnsi="Times New Roman"/>
          <w:b/>
          <w:sz w:val="26"/>
          <w:szCs w:val="26"/>
        </w:rPr>
      </w:pPr>
      <w:r w:rsidRPr="00071A28">
        <w:rPr>
          <w:rFonts w:ascii="Times New Roman" w:hAnsi="Times New Roman"/>
          <w:b/>
          <w:sz w:val="26"/>
          <w:szCs w:val="26"/>
        </w:rPr>
        <w:t>University of Illinois at Urbana-Champaign</w:t>
      </w:r>
    </w:p>
    <w:p w14:paraId="54747576" w14:textId="4959A1EC" w:rsidR="00071A28" w:rsidRDefault="00071A28" w:rsidP="00071A28">
      <w:pPr>
        <w:spacing w:after="0" w:line="240" w:lineRule="auto"/>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4CF412E" wp14:editId="0A4E328D">
                <wp:simplePos x="0" y="0"/>
                <wp:positionH relativeFrom="margin">
                  <wp:align>left</wp:align>
                </wp:positionH>
                <wp:positionV relativeFrom="paragraph">
                  <wp:posOffset>37123</wp:posOffset>
                </wp:positionV>
                <wp:extent cx="6013939" cy="0"/>
                <wp:effectExtent l="0" t="0" r="0" b="0"/>
                <wp:wrapNone/>
                <wp:docPr id="172004332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39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5B248" id="Straight Connector 1"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9pt" to="47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" strokecolor="black [3213]" strokeweight="1.5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6722F9" w:rsidRPr="00353536" w14:paraId="0E86D7C9" w14:textId="77777777" w:rsidTr="00BC0630">
        <w:trPr>
          <w:trHeight w:val="120"/>
        </w:trPr>
        <w:tc>
          <w:tcPr>
            <w:tcW w:w="342" w:type="dxa"/>
            <w:tcBorders>
              <w:bottom w:val="double" w:sz="6" w:space="0" w:color="auto"/>
            </w:tcBorders>
          </w:tcPr>
          <w:p w14:paraId="2A853B15"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1</w:t>
            </w:r>
          </w:p>
        </w:tc>
        <w:tc>
          <w:tcPr>
            <w:tcW w:w="990" w:type="dxa"/>
            <w:tcBorders>
              <w:bottom w:val="double" w:sz="6" w:space="0" w:color="auto"/>
            </w:tcBorders>
          </w:tcPr>
          <w:p w14:paraId="54386F5E"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141541B7" w14:textId="4704AC3D" w:rsidR="006722F9" w:rsidRPr="00353536" w:rsidRDefault="006722F9" w:rsidP="00BC0630">
            <w:pPr>
              <w:pStyle w:val="NoSpacing"/>
              <w:rPr>
                <w:rFonts w:ascii="Times New Roman" w:hAnsi="Times New Roman"/>
                <w:sz w:val="26"/>
                <w:szCs w:val="26"/>
              </w:rPr>
            </w:pPr>
            <w:r>
              <w:rPr>
                <w:rFonts w:ascii="Times New Roman" w:hAnsi="Times New Roman"/>
                <w:spacing w:val="-3"/>
                <w:sz w:val="26"/>
                <w:szCs w:val="26"/>
              </w:rPr>
              <w:t xml:space="preserve">Facilities </w:t>
            </w:r>
            <w:r w:rsidR="00E6345C">
              <w:rPr>
                <w:rFonts w:ascii="Times New Roman" w:hAnsi="Times New Roman"/>
                <w:spacing w:val="-3"/>
                <w:sz w:val="26"/>
                <w:szCs w:val="26"/>
              </w:rPr>
              <w:t>&amp;</w:t>
            </w:r>
            <w:r>
              <w:rPr>
                <w:rFonts w:ascii="Times New Roman" w:hAnsi="Times New Roman"/>
                <w:spacing w:val="-3"/>
                <w:sz w:val="26"/>
                <w:szCs w:val="26"/>
              </w:rPr>
              <w:t xml:space="preserve"> Services </w:t>
            </w:r>
            <w:r w:rsidR="00E6345C">
              <w:rPr>
                <w:rFonts w:ascii="Times New Roman" w:hAnsi="Times New Roman"/>
                <w:spacing w:val="-3"/>
                <w:sz w:val="26"/>
                <w:szCs w:val="26"/>
              </w:rPr>
              <w:t>– Utilities &amp; Energy Services Division</w:t>
            </w:r>
          </w:p>
        </w:tc>
      </w:tr>
      <w:tr w:rsidR="006722F9" w:rsidRPr="00353536" w14:paraId="16D04378" w14:textId="77777777" w:rsidTr="00BC0630">
        <w:trPr>
          <w:trHeight w:val="648"/>
        </w:trPr>
        <w:tc>
          <w:tcPr>
            <w:tcW w:w="342" w:type="dxa"/>
          </w:tcPr>
          <w:p w14:paraId="6610E660" w14:textId="77777777" w:rsidR="006722F9" w:rsidRPr="00353536" w:rsidRDefault="006722F9" w:rsidP="00BC0630">
            <w:pPr>
              <w:pStyle w:val="NoSpacing"/>
              <w:rPr>
                <w:rFonts w:ascii="Times New Roman" w:hAnsi="Times New Roman"/>
                <w:sz w:val="26"/>
                <w:szCs w:val="26"/>
              </w:rPr>
            </w:pPr>
          </w:p>
        </w:tc>
        <w:tc>
          <w:tcPr>
            <w:tcW w:w="990" w:type="dxa"/>
          </w:tcPr>
          <w:p w14:paraId="3162DF19" w14:textId="77777777" w:rsidR="006722F9" w:rsidRPr="00353536" w:rsidRDefault="006722F9" w:rsidP="00BC0630">
            <w:pPr>
              <w:pStyle w:val="NoSpacing"/>
              <w:rPr>
                <w:rFonts w:ascii="Times New Roman" w:hAnsi="Times New Roman"/>
                <w:sz w:val="26"/>
                <w:szCs w:val="26"/>
              </w:rPr>
            </w:pPr>
          </w:p>
          <w:p w14:paraId="39157CFA"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25646054" w14:textId="58F90460" w:rsidR="006722F9" w:rsidRPr="00BF79DF" w:rsidRDefault="00E6345C" w:rsidP="00BF79DF">
            <w:pPr>
              <w:pStyle w:val="NoSpacing"/>
              <w:rPr>
                <w:rFonts w:ascii="Times New Roman" w:hAnsi="Times New Roman"/>
                <w:spacing w:val="-3"/>
                <w:sz w:val="26"/>
                <w:szCs w:val="26"/>
              </w:rPr>
            </w:pPr>
            <w:r w:rsidRPr="00E6345C">
              <w:rPr>
                <w:rFonts w:ascii="Times New Roman" w:hAnsi="Times New Roman"/>
                <w:bCs/>
                <w:sz w:val="26"/>
                <w:szCs w:val="26"/>
              </w:rPr>
              <w:t>Five-year extended service agreement for maintenance, repair services, replacement parts, and unlimited overhaul for two solar turbine generators for the period July 1, 2023, through June 30, 2028.</w:t>
            </w:r>
          </w:p>
        </w:tc>
      </w:tr>
      <w:tr w:rsidR="006722F9" w:rsidRPr="00353536" w14:paraId="65073756" w14:textId="77777777" w:rsidTr="00BC0630">
        <w:trPr>
          <w:trHeight w:val="315"/>
        </w:trPr>
        <w:tc>
          <w:tcPr>
            <w:tcW w:w="342" w:type="dxa"/>
          </w:tcPr>
          <w:p w14:paraId="4EB91AF9"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2E4CAE21" w14:textId="77777777" w:rsidR="006722F9" w:rsidRPr="00353536" w:rsidRDefault="006722F9" w:rsidP="00BC0630">
            <w:pPr>
              <w:pStyle w:val="NoSpacing"/>
              <w:rPr>
                <w:rFonts w:ascii="Times New Roman" w:hAnsi="Times New Roman"/>
                <w:sz w:val="26"/>
                <w:szCs w:val="26"/>
              </w:rPr>
            </w:pPr>
          </w:p>
          <w:p w14:paraId="4EC10280"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5D89D286" w14:textId="77777777" w:rsidR="006722F9" w:rsidRPr="00353536" w:rsidRDefault="006722F9" w:rsidP="00BC0630">
            <w:pPr>
              <w:pStyle w:val="NoSpacing"/>
              <w:rPr>
                <w:rFonts w:ascii="Times New Roman" w:hAnsi="Times New Roman"/>
                <w:sz w:val="26"/>
                <w:szCs w:val="26"/>
              </w:rPr>
            </w:pPr>
          </w:p>
          <w:p w14:paraId="38CAB691" w14:textId="6DF61220" w:rsidR="006722F9" w:rsidRPr="00353536" w:rsidRDefault="006722F9" w:rsidP="00BF79DF">
            <w:pPr>
              <w:pStyle w:val="NoSpacing"/>
              <w:rPr>
                <w:rFonts w:ascii="Times New Roman" w:hAnsi="Times New Roman"/>
                <w:spacing w:val="-3"/>
                <w:sz w:val="26"/>
                <w:szCs w:val="26"/>
              </w:rPr>
            </w:pPr>
            <w:r w:rsidRPr="00353536">
              <w:rPr>
                <w:rFonts w:ascii="Times New Roman" w:hAnsi="Times New Roman"/>
                <w:spacing w:val="-3"/>
                <w:sz w:val="26"/>
                <w:szCs w:val="26"/>
              </w:rPr>
              <w:t xml:space="preserve">$ </w:t>
            </w:r>
            <w:r>
              <w:rPr>
                <w:rFonts w:ascii="Times New Roman" w:hAnsi="Times New Roman"/>
                <w:spacing w:val="-3"/>
                <w:sz w:val="26"/>
                <w:szCs w:val="26"/>
              </w:rPr>
              <w:t>1</w:t>
            </w:r>
            <w:r w:rsidR="00E6345C">
              <w:rPr>
                <w:rFonts w:ascii="Times New Roman" w:hAnsi="Times New Roman"/>
                <w:spacing w:val="-3"/>
                <w:sz w:val="26"/>
                <w:szCs w:val="26"/>
              </w:rPr>
              <w:t>5,0</w:t>
            </w:r>
            <w:r w:rsidRPr="00353536">
              <w:rPr>
                <w:rFonts w:ascii="Times New Roman" w:hAnsi="Times New Roman"/>
                <w:spacing w:val="-3"/>
                <w:sz w:val="26"/>
                <w:szCs w:val="26"/>
              </w:rPr>
              <w:t xml:space="preserve">00,000 (estimated) </w:t>
            </w:r>
          </w:p>
          <w:p w14:paraId="2112B06E" w14:textId="77777777" w:rsidR="006722F9" w:rsidRPr="00CB17B7" w:rsidRDefault="006722F9" w:rsidP="00BF79DF">
            <w:pPr>
              <w:pStyle w:val="NoSpacing"/>
              <w:rPr>
                <w:rFonts w:ascii="Times New Roman" w:hAnsi="Times New Roman"/>
                <w:spacing w:val="-3"/>
                <w:sz w:val="26"/>
                <w:szCs w:val="26"/>
              </w:rPr>
            </w:pPr>
          </w:p>
        </w:tc>
      </w:tr>
      <w:tr w:rsidR="006722F9" w:rsidRPr="00353536" w14:paraId="613767EB" w14:textId="77777777" w:rsidTr="00BC0630">
        <w:trPr>
          <w:trHeight w:val="150"/>
        </w:trPr>
        <w:tc>
          <w:tcPr>
            <w:tcW w:w="342" w:type="dxa"/>
          </w:tcPr>
          <w:p w14:paraId="60E2D41A" w14:textId="77777777" w:rsidR="006722F9" w:rsidRPr="00353536" w:rsidRDefault="006722F9" w:rsidP="00BC0630">
            <w:pPr>
              <w:pStyle w:val="NoSpacing"/>
              <w:rPr>
                <w:rFonts w:ascii="Times New Roman" w:hAnsi="Times New Roman"/>
                <w:sz w:val="26"/>
                <w:szCs w:val="26"/>
              </w:rPr>
            </w:pPr>
          </w:p>
        </w:tc>
        <w:tc>
          <w:tcPr>
            <w:tcW w:w="990" w:type="dxa"/>
            <w:shd w:val="clear" w:color="auto" w:fill="auto"/>
          </w:tcPr>
          <w:p w14:paraId="78EFDEEE"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07EBCCB6" w14:textId="4C494549" w:rsidR="00E6345C" w:rsidRDefault="00E6345C" w:rsidP="00E6345C">
            <w:pPr>
              <w:pStyle w:val="Heading2"/>
              <w:spacing w:before="0" w:after="0"/>
              <w:rPr>
                <w:rFonts w:ascii="Times New Roman" w:hAnsi="Times New Roman"/>
                <w:b w:val="0"/>
                <w:i w:val="0"/>
                <w:sz w:val="26"/>
                <w:szCs w:val="26"/>
              </w:rPr>
            </w:pPr>
            <w:r>
              <w:rPr>
                <w:rFonts w:ascii="Times New Roman" w:hAnsi="Times New Roman"/>
                <w:b w:val="0"/>
                <w:i w:val="0"/>
                <w:sz w:val="26"/>
                <w:szCs w:val="26"/>
              </w:rPr>
              <w:t>Solar Turbines, Inc.</w:t>
            </w:r>
            <w:r w:rsidR="00E805FF">
              <w:rPr>
                <w:rFonts w:ascii="Times New Roman" w:hAnsi="Times New Roman"/>
                <w:b w:val="0"/>
                <w:i w:val="0"/>
                <w:sz w:val="26"/>
                <w:szCs w:val="26"/>
              </w:rPr>
              <w:t xml:space="preserve">                                                                </w:t>
            </w:r>
            <w:r>
              <w:rPr>
                <w:rFonts w:ascii="Times New Roman" w:hAnsi="Times New Roman"/>
                <w:b w:val="0"/>
                <w:i w:val="0"/>
                <w:sz w:val="26"/>
                <w:szCs w:val="26"/>
              </w:rPr>
              <w:t xml:space="preserve"> Naperville, IL</w:t>
            </w:r>
            <w:r w:rsidRPr="00F539E1">
              <w:rPr>
                <w:rFonts w:ascii="Times New Roman" w:hAnsi="Times New Roman"/>
                <w:b w:val="0"/>
                <w:i w:val="0"/>
                <w:sz w:val="26"/>
                <w:szCs w:val="26"/>
              </w:rPr>
              <w:t xml:space="preserve">   </w:t>
            </w:r>
          </w:p>
          <w:p w14:paraId="25484979" w14:textId="2B7D7B31" w:rsidR="006722F9" w:rsidRPr="00E6345C" w:rsidRDefault="00E6345C" w:rsidP="00E6345C">
            <w:pPr>
              <w:pStyle w:val="Heading2"/>
              <w:spacing w:before="0" w:after="0"/>
              <w:rPr>
                <w:rFonts w:ascii="Times New Roman" w:hAnsi="Times New Roman"/>
                <w:b w:val="0"/>
                <w:i w:val="0"/>
                <w:sz w:val="26"/>
                <w:szCs w:val="26"/>
              </w:rPr>
            </w:pPr>
            <w:r w:rsidRPr="00F539E1">
              <w:rPr>
                <w:rFonts w:ascii="Times New Roman" w:hAnsi="Times New Roman"/>
                <w:b w:val="0"/>
                <w:i w:val="0"/>
                <w:sz w:val="26"/>
                <w:szCs w:val="26"/>
              </w:rPr>
              <w:t xml:space="preserve"> </w:t>
            </w:r>
          </w:p>
        </w:tc>
      </w:tr>
      <w:tr w:rsidR="006722F9" w:rsidRPr="00353536" w14:paraId="2DE86FAC" w14:textId="77777777" w:rsidTr="009C42A4">
        <w:trPr>
          <w:trHeight w:val="990"/>
        </w:trPr>
        <w:tc>
          <w:tcPr>
            <w:tcW w:w="342" w:type="dxa"/>
          </w:tcPr>
          <w:p w14:paraId="259A8EB8" w14:textId="77777777" w:rsidR="006722F9" w:rsidRPr="00353536" w:rsidRDefault="006722F9" w:rsidP="00BC0630">
            <w:pPr>
              <w:pStyle w:val="NoSpacing"/>
              <w:rPr>
                <w:rFonts w:ascii="Times New Roman" w:hAnsi="Times New Roman"/>
                <w:sz w:val="26"/>
                <w:szCs w:val="26"/>
              </w:rPr>
            </w:pPr>
          </w:p>
        </w:tc>
        <w:tc>
          <w:tcPr>
            <w:tcW w:w="990" w:type="dxa"/>
            <w:shd w:val="clear" w:color="auto" w:fill="auto"/>
          </w:tcPr>
          <w:p w14:paraId="3561F559" w14:textId="77777777" w:rsidR="006722F9" w:rsidRPr="00353536" w:rsidRDefault="006722F9" w:rsidP="00BC0630">
            <w:pPr>
              <w:pStyle w:val="NoSpacing"/>
              <w:rPr>
                <w:rFonts w:ascii="Times New Roman" w:hAnsi="Times New Roman"/>
                <w:sz w:val="26"/>
                <w:szCs w:val="26"/>
              </w:rPr>
            </w:pPr>
          </w:p>
        </w:tc>
        <w:tc>
          <w:tcPr>
            <w:tcW w:w="8118" w:type="dxa"/>
            <w:shd w:val="clear" w:color="auto" w:fill="auto"/>
          </w:tcPr>
          <w:p w14:paraId="6C3FB0F5" w14:textId="77777777" w:rsidR="00E6345C" w:rsidRPr="00E6345C" w:rsidRDefault="00E6345C" w:rsidP="00E6345C">
            <w:pPr>
              <w:rPr>
                <w:rFonts w:ascii="Times New Roman" w:eastAsia="Times New Roman" w:hAnsi="Times New Roman"/>
                <w:bCs/>
                <w:iCs/>
                <w:sz w:val="26"/>
                <w:szCs w:val="26"/>
              </w:rPr>
            </w:pPr>
            <w:r w:rsidRPr="00E6345C">
              <w:rPr>
                <w:rFonts w:ascii="Times New Roman" w:eastAsia="Times New Roman" w:hAnsi="Times New Roman"/>
                <w:bCs/>
                <w:iCs/>
                <w:sz w:val="26"/>
                <w:szCs w:val="26"/>
              </w:rPr>
              <w:t>Sole Source procurement procedures were followed in accordance with the Illinois Procurement Code, 30 ILCS 500/20-25</w:t>
            </w:r>
          </w:p>
          <w:p w14:paraId="2F175B3F" w14:textId="77777777" w:rsidR="00E6345C" w:rsidRPr="00E6345C" w:rsidRDefault="00E6345C" w:rsidP="00E6345C">
            <w:pPr>
              <w:rPr>
                <w:rFonts w:ascii="Times New Roman" w:eastAsia="Times New Roman" w:hAnsi="Times New Roman"/>
                <w:bCs/>
                <w:iCs/>
                <w:sz w:val="26"/>
                <w:szCs w:val="26"/>
              </w:rPr>
            </w:pPr>
            <w:r w:rsidRPr="00E6345C">
              <w:rPr>
                <w:rFonts w:ascii="Times New Roman" w:eastAsia="Times New Roman" w:hAnsi="Times New Roman"/>
                <w:bCs/>
                <w:iCs/>
                <w:sz w:val="26"/>
                <w:szCs w:val="26"/>
              </w:rPr>
              <w:t>This purchase is considered a sole source because Solar Turbines is the Original Equipment Manufacturer (OEM) for the two gas turbines at Abbott Power Plant.  Solar Turbines is the sole provider of patented and compatible replacement parts, engineering expertise, and factory-trained personnel to perform the required services.</w:t>
            </w:r>
          </w:p>
          <w:p w14:paraId="6DDF8D3B" w14:textId="77777777" w:rsidR="006722F9" w:rsidRDefault="00E6345C" w:rsidP="00E6345C">
            <w:pPr>
              <w:rPr>
                <w:rFonts w:ascii="Times New Roman" w:eastAsia="Times New Roman" w:hAnsi="Times New Roman"/>
                <w:bCs/>
                <w:iCs/>
                <w:sz w:val="26"/>
                <w:szCs w:val="26"/>
              </w:rPr>
            </w:pPr>
            <w:r w:rsidRPr="00E6345C">
              <w:rPr>
                <w:rFonts w:ascii="Times New Roman" w:eastAsia="Times New Roman" w:hAnsi="Times New Roman"/>
                <w:bCs/>
                <w:iCs/>
                <w:sz w:val="26"/>
                <w:szCs w:val="26"/>
              </w:rPr>
              <w:t xml:space="preserve">The current age of the turbines and their increased usage makes this unlimited service and overhaul agreement the most cost-effective approach to preventing the University from incurring the steep costs of one-time repairs and complete turbine replacement.  Without such an agreement in place, a single turbine failure could cost the University up to $4,000,000 per turbine.  This five-year agreement mitigates the University’s risk, and the cost is considered fair and reasonable.   </w:t>
            </w:r>
          </w:p>
          <w:p w14:paraId="1DF728E4" w14:textId="21CBA05F" w:rsidR="007E5C88" w:rsidRPr="00353536" w:rsidRDefault="007E5C88" w:rsidP="007E5C88">
            <w:pPr>
              <w:overflowPunct w:val="0"/>
              <w:autoSpaceDE w:val="0"/>
              <w:autoSpaceDN w:val="0"/>
              <w:textAlignment w:val="baseline"/>
              <w:rPr>
                <w:sz w:val="26"/>
                <w:szCs w:val="26"/>
              </w:rPr>
            </w:pPr>
            <w:r w:rsidRPr="007E5C88">
              <w:rPr>
                <w:rFonts w:ascii="Times New Roman" w:eastAsia="Times New Roman" w:hAnsi="Times New Roman"/>
                <w:b/>
                <w:iCs/>
                <w:sz w:val="26"/>
                <w:szCs w:val="26"/>
              </w:rPr>
              <w:t>Business Enterprise Program (BEP)</w:t>
            </w:r>
            <w:r w:rsidRPr="007E5C88">
              <w:rPr>
                <w:rFonts w:ascii="Times New Roman" w:eastAsia="Times New Roman" w:hAnsi="Times New Roman"/>
                <w:bCs/>
                <w:iCs/>
                <w:sz w:val="26"/>
                <w:szCs w:val="26"/>
              </w:rPr>
              <w:t xml:space="preserve"> goals are not established for   contracts which are exempt from the requirements of the Illinois Procurement Code.  </w:t>
            </w:r>
          </w:p>
        </w:tc>
      </w:tr>
    </w:tbl>
    <w:p w14:paraId="6402DB6A" w14:textId="77777777" w:rsidR="006722F9" w:rsidRDefault="006722F9" w:rsidP="00252F86">
      <w:pPr>
        <w:spacing w:after="0" w:line="240" w:lineRule="auto"/>
        <w:jc w:val="center"/>
        <w:rPr>
          <w:rFonts w:ascii="Times New Roman" w:hAnsi="Times New Roman"/>
          <w:b/>
          <w:sz w:val="26"/>
          <w:szCs w:val="26"/>
        </w:rPr>
      </w:pPr>
    </w:p>
    <w:p w14:paraId="5DCBEF36" w14:textId="63C26535" w:rsidR="00071A28" w:rsidRDefault="00071A28" w:rsidP="00071A28">
      <w:pPr>
        <w:spacing w:after="0" w:line="240" w:lineRule="auto"/>
        <w:jc w:val="center"/>
        <w:rPr>
          <w:rFonts w:ascii="Times New Roman" w:hAnsi="Times New Roman"/>
          <w:b/>
          <w:sz w:val="26"/>
          <w:szCs w:val="26"/>
        </w:rPr>
      </w:pPr>
    </w:p>
    <w:p w14:paraId="73A4E054" w14:textId="25DF6F21" w:rsidR="00071A28" w:rsidRDefault="00071A28" w:rsidP="00071A28">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1F82FE68" wp14:editId="74F60C2F">
                <wp:simplePos x="0" y="0"/>
                <wp:positionH relativeFrom="margin">
                  <wp:align>left</wp:align>
                </wp:positionH>
                <wp:positionV relativeFrom="paragraph">
                  <wp:posOffset>3810</wp:posOffset>
                </wp:positionV>
                <wp:extent cx="6013450" cy="0"/>
                <wp:effectExtent l="0" t="0" r="0" b="0"/>
                <wp:wrapNone/>
                <wp:docPr id="106835669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3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53A8D" id="Straight Connector 1" o:spid="_x0000_s1026" alt="&quot;&quot;"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3pt" to="4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" strokecolor="black [3213]" strokeweight="1.5pt">
                <v:stroke joinstyle="miter"/>
                <w10:wrap anchorx="margin"/>
              </v:line>
            </w:pict>
          </mc:Fallback>
        </mc:AlternateContent>
      </w:r>
      <w:r w:rsidRPr="00071A28">
        <w:rPr>
          <w:rFonts w:ascii="Times New Roman" w:hAnsi="Times New Roman"/>
          <w:b/>
          <w:sz w:val="26"/>
          <w:szCs w:val="26"/>
        </w:rPr>
        <w:t xml:space="preserve">University of Illinois at </w:t>
      </w:r>
      <w:r>
        <w:rPr>
          <w:rFonts w:ascii="Times New Roman" w:hAnsi="Times New Roman"/>
          <w:b/>
          <w:sz w:val="26"/>
          <w:szCs w:val="26"/>
        </w:rPr>
        <w:t>Chicago</w:t>
      </w:r>
    </w:p>
    <w:p w14:paraId="173EDE12" w14:textId="5D587723" w:rsidR="00071A28" w:rsidRDefault="00071A28" w:rsidP="00071A28">
      <w:pPr>
        <w:spacing w:after="0" w:line="240" w:lineRule="auto"/>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61DA0D36" wp14:editId="1E3E536C">
                <wp:simplePos x="0" y="0"/>
                <wp:positionH relativeFrom="margin">
                  <wp:align>left</wp:align>
                </wp:positionH>
                <wp:positionV relativeFrom="paragraph">
                  <wp:posOffset>37123</wp:posOffset>
                </wp:positionV>
                <wp:extent cx="6013939" cy="0"/>
                <wp:effectExtent l="0" t="0" r="0" b="0"/>
                <wp:wrapNone/>
                <wp:docPr id="69631573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39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2F7D6" id="Straight Connector 1" o:spid="_x0000_s1026" alt="&quot;&quot;"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2.9pt" to="47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" strokecolor="black [3213]" strokeweight="1.5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0B3742" w:rsidRPr="00353536" w14:paraId="11F75B39" w14:textId="77777777" w:rsidTr="00503D31">
        <w:trPr>
          <w:trHeight w:val="120"/>
        </w:trPr>
        <w:tc>
          <w:tcPr>
            <w:tcW w:w="342" w:type="dxa"/>
            <w:tcBorders>
              <w:bottom w:val="double" w:sz="6" w:space="0" w:color="auto"/>
            </w:tcBorders>
          </w:tcPr>
          <w:p w14:paraId="4DC032FF" w14:textId="77777777" w:rsidR="000B3742" w:rsidRPr="00353536" w:rsidRDefault="000B3742" w:rsidP="00503D31">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61714D48" w14:textId="77777777" w:rsidR="000B3742" w:rsidRPr="00353536" w:rsidRDefault="000B3742" w:rsidP="00503D31">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52AEAB88" w14:textId="77777777" w:rsidR="000B3742" w:rsidRPr="00353536" w:rsidRDefault="000B3742" w:rsidP="00503D31">
            <w:pPr>
              <w:pStyle w:val="NoSpacing"/>
              <w:rPr>
                <w:rFonts w:ascii="Times New Roman" w:hAnsi="Times New Roman"/>
                <w:sz w:val="26"/>
                <w:szCs w:val="26"/>
              </w:rPr>
            </w:pPr>
            <w:r w:rsidRPr="00353536">
              <w:rPr>
                <w:rFonts w:ascii="Times New Roman" w:hAnsi="Times New Roman"/>
                <w:spacing w:val="-3"/>
                <w:sz w:val="26"/>
                <w:szCs w:val="26"/>
              </w:rPr>
              <w:t>UI Hospital and Clinics</w:t>
            </w:r>
            <w:r w:rsidRPr="00353536">
              <w:rPr>
                <w:rFonts w:ascii="Times New Roman" w:hAnsi="Times New Roman"/>
                <w:spacing w:val="-3"/>
                <w:sz w:val="26"/>
                <w:szCs w:val="26"/>
              </w:rPr>
              <w:tab/>
            </w:r>
          </w:p>
        </w:tc>
      </w:tr>
      <w:tr w:rsidR="000B3742" w:rsidRPr="00353536" w14:paraId="28A42B1D" w14:textId="77777777" w:rsidTr="00503D31">
        <w:trPr>
          <w:trHeight w:val="648"/>
        </w:trPr>
        <w:tc>
          <w:tcPr>
            <w:tcW w:w="342" w:type="dxa"/>
          </w:tcPr>
          <w:p w14:paraId="597352E0" w14:textId="77777777" w:rsidR="000B3742" w:rsidRPr="00353536" w:rsidRDefault="000B3742" w:rsidP="00503D31">
            <w:pPr>
              <w:pStyle w:val="NoSpacing"/>
              <w:rPr>
                <w:rFonts w:ascii="Times New Roman" w:hAnsi="Times New Roman"/>
                <w:sz w:val="26"/>
                <w:szCs w:val="26"/>
              </w:rPr>
            </w:pPr>
          </w:p>
        </w:tc>
        <w:tc>
          <w:tcPr>
            <w:tcW w:w="990" w:type="dxa"/>
          </w:tcPr>
          <w:p w14:paraId="383F4BEB" w14:textId="77777777" w:rsidR="000B3742" w:rsidRPr="00353536" w:rsidRDefault="000B3742" w:rsidP="00503D31">
            <w:pPr>
              <w:pStyle w:val="NoSpacing"/>
              <w:rPr>
                <w:rFonts w:ascii="Times New Roman" w:hAnsi="Times New Roman"/>
                <w:sz w:val="26"/>
                <w:szCs w:val="26"/>
              </w:rPr>
            </w:pPr>
          </w:p>
          <w:p w14:paraId="6F504977" w14:textId="77777777" w:rsidR="000B3742" w:rsidRPr="00353536" w:rsidRDefault="000B3742" w:rsidP="00503D31">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vAlign w:val="center"/>
          </w:tcPr>
          <w:p w14:paraId="761F44ED" w14:textId="5411B169" w:rsidR="000B3742" w:rsidRPr="00BF79DF" w:rsidRDefault="000B3742" w:rsidP="00503D31">
            <w:pPr>
              <w:pStyle w:val="NoSpacing"/>
              <w:rPr>
                <w:rFonts w:ascii="Times New Roman" w:hAnsi="Times New Roman"/>
                <w:spacing w:val="-3"/>
                <w:sz w:val="26"/>
                <w:szCs w:val="26"/>
              </w:rPr>
            </w:pPr>
            <w:r w:rsidRPr="00E42C5B">
              <w:rPr>
                <w:rFonts w:ascii="Times New Roman" w:hAnsi="Times New Roman"/>
                <w:sz w:val="26"/>
                <w:szCs w:val="26"/>
              </w:rPr>
              <w:t xml:space="preserve">Purchase of </w:t>
            </w:r>
            <w:r>
              <w:rPr>
                <w:rFonts w:ascii="Times New Roman" w:hAnsi="Times New Roman"/>
                <w:sz w:val="26"/>
                <w:szCs w:val="26"/>
              </w:rPr>
              <w:t>Respiratory Panel Test Kits for UI Hospital Laboratory for the period July 1, 2023 through June 30, 202</w:t>
            </w:r>
            <w:r w:rsidR="005C38D7">
              <w:rPr>
                <w:rFonts w:ascii="Times New Roman" w:hAnsi="Times New Roman"/>
                <w:sz w:val="26"/>
                <w:szCs w:val="26"/>
              </w:rPr>
              <w:t>6</w:t>
            </w:r>
            <w:r>
              <w:rPr>
                <w:rFonts w:ascii="Times New Roman" w:hAnsi="Times New Roman"/>
                <w:sz w:val="26"/>
                <w:szCs w:val="26"/>
              </w:rPr>
              <w:t xml:space="preserve">. </w:t>
            </w:r>
          </w:p>
        </w:tc>
      </w:tr>
      <w:tr w:rsidR="000B3742" w:rsidRPr="00353536" w14:paraId="38966C69" w14:textId="77777777" w:rsidTr="00503D31">
        <w:trPr>
          <w:trHeight w:val="315"/>
        </w:trPr>
        <w:tc>
          <w:tcPr>
            <w:tcW w:w="342" w:type="dxa"/>
          </w:tcPr>
          <w:p w14:paraId="3D16CA7B" w14:textId="77777777" w:rsidR="000B3742" w:rsidRPr="00353536" w:rsidRDefault="000B3742" w:rsidP="00503D31">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2E62AD72" w14:textId="77777777" w:rsidR="000B3742" w:rsidRPr="00353536" w:rsidRDefault="000B3742" w:rsidP="00503D31">
            <w:pPr>
              <w:pStyle w:val="NoSpacing"/>
              <w:rPr>
                <w:rFonts w:ascii="Times New Roman" w:hAnsi="Times New Roman"/>
                <w:sz w:val="26"/>
                <w:szCs w:val="26"/>
              </w:rPr>
            </w:pPr>
          </w:p>
          <w:p w14:paraId="1AA4C34F" w14:textId="77777777" w:rsidR="000B3742" w:rsidRPr="00353536" w:rsidRDefault="000B3742" w:rsidP="00503D31">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3DE57FD2" w14:textId="77777777" w:rsidR="000B3742" w:rsidRPr="00353536" w:rsidRDefault="000B3742" w:rsidP="00503D31">
            <w:pPr>
              <w:pStyle w:val="NoSpacing"/>
              <w:rPr>
                <w:rFonts w:ascii="Times New Roman" w:hAnsi="Times New Roman"/>
                <w:sz w:val="26"/>
                <w:szCs w:val="26"/>
              </w:rPr>
            </w:pPr>
          </w:p>
          <w:p w14:paraId="470D5976" w14:textId="77777777" w:rsidR="000B3742" w:rsidRPr="000B3742" w:rsidRDefault="000B3742" w:rsidP="00503D31">
            <w:pPr>
              <w:pStyle w:val="NoSpacing"/>
              <w:rPr>
                <w:rFonts w:ascii="Times New Roman" w:hAnsi="Times New Roman"/>
                <w:sz w:val="26"/>
                <w:szCs w:val="26"/>
              </w:rPr>
            </w:pPr>
            <w:r w:rsidRPr="000B3742">
              <w:rPr>
                <w:rFonts w:ascii="Times New Roman" w:hAnsi="Times New Roman"/>
                <w:sz w:val="26"/>
                <w:szCs w:val="26"/>
              </w:rPr>
              <w:t xml:space="preserve">$6,000,000 (estimated) </w:t>
            </w:r>
          </w:p>
          <w:p w14:paraId="57BE3F7C" w14:textId="0E3CA186" w:rsidR="000B3742" w:rsidRPr="00CB17B7" w:rsidRDefault="000B3742" w:rsidP="00503D31">
            <w:pPr>
              <w:pStyle w:val="NoSpacing"/>
              <w:rPr>
                <w:rFonts w:ascii="Times New Roman" w:hAnsi="Times New Roman"/>
                <w:spacing w:val="-3"/>
                <w:sz w:val="26"/>
                <w:szCs w:val="26"/>
              </w:rPr>
            </w:pPr>
          </w:p>
        </w:tc>
      </w:tr>
      <w:tr w:rsidR="000B3742" w:rsidRPr="00353536" w14:paraId="6E4C2E84" w14:textId="77777777" w:rsidTr="00503D31">
        <w:trPr>
          <w:trHeight w:val="150"/>
        </w:trPr>
        <w:tc>
          <w:tcPr>
            <w:tcW w:w="342" w:type="dxa"/>
          </w:tcPr>
          <w:p w14:paraId="7DC9D55A" w14:textId="77777777" w:rsidR="000B3742" w:rsidRPr="00353536" w:rsidRDefault="000B3742" w:rsidP="00503D31">
            <w:pPr>
              <w:pStyle w:val="NoSpacing"/>
              <w:rPr>
                <w:rFonts w:ascii="Times New Roman" w:hAnsi="Times New Roman"/>
                <w:sz w:val="26"/>
                <w:szCs w:val="26"/>
              </w:rPr>
            </w:pPr>
          </w:p>
        </w:tc>
        <w:tc>
          <w:tcPr>
            <w:tcW w:w="990" w:type="dxa"/>
            <w:shd w:val="clear" w:color="auto" w:fill="auto"/>
          </w:tcPr>
          <w:p w14:paraId="430ADC66" w14:textId="77777777" w:rsidR="000B3742" w:rsidRPr="00353536" w:rsidRDefault="000B3742" w:rsidP="00503D31">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78D986F0" w14:textId="5E02A752" w:rsidR="000B3742" w:rsidRPr="000B3742" w:rsidRDefault="000B3742" w:rsidP="000B3742">
            <w:pPr>
              <w:pStyle w:val="NoSpacing"/>
              <w:rPr>
                <w:rFonts w:ascii="Times New Roman" w:hAnsi="Times New Roman"/>
                <w:sz w:val="26"/>
                <w:szCs w:val="26"/>
              </w:rPr>
            </w:pPr>
            <w:r w:rsidRPr="000B3742">
              <w:rPr>
                <w:rFonts w:ascii="Times New Roman" w:hAnsi="Times New Roman"/>
                <w:sz w:val="26"/>
                <w:szCs w:val="26"/>
              </w:rPr>
              <w:t>Biomerieux, Inc.                                                                  Lombard, Illinois</w:t>
            </w:r>
          </w:p>
          <w:p w14:paraId="12B614E4" w14:textId="22ECFE03" w:rsidR="000B3742" w:rsidRPr="00353536" w:rsidRDefault="000B3742" w:rsidP="000B3742">
            <w:pPr>
              <w:pStyle w:val="NoSpacing"/>
              <w:rPr>
                <w:rFonts w:ascii="Times New Roman" w:hAnsi="Times New Roman"/>
                <w:sz w:val="26"/>
                <w:szCs w:val="26"/>
              </w:rPr>
            </w:pPr>
          </w:p>
        </w:tc>
      </w:tr>
      <w:tr w:rsidR="000B3742" w:rsidRPr="00353536" w14:paraId="3CC14873" w14:textId="77777777" w:rsidTr="00503D31">
        <w:trPr>
          <w:trHeight w:val="3240"/>
        </w:trPr>
        <w:tc>
          <w:tcPr>
            <w:tcW w:w="342" w:type="dxa"/>
          </w:tcPr>
          <w:p w14:paraId="7BA166ED" w14:textId="77777777" w:rsidR="000B3742" w:rsidRPr="00353536" w:rsidRDefault="000B3742" w:rsidP="00503D31">
            <w:pPr>
              <w:pStyle w:val="NoSpacing"/>
              <w:rPr>
                <w:rFonts w:ascii="Times New Roman" w:hAnsi="Times New Roman"/>
                <w:sz w:val="26"/>
                <w:szCs w:val="26"/>
              </w:rPr>
            </w:pPr>
          </w:p>
        </w:tc>
        <w:tc>
          <w:tcPr>
            <w:tcW w:w="990" w:type="dxa"/>
            <w:shd w:val="clear" w:color="auto" w:fill="auto"/>
          </w:tcPr>
          <w:p w14:paraId="79F67E5E" w14:textId="77777777" w:rsidR="000B3742" w:rsidRPr="00353536" w:rsidRDefault="000B3742" w:rsidP="00503D31">
            <w:pPr>
              <w:pStyle w:val="NoSpacing"/>
              <w:rPr>
                <w:rFonts w:ascii="Times New Roman" w:hAnsi="Times New Roman"/>
                <w:sz w:val="26"/>
                <w:szCs w:val="26"/>
              </w:rPr>
            </w:pPr>
          </w:p>
        </w:tc>
        <w:tc>
          <w:tcPr>
            <w:tcW w:w="8118" w:type="dxa"/>
            <w:shd w:val="clear" w:color="auto" w:fill="auto"/>
          </w:tcPr>
          <w:p w14:paraId="3363B527" w14:textId="77777777" w:rsidR="000B3742" w:rsidRDefault="000B3742" w:rsidP="000B3742">
            <w:pPr>
              <w:pStyle w:val="NoSpacing"/>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1329679F" w14:textId="77777777" w:rsidR="000B3742" w:rsidRDefault="000B3742" w:rsidP="000B3742">
            <w:pPr>
              <w:pStyle w:val="NoSpacing"/>
              <w:rPr>
                <w:rFonts w:ascii="Times New Roman" w:hAnsi="Times New Roman"/>
                <w:sz w:val="26"/>
                <w:szCs w:val="26"/>
              </w:rPr>
            </w:pPr>
            <w:r>
              <w:rPr>
                <w:rFonts w:ascii="Times New Roman" w:hAnsi="Times New Roman"/>
                <w:sz w:val="26"/>
                <w:szCs w:val="26"/>
              </w:rPr>
              <w:t>UI Hospital Laboratory performs tests for a variety of respiratory illnesses, including Influenza A and B, Coronaviruses and COVID-19 using the BioFire Torch platform to perform the testing, which requires the purchase of disposable testing supply kits.  Over 11,000 of these respiratory panel tests are performed annually.</w:t>
            </w:r>
          </w:p>
          <w:p w14:paraId="3678F90F" w14:textId="77777777" w:rsidR="000B3742" w:rsidRDefault="000B3742" w:rsidP="000B3742">
            <w:pPr>
              <w:pStyle w:val="NoSpacing"/>
              <w:rPr>
                <w:rFonts w:ascii="Times New Roman" w:hAnsi="Times New Roman"/>
                <w:sz w:val="26"/>
                <w:szCs w:val="26"/>
              </w:rPr>
            </w:pPr>
          </w:p>
          <w:p w14:paraId="408B5825" w14:textId="050FAFDC" w:rsidR="000B3742" w:rsidRPr="00353536" w:rsidRDefault="000B3742" w:rsidP="005C38D7">
            <w:pPr>
              <w:pStyle w:val="NoSpacing"/>
              <w:rPr>
                <w:rFonts w:ascii="Times New Roman" w:hAnsi="Times New Roman"/>
                <w:sz w:val="26"/>
                <w:szCs w:val="26"/>
              </w:rPr>
            </w:pPr>
            <w:r w:rsidRPr="000B3742">
              <w:rPr>
                <w:rFonts w:ascii="Times New Roman" w:hAnsi="Times New Roman"/>
                <w:b/>
                <w:bCs/>
                <w:sz w:val="26"/>
                <w:szCs w:val="26"/>
              </w:rPr>
              <w:t>Business Enterprise Program (BEP)</w:t>
            </w:r>
            <w:r w:rsidRPr="000B3742">
              <w:rPr>
                <w:rFonts w:ascii="Times New Roman" w:hAnsi="Times New Roman"/>
                <w:sz w:val="26"/>
                <w:szCs w:val="26"/>
              </w:rPr>
              <w:t xml:space="preserve"> goals are not established for </w:t>
            </w:r>
            <w:r w:rsidR="007E5C88">
              <w:rPr>
                <w:rFonts w:ascii="Times New Roman" w:hAnsi="Times New Roman"/>
                <w:sz w:val="26"/>
                <w:szCs w:val="26"/>
              </w:rPr>
              <w:t>sole sources</w:t>
            </w:r>
            <w:r w:rsidRPr="000B3742">
              <w:rPr>
                <w:rFonts w:ascii="Times New Roman" w:hAnsi="Times New Roman"/>
                <w:sz w:val="26"/>
                <w:szCs w:val="26"/>
              </w:rPr>
              <w:t xml:space="preserve"> </w:t>
            </w:r>
            <w:r w:rsidR="007E5C88">
              <w:rPr>
                <w:rFonts w:ascii="Times New Roman" w:hAnsi="Times New Roman"/>
                <w:sz w:val="26"/>
                <w:szCs w:val="26"/>
              </w:rPr>
              <w:t>per</w:t>
            </w:r>
            <w:r w:rsidRPr="000B3742">
              <w:rPr>
                <w:rFonts w:ascii="Times New Roman" w:hAnsi="Times New Roman"/>
                <w:sz w:val="26"/>
                <w:szCs w:val="26"/>
              </w:rPr>
              <w:t xml:space="preserve"> the requirements of the Illinois Procurement Code.</w:t>
            </w:r>
            <w:r w:rsidRPr="000B3742">
              <w:rPr>
                <w:rFonts w:ascii="Times New Roman" w:hAnsi="Times New Roman"/>
                <w:sz w:val="26"/>
                <w:szCs w:val="26"/>
              </w:rPr>
              <w:tab/>
            </w:r>
            <w:r w:rsidRPr="000B3742">
              <w:rPr>
                <w:rFonts w:ascii="Times New Roman" w:hAnsi="Times New Roman"/>
                <w:sz w:val="26"/>
                <w:szCs w:val="26"/>
              </w:rPr>
              <w:tab/>
            </w:r>
          </w:p>
        </w:tc>
      </w:tr>
    </w:tbl>
    <w:p w14:paraId="440A9CB0" w14:textId="77777777" w:rsidR="00A45A06" w:rsidRDefault="00F33E3E" w:rsidP="00F33E3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sectPr w:rsidR="00A45A06" w:rsidSect="00A45A06">
          <w:headerReference w:type="default" r:id="rId8"/>
          <w:pgSz w:w="12240" w:h="15840"/>
          <w:pgMar w:top="720" w:right="1440" w:bottom="1440" w:left="1440" w:header="720" w:footer="720" w:gutter="0"/>
          <w:cols w:space="720"/>
          <w:docGrid w:linePitch="360"/>
        </w:sectPr>
      </w:pPr>
      <w:r w:rsidRPr="00353536">
        <w:rPr>
          <w:rFonts w:ascii="Times New Roman" w:hAnsi="Times New Roman"/>
          <w:sz w:val="26"/>
          <w:szCs w:val="26"/>
        </w:rPr>
        <w:t xml:space="preserve">  </w:t>
      </w:r>
    </w:p>
    <w:p w14:paraId="2B2A568B" w14:textId="77777777" w:rsidR="00071A28" w:rsidRDefault="00071A28" w:rsidP="00071A28">
      <w:pPr>
        <w:spacing w:after="0" w:line="240" w:lineRule="auto"/>
        <w:jc w:val="center"/>
        <w:rPr>
          <w:rFonts w:ascii="Times New Roman" w:hAnsi="Times New Roman"/>
          <w:b/>
          <w:sz w:val="26"/>
          <w:szCs w:val="26"/>
        </w:rPr>
      </w:pPr>
    </w:p>
    <w:p w14:paraId="1246D928" w14:textId="39AD0692" w:rsidR="00071A28" w:rsidRDefault="00071A28" w:rsidP="00071A28">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47BFB663" wp14:editId="581322E3">
                <wp:simplePos x="0" y="0"/>
                <wp:positionH relativeFrom="margin">
                  <wp:align>left</wp:align>
                </wp:positionH>
                <wp:positionV relativeFrom="paragraph">
                  <wp:posOffset>3810</wp:posOffset>
                </wp:positionV>
                <wp:extent cx="6013450" cy="0"/>
                <wp:effectExtent l="0" t="0" r="0" b="0"/>
                <wp:wrapNone/>
                <wp:docPr id="62824703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3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4A0A1" id="Straight Connector 1" o:spid="_x0000_s1026" alt="&quot;&quot;"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3pt" to="4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" strokecolor="black [3213]" strokeweight="1.5pt">
                <v:stroke joinstyle="miter"/>
                <w10:wrap anchorx="margin"/>
              </v:line>
            </w:pict>
          </mc:Fallback>
        </mc:AlternateContent>
      </w:r>
      <w:r w:rsidRPr="00071A28">
        <w:rPr>
          <w:rFonts w:ascii="Times New Roman" w:hAnsi="Times New Roman"/>
          <w:b/>
          <w:sz w:val="26"/>
          <w:szCs w:val="26"/>
        </w:rPr>
        <w:t xml:space="preserve">University of Illinois at </w:t>
      </w:r>
      <w:r>
        <w:rPr>
          <w:rFonts w:ascii="Times New Roman" w:hAnsi="Times New Roman"/>
          <w:b/>
          <w:sz w:val="26"/>
          <w:szCs w:val="26"/>
        </w:rPr>
        <w:t>System Office</w:t>
      </w:r>
    </w:p>
    <w:p w14:paraId="43059206" w14:textId="77777777" w:rsidR="00071A28" w:rsidRDefault="00071A28" w:rsidP="00071A28">
      <w:pPr>
        <w:spacing w:after="0" w:line="240" w:lineRule="auto"/>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3A3A7C72" wp14:editId="712E3155">
                <wp:simplePos x="0" y="0"/>
                <wp:positionH relativeFrom="margin">
                  <wp:align>left</wp:align>
                </wp:positionH>
                <wp:positionV relativeFrom="paragraph">
                  <wp:posOffset>37123</wp:posOffset>
                </wp:positionV>
                <wp:extent cx="6013939" cy="0"/>
                <wp:effectExtent l="0" t="0" r="0" b="0"/>
                <wp:wrapNone/>
                <wp:docPr id="61573403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39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E8126" id="Straight Connector 1" o:spid="_x0000_s1026" alt="&quot;&quot;"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9pt" to="47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" strokecolor="black [3213]" strokeweight="1.5pt">
                <v:stroke joinstyle="miter"/>
                <w10:wrap anchorx="margin"/>
              </v:line>
            </w:pict>
          </mc:Fallback>
        </mc:AlternateContent>
      </w:r>
    </w:p>
    <w:p w14:paraId="508E17FE" w14:textId="77777777" w:rsidR="00071A28" w:rsidRPr="00071A28" w:rsidRDefault="00071A28" w:rsidP="00F33E3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71CE3" w:rsidRPr="00353536" w14:paraId="47F637CB" w14:textId="77777777" w:rsidTr="005274CF">
        <w:trPr>
          <w:trHeight w:val="120"/>
        </w:trPr>
        <w:tc>
          <w:tcPr>
            <w:tcW w:w="342" w:type="dxa"/>
            <w:tcBorders>
              <w:bottom w:val="double" w:sz="6" w:space="0" w:color="auto"/>
            </w:tcBorders>
          </w:tcPr>
          <w:p w14:paraId="1DB08B2A" w14:textId="7C822730" w:rsidR="00271CE3" w:rsidRPr="00353536" w:rsidRDefault="008071D1" w:rsidP="005274CF">
            <w:pPr>
              <w:pStyle w:val="NoSpacing"/>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18D798EF"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2212D807" w14:textId="3BBA4F13" w:rsidR="00271CE3" w:rsidRPr="00353536" w:rsidRDefault="00E805FF" w:rsidP="005274CF">
            <w:pPr>
              <w:pStyle w:val="NoSpacing"/>
              <w:rPr>
                <w:rFonts w:ascii="Times New Roman" w:hAnsi="Times New Roman"/>
                <w:sz w:val="26"/>
                <w:szCs w:val="26"/>
              </w:rPr>
            </w:pPr>
            <w:r w:rsidRPr="00E805FF">
              <w:rPr>
                <w:rFonts w:ascii="Times New Roman" w:hAnsi="Times New Roman"/>
                <w:sz w:val="26"/>
                <w:szCs w:val="26"/>
              </w:rPr>
              <w:t>University Office of Capital Programs</w:t>
            </w:r>
          </w:p>
        </w:tc>
      </w:tr>
      <w:tr w:rsidR="00271CE3" w:rsidRPr="00353536" w14:paraId="65BD5045" w14:textId="77777777" w:rsidTr="005274CF">
        <w:trPr>
          <w:trHeight w:val="648"/>
        </w:trPr>
        <w:tc>
          <w:tcPr>
            <w:tcW w:w="342" w:type="dxa"/>
          </w:tcPr>
          <w:p w14:paraId="4BC749E0" w14:textId="77777777" w:rsidR="00271CE3" w:rsidRPr="00353536" w:rsidRDefault="00271CE3" w:rsidP="005274CF">
            <w:pPr>
              <w:pStyle w:val="NoSpacing"/>
              <w:rPr>
                <w:rFonts w:ascii="Times New Roman" w:hAnsi="Times New Roman"/>
                <w:sz w:val="26"/>
                <w:szCs w:val="26"/>
              </w:rPr>
            </w:pPr>
          </w:p>
        </w:tc>
        <w:tc>
          <w:tcPr>
            <w:tcW w:w="990" w:type="dxa"/>
          </w:tcPr>
          <w:p w14:paraId="3769FC21" w14:textId="77777777" w:rsidR="00271CE3" w:rsidRPr="00353536" w:rsidRDefault="00271CE3" w:rsidP="005274CF">
            <w:pPr>
              <w:pStyle w:val="NoSpacing"/>
              <w:rPr>
                <w:rFonts w:ascii="Times New Roman" w:hAnsi="Times New Roman"/>
                <w:sz w:val="26"/>
                <w:szCs w:val="26"/>
              </w:rPr>
            </w:pPr>
          </w:p>
          <w:p w14:paraId="77FA4B16"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581F87AC" w14:textId="77777777" w:rsidR="00271CE3" w:rsidRPr="00353536" w:rsidRDefault="00271CE3" w:rsidP="005274CF">
            <w:pPr>
              <w:pStyle w:val="NoSpacing"/>
              <w:jc w:val="both"/>
              <w:rPr>
                <w:rFonts w:ascii="Times New Roman" w:hAnsi="Times New Roman"/>
                <w:sz w:val="26"/>
                <w:szCs w:val="26"/>
              </w:rPr>
            </w:pPr>
          </w:p>
          <w:p w14:paraId="4CA4B4EA" w14:textId="5645F8BC" w:rsidR="00271CE3" w:rsidRPr="00353536" w:rsidRDefault="00E805FF" w:rsidP="005274CF">
            <w:pPr>
              <w:pStyle w:val="NoSpacing"/>
              <w:jc w:val="both"/>
              <w:rPr>
                <w:rFonts w:ascii="Times New Roman" w:hAnsi="Times New Roman"/>
                <w:sz w:val="26"/>
                <w:szCs w:val="26"/>
              </w:rPr>
            </w:pPr>
            <w:r w:rsidRPr="00E805FF">
              <w:rPr>
                <w:rFonts w:ascii="Times New Roman" w:hAnsi="Times New Roman"/>
                <w:spacing w:val="-3"/>
                <w:sz w:val="26"/>
                <w:szCs w:val="26"/>
              </w:rPr>
              <w:t>Facility Condition Assessment</w:t>
            </w:r>
            <w:r>
              <w:rPr>
                <w:rFonts w:ascii="Times New Roman" w:hAnsi="Times New Roman"/>
                <w:spacing w:val="-3"/>
                <w:sz w:val="26"/>
                <w:szCs w:val="26"/>
              </w:rPr>
              <w:t xml:space="preserve"> for the period June 15, 2023 through June 30, 2028. With one (1), four (4) year renewal option. </w:t>
            </w:r>
          </w:p>
        </w:tc>
      </w:tr>
      <w:tr w:rsidR="00271CE3" w:rsidRPr="00353536" w14:paraId="460E29DE" w14:textId="77777777" w:rsidTr="005274CF">
        <w:trPr>
          <w:trHeight w:val="315"/>
        </w:trPr>
        <w:tc>
          <w:tcPr>
            <w:tcW w:w="342" w:type="dxa"/>
          </w:tcPr>
          <w:p w14:paraId="2ABD4A0C"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3ACE862D" w14:textId="77777777" w:rsidR="00271CE3" w:rsidRPr="00353536" w:rsidRDefault="00271CE3" w:rsidP="005274CF">
            <w:pPr>
              <w:pStyle w:val="NoSpacing"/>
              <w:rPr>
                <w:rFonts w:ascii="Times New Roman" w:hAnsi="Times New Roman"/>
                <w:sz w:val="26"/>
                <w:szCs w:val="26"/>
              </w:rPr>
            </w:pPr>
          </w:p>
          <w:p w14:paraId="1FFE41B1"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782AF8DE" w14:textId="77777777" w:rsidR="00271CE3" w:rsidRPr="00353536" w:rsidRDefault="00271CE3" w:rsidP="005274CF">
            <w:pPr>
              <w:pStyle w:val="NoSpacing"/>
              <w:rPr>
                <w:rFonts w:ascii="Times New Roman" w:hAnsi="Times New Roman"/>
                <w:sz w:val="26"/>
                <w:szCs w:val="26"/>
              </w:rPr>
            </w:pPr>
          </w:p>
          <w:p w14:paraId="70A74E72" w14:textId="080DD9B4" w:rsidR="00271CE3" w:rsidRPr="00353536" w:rsidRDefault="00271CE3" w:rsidP="00271CE3">
            <w:pPr>
              <w:pStyle w:val="NoSpacing"/>
              <w:rPr>
                <w:rFonts w:ascii="Times New Roman" w:hAnsi="Times New Roman"/>
                <w:spacing w:val="-3"/>
                <w:sz w:val="26"/>
                <w:szCs w:val="26"/>
              </w:rPr>
            </w:pPr>
            <w:r w:rsidRPr="00353536">
              <w:rPr>
                <w:rFonts w:ascii="Times New Roman" w:hAnsi="Times New Roman"/>
                <w:spacing w:val="-3"/>
                <w:sz w:val="26"/>
                <w:szCs w:val="26"/>
              </w:rPr>
              <w:t xml:space="preserve">$ </w:t>
            </w:r>
            <w:r w:rsidR="00E805FF">
              <w:rPr>
                <w:rFonts w:ascii="Times New Roman" w:hAnsi="Times New Roman"/>
                <w:spacing w:val="-3"/>
                <w:sz w:val="26"/>
                <w:szCs w:val="26"/>
              </w:rPr>
              <w:t>2,600,000 (estimated)</w:t>
            </w:r>
          </w:p>
          <w:p w14:paraId="123CEAF3" w14:textId="4F63624C" w:rsidR="00271CE3" w:rsidRPr="00353536" w:rsidRDefault="00271CE3" w:rsidP="005274CF">
            <w:pPr>
              <w:pStyle w:val="NoSpacing"/>
              <w:rPr>
                <w:rFonts w:ascii="Times New Roman" w:hAnsi="Times New Roman"/>
                <w:sz w:val="26"/>
                <w:szCs w:val="26"/>
              </w:rPr>
            </w:pPr>
          </w:p>
        </w:tc>
      </w:tr>
      <w:tr w:rsidR="00271CE3" w:rsidRPr="00353536" w14:paraId="30374705" w14:textId="77777777" w:rsidTr="005274CF">
        <w:trPr>
          <w:trHeight w:val="150"/>
        </w:trPr>
        <w:tc>
          <w:tcPr>
            <w:tcW w:w="342" w:type="dxa"/>
          </w:tcPr>
          <w:p w14:paraId="28690F54" w14:textId="77777777" w:rsidR="00271CE3" w:rsidRPr="00353536" w:rsidRDefault="00271CE3" w:rsidP="005274CF">
            <w:pPr>
              <w:pStyle w:val="NoSpacing"/>
              <w:rPr>
                <w:rFonts w:ascii="Times New Roman" w:hAnsi="Times New Roman"/>
                <w:sz w:val="26"/>
                <w:szCs w:val="26"/>
              </w:rPr>
            </w:pPr>
          </w:p>
        </w:tc>
        <w:tc>
          <w:tcPr>
            <w:tcW w:w="990" w:type="dxa"/>
            <w:shd w:val="clear" w:color="auto" w:fill="auto"/>
          </w:tcPr>
          <w:p w14:paraId="3293EDBF"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5BDC5F0C" w14:textId="538DB29B" w:rsidR="00271CE3" w:rsidRPr="00353536" w:rsidRDefault="00E805FF" w:rsidP="005274CF">
            <w:pPr>
              <w:tabs>
                <w:tab w:val="left" w:pos="450"/>
                <w:tab w:val="left" w:pos="1080"/>
              </w:tabs>
              <w:jc w:val="both"/>
              <w:rPr>
                <w:rFonts w:ascii="Times New Roman" w:hAnsi="Times New Roman"/>
                <w:sz w:val="26"/>
                <w:szCs w:val="26"/>
              </w:rPr>
            </w:pPr>
            <w:r>
              <w:rPr>
                <w:rFonts w:ascii="Times New Roman" w:hAnsi="Times New Roman"/>
                <w:bCs/>
                <w:sz w:val="26"/>
                <w:szCs w:val="26"/>
              </w:rPr>
              <w:t>Cannon Design, Inc.                                                                   Chicago, IL</w:t>
            </w:r>
          </w:p>
        </w:tc>
      </w:tr>
      <w:tr w:rsidR="00271CE3" w:rsidRPr="00353536" w14:paraId="3FAC9FCB" w14:textId="77777777" w:rsidTr="005274CF">
        <w:trPr>
          <w:trHeight w:val="150"/>
        </w:trPr>
        <w:tc>
          <w:tcPr>
            <w:tcW w:w="342" w:type="dxa"/>
          </w:tcPr>
          <w:p w14:paraId="53AC67BA" w14:textId="77777777" w:rsidR="00271CE3" w:rsidRPr="00353536" w:rsidRDefault="00271CE3" w:rsidP="005274CF">
            <w:pPr>
              <w:pStyle w:val="NoSpacing"/>
              <w:rPr>
                <w:rFonts w:ascii="Times New Roman" w:hAnsi="Times New Roman"/>
                <w:sz w:val="26"/>
                <w:szCs w:val="26"/>
              </w:rPr>
            </w:pPr>
          </w:p>
        </w:tc>
        <w:tc>
          <w:tcPr>
            <w:tcW w:w="990" w:type="dxa"/>
            <w:shd w:val="clear" w:color="auto" w:fill="auto"/>
          </w:tcPr>
          <w:p w14:paraId="18142D67" w14:textId="77777777" w:rsidR="00271CE3" w:rsidRPr="00353536" w:rsidRDefault="00271CE3" w:rsidP="005274CF">
            <w:pPr>
              <w:pStyle w:val="NoSpacing"/>
              <w:rPr>
                <w:rFonts w:ascii="Times New Roman" w:hAnsi="Times New Roman"/>
                <w:sz w:val="26"/>
                <w:szCs w:val="26"/>
              </w:rPr>
            </w:pPr>
          </w:p>
        </w:tc>
        <w:tc>
          <w:tcPr>
            <w:tcW w:w="8118" w:type="dxa"/>
            <w:shd w:val="clear" w:color="auto" w:fill="auto"/>
          </w:tcPr>
          <w:p w14:paraId="55D16CFA" w14:textId="77777777" w:rsidR="00E805FF" w:rsidRDefault="00E805FF" w:rsidP="00E805FF">
            <w:pPr>
              <w:overflowPunct w:val="0"/>
              <w:autoSpaceDE w:val="0"/>
              <w:autoSpaceDN w:val="0"/>
              <w:adjustRightInd w:val="0"/>
              <w:jc w:val="both"/>
              <w:textAlignment w:val="baseline"/>
              <w:rPr>
                <w:rFonts w:ascii="Times New Roman" w:hAnsi="Times New Roman"/>
                <w:bCs/>
                <w:sz w:val="26"/>
                <w:szCs w:val="26"/>
              </w:rPr>
            </w:pPr>
            <w:r w:rsidRPr="00E805FF">
              <w:rPr>
                <w:rFonts w:ascii="Times New Roman" w:hAnsi="Times New Roman"/>
                <w:bCs/>
                <w:sz w:val="26"/>
                <w:szCs w:val="26"/>
              </w:rPr>
              <w:t xml:space="preserve">The Office for Capital Programs on behalf of the University of Illinois Urbana-Champaign (UIUC), the University of Illinois Chicago (UIC), and the University of Illinois Springfield (UIS) requested a Request for Proposal (RFP) to conduct campus wide facility condition assessments embodying a comprehensive evaluation that is to determine both current deficiencies and building systems in need of future repair or replacement.  </w:t>
            </w:r>
          </w:p>
          <w:p w14:paraId="0495A98E" w14:textId="7019D3D1" w:rsidR="000F72ED" w:rsidRPr="000F72ED" w:rsidRDefault="000F72ED" w:rsidP="000F72ED">
            <w:pPr>
              <w:overflowPunct w:val="0"/>
              <w:autoSpaceDE w:val="0"/>
              <w:autoSpaceDN w:val="0"/>
              <w:adjustRightInd w:val="0"/>
              <w:jc w:val="both"/>
              <w:textAlignment w:val="baseline"/>
              <w:rPr>
                <w:rFonts w:ascii="Times New Roman" w:hAnsi="Times New Roman"/>
                <w:bCs/>
                <w:sz w:val="26"/>
                <w:szCs w:val="26"/>
              </w:rPr>
            </w:pPr>
            <w:r w:rsidRPr="000F72ED">
              <w:rPr>
                <w:rFonts w:ascii="Times New Roman" w:hAnsi="Times New Roman"/>
                <w:bCs/>
                <w:sz w:val="26"/>
                <w:szCs w:val="26"/>
              </w:rPr>
              <w:t>There has not been a System-wide, full-scale facility condition assessment performed since 2003. This assessment will provide an updated estimate of deferred maintenance needs by evaluating building conditions at more than 20 million square feet of university facilities. Once quantified, the universities will work with the University Office of Capital Programs to develop a comprehensive remediation plan</w:t>
            </w:r>
            <w:r>
              <w:rPr>
                <w:rFonts w:ascii="Times New Roman" w:hAnsi="Times New Roman"/>
                <w:bCs/>
                <w:sz w:val="26"/>
                <w:szCs w:val="26"/>
              </w:rPr>
              <w:t>.</w:t>
            </w:r>
          </w:p>
          <w:p w14:paraId="089EE83D" w14:textId="77777777" w:rsidR="00E805FF" w:rsidRPr="00E805FF" w:rsidRDefault="00E805FF" w:rsidP="00E805FF">
            <w:pPr>
              <w:overflowPunct w:val="0"/>
              <w:autoSpaceDE w:val="0"/>
              <w:autoSpaceDN w:val="0"/>
              <w:adjustRightInd w:val="0"/>
              <w:jc w:val="both"/>
              <w:textAlignment w:val="baseline"/>
              <w:rPr>
                <w:rFonts w:ascii="Times New Roman" w:hAnsi="Times New Roman"/>
                <w:bCs/>
                <w:sz w:val="26"/>
                <w:szCs w:val="26"/>
              </w:rPr>
            </w:pPr>
            <w:r w:rsidRPr="00E805FF">
              <w:rPr>
                <w:rFonts w:ascii="Times New Roman" w:hAnsi="Times New Roman"/>
                <w:bCs/>
                <w:sz w:val="26"/>
                <w:szCs w:val="26"/>
              </w:rPr>
              <w:t>Competitive solicitation procedures were followed in accordance with the Illinois Procurement Code (30 ILCS 500/20-15) for RFP 9SNC2208-Facility Condition Assessment.</w:t>
            </w:r>
          </w:p>
          <w:p w14:paraId="0296CB0A" w14:textId="23D2E8E8" w:rsidR="00E805FF" w:rsidRDefault="00E805FF" w:rsidP="00E805FF">
            <w:pPr>
              <w:rPr>
                <w:rFonts w:ascii="Times New Roman" w:hAnsi="Times New Roman"/>
                <w:bCs/>
                <w:sz w:val="26"/>
                <w:szCs w:val="26"/>
              </w:rPr>
            </w:pPr>
            <w:bookmarkStart w:id="2" w:name="_Hlk132121377"/>
            <w:r w:rsidRPr="00E805FF">
              <w:rPr>
                <w:rFonts w:ascii="Times New Roman" w:hAnsi="Times New Roman"/>
                <w:bCs/>
                <w:sz w:val="26"/>
                <w:szCs w:val="26"/>
              </w:rPr>
              <w:t>Cannon Design, Inc. will provide facility condition assessments at UIS, UIC, and UIUC.  Additionally, they will provide an asset management database that will contain the assessments and allow for planning.</w:t>
            </w:r>
          </w:p>
          <w:p w14:paraId="2BA6F909" w14:textId="4C7F0C3D" w:rsidR="00271CE3" w:rsidRPr="00353536" w:rsidRDefault="00E805FF" w:rsidP="00E805FF">
            <w:pPr>
              <w:pStyle w:val="NoSpacing"/>
              <w:rPr>
                <w:rFonts w:ascii="Times New Roman" w:hAnsi="Times New Roman"/>
                <w:sz w:val="26"/>
                <w:szCs w:val="26"/>
              </w:rPr>
            </w:pPr>
            <w:r w:rsidRPr="00435F85">
              <w:rPr>
                <w:rFonts w:ascii="Times New Roman" w:hAnsi="Times New Roman"/>
                <w:b/>
                <w:sz w:val="26"/>
                <w:szCs w:val="26"/>
              </w:rPr>
              <w:t xml:space="preserve">Business Enterprise Program (BEP) </w:t>
            </w:r>
            <w:bookmarkEnd w:id="2"/>
            <w:r w:rsidRPr="00435F85">
              <w:rPr>
                <w:rFonts w:ascii="Times New Roman" w:hAnsi="Times New Roman"/>
                <w:b/>
                <w:sz w:val="26"/>
                <w:szCs w:val="26"/>
              </w:rPr>
              <w:t>goal</w:t>
            </w:r>
            <w:r w:rsidRPr="00E805FF">
              <w:rPr>
                <w:rFonts w:ascii="Times New Roman" w:hAnsi="Times New Roman"/>
                <w:bCs/>
                <w:sz w:val="26"/>
                <w:szCs w:val="26"/>
              </w:rPr>
              <w:t xml:space="preserve"> </w:t>
            </w:r>
            <w:r w:rsidR="00435F85">
              <w:rPr>
                <w:rFonts w:ascii="Times New Roman" w:hAnsi="Times New Roman"/>
                <w:bCs/>
                <w:sz w:val="26"/>
                <w:szCs w:val="26"/>
              </w:rPr>
              <w:t>for this solicitation is</w:t>
            </w:r>
            <w:r w:rsidRPr="00E805FF">
              <w:rPr>
                <w:rFonts w:ascii="Times New Roman" w:hAnsi="Times New Roman"/>
                <w:bCs/>
                <w:sz w:val="26"/>
                <w:szCs w:val="26"/>
              </w:rPr>
              <w:t xml:space="preserve"> 30% and a Veteran-Owned Small Business (VSB) goal of 3%. Cannon Design, Inc. has identified BEP certified subcontractor CCJM Engineers, Ltd. at a 35% participation rate and VSB certified subcontractor Middelton Construction Consulting at a 3% participation rate to fully meet the established goals.  Cannon Design, Inc. submitted executed Letters of Intent for both of these proposed subcontracts.</w:t>
            </w:r>
            <w:r w:rsidRPr="009B25B7">
              <w:t xml:space="preserve">  </w:t>
            </w:r>
          </w:p>
        </w:tc>
      </w:tr>
    </w:tbl>
    <w:p w14:paraId="6629EFF7" w14:textId="77777777" w:rsidR="00A45A06" w:rsidRDefault="00A45A06"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sectPr w:rsidR="00A45A06" w:rsidSect="00A45A06">
          <w:pgSz w:w="12240" w:h="15840"/>
          <w:pgMar w:top="720" w:right="1440" w:bottom="1440" w:left="1440" w:header="720" w:footer="720" w:gutter="0"/>
          <w:cols w:space="720"/>
          <w:docGrid w:linePitch="360"/>
        </w:sect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353536">
        <w:trPr>
          <w:trHeight w:val="567"/>
        </w:trPr>
        <w:tc>
          <w:tcPr>
            <w:tcW w:w="342" w:type="dxa"/>
          </w:tcPr>
          <w:p w14:paraId="2FED4914" w14:textId="77777777" w:rsidR="00881246" w:rsidRPr="00353536" w:rsidRDefault="00881246" w:rsidP="005274CF">
            <w:pPr>
              <w:pStyle w:val="NoSpacing"/>
              <w:jc w:val="both"/>
              <w:rPr>
                <w:rFonts w:ascii="Times New Roman" w:hAnsi="Times New Roman"/>
                <w:sz w:val="26"/>
                <w:szCs w:val="26"/>
              </w:rPr>
            </w:pPr>
          </w:p>
        </w:tc>
        <w:tc>
          <w:tcPr>
            <w:tcW w:w="990" w:type="dxa"/>
          </w:tcPr>
          <w:p w14:paraId="3D1945D4" w14:textId="77777777" w:rsidR="00881246" w:rsidRPr="00353536" w:rsidRDefault="00881246" w:rsidP="005274CF">
            <w:pPr>
              <w:pStyle w:val="NoSpacing"/>
              <w:jc w:val="both"/>
              <w:rPr>
                <w:rFonts w:ascii="Times New Roman" w:hAnsi="Times New Roman"/>
                <w:sz w:val="26"/>
                <w:szCs w:val="26"/>
              </w:rPr>
            </w:pPr>
          </w:p>
        </w:tc>
        <w:tc>
          <w:tcPr>
            <w:tcW w:w="8118" w:type="dxa"/>
          </w:tcPr>
          <w:p w14:paraId="0D98AD63" w14:textId="46D1C086" w:rsidR="00881246" w:rsidRPr="00353536" w:rsidRDefault="0081669D" w:rsidP="0081669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sidRPr="00353536">
              <w:rPr>
                <w:rFonts w:ascii="Times New Roman" w:eastAsia="Times New Roman" w:hAnsi="Times New Roman"/>
                <w:b/>
                <w:color w:val="000000"/>
                <w:sz w:val="26"/>
                <w:szCs w:val="26"/>
              </w:rPr>
              <w:tab/>
              <w:t xml:space="preserve">CHANGE ORDER </w:t>
            </w:r>
            <w:r w:rsidR="00881246" w:rsidRPr="00353536">
              <w:rPr>
                <w:rFonts w:ascii="Times New Roman" w:eastAsia="Times New Roman" w:hAnsi="Times New Roman"/>
                <w:b/>
                <w:color w:val="000000"/>
                <w:sz w:val="26"/>
                <w:szCs w:val="26"/>
              </w:rPr>
              <w:t>RECOMMENDED</w:t>
            </w:r>
          </w:p>
          <w:p w14:paraId="35405A80" w14:textId="77777777" w:rsidR="00881246" w:rsidRPr="00353536" w:rsidRDefault="00881246" w:rsidP="005274CF">
            <w:pPr>
              <w:pStyle w:val="NoSpacing"/>
              <w:jc w:val="both"/>
              <w:rPr>
                <w:rFonts w:ascii="Times New Roman" w:hAnsi="Times New Roman"/>
                <w:sz w:val="26"/>
                <w:szCs w:val="26"/>
              </w:rPr>
            </w:pPr>
          </w:p>
        </w:tc>
      </w:tr>
      <w:tr w:rsidR="00881246" w:rsidRPr="00353536" w14:paraId="121C2616" w14:textId="77777777" w:rsidTr="00353536">
        <w:trPr>
          <w:trHeight w:val="243"/>
        </w:trPr>
        <w:tc>
          <w:tcPr>
            <w:tcW w:w="342" w:type="dxa"/>
          </w:tcPr>
          <w:p w14:paraId="01959388" w14:textId="77777777" w:rsidR="00881246" w:rsidRPr="00353536" w:rsidRDefault="00881246" w:rsidP="005274CF">
            <w:pPr>
              <w:pStyle w:val="NoSpacing"/>
              <w:jc w:val="both"/>
              <w:rPr>
                <w:rFonts w:ascii="Times New Roman" w:hAnsi="Times New Roman"/>
                <w:sz w:val="26"/>
                <w:szCs w:val="26"/>
              </w:rPr>
            </w:pPr>
          </w:p>
        </w:tc>
        <w:tc>
          <w:tcPr>
            <w:tcW w:w="990" w:type="dxa"/>
          </w:tcPr>
          <w:p w14:paraId="624982D9" w14:textId="77777777" w:rsidR="00881246" w:rsidRPr="00353536" w:rsidRDefault="00881246" w:rsidP="005274CF">
            <w:pPr>
              <w:pStyle w:val="NoSpacing"/>
              <w:jc w:val="both"/>
              <w:rPr>
                <w:rFonts w:ascii="Times New Roman" w:hAnsi="Times New Roman"/>
                <w:sz w:val="26"/>
                <w:szCs w:val="26"/>
              </w:rPr>
            </w:pPr>
          </w:p>
        </w:tc>
        <w:tc>
          <w:tcPr>
            <w:tcW w:w="8118" w:type="dxa"/>
          </w:tcPr>
          <w:p w14:paraId="292F2E9E" w14:textId="77777777" w:rsidR="00881246" w:rsidRPr="00353536" w:rsidRDefault="00881246" w:rsidP="005274CF">
            <w:pPr>
              <w:pStyle w:val="NoSpacing"/>
              <w:jc w:val="both"/>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881246" w:rsidRPr="00353536" w14:paraId="2DBBDA8E" w14:textId="77777777" w:rsidTr="005274CF">
        <w:trPr>
          <w:trHeight w:val="114"/>
        </w:trPr>
        <w:tc>
          <w:tcPr>
            <w:tcW w:w="9454" w:type="dxa"/>
            <w:tcBorders>
              <w:top w:val="single" w:sz="18" w:space="0" w:color="auto"/>
              <w:bottom w:val="single" w:sz="18" w:space="0" w:color="auto"/>
            </w:tcBorders>
          </w:tcPr>
          <w:p w14:paraId="5CEDE6CB" w14:textId="2C5520E4" w:rsidR="00881246" w:rsidRPr="00353536" w:rsidRDefault="00881246" w:rsidP="005274CF">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at </w:t>
            </w:r>
            <w:r w:rsidR="00FE4204">
              <w:rPr>
                <w:rFonts w:ascii="Times New Roman" w:eastAsia="Times New Roman" w:hAnsi="Times New Roman"/>
                <w:b/>
                <w:sz w:val="26"/>
                <w:szCs w:val="26"/>
              </w:rPr>
              <w:t>Urbana-Champaign</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881246" w:rsidRPr="00353536" w14:paraId="7D2F71E2" w14:textId="77777777" w:rsidTr="0086174B">
        <w:trPr>
          <w:trHeight w:val="120"/>
        </w:trPr>
        <w:tc>
          <w:tcPr>
            <w:tcW w:w="450" w:type="dxa"/>
            <w:tcBorders>
              <w:bottom w:val="double" w:sz="6" w:space="0" w:color="auto"/>
            </w:tcBorders>
          </w:tcPr>
          <w:p w14:paraId="537E408D" w14:textId="625DF5AA" w:rsidR="00881246" w:rsidRPr="00353536" w:rsidRDefault="008071D1" w:rsidP="005274CF">
            <w:pPr>
              <w:pStyle w:val="NoSpacing"/>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2D7F52BE" w14:textId="77777777" w:rsidR="00881246" w:rsidRPr="00353536" w:rsidRDefault="00881246" w:rsidP="005274CF">
            <w:pPr>
              <w:pStyle w:val="NoSpacing"/>
              <w:rPr>
                <w:rFonts w:ascii="Times New Roman" w:hAnsi="Times New Roman"/>
                <w:sz w:val="26"/>
                <w:szCs w:val="26"/>
              </w:rPr>
            </w:pPr>
            <w:r w:rsidRPr="00353536">
              <w:rPr>
                <w:rFonts w:ascii="Times New Roman" w:hAnsi="Times New Roman"/>
                <w:sz w:val="26"/>
                <w:szCs w:val="26"/>
              </w:rPr>
              <w:t>Unit</w:t>
            </w:r>
          </w:p>
        </w:tc>
        <w:tc>
          <w:tcPr>
            <w:tcW w:w="7920" w:type="dxa"/>
            <w:tcBorders>
              <w:bottom w:val="double" w:sz="6" w:space="0" w:color="auto"/>
            </w:tcBorders>
          </w:tcPr>
          <w:p w14:paraId="0895FD9F" w14:textId="7635F4FC" w:rsidR="00881246" w:rsidRPr="00353536" w:rsidRDefault="00FE4204" w:rsidP="005274CF">
            <w:pPr>
              <w:pStyle w:val="NoSpacing"/>
              <w:rPr>
                <w:rFonts w:ascii="Times New Roman" w:hAnsi="Times New Roman"/>
                <w:sz w:val="26"/>
                <w:szCs w:val="26"/>
              </w:rPr>
            </w:pPr>
            <w:r w:rsidRPr="00FE4204">
              <w:rPr>
                <w:rFonts w:ascii="Times New Roman" w:hAnsi="Times New Roman"/>
                <w:sz w:val="26"/>
                <w:szCs w:val="26"/>
              </w:rPr>
              <w:t>Division of Intercollegiate Athletics</w:t>
            </w:r>
          </w:p>
        </w:tc>
      </w:tr>
      <w:tr w:rsidR="00FE4204" w:rsidRPr="00353536" w14:paraId="7022F178" w14:textId="77777777" w:rsidTr="00FE4204">
        <w:trPr>
          <w:trHeight w:val="648"/>
        </w:trPr>
        <w:tc>
          <w:tcPr>
            <w:tcW w:w="450" w:type="dxa"/>
          </w:tcPr>
          <w:p w14:paraId="2030E2FD" w14:textId="77777777" w:rsidR="00FE4204" w:rsidRPr="00353536" w:rsidRDefault="00FE4204" w:rsidP="00FE4204">
            <w:pPr>
              <w:pStyle w:val="NoSpacing"/>
              <w:rPr>
                <w:rFonts w:ascii="Times New Roman" w:hAnsi="Times New Roman"/>
                <w:sz w:val="26"/>
                <w:szCs w:val="26"/>
              </w:rPr>
            </w:pPr>
          </w:p>
        </w:tc>
        <w:tc>
          <w:tcPr>
            <w:tcW w:w="990" w:type="dxa"/>
          </w:tcPr>
          <w:p w14:paraId="0E80CF5E" w14:textId="77777777" w:rsidR="00FE4204" w:rsidRPr="00353536" w:rsidRDefault="00FE4204" w:rsidP="00FE4204">
            <w:pPr>
              <w:pStyle w:val="NoSpacing"/>
              <w:rPr>
                <w:rFonts w:ascii="Times New Roman" w:hAnsi="Times New Roman"/>
                <w:sz w:val="26"/>
                <w:szCs w:val="26"/>
              </w:rPr>
            </w:pPr>
          </w:p>
          <w:p w14:paraId="7E9FF940" w14:textId="77777777" w:rsidR="00FE4204" w:rsidRPr="00353536" w:rsidRDefault="00FE4204" w:rsidP="00FE4204">
            <w:pPr>
              <w:pStyle w:val="NoSpacing"/>
              <w:rPr>
                <w:rFonts w:ascii="Times New Roman" w:hAnsi="Times New Roman"/>
                <w:sz w:val="26"/>
                <w:szCs w:val="26"/>
              </w:rPr>
            </w:pPr>
            <w:r w:rsidRPr="00353536">
              <w:rPr>
                <w:rFonts w:ascii="Times New Roman" w:hAnsi="Times New Roman"/>
                <w:sz w:val="26"/>
                <w:szCs w:val="26"/>
              </w:rPr>
              <w:t>Item</w:t>
            </w:r>
          </w:p>
        </w:tc>
        <w:tc>
          <w:tcPr>
            <w:tcW w:w="7920" w:type="dxa"/>
            <w:vAlign w:val="center"/>
          </w:tcPr>
          <w:p w14:paraId="17F3697F" w14:textId="7EE0215D" w:rsidR="00FE4204" w:rsidRPr="00353536" w:rsidRDefault="00FE4204" w:rsidP="00FE4204">
            <w:pPr>
              <w:pStyle w:val="NoSpacing"/>
              <w:rPr>
                <w:rFonts w:ascii="Times New Roman" w:hAnsi="Times New Roman"/>
                <w:b/>
                <w:sz w:val="26"/>
                <w:szCs w:val="26"/>
              </w:rPr>
            </w:pPr>
            <w:r w:rsidRPr="00FE4204">
              <w:rPr>
                <w:rFonts w:ascii="Times New Roman" w:hAnsi="Times New Roman"/>
                <w:sz w:val="26"/>
                <w:szCs w:val="26"/>
              </w:rPr>
              <w:t>Provide computerized ticketing and marketing services for athletic events, concerts, and other community and campus-based events produced, promoted, scheduled, or sponsored by the University of Illinois, Division of Intercollegiate Athletics as requested for the period July 1, 2021 through June 30, 2027.</w:t>
            </w:r>
          </w:p>
        </w:tc>
      </w:tr>
      <w:tr w:rsidR="00FE4204" w:rsidRPr="00353536" w14:paraId="772941B2" w14:textId="77777777" w:rsidTr="0086174B">
        <w:trPr>
          <w:trHeight w:val="315"/>
        </w:trPr>
        <w:tc>
          <w:tcPr>
            <w:tcW w:w="450" w:type="dxa"/>
          </w:tcPr>
          <w:p w14:paraId="07967B9D" w14:textId="77777777" w:rsidR="00FE4204" w:rsidRPr="00353536" w:rsidRDefault="00FE4204" w:rsidP="00FE4204">
            <w:pPr>
              <w:pStyle w:val="NoSpacing"/>
              <w:rPr>
                <w:rFonts w:ascii="Times New Roman" w:hAnsi="Times New Roman"/>
                <w:sz w:val="26"/>
                <w:szCs w:val="26"/>
              </w:rPr>
            </w:pPr>
          </w:p>
        </w:tc>
        <w:tc>
          <w:tcPr>
            <w:tcW w:w="990" w:type="dxa"/>
          </w:tcPr>
          <w:p w14:paraId="3310E29E" w14:textId="77777777" w:rsidR="00FE4204" w:rsidRPr="00353536" w:rsidRDefault="00FE4204" w:rsidP="00FE4204">
            <w:pPr>
              <w:pStyle w:val="NoSpacing"/>
              <w:rPr>
                <w:rFonts w:ascii="Times New Roman" w:hAnsi="Times New Roman"/>
                <w:sz w:val="26"/>
                <w:szCs w:val="26"/>
              </w:rPr>
            </w:pPr>
          </w:p>
          <w:p w14:paraId="29D2A429" w14:textId="77777777" w:rsidR="00FE4204" w:rsidRPr="00353536" w:rsidRDefault="00FE4204" w:rsidP="00FE4204">
            <w:pPr>
              <w:pStyle w:val="NoSpacing"/>
              <w:rPr>
                <w:rFonts w:ascii="Times New Roman" w:hAnsi="Times New Roman"/>
                <w:sz w:val="26"/>
                <w:szCs w:val="26"/>
              </w:rPr>
            </w:pPr>
            <w:r w:rsidRPr="00353536">
              <w:rPr>
                <w:rFonts w:ascii="Times New Roman" w:hAnsi="Times New Roman"/>
                <w:sz w:val="26"/>
                <w:szCs w:val="26"/>
              </w:rPr>
              <w:t>Cost</w:t>
            </w:r>
          </w:p>
        </w:tc>
        <w:tc>
          <w:tcPr>
            <w:tcW w:w="7920" w:type="dxa"/>
          </w:tcPr>
          <w:p w14:paraId="10F08DCB" w14:textId="77777777" w:rsidR="00FE4204" w:rsidRPr="00353536" w:rsidRDefault="00FE4204" w:rsidP="00FE4204">
            <w:pPr>
              <w:pStyle w:val="NoSpacing"/>
              <w:rPr>
                <w:rFonts w:ascii="Times New Roman" w:hAnsi="Times New Roman"/>
                <w:sz w:val="26"/>
                <w:szCs w:val="26"/>
              </w:rPr>
            </w:pPr>
          </w:p>
          <w:p w14:paraId="777C5080" w14:textId="412D1C25" w:rsidR="00FE4204" w:rsidRPr="00353536" w:rsidRDefault="00FE4204" w:rsidP="00FE4204">
            <w:pPr>
              <w:pStyle w:val="NoSpacing"/>
              <w:rPr>
                <w:rFonts w:ascii="Times New Roman" w:hAnsi="Times New Roman"/>
                <w:sz w:val="26"/>
                <w:szCs w:val="26"/>
              </w:rPr>
            </w:pPr>
            <w:r w:rsidRPr="00353536">
              <w:rPr>
                <w:rFonts w:ascii="Times New Roman" w:hAnsi="Times New Roman"/>
                <w:sz w:val="26"/>
                <w:szCs w:val="26"/>
              </w:rPr>
              <w:t>$</w:t>
            </w:r>
            <w:r>
              <w:rPr>
                <w:rFonts w:ascii="Times New Roman" w:hAnsi="Times New Roman"/>
                <w:sz w:val="26"/>
                <w:szCs w:val="26"/>
              </w:rPr>
              <w:t>2,058,254</w:t>
            </w:r>
            <w:r w:rsidRPr="00353536">
              <w:rPr>
                <w:rFonts w:ascii="Times New Roman" w:hAnsi="Times New Roman"/>
                <w:sz w:val="26"/>
                <w:szCs w:val="26"/>
              </w:rPr>
              <w:t xml:space="preserve"> (estimated)</w:t>
            </w:r>
          </w:p>
        </w:tc>
      </w:tr>
      <w:tr w:rsidR="00FE4204" w:rsidRPr="00353536" w14:paraId="5F986825" w14:textId="77777777" w:rsidTr="0086174B">
        <w:trPr>
          <w:trHeight w:val="150"/>
        </w:trPr>
        <w:tc>
          <w:tcPr>
            <w:tcW w:w="450" w:type="dxa"/>
          </w:tcPr>
          <w:p w14:paraId="04CA4BF8" w14:textId="77777777" w:rsidR="00FE4204" w:rsidRPr="00353536" w:rsidRDefault="00FE4204" w:rsidP="00FE4204">
            <w:pPr>
              <w:pStyle w:val="NoSpacing"/>
              <w:rPr>
                <w:rFonts w:ascii="Times New Roman" w:hAnsi="Times New Roman"/>
                <w:sz w:val="26"/>
                <w:szCs w:val="26"/>
              </w:rPr>
            </w:pPr>
          </w:p>
        </w:tc>
        <w:tc>
          <w:tcPr>
            <w:tcW w:w="990" w:type="dxa"/>
            <w:shd w:val="clear" w:color="auto" w:fill="auto"/>
          </w:tcPr>
          <w:p w14:paraId="5FD117C6" w14:textId="77777777" w:rsidR="00FE4204" w:rsidRPr="00353536" w:rsidRDefault="00FE4204" w:rsidP="00FE4204">
            <w:pPr>
              <w:pStyle w:val="NoSpacing"/>
              <w:rPr>
                <w:rFonts w:ascii="Times New Roman" w:hAnsi="Times New Roman"/>
                <w:sz w:val="26"/>
                <w:szCs w:val="26"/>
              </w:rPr>
            </w:pPr>
          </w:p>
          <w:p w14:paraId="7389E6FC" w14:textId="77777777" w:rsidR="00FE4204" w:rsidRPr="00353536" w:rsidRDefault="00FE4204" w:rsidP="00FE4204">
            <w:pPr>
              <w:pStyle w:val="NoSpacing"/>
              <w:rPr>
                <w:rFonts w:ascii="Times New Roman" w:hAnsi="Times New Roman"/>
                <w:sz w:val="26"/>
                <w:szCs w:val="26"/>
              </w:rPr>
            </w:pPr>
            <w:r w:rsidRPr="00353536">
              <w:rPr>
                <w:rFonts w:ascii="Times New Roman" w:hAnsi="Times New Roman"/>
                <w:sz w:val="26"/>
                <w:szCs w:val="26"/>
              </w:rPr>
              <w:t>Vendor</w:t>
            </w:r>
          </w:p>
        </w:tc>
        <w:tc>
          <w:tcPr>
            <w:tcW w:w="7920" w:type="dxa"/>
            <w:shd w:val="clear" w:color="auto" w:fill="auto"/>
          </w:tcPr>
          <w:p w14:paraId="40C8DBD6" w14:textId="3316815C" w:rsidR="00FE4204" w:rsidRPr="00FE4204" w:rsidRDefault="00FE4204" w:rsidP="00FE4204">
            <w:pPr>
              <w:pStyle w:val="Heading2"/>
              <w:rPr>
                <w:rFonts w:ascii="Times New Roman" w:eastAsia="Calibri" w:hAnsi="Times New Roman"/>
                <w:b w:val="0"/>
                <w:bCs w:val="0"/>
                <w:i w:val="0"/>
                <w:iCs w:val="0"/>
                <w:sz w:val="26"/>
                <w:szCs w:val="26"/>
              </w:rPr>
            </w:pPr>
            <w:r w:rsidRPr="00FE4204">
              <w:rPr>
                <w:rFonts w:ascii="Times New Roman" w:eastAsia="Calibri" w:hAnsi="Times New Roman"/>
                <w:b w:val="0"/>
                <w:bCs w:val="0"/>
                <w:i w:val="0"/>
                <w:iCs w:val="0"/>
                <w:sz w:val="26"/>
                <w:szCs w:val="26"/>
              </w:rPr>
              <w:t xml:space="preserve">A-L Tier II LLC, dba Paciolan,                                                 Irvine, CA    </w:t>
            </w:r>
          </w:p>
          <w:p w14:paraId="24D6CD8D" w14:textId="49A0CA01" w:rsidR="00FE4204" w:rsidRPr="00353536" w:rsidRDefault="00FE4204" w:rsidP="00FE4204">
            <w:pPr>
              <w:pStyle w:val="NoSpacing"/>
              <w:jc w:val="both"/>
              <w:rPr>
                <w:rFonts w:ascii="Times New Roman" w:hAnsi="Times New Roman"/>
                <w:sz w:val="26"/>
                <w:szCs w:val="26"/>
              </w:rPr>
            </w:pPr>
          </w:p>
        </w:tc>
      </w:tr>
      <w:tr w:rsidR="00FE4204" w:rsidRPr="00353536" w14:paraId="2AA46D7A" w14:textId="77777777" w:rsidTr="0086174B">
        <w:trPr>
          <w:trHeight w:val="150"/>
        </w:trPr>
        <w:tc>
          <w:tcPr>
            <w:tcW w:w="450" w:type="dxa"/>
          </w:tcPr>
          <w:p w14:paraId="74E0500B" w14:textId="77777777" w:rsidR="00FE4204" w:rsidRPr="00353536" w:rsidRDefault="00FE4204" w:rsidP="00FE4204">
            <w:pPr>
              <w:pStyle w:val="NoSpacing"/>
              <w:rPr>
                <w:rFonts w:ascii="Times New Roman" w:hAnsi="Times New Roman"/>
                <w:sz w:val="26"/>
                <w:szCs w:val="26"/>
              </w:rPr>
            </w:pPr>
          </w:p>
        </w:tc>
        <w:tc>
          <w:tcPr>
            <w:tcW w:w="990" w:type="dxa"/>
            <w:shd w:val="clear" w:color="auto" w:fill="auto"/>
          </w:tcPr>
          <w:p w14:paraId="5C6BB8D2" w14:textId="77777777" w:rsidR="00FE4204" w:rsidRPr="00353536" w:rsidRDefault="00FE4204" w:rsidP="00FE4204">
            <w:pPr>
              <w:pStyle w:val="NoSpacing"/>
              <w:rPr>
                <w:rFonts w:ascii="Times New Roman" w:hAnsi="Times New Roman"/>
                <w:sz w:val="26"/>
                <w:szCs w:val="26"/>
              </w:rPr>
            </w:pPr>
          </w:p>
        </w:tc>
        <w:tc>
          <w:tcPr>
            <w:tcW w:w="7920" w:type="dxa"/>
            <w:shd w:val="clear" w:color="auto" w:fill="auto"/>
          </w:tcPr>
          <w:p w14:paraId="156B84C1" w14:textId="77777777" w:rsidR="00FE4204" w:rsidRPr="00FE4204" w:rsidRDefault="00FE4204" w:rsidP="00FE4204">
            <w:pPr>
              <w:rPr>
                <w:rFonts w:ascii="Times New Roman" w:hAnsi="Times New Roman"/>
                <w:sz w:val="26"/>
                <w:szCs w:val="26"/>
              </w:rPr>
            </w:pPr>
            <w:r w:rsidRPr="00FE4204">
              <w:rPr>
                <w:rFonts w:ascii="Times New Roman" w:hAnsi="Times New Roman"/>
                <w:sz w:val="26"/>
                <w:szCs w:val="26"/>
              </w:rPr>
              <w:t>This purchase is exempt from the usual selection process of the procurement code because the procurement expenditure is for events or activities paid for exclusively by revenues generated by the event or activity, gifts, or donations for the event or activity, private grants, or any combination thereof, per 30 ILCS 500 / 1-13(b)(2).</w:t>
            </w:r>
          </w:p>
          <w:p w14:paraId="20337E06" w14:textId="77777777" w:rsidR="00FE4204" w:rsidRDefault="00FE4204" w:rsidP="00FE4204">
            <w:pPr>
              <w:pStyle w:val="NoSpacing"/>
              <w:rPr>
                <w:rFonts w:ascii="Times New Roman" w:hAnsi="Times New Roman"/>
                <w:sz w:val="26"/>
                <w:szCs w:val="26"/>
              </w:rPr>
            </w:pPr>
            <w:r w:rsidRPr="00FE4204">
              <w:rPr>
                <w:rFonts w:ascii="Times New Roman" w:hAnsi="Times New Roman"/>
                <w:sz w:val="26"/>
                <w:szCs w:val="26"/>
              </w:rPr>
              <w:t>The Division of Intercollegiate Athletics (DIA) requires a comprehensive digital ticketing system that integrates fundraising, marketing, and a customer relationship management solution.  The Paciolan ticketing system leverages the current ticketing infrastructure investment and gives DIA maximum control of revenue and data.  The ticketing system allows DIA to ticket events, generate donations, engage with current customers, fans and donors as well as cultivate future customers, fans, and donors.</w:t>
            </w:r>
          </w:p>
          <w:p w14:paraId="35CBBCAA" w14:textId="77777777" w:rsidR="007E5C88" w:rsidRDefault="007E5C88" w:rsidP="00FE4204">
            <w:pPr>
              <w:pStyle w:val="NoSpacing"/>
              <w:rPr>
                <w:rFonts w:ascii="Times New Roman" w:hAnsi="Times New Roman"/>
                <w:sz w:val="26"/>
                <w:szCs w:val="26"/>
              </w:rPr>
            </w:pPr>
          </w:p>
          <w:p w14:paraId="106721D0" w14:textId="4C2D9A35" w:rsidR="007E5C88" w:rsidRDefault="007E5C88" w:rsidP="007E5C88">
            <w:pPr>
              <w:overflowPunct w:val="0"/>
              <w:autoSpaceDE w:val="0"/>
              <w:autoSpaceDN w:val="0"/>
              <w:ind w:left="15"/>
              <w:textAlignment w:val="baseline"/>
              <w:rPr>
                <w:rFonts w:ascii="Times New Roman" w:hAnsi="Times New Roman"/>
                <w:sz w:val="26"/>
                <w:szCs w:val="26"/>
              </w:rPr>
            </w:pPr>
            <w:r>
              <w:rPr>
                <w:rFonts w:ascii="Times New Roman" w:hAnsi="Times New Roman"/>
                <w:b/>
                <w:bCs/>
                <w:color w:val="000000"/>
                <w:sz w:val="26"/>
                <w:szCs w:val="26"/>
              </w:rPr>
              <w:t xml:space="preserve">Business Enterprise Program (BEP) </w:t>
            </w:r>
            <w:r>
              <w:rPr>
                <w:rFonts w:ascii="Times New Roman" w:hAnsi="Times New Roman"/>
                <w:color w:val="000000"/>
                <w:sz w:val="26"/>
                <w:szCs w:val="26"/>
              </w:rPr>
              <w:t xml:space="preserve">goals are not established for contracts which are exempt from the requirements of the Illinois Procurement Code.  </w:t>
            </w:r>
          </w:p>
          <w:p w14:paraId="6E9D7BD4" w14:textId="3D9BE1D5" w:rsidR="00FE4204" w:rsidRPr="00353536" w:rsidRDefault="00FE4204" w:rsidP="00FE4204">
            <w:pPr>
              <w:pStyle w:val="NoSpacing"/>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3DB07F50"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at </w:t>
            </w:r>
            <w:r w:rsidR="00255F2C">
              <w:rPr>
                <w:rFonts w:ascii="Times New Roman" w:eastAsia="Times New Roman" w:hAnsi="Times New Roman"/>
                <w:b/>
                <w:sz w:val="26"/>
                <w:szCs w:val="26"/>
              </w:rPr>
              <w:t>Chicago</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FE4204" w:rsidRPr="00353536" w14:paraId="3BB2299D" w14:textId="77777777" w:rsidTr="00503D31">
        <w:trPr>
          <w:trHeight w:val="120"/>
        </w:trPr>
        <w:tc>
          <w:tcPr>
            <w:tcW w:w="450" w:type="dxa"/>
            <w:tcBorders>
              <w:bottom w:val="double" w:sz="6" w:space="0" w:color="auto"/>
            </w:tcBorders>
          </w:tcPr>
          <w:p w14:paraId="1F8AFA6C" w14:textId="122FA7E5" w:rsidR="00FE4204" w:rsidRPr="00353536" w:rsidRDefault="008071D1" w:rsidP="00503D31">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6" w:space="0" w:color="auto"/>
            </w:tcBorders>
          </w:tcPr>
          <w:p w14:paraId="31B5CEDC"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t>Unit</w:t>
            </w:r>
          </w:p>
        </w:tc>
        <w:tc>
          <w:tcPr>
            <w:tcW w:w="7920" w:type="dxa"/>
            <w:tcBorders>
              <w:bottom w:val="double" w:sz="6" w:space="0" w:color="auto"/>
            </w:tcBorders>
          </w:tcPr>
          <w:p w14:paraId="26CDAEA8" w14:textId="018BF386" w:rsidR="00FE4204" w:rsidRPr="00353536" w:rsidRDefault="00255F2C" w:rsidP="00503D31">
            <w:pPr>
              <w:pStyle w:val="NoSpacing"/>
              <w:rPr>
                <w:rFonts w:ascii="Times New Roman" w:hAnsi="Times New Roman"/>
                <w:sz w:val="26"/>
                <w:szCs w:val="26"/>
              </w:rPr>
            </w:pPr>
            <w:r>
              <w:rPr>
                <w:rFonts w:ascii="Times New Roman" w:hAnsi="Times New Roman"/>
                <w:spacing w:val="-3"/>
                <w:sz w:val="26"/>
                <w:szCs w:val="26"/>
              </w:rPr>
              <w:t>Office of the Vice Chancellor for Administrative Services</w:t>
            </w:r>
          </w:p>
        </w:tc>
      </w:tr>
      <w:tr w:rsidR="00FE4204" w:rsidRPr="00353536" w14:paraId="55FAE87F" w14:textId="77777777" w:rsidTr="00503D31">
        <w:trPr>
          <w:trHeight w:val="648"/>
        </w:trPr>
        <w:tc>
          <w:tcPr>
            <w:tcW w:w="450" w:type="dxa"/>
          </w:tcPr>
          <w:p w14:paraId="3CF349EC" w14:textId="77777777" w:rsidR="00FE4204" w:rsidRPr="00353536" w:rsidRDefault="00FE4204" w:rsidP="00503D31">
            <w:pPr>
              <w:pStyle w:val="NoSpacing"/>
              <w:rPr>
                <w:rFonts w:ascii="Times New Roman" w:hAnsi="Times New Roman"/>
                <w:sz w:val="26"/>
                <w:szCs w:val="26"/>
              </w:rPr>
            </w:pPr>
          </w:p>
        </w:tc>
        <w:tc>
          <w:tcPr>
            <w:tcW w:w="990" w:type="dxa"/>
          </w:tcPr>
          <w:p w14:paraId="5C67AD10" w14:textId="77777777" w:rsidR="00FE4204" w:rsidRPr="00353536" w:rsidRDefault="00FE4204" w:rsidP="00503D31">
            <w:pPr>
              <w:pStyle w:val="NoSpacing"/>
              <w:rPr>
                <w:rFonts w:ascii="Times New Roman" w:hAnsi="Times New Roman"/>
                <w:sz w:val="26"/>
                <w:szCs w:val="26"/>
              </w:rPr>
            </w:pPr>
          </w:p>
          <w:p w14:paraId="10671FD9"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t>Item</w:t>
            </w:r>
          </w:p>
        </w:tc>
        <w:tc>
          <w:tcPr>
            <w:tcW w:w="7920" w:type="dxa"/>
            <w:vAlign w:val="center"/>
          </w:tcPr>
          <w:p w14:paraId="5F3D83EC" w14:textId="1302C2CF" w:rsidR="00FE4204" w:rsidRPr="00353536" w:rsidRDefault="00255F2C" w:rsidP="00503D31">
            <w:pPr>
              <w:pStyle w:val="NoSpacing"/>
              <w:rPr>
                <w:rFonts w:ascii="Times New Roman" w:hAnsi="Times New Roman"/>
                <w:b/>
                <w:sz w:val="26"/>
                <w:szCs w:val="26"/>
              </w:rPr>
            </w:pPr>
            <w:r>
              <w:rPr>
                <w:rFonts w:ascii="Times New Roman" w:hAnsi="Times New Roman"/>
                <w:sz w:val="26"/>
                <w:szCs w:val="26"/>
              </w:rPr>
              <w:t>Change Order of existing agreement with Monterrey Security Consultants, Inc. for unarmed security guard services for crime prevention throughout the University campus.  Services will be for a two (2) year period beginning September 10, 2022 through September 9, 2024.  There are two (2), two (2) year renewal options remaining.</w:t>
            </w:r>
          </w:p>
        </w:tc>
      </w:tr>
      <w:tr w:rsidR="00FE4204" w:rsidRPr="00353536" w14:paraId="29935A0B" w14:textId="77777777" w:rsidTr="00503D31">
        <w:trPr>
          <w:trHeight w:val="315"/>
        </w:trPr>
        <w:tc>
          <w:tcPr>
            <w:tcW w:w="450" w:type="dxa"/>
          </w:tcPr>
          <w:p w14:paraId="15B64255" w14:textId="77777777" w:rsidR="00FE4204" w:rsidRPr="00353536" w:rsidRDefault="00FE4204" w:rsidP="00503D31">
            <w:pPr>
              <w:pStyle w:val="NoSpacing"/>
              <w:rPr>
                <w:rFonts w:ascii="Times New Roman" w:hAnsi="Times New Roman"/>
                <w:sz w:val="26"/>
                <w:szCs w:val="26"/>
              </w:rPr>
            </w:pPr>
          </w:p>
        </w:tc>
        <w:tc>
          <w:tcPr>
            <w:tcW w:w="990" w:type="dxa"/>
          </w:tcPr>
          <w:p w14:paraId="0C1B6377" w14:textId="77777777" w:rsidR="00FE4204" w:rsidRPr="00353536" w:rsidRDefault="00FE4204" w:rsidP="00503D31">
            <w:pPr>
              <w:pStyle w:val="NoSpacing"/>
              <w:rPr>
                <w:rFonts w:ascii="Times New Roman" w:hAnsi="Times New Roman"/>
                <w:sz w:val="26"/>
                <w:szCs w:val="26"/>
              </w:rPr>
            </w:pPr>
          </w:p>
          <w:p w14:paraId="11C382A2"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t>Cost</w:t>
            </w:r>
          </w:p>
        </w:tc>
        <w:tc>
          <w:tcPr>
            <w:tcW w:w="7920" w:type="dxa"/>
          </w:tcPr>
          <w:p w14:paraId="14772F63" w14:textId="77777777" w:rsidR="00FE4204" w:rsidRPr="00353536" w:rsidRDefault="00FE4204" w:rsidP="00503D31">
            <w:pPr>
              <w:pStyle w:val="NoSpacing"/>
              <w:rPr>
                <w:rFonts w:ascii="Times New Roman" w:hAnsi="Times New Roman"/>
                <w:sz w:val="26"/>
                <w:szCs w:val="26"/>
              </w:rPr>
            </w:pPr>
          </w:p>
          <w:p w14:paraId="3B6194B9" w14:textId="1F3BCA7D" w:rsidR="00FE4204" w:rsidRPr="00353536" w:rsidRDefault="00255F2C" w:rsidP="00503D31">
            <w:pPr>
              <w:pStyle w:val="NoSpacing"/>
              <w:rPr>
                <w:rFonts w:ascii="Times New Roman" w:hAnsi="Times New Roman"/>
                <w:sz w:val="26"/>
                <w:szCs w:val="26"/>
              </w:rPr>
            </w:pPr>
            <w:r w:rsidRPr="001610D8">
              <w:rPr>
                <w:rFonts w:ascii="Times New Roman" w:hAnsi="Times New Roman"/>
                <w:spacing w:val="-3"/>
                <w:sz w:val="26"/>
                <w:szCs w:val="26"/>
              </w:rPr>
              <w:t>$</w:t>
            </w:r>
            <w:r>
              <w:rPr>
                <w:rFonts w:ascii="Times New Roman" w:hAnsi="Times New Roman"/>
                <w:spacing w:val="-3"/>
                <w:sz w:val="26"/>
                <w:szCs w:val="26"/>
              </w:rPr>
              <w:t>4,620,000.00 (estimated)</w:t>
            </w:r>
          </w:p>
        </w:tc>
      </w:tr>
      <w:tr w:rsidR="00FE4204" w:rsidRPr="00353536" w14:paraId="766A4E98" w14:textId="77777777" w:rsidTr="00503D31">
        <w:trPr>
          <w:trHeight w:val="150"/>
        </w:trPr>
        <w:tc>
          <w:tcPr>
            <w:tcW w:w="450" w:type="dxa"/>
          </w:tcPr>
          <w:p w14:paraId="14F233DC" w14:textId="77777777" w:rsidR="00FE4204" w:rsidRPr="00353536" w:rsidRDefault="00FE4204" w:rsidP="00503D31">
            <w:pPr>
              <w:pStyle w:val="NoSpacing"/>
              <w:rPr>
                <w:rFonts w:ascii="Times New Roman" w:hAnsi="Times New Roman"/>
                <w:sz w:val="26"/>
                <w:szCs w:val="26"/>
              </w:rPr>
            </w:pPr>
          </w:p>
        </w:tc>
        <w:tc>
          <w:tcPr>
            <w:tcW w:w="990" w:type="dxa"/>
            <w:shd w:val="clear" w:color="auto" w:fill="auto"/>
          </w:tcPr>
          <w:p w14:paraId="2ABC4CED" w14:textId="77777777" w:rsidR="00FE4204" w:rsidRPr="00353536" w:rsidRDefault="00FE4204" w:rsidP="00503D31">
            <w:pPr>
              <w:pStyle w:val="NoSpacing"/>
              <w:rPr>
                <w:rFonts w:ascii="Times New Roman" w:hAnsi="Times New Roman"/>
                <w:sz w:val="26"/>
                <w:szCs w:val="26"/>
              </w:rPr>
            </w:pPr>
          </w:p>
          <w:p w14:paraId="14DFD6F3"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lastRenderedPageBreak/>
              <w:t>Vendor</w:t>
            </w:r>
          </w:p>
        </w:tc>
        <w:tc>
          <w:tcPr>
            <w:tcW w:w="7920" w:type="dxa"/>
            <w:shd w:val="clear" w:color="auto" w:fill="auto"/>
          </w:tcPr>
          <w:p w14:paraId="52342155" w14:textId="77777777" w:rsidR="00255F2C" w:rsidRDefault="00255F2C" w:rsidP="00255F2C">
            <w:pPr>
              <w:pStyle w:val="NoSpacing"/>
              <w:rPr>
                <w:rFonts w:ascii="Times New Roman" w:hAnsi="Times New Roman"/>
                <w:sz w:val="26"/>
                <w:szCs w:val="26"/>
              </w:rPr>
            </w:pPr>
          </w:p>
          <w:p w14:paraId="3126DBFB" w14:textId="2197A8D1" w:rsidR="00255F2C" w:rsidRPr="001610D8" w:rsidRDefault="00255F2C" w:rsidP="00255F2C">
            <w:pPr>
              <w:pStyle w:val="NoSpacing"/>
              <w:rPr>
                <w:rFonts w:ascii="Times New Roman" w:hAnsi="Times New Roman"/>
                <w:sz w:val="26"/>
                <w:szCs w:val="26"/>
              </w:rPr>
            </w:pPr>
            <w:r>
              <w:rPr>
                <w:rFonts w:ascii="Times New Roman" w:hAnsi="Times New Roman"/>
                <w:sz w:val="26"/>
                <w:szCs w:val="26"/>
              </w:rPr>
              <w:lastRenderedPageBreak/>
              <w:t>Monterrey Security Consultants, Inc.             Chicago, Illinois</w:t>
            </w:r>
          </w:p>
          <w:p w14:paraId="14D2CF60" w14:textId="77777777" w:rsidR="00FE4204" w:rsidRPr="00353536" w:rsidRDefault="00FE4204" w:rsidP="00503D31">
            <w:pPr>
              <w:pStyle w:val="NoSpacing"/>
              <w:jc w:val="both"/>
              <w:rPr>
                <w:rFonts w:ascii="Times New Roman" w:hAnsi="Times New Roman"/>
                <w:sz w:val="26"/>
                <w:szCs w:val="26"/>
              </w:rPr>
            </w:pPr>
          </w:p>
        </w:tc>
      </w:tr>
      <w:tr w:rsidR="00FE4204" w:rsidRPr="00353536" w14:paraId="0CC80085" w14:textId="77777777" w:rsidTr="00503D31">
        <w:trPr>
          <w:trHeight w:val="150"/>
        </w:trPr>
        <w:tc>
          <w:tcPr>
            <w:tcW w:w="450" w:type="dxa"/>
          </w:tcPr>
          <w:p w14:paraId="67560A50" w14:textId="77777777" w:rsidR="00FE4204" w:rsidRPr="00353536" w:rsidRDefault="00FE4204" w:rsidP="00503D31">
            <w:pPr>
              <w:pStyle w:val="NoSpacing"/>
              <w:rPr>
                <w:rFonts w:ascii="Times New Roman" w:hAnsi="Times New Roman"/>
                <w:sz w:val="26"/>
                <w:szCs w:val="26"/>
              </w:rPr>
            </w:pPr>
          </w:p>
        </w:tc>
        <w:tc>
          <w:tcPr>
            <w:tcW w:w="990" w:type="dxa"/>
            <w:shd w:val="clear" w:color="auto" w:fill="auto"/>
          </w:tcPr>
          <w:p w14:paraId="6AD68AE2" w14:textId="77777777" w:rsidR="00FE4204" w:rsidRPr="00353536" w:rsidRDefault="00FE4204" w:rsidP="00503D31">
            <w:pPr>
              <w:pStyle w:val="NoSpacing"/>
              <w:rPr>
                <w:rFonts w:ascii="Times New Roman" w:hAnsi="Times New Roman"/>
                <w:sz w:val="26"/>
                <w:szCs w:val="26"/>
              </w:rPr>
            </w:pPr>
          </w:p>
        </w:tc>
        <w:tc>
          <w:tcPr>
            <w:tcW w:w="7920" w:type="dxa"/>
            <w:shd w:val="clear" w:color="auto" w:fill="auto"/>
          </w:tcPr>
          <w:p w14:paraId="5D9E56C7" w14:textId="77777777" w:rsidR="00255F2C" w:rsidRPr="00255F2C" w:rsidRDefault="00255F2C" w:rsidP="00255F2C">
            <w:pPr>
              <w:pStyle w:val="Default"/>
              <w:jc w:val="both"/>
              <w:rPr>
                <w:color w:val="auto"/>
                <w:sz w:val="26"/>
                <w:szCs w:val="26"/>
              </w:rPr>
            </w:pPr>
            <w:r w:rsidRPr="00255F2C">
              <w:rPr>
                <w:color w:val="auto"/>
                <w:sz w:val="26"/>
                <w:szCs w:val="26"/>
              </w:rPr>
              <w:t xml:space="preserve">Competitive selection procedures were followed in accordance with the Illinois Procurement Code (30 ILCS 500/20-15). </w:t>
            </w:r>
          </w:p>
          <w:p w14:paraId="1E73ED48" w14:textId="77777777" w:rsidR="00255F2C" w:rsidRPr="00255F2C" w:rsidRDefault="00255F2C" w:rsidP="00255F2C">
            <w:pPr>
              <w:pStyle w:val="Default"/>
              <w:jc w:val="both"/>
              <w:rPr>
                <w:color w:val="auto"/>
                <w:sz w:val="26"/>
                <w:szCs w:val="26"/>
              </w:rPr>
            </w:pPr>
          </w:p>
          <w:p w14:paraId="6062A697" w14:textId="77777777" w:rsidR="00255F2C" w:rsidRPr="00255F2C" w:rsidRDefault="00255F2C" w:rsidP="00255F2C">
            <w:pPr>
              <w:pStyle w:val="Default"/>
              <w:jc w:val="both"/>
              <w:rPr>
                <w:color w:val="auto"/>
                <w:sz w:val="26"/>
                <w:szCs w:val="26"/>
              </w:rPr>
            </w:pPr>
            <w:r w:rsidRPr="00255F2C">
              <w:rPr>
                <w:color w:val="auto"/>
                <w:sz w:val="26"/>
                <w:szCs w:val="26"/>
              </w:rPr>
              <w:t xml:space="preserve">In Fiscal Year 2018, the University issued a request for proposal for unarmed security services under RFP# IJW050.  Monterrey Security Consultants, Inc., United Security Services, Inc. and Allied Universal Security Services received approval for a four-year contract award. Contracts were successfully negotiated with Monterrey Security Consultants, Inc. and United Security Services, Inc. for the period beginning September 10, 2018 through September 9, 2022 with the option to renew for three (3) two (2) year periods, subject to continuing need, availability of funds, and satisfactory performance.  The IJW050 award did not require BOT approval at that time because the estimated spend per fiscal year was below the threshold for BOT review/approval. </w:t>
            </w:r>
          </w:p>
          <w:p w14:paraId="439DDAFA" w14:textId="77777777" w:rsidR="00255F2C" w:rsidRPr="00255F2C" w:rsidRDefault="00255F2C" w:rsidP="00255F2C">
            <w:pPr>
              <w:pStyle w:val="Default"/>
              <w:jc w:val="both"/>
              <w:rPr>
                <w:color w:val="auto"/>
                <w:sz w:val="26"/>
                <w:szCs w:val="26"/>
              </w:rPr>
            </w:pPr>
          </w:p>
          <w:p w14:paraId="19E686C8" w14:textId="77777777" w:rsidR="00255F2C" w:rsidRPr="00255F2C" w:rsidRDefault="00255F2C" w:rsidP="00255F2C">
            <w:pPr>
              <w:pStyle w:val="Default"/>
              <w:jc w:val="both"/>
              <w:rPr>
                <w:color w:val="auto"/>
                <w:sz w:val="26"/>
                <w:szCs w:val="26"/>
              </w:rPr>
            </w:pPr>
            <w:r w:rsidRPr="00255F2C">
              <w:rPr>
                <w:color w:val="auto"/>
                <w:sz w:val="26"/>
                <w:szCs w:val="26"/>
              </w:rPr>
              <w:t>The UIC Police Department has increased the number of Monterrey Security Consultants, Inc. unarmed security guards that are deployed under this award. This increase was used to provide additional indoor fixed post positions, outdoor roving patrols, and vehicle patrols of the parking garages. The frequency of these services including the number and type of patrols have remained at an increased level over the past 24 months in parking structures and other outdoor campus areas.  The UIC Police Department does not anticipate that they will be able to safely decrease these service levels due to ongoing risk of criminal activity around the campus. Additionally, due to rising costs, the vendor has requested an increase in bill rates for unarmed guards and supervisors.  The department has reviewed the request and believes it will help improve the ability of Monterrey to fully staff all posts appropriately.</w:t>
            </w:r>
          </w:p>
          <w:p w14:paraId="3BCD77F4" w14:textId="77777777" w:rsidR="00255F2C" w:rsidRPr="00255F2C" w:rsidRDefault="00255F2C" w:rsidP="00255F2C">
            <w:pPr>
              <w:pStyle w:val="Default"/>
              <w:jc w:val="both"/>
              <w:rPr>
                <w:color w:val="auto"/>
                <w:sz w:val="26"/>
                <w:szCs w:val="26"/>
              </w:rPr>
            </w:pPr>
          </w:p>
          <w:p w14:paraId="547FA88D" w14:textId="77777777" w:rsidR="00255F2C" w:rsidRPr="00C95927" w:rsidRDefault="00255F2C" w:rsidP="00255F2C">
            <w:pPr>
              <w:jc w:val="both"/>
              <w:rPr>
                <w:rFonts w:ascii="Times New Roman" w:hAnsi="Times New Roman"/>
                <w:sz w:val="26"/>
                <w:szCs w:val="26"/>
              </w:rPr>
            </w:pPr>
            <w:r>
              <w:rPr>
                <w:rFonts w:ascii="Times New Roman" w:hAnsi="Times New Roman"/>
                <w:sz w:val="26"/>
                <w:szCs w:val="26"/>
              </w:rPr>
              <w:t xml:space="preserve">A new solicitation will be issued in April 2023 to meet the University’s needs for unarmed security services. The department is currently working with Purchasing to complete the procurement process. </w:t>
            </w:r>
            <w:bookmarkStart w:id="3" w:name="_Hlk115195389"/>
            <w:r w:rsidRPr="00C95927">
              <w:rPr>
                <w:rFonts w:ascii="Times New Roman" w:hAnsi="Times New Roman"/>
                <w:sz w:val="26"/>
                <w:szCs w:val="26"/>
              </w:rPr>
              <w:t xml:space="preserve">These additional funds will allow the UIC Police Department to address operational needs for these services </w:t>
            </w:r>
            <w:r>
              <w:rPr>
                <w:rFonts w:ascii="Times New Roman" w:hAnsi="Times New Roman"/>
                <w:sz w:val="26"/>
                <w:szCs w:val="26"/>
              </w:rPr>
              <w:t xml:space="preserve">through the completion and award of the new solicitation.  </w:t>
            </w:r>
          </w:p>
          <w:bookmarkEnd w:id="3"/>
          <w:p w14:paraId="40720C0E" w14:textId="77777777" w:rsidR="00255F2C" w:rsidRPr="00C95927" w:rsidRDefault="00255F2C" w:rsidP="00255F2C">
            <w:pPr>
              <w:pStyle w:val="NoSpacing"/>
              <w:jc w:val="both"/>
              <w:rPr>
                <w:rFonts w:ascii="Times New Roman" w:hAnsi="Times New Roman"/>
                <w:sz w:val="26"/>
                <w:szCs w:val="26"/>
              </w:rPr>
            </w:pPr>
          </w:p>
          <w:p w14:paraId="28D84B28" w14:textId="72453EF6" w:rsidR="00FE4204" w:rsidRPr="00353536" w:rsidRDefault="00255F2C" w:rsidP="00255F2C">
            <w:pPr>
              <w:pStyle w:val="NoSpacing"/>
              <w:rPr>
                <w:rFonts w:ascii="Times New Roman" w:hAnsi="Times New Roman"/>
                <w:sz w:val="26"/>
                <w:szCs w:val="26"/>
              </w:rPr>
            </w:pPr>
            <w:r w:rsidRPr="005C38D7">
              <w:rPr>
                <w:rFonts w:ascii="Times New Roman" w:hAnsi="Times New Roman"/>
                <w:b/>
                <w:bCs/>
                <w:sz w:val="26"/>
                <w:szCs w:val="26"/>
              </w:rPr>
              <w:t>The goal for BEP participation</w:t>
            </w:r>
            <w:r w:rsidRPr="00255F2C">
              <w:rPr>
                <w:rFonts w:ascii="Times New Roman" w:hAnsi="Times New Roman"/>
                <w:sz w:val="26"/>
                <w:szCs w:val="26"/>
              </w:rPr>
              <w:t xml:space="preserve"> under RFP #IJW050 was 25% and the goal for Veteran-owned business participation was 3%. Monterrey Security Consultants, Inc. submitted a BEP Utilization Plan and has been certified as an MBE by the City of Chicago and can self-fulfill the BEP goal.  The vendor will continue to utilize Halo Security Group for the Veteran-owned business.  </w:t>
            </w:r>
          </w:p>
        </w:tc>
      </w:tr>
      <w:tr w:rsidR="00255F2C" w:rsidRPr="00353536" w14:paraId="0BE33FA3" w14:textId="77777777" w:rsidTr="005C38D7">
        <w:trPr>
          <w:trHeight w:val="150"/>
        </w:trPr>
        <w:tc>
          <w:tcPr>
            <w:tcW w:w="450" w:type="dxa"/>
          </w:tcPr>
          <w:p w14:paraId="03614CA8" w14:textId="77777777" w:rsidR="00255F2C" w:rsidRDefault="00255F2C" w:rsidP="00503D31">
            <w:pPr>
              <w:pStyle w:val="NoSpacing"/>
              <w:rPr>
                <w:rFonts w:ascii="Times New Roman" w:hAnsi="Times New Roman"/>
                <w:sz w:val="26"/>
                <w:szCs w:val="26"/>
              </w:rPr>
            </w:pPr>
          </w:p>
        </w:tc>
        <w:tc>
          <w:tcPr>
            <w:tcW w:w="990" w:type="dxa"/>
            <w:shd w:val="clear" w:color="auto" w:fill="auto"/>
          </w:tcPr>
          <w:p w14:paraId="46C67D68" w14:textId="77777777" w:rsidR="00255F2C" w:rsidRPr="00353536" w:rsidRDefault="00255F2C" w:rsidP="00503D31">
            <w:pPr>
              <w:pStyle w:val="NoSpacing"/>
              <w:rPr>
                <w:rFonts w:ascii="Times New Roman" w:hAnsi="Times New Roman"/>
                <w:sz w:val="26"/>
                <w:szCs w:val="26"/>
              </w:rPr>
            </w:pPr>
          </w:p>
        </w:tc>
        <w:tc>
          <w:tcPr>
            <w:tcW w:w="7920" w:type="dxa"/>
            <w:shd w:val="clear" w:color="auto" w:fill="auto"/>
          </w:tcPr>
          <w:p w14:paraId="47C5D759" w14:textId="77777777" w:rsidR="00255F2C" w:rsidRPr="00255F2C" w:rsidRDefault="00255F2C" w:rsidP="00255F2C">
            <w:pPr>
              <w:pStyle w:val="Default"/>
              <w:jc w:val="both"/>
              <w:rPr>
                <w:color w:val="auto"/>
                <w:sz w:val="26"/>
                <w:szCs w:val="26"/>
              </w:rPr>
            </w:pPr>
          </w:p>
        </w:tc>
      </w:tr>
      <w:tr w:rsidR="00255F2C" w:rsidRPr="00353536" w14:paraId="66E1D2CB" w14:textId="77777777" w:rsidTr="005C38D7">
        <w:trPr>
          <w:trHeight w:val="150"/>
        </w:trPr>
        <w:tc>
          <w:tcPr>
            <w:tcW w:w="450" w:type="dxa"/>
            <w:tcBorders>
              <w:bottom w:val="double" w:sz="4" w:space="0" w:color="auto"/>
            </w:tcBorders>
          </w:tcPr>
          <w:p w14:paraId="280CFC93" w14:textId="087337A9" w:rsidR="00255F2C" w:rsidRPr="00353536" w:rsidRDefault="008071D1" w:rsidP="00255F2C">
            <w:pPr>
              <w:pStyle w:val="NoSpacing"/>
              <w:rPr>
                <w:rFonts w:ascii="Times New Roman" w:hAnsi="Times New Roman"/>
                <w:sz w:val="26"/>
                <w:szCs w:val="26"/>
              </w:rPr>
            </w:pPr>
            <w:r>
              <w:rPr>
                <w:rFonts w:ascii="Times New Roman" w:hAnsi="Times New Roman"/>
                <w:sz w:val="26"/>
                <w:szCs w:val="26"/>
              </w:rPr>
              <w:t>6</w:t>
            </w:r>
          </w:p>
        </w:tc>
        <w:tc>
          <w:tcPr>
            <w:tcW w:w="990" w:type="dxa"/>
            <w:tcBorders>
              <w:bottom w:val="double" w:sz="4" w:space="0" w:color="auto"/>
            </w:tcBorders>
            <w:shd w:val="clear" w:color="auto" w:fill="auto"/>
          </w:tcPr>
          <w:p w14:paraId="15425B43" w14:textId="77777777" w:rsidR="00255F2C" w:rsidRPr="00353536" w:rsidRDefault="00255F2C" w:rsidP="00255F2C">
            <w:pPr>
              <w:pStyle w:val="NoSpacing"/>
              <w:rPr>
                <w:rFonts w:ascii="Times New Roman" w:hAnsi="Times New Roman"/>
                <w:sz w:val="26"/>
                <w:szCs w:val="26"/>
              </w:rPr>
            </w:pPr>
            <w:r w:rsidRPr="00353536">
              <w:rPr>
                <w:rFonts w:ascii="Times New Roman" w:hAnsi="Times New Roman"/>
                <w:sz w:val="26"/>
                <w:szCs w:val="26"/>
              </w:rPr>
              <w:t>Unit</w:t>
            </w:r>
          </w:p>
        </w:tc>
        <w:tc>
          <w:tcPr>
            <w:tcW w:w="7920" w:type="dxa"/>
            <w:tcBorders>
              <w:bottom w:val="double" w:sz="4" w:space="0" w:color="auto"/>
            </w:tcBorders>
            <w:shd w:val="clear" w:color="auto" w:fill="auto"/>
          </w:tcPr>
          <w:p w14:paraId="2DB3D43C" w14:textId="3E2C85DC" w:rsidR="00255F2C" w:rsidRPr="00255F2C" w:rsidRDefault="00255F2C" w:rsidP="00255F2C">
            <w:pPr>
              <w:pStyle w:val="Default"/>
              <w:jc w:val="both"/>
              <w:rPr>
                <w:color w:val="auto"/>
                <w:sz w:val="26"/>
                <w:szCs w:val="26"/>
              </w:rPr>
            </w:pPr>
            <w:r w:rsidRPr="005C38D7">
              <w:rPr>
                <w:color w:val="auto"/>
                <w:sz w:val="26"/>
                <w:szCs w:val="26"/>
              </w:rPr>
              <w:t>Office of the Vice Chancellor for Administrative Services</w:t>
            </w:r>
          </w:p>
        </w:tc>
      </w:tr>
      <w:tr w:rsidR="00255F2C" w:rsidRPr="00353536" w14:paraId="488E572B" w14:textId="77777777" w:rsidTr="005C38D7">
        <w:trPr>
          <w:trHeight w:val="150"/>
        </w:trPr>
        <w:tc>
          <w:tcPr>
            <w:tcW w:w="450" w:type="dxa"/>
            <w:tcBorders>
              <w:top w:val="double" w:sz="4" w:space="0" w:color="auto"/>
            </w:tcBorders>
          </w:tcPr>
          <w:p w14:paraId="00609D27" w14:textId="77777777" w:rsidR="00255F2C" w:rsidRPr="00353536" w:rsidRDefault="00255F2C" w:rsidP="00255F2C">
            <w:pPr>
              <w:pStyle w:val="NoSpacing"/>
              <w:rPr>
                <w:rFonts w:ascii="Times New Roman" w:hAnsi="Times New Roman"/>
                <w:sz w:val="26"/>
                <w:szCs w:val="26"/>
              </w:rPr>
            </w:pPr>
          </w:p>
        </w:tc>
        <w:tc>
          <w:tcPr>
            <w:tcW w:w="990" w:type="dxa"/>
            <w:tcBorders>
              <w:top w:val="double" w:sz="4" w:space="0" w:color="auto"/>
            </w:tcBorders>
            <w:shd w:val="clear" w:color="auto" w:fill="auto"/>
          </w:tcPr>
          <w:p w14:paraId="157987C2" w14:textId="77777777" w:rsidR="00255F2C" w:rsidRPr="00353536" w:rsidRDefault="00255F2C" w:rsidP="00255F2C">
            <w:pPr>
              <w:pStyle w:val="NoSpacing"/>
              <w:rPr>
                <w:rFonts w:ascii="Times New Roman" w:hAnsi="Times New Roman"/>
                <w:sz w:val="26"/>
                <w:szCs w:val="26"/>
              </w:rPr>
            </w:pPr>
          </w:p>
          <w:p w14:paraId="7259E5DB" w14:textId="77777777" w:rsidR="00255F2C" w:rsidRPr="00353536" w:rsidRDefault="00255F2C" w:rsidP="00255F2C">
            <w:pPr>
              <w:pStyle w:val="NoSpacing"/>
              <w:rPr>
                <w:rFonts w:ascii="Times New Roman" w:hAnsi="Times New Roman"/>
                <w:sz w:val="26"/>
                <w:szCs w:val="26"/>
              </w:rPr>
            </w:pPr>
            <w:r w:rsidRPr="00353536">
              <w:rPr>
                <w:rFonts w:ascii="Times New Roman" w:hAnsi="Times New Roman"/>
                <w:sz w:val="26"/>
                <w:szCs w:val="26"/>
              </w:rPr>
              <w:t>Item</w:t>
            </w:r>
          </w:p>
        </w:tc>
        <w:tc>
          <w:tcPr>
            <w:tcW w:w="7920" w:type="dxa"/>
            <w:tcBorders>
              <w:top w:val="double" w:sz="4" w:space="0" w:color="auto"/>
            </w:tcBorders>
            <w:shd w:val="clear" w:color="auto" w:fill="auto"/>
          </w:tcPr>
          <w:p w14:paraId="4E5763B1" w14:textId="77777777" w:rsidR="00255F2C" w:rsidRPr="005C38D7" w:rsidRDefault="00255F2C" w:rsidP="00255F2C">
            <w:pPr>
              <w:pStyle w:val="NoSpacing"/>
              <w:jc w:val="both"/>
              <w:rPr>
                <w:rFonts w:ascii="Times New Roman" w:hAnsi="Times New Roman"/>
                <w:sz w:val="26"/>
                <w:szCs w:val="26"/>
              </w:rPr>
            </w:pPr>
          </w:p>
          <w:p w14:paraId="7DD3FC98" w14:textId="09984FF3" w:rsidR="00255F2C" w:rsidRPr="00255F2C" w:rsidRDefault="00255F2C" w:rsidP="00255F2C">
            <w:pPr>
              <w:pStyle w:val="Default"/>
              <w:jc w:val="both"/>
              <w:rPr>
                <w:color w:val="auto"/>
                <w:sz w:val="26"/>
                <w:szCs w:val="26"/>
              </w:rPr>
            </w:pPr>
            <w:r w:rsidRPr="005C38D7">
              <w:rPr>
                <w:color w:val="auto"/>
                <w:sz w:val="26"/>
                <w:szCs w:val="26"/>
              </w:rPr>
              <w:t xml:space="preserve">Change order of existing agreement with United Security Services, Inc. for unarmed security guard services at various UI Health Hospital and Clinic locations throughout the University campus.  Services will be for a two (2) year period beginning September 27, 2022 through September 26, 2024.  There are two (2), two (2) year renewal options remaining. </w:t>
            </w:r>
          </w:p>
        </w:tc>
      </w:tr>
      <w:tr w:rsidR="00255F2C" w:rsidRPr="00353536" w14:paraId="1F10B86D" w14:textId="77777777" w:rsidTr="00255F2C">
        <w:trPr>
          <w:trHeight w:val="150"/>
        </w:trPr>
        <w:tc>
          <w:tcPr>
            <w:tcW w:w="450" w:type="dxa"/>
          </w:tcPr>
          <w:p w14:paraId="17B2E185" w14:textId="77777777" w:rsidR="00255F2C" w:rsidRPr="00353536" w:rsidRDefault="00255F2C" w:rsidP="00255F2C">
            <w:pPr>
              <w:pStyle w:val="NoSpacing"/>
              <w:rPr>
                <w:rFonts w:ascii="Times New Roman" w:hAnsi="Times New Roman"/>
                <w:sz w:val="26"/>
                <w:szCs w:val="26"/>
              </w:rPr>
            </w:pPr>
          </w:p>
        </w:tc>
        <w:tc>
          <w:tcPr>
            <w:tcW w:w="990" w:type="dxa"/>
            <w:shd w:val="clear" w:color="auto" w:fill="auto"/>
          </w:tcPr>
          <w:p w14:paraId="44825713" w14:textId="77777777" w:rsidR="00255F2C" w:rsidRPr="00353536" w:rsidRDefault="00255F2C" w:rsidP="00255F2C">
            <w:pPr>
              <w:pStyle w:val="NoSpacing"/>
              <w:rPr>
                <w:rFonts w:ascii="Times New Roman" w:hAnsi="Times New Roman"/>
                <w:sz w:val="26"/>
                <w:szCs w:val="26"/>
              </w:rPr>
            </w:pPr>
          </w:p>
          <w:p w14:paraId="575350BD" w14:textId="77777777" w:rsidR="00255F2C" w:rsidRPr="00353536" w:rsidRDefault="00255F2C" w:rsidP="00255F2C">
            <w:pPr>
              <w:pStyle w:val="NoSpacing"/>
              <w:rPr>
                <w:rFonts w:ascii="Times New Roman" w:hAnsi="Times New Roman"/>
                <w:sz w:val="26"/>
                <w:szCs w:val="26"/>
              </w:rPr>
            </w:pPr>
            <w:r w:rsidRPr="00353536">
              <w:rPr>
                <w:rFonts w:ascii="Times New Roman" w:hAnsi="Times New Roman"/>
                <w:sz w:val="26"/>
                <w:szCs w:val="26"/>
              </w:rPr>
              <w:t>Cost</w:t>
            </w:r>
          </w:p>
        </w:tc>
        <w:tc>
          <w:tcPr>
            <w:tcW w:w="7920" w:type="dxa"/>
            <w:shd w:val="clear" w:color="auto" w:fill="auto"/>
          </w:tcPr>
          <w:p w14:paraId="324D3E86" w14:textId="77777777" w:rsidR="00255F2C" w:rsidRPr="00255F2C" w:rsidRDefault="00255F2C" w:rsidP="00255F2C">
            <w:pPr>
              <w:pStyle w:val="Default"/>
              <w:jc w:val="both"/>
              <w:rPr>
                <w:color w:val="auto"/>
                <w:sz w:val="26"/>
                <w:szCs w:val="26"/>
              </w:rPr>
            </w:pPr>
          </w:p>
          <w:p w14:paraId="586468AE" w14:textId="54EBB405" w:rsidR="00255F2C" w:rsidRPr="00255F2C" w:rsidRDefault="00255F2C" w:rsidP="00255F2C">
            <w:pPr>
              <w:pStyle w:val="Default"/>
              <w:jc w:val="both"/>
              <w:rPr>
                <w:color w:val="auto"/>
                <w:sz w:val="26"/>
                <w:szCs w:val="26"/>
              </w:rPr>
            </w:pPr>
            <w:r w:rsidRPr="001610D8">
              <w:rPr>
                <w:spacing w:val="-3"/>
                <w:sz w:val="26"/>
                <w:szCs w:val="26"/>
              </w:rPr>
              <w:t>$</w:t>
            </w:r>
            <w:r>
              <w:rPr>
                <w:spacing w:val="-3"/>
                <w:sz w:val="26"/>
                <w:szCs w:val="26"/>
              </w:rPr>
              <w:t>2,100,000.00 (estimated)</w:t>
            </w:r>
          </w:p>
        </w:tc>
      </w:tr>
      <w:tr w:rsidR="00255F2C" w:rsidRPr="00353536" w14:paraId="5B6F7029" w14:textId="77777777" w:rsidTr="00255F2C">
        <w:trPr>
          <w:trHeight w:val="150"/>
        </w:trPr>
        <w:tc>
          <w:tcPr>
            <w:tcW w:w="450" w:type="dxa"/>
          </w:tcPr>
          <w:p w14:paraId="5F7FDF93" w14:textId="77777777" w:rsidR="00255F2C" w:rsidRPr="00353536" w:rsidRDefault="00255F2C" w:rsidP="00255F2C">
            <w:pPr>
              <w:pStyle w:val="NoSpacing"/>
              <w:rPr>
                <w:rFonts w:ascii="Times New Roman" w:hAnsi="Times New Roman"/>
                <w:sz w:val="26"/>
                <w:szCs w:val="26"/>
              </w:rPr>
            </w:pPr>
          </w:p>
        </w:tc>
        <w:tc>
          <w:tcPr>
            <w:tcW w:w="990" w:type="dxa"/>
            <w:shd w:val="clear" w:color="auto" w:fill="auto"/>
          </w:tcPr>
          <w:p w14:paraId="47B0EA29" w14:textId="77777777" w:rsidR="00255F2C" w:rsidRPr="00353536" w:rsidRDefault="00255F2C" w:rsidP="00255F2C">
            <w:pPr>
              <w:pStyle w:val="NoSpacing"/>
              <w:rPr>
                <w:rFonts w:ascii="Times New Roman" w:hAnsi="Times New Roman"/>
                <w:sz w:val="26"/>
                <w:szCs w:val="26"/>
              </w:rPr>
            </w:pPr>
          </w:p>
          <w:p w14:paraId="691405FA" w14:textId="77777777" w:rsidR="00255F2C" w:rsidRPr="00353536" w:rsidRDefault="00255F2C" w:rsidP="00255F2C">
            <w:pPr>
              <w:pStyle w:val="NoSpacing"/>
              <w:rPr>
                <w:rFonts w:ascii="Times New Roman" w:hAnsi="Times New Roman"/>
                <w:sz w:val="26"/>
                <w:szCs w:val="26"/>
              </w:rPr>
            </w:pPr>
            <w:r w:rsidRPr="00353536">
              <w:rPr>
                <w:rFonts w:ascii="Times New Roman" w:hAnsi="Times New Roman"/>
                <w:sz w:val="26"/>
                <w:szCs w:val="26"/>
              </w:rPr>
              <w:t>Vendor</w:t>
            </w:r>
          </w:p>
        </w:tc>
        <w:tc>
          <w:tcPr>
            <w:tcW w:w="7920" w:type="dxa"/>
            <w:shd w:val="clear" w:color="auto" w:fill="auto"/>
          </w:tcPr>
          <w:p w14:paraId="403634EB" w14:textId="77777777" w:rsidR="00255F2C" w:rsidRPr="00255F2C" w:rsidRDefault="00255F2C" w:rsidP="00255F2C">
            <w:pPr>
              <w:pStyle w:val="Default"/>
              <w:jc w:val="both"/>
              <w:rPr>
                <w:color w:val="auto"/>
                <w:sz w:val="26"/>
                <w:szCs w:val="26"/>
              </w:rPr>
            </w:pPr>
          </w:p>
          <w:p w14:paraId="7A98E0D4" w14:textId="091B24EF" w:rsidR="00255F2C" w:rsidRPr="00255F2C" w:rsidRDefault="00255F2C" w:rsidP="00255F2C">
            <w:pPr>
              <w:pStyle w:val="NoSpacing"/>
              <w:rPr>
                <w:rFonts w:ascii="Times New Roman" w:hAnsi="Times New Roman"/>
                <w:sz w:val="26"/>
                <w:szCs w:val="26"/>
              </w:rPr>
            </w:pPr>
            <w:r>
              <w:rPr>
                <w:rFonts w:ascii="Times New Roman" w:hAnsi="Times New Roman"/>
                <w:sz w:val="26"/>
                <w:szCs w:val="26"/>
              </w:rPr>
              <w:t>United Security Services, Inc.                                           Chicago, Illinois</w:t>
            </w:r>
          </w:p>
          <w:p w14:paraId="55F60D77" w14:textId="77777777" w:rsidR="00255F2C" w:rsidRPr="00255F2C" w:rsidRDefault="00255F2C" w:rsidP="00255F2C">
            <w:pPr>
              <w:pStyle w:val="Default"/>
              <w:rPr>
                <w:color w:val="auto"/>
                <w:sz w:val="26"/>
                <w:szCs w:val="26"/>
              </w:rPr>
            </w:pPr>
          </w:p>
        </w:tc>
      </w:tr>
      <w:tr w:rsidR="00255F2C" w:rsidRPr="00353536" w14:paraId="0126C934" w14:textId="77777777" w:rsidTr="00255F2C">
        <w:trPr>
          <w:trHeight w:val="150"/>
        </w:trPr>
        <w:tc>
          <w:tcPr>
            <w:tcW w:w="450" w:type="dxa"/>
          </w:tcPr>
          <w:p w14:paraId="5D2EBE3E" w14:textId="77777777" w:rsidR="00255F2C" w:rsidRPr="00353536" w:rsidRDefault="00255F2C" w:rsidP="00255F2C">
            <w:pPr>
              <w:pStyle w:val="NoSpacing"/>
              <w:rPr>
                <w:rFonts w:ascii="Times New Roman" w:hAnsi="Times New Roman"/>
                <w:sz w:val="26"/>
                <w:szCs w:val="26"/>
              </w:rPr>
            </w:pPr>
          </w:p>
        </w:tc>
        <w:tc>
          <w:tcPr>
            <w:tcW w:w="990" w:type="dxa"/>
            <w:shd w:val="clear" w:color="auto" w:fill="auto"/>
          </w:tcPr>
          <w:p w14:paraId="65453932" w14:textId="77777777" w:rsidR="00255F2C" w:rsidRPr="00353536" w:rsidRDefault="00255F2C" w:rsidP="00255F2C">
            <w:pPr>
              <w:pStyle w:val="NoSpacing"/>
              <w:rPr>
                <w:rFonts w:ascii="Times New Roman" w:hAnsi="Times New Roman"/>
                <w:sz w:val="26"/>
                <w:szCs w:val="26"/>
              </w:rPr>
            </w:pPr>
          </w:p>
        </w:tc>
        <w:tc>
          <w:tcPr>
            <w:tcW w:w="7920" w:type="dxa"/>
            <w:shd w:val="clear" w:color="auto" w:fill="auto"/>
          </w:tcPr>
          <w:p w14:paraId="32FF9766" w14:textId="77777777" w:rsidR="00255F2C" w:rsidRPr="00C95927" w:rsidRDefault="00255F2C" w:rsidP="00255F2C">
            <w:pPr>
              <w:pStyle w:val="Default"/>
              <w:jc w:val="both"/>
              <w:rPr>
                <w:sz w:val="26"/>
                <w:szCs w:val="26"/>
              </w:rPr>
            </w:pPr>
            <w:r w:rsidRPr="00C95927">
              <w:rPr>
                <w:sz w:val="26"/>
                <w:szCs w:val="26"/>
              </w:rPr>
              <w:t xml:space="preserve">Competitive selection procedures were followed in accordance with the Illinois Procurement Code (30 ILCS 500/20-15). </w:t>
            </w:r>
          </w:p>
          <w:p w14:paraId="125FE578" w14:textId="77777777" w:rsidR="00255F2C" w:rsidRPr="00C95927" w:rsidRDefault="00255F2C" w:rsidP="00255F2C">
            <w:pPr>
              <w:pStyle w:val="Default"/>
              <w:jc w:val="both"/>
              <w:rPr>
                <w:sz w:val="26"/>
                <w:szCs w:val="26"/>
              </w:rPr>
            </w:pPr>
          </w:p>
          <w:p w14:paraId="03F2F607" w14:textId="77777777" w:rsidR="00255F2C" w:rsidRPr="007A790B" w:rsidRDefault="00255F2C" w:rsidP="00255F2C">
            <w:pPr>
              <w:pStyle w:val="Default"/>
              <w:jc w:val="both"/>
              <w:rPr>
                <w:sz w:val="26"/>
                <w:szCs w:val="26"/>
              </w:rPr>
            </w:pPr>
            <w:bookmarkStart w:id="4" w:name="_Hlk115191792"/>
            <w:r w:rsidRPr="007A790B">
              <w:rPr>
                <w:sz w:val="26"/>
                <w:szCs w:val="26"/>
              </w:rPr>
              <w:t>In Fiscal Year 2018, the University issued a request for proposal for unarmed security services under RFP# IJW050.  Monterrey Security Consultants, Inc., United Security Services, Inc</w:t>
            </w:r>
            <w:r>
              <w:rPr>
                <w:sz w:val="26"/>
                <w:szCs w:val="26"/>
              </w:rPr>
              <w:t xml:space="preserve">., </w:t>
            </w:r>
            <w:r w:rsidRPr="007A790B">
              <w:rPr>
                <w:sz w:val="26"/>
                <w:szCs w:val="26"/>
              </w:rPr>
              <w:t xml:space="preserve">and Allied Universal Security Services received approval for a four-year contract award. Contracts were successfully negotiated with Monterrey Security Consultants, Inc. and United Security Services, Inc. for the period beginning September 27, 2018 through September 26, 2022 with the option to renew for three (3) two (2) year periods, subject to continuing need, availability of funds, and satisfactory performance.  The </w:t>
            </w:r>
            <w:r>
              <w:rPr>
                <w:sz w:val="26"/>
                <w:szCs w:val="26"/>
              </w:rPr>
              <w:t xml:space="preserve">initial </w:t>
            </w:r>
            <w:r w:rsidRPr="007A790B">
              <w:rPr>
                <w:sz w:val="26"/>
                <w:szCs w:val="26"/>
              </w:rPr>
              <w:t>IJW050</w:t>
            </w:r>
            <w:r>
              <w:rPr>
                <w:sz w:val="26"/>
                <w:szCs w:val="26"/>
              </w:rPr>
              <w:t xml:space="preserve"> </w:t>
            </w:r>
            <w:r w:rsidRPr="007A790B">
              <w:rPr>
                <w:sz w:val="26"/>
                <w:szCs w:val="26"/>
              </w:rPr>
              <w:t>award</w:t>
            </w:r>
            <w:r>
              <w:rPr>
                <w:sz w:val="26"/>
                <w:szCs w:val="26"/>
              </w:rPr>
              <w:t xml:space="preserve"> </w:t>
            </w:r>
            <w:r w:rsidRPr="007A790B">
              <w:rPr>
                <w:sz w:val="26"/>
                <w:szCs w:val="26"/>
              </w:rPr>
              <w:t xml:space="preserve">did not require BOT approval at that time because the estimated spend per fiscal year was below the threshold for BOT review/approval. </w:t>
            </w:r>
          </w:p>
          <w:p w14:paraId="1AD51E52" w14:textId="77777777" w:rsidR="00255F2C" w:rsidRPr="007A790B" w:rsidRDefault="00255F2C" w:rsidP="00255F2C">
            <w:pPr>
              <w:pStyle w:val="Default"/>
              <w:jc w:val="both"/>
              <w:rPr>
                <w:sz w:val="26"/>
                <w:szCs w:val="26"/>
              </w:rPr>
            </w:pPr>
          </w:p>
          <w:p w14:paraId="7CF8F6F8" w14:textId="77777777" w:rsidR="00255F2C" w:rsidRPr="007A790B" w:rsidRDefault="00255F2C" w:rsidP="00255F2C">
            <w:pPr>
              <w:jc w:val="both"/>
              <w:rPr>
                <w:rFonts w:ascii="Times New Roman" w:hAnsi="Times New Roman"/>
                <w:sz w:val="26"/>
                <w:szCs w:val="26"/>
              </w:rPr>
            </w:pPr>
            <w:r w:rsidRPr="007A790B">
              <w:rPr>
                <w:rFonts w:ascii="Times New Roman" w:hAnsi="Times New Roman"/>
                <w:sz w:val="26"/>
                <w:szCs w:val="26"/>
              </w:rPr>
              <w:t>United Security Services, Inc. (United)</w:t>
            </w:r>
            <w:r>
              <w:rPr>
                <w:rFonts w:ascii="Times New Roman" w:hAnsi="Times New Roman"/>
                <w:sz w:val="26"/>
                <w:szCs w:val="26"/>
              </w:rPr>
              <w:t xml:space="preserve"> had the necessary medical trained staff to </w:t>
            </w:r>
            <w:r w:rsidRPr="007A790B">
              <w:rPr>
                <w:rFonts w:ascii="Times New Roman" w:hAnsi="Times New Roman"/>
                <w:sz w:val="26"/>
                <w:szCs w:val="26"/>
              </w:rPr>
              <w:t>provide unarmed security guards for the University of Illinois Chicago Hospital</w:t>
            </w:r>
            <w:r>
              <w:rPr>
                <w:rFonts w:ascii="Times New Roman" w:hAnsi="Times New Roman"/>
                <w:sz w:val="26"/>
                <w:szCs w:val="26"/>
              </w:rPr>
              <w:t xml:space="preserve"> and</w:t>
            </w:r>
            <w:r w:rsidRPr="007A790B">
              <w:rPr>
                <w:rFonts w:ascii="Times New Roman" w:hAnsi="Times New Roman"/>
                <w:sz w:val="26"/>
                <w:szCs w:val="26"/>
              </w:rPr>
              <w:t xml:space="preserve"> Health Sciences System (UI Health). </w:t>
            </w:r>
            <w:bookmarkStart w:id="5" w:name="_Hlk115195207"/>
            <w:r w:rsidRPr="007A790B">
              <w:rPr>
                <w:rFonts w:ascii="Times New Roman" w:hAnsi="Times New Roman"/>
                <w:sz w:val="26"/>
                <w:szCs w:val="26"/>
              </w:rPr>
              <w:t>The UIC Police Department</w:t>
            </w:r>
            <w:r>
              <w:rPr>
                <w:rFonts w:ascii="Times New Roman" w:hAnsi="Times New Roman"/>
                <w:sz w:val="26"/>
                <w:szCs w:val="26"/>
              </w:rPr>
              <w:t xml:space="preserve"> </w:t>
            </w:r>
            <w:r w:rsidRPr="007A790B">
              <w:rPr>
                <w:rFonts w:ascii="Times New Roman" w:hAnsi="Times New Roman"/>
                <w:sz w:val="26"/>
                <w:szCs w:val="26"/>
              </w:rPr>
              <w:t xml:space="preserve">increased the number </w:t>
            </w:r>
            <w:bookmarkStart w:id="6" w:name="_Hlk115195088"/>
            <w:r w:rsidRPr="007A790B">
              <w:rPr>
                <w:rFonts w:ascii="Times New Roman" w:hAnsi="Times New Roman"/>
                <w:sz w:val="26"/>
                <w:szCs w:val="26"/>
              </w:rPr>
              <w:t>of unarmed security guards that are deployed under this award</w:t>
            </w:r>
            <w:r>
              <w:rPr>
                <w:rFonts w:ascii="Times New Roman" w:hAnsi="Times New Roman"/>
                <w:sz w:val="26"/>
                <w:szCs w:val="26"/>
              </w:rPr>
              <w:t xml:space="preserve"> d</w:t>
            </w:r>
            <w:r w:rsidRPr="007A790B">
              <w:rPr>
                <w:rFonts w:ascii="Times New Roman" w:hAnsi="Times New Roman"/>
                <w:sz w:val="26"/>
                <w:szCs w:val="26"/>
              </w:rPr>
              <w:t>uring the COVID-19 pandemic</w:t>
            </w:r>
            <w:r>
              <w:rPr>
                <w:rFonts w:ascii="Times New Roman" w:hAnsi="Times New Roman"/>
                <w:sz w:val="26"/>
                <w:szCs w:val="26"/>
              </w:rPr>
              <w:t xml:space="preserve">.  </w:t>
            </w:r>
            <w:r w:rsidRPr="007A790B">
              <w:rPr>
                <w:rFonts w:ascii="Times New Roman" w:hAnsi="Times New Roman"/>
                <w:sz w:val="26"/>
                <w:szCs w:val="26"/>
              </w:rPr>
              <w:t xml:space="preserve">United provided security services for COVID-19 related operations at the UI Health Hospital, including the outside COVID-19 intake tent and various indoor locations. This vendor has been providing these services since the implementation of COIVD-19 security protocols and is proficient at working in and supporting this environment. As the pandemic intensified and critical healthcare services increased at the Hospital, so has the need for unarmed security services. The unpredictable nature of the pandemic and dynamic staffing needs has created an environment whereby additional unarmed security services have been required. </w:t>
            </w:r>
          </w:p>
          <w:p w14:paraId="7627775C" w14:textId="77777777" w:rsidR="00255F2C" w:rsidRDefault="00255F2C" w:rsidP="00255F2C">
            <w:pPr>
              <w:jc w:val="both"/>
              <w:rPr>
                <w:rFonts w:ascii="Times New Roman" w:hAnsi="Times New Roman"/>
                <w:sz w:val="26"/>
                <w:szCs w:val="26"/>
              </w:rPr>
            </w:pPr>
            <w:r w:rsidRPr="007A790B">
              <w:rPr>
                <w:rFonts w:ascii="Times New Roman" w:hAnsi="Times New Roman"/>
                <w:sz w:val="26"/>
                <w:szCs w:val="26"/>
              </w:rPr>
              <w:lastRenderedPageBreak/>
              <w:t xml:space="preserve">UI Health has opened a new Specialty Care Building (SCB) which has expanded the medical operations.  This new facility also requires security services. </w:t>
            </w:r>
            <w:bookmarkStart w:id="7" w:name="_Hlk115195459"/>
            <w:bookmarkEnd w:id="5"/>
            <w:bookmarkEnd w:id="6"/>
            <w:r w:rsidRPr="007A790B">
              <w:rPr>
                <w:rFonts w:ascii="Times New Roman" w:hAnsi="Times New Roman"/>
                <w:sz w:val="26"/>
                <w:szCs w:val="26"/>
              </w:rPr>
              <w:t>The opening of the SCB has occurred while the University is experiencing a staffing shortage of security guard-classified employees.</w:t>
            </w:r>
          </w:p>
          <w:p w14:paraId="631AFA95" w14:textId="77777777" w:rsidR="00255F2C" w:rsidRPr="00854EF8" w:rsidRDefault="00255F2C" w:rsidP="00255F2C">
            <w:pPr>
              <w:pStyle w:val="Default"/>
              <w:jc w:val="both"/>
              <w:rPr>
                <w:sz w:val="26"/>
                <w:szCs w:val="26"/>
              </w:rPr>
            </w:pPr>
            <w:r>
              <w:rPr>
                <w:sz w:val="26"/>
                <w:szCs w:val="26"/>
              </w:rPr>
              <w:t xml:space="preserve">Additionally, the </w:t>
            </w:r>
            <w:r w:rsidRPr="00854EF8">
              <w:rPr>
                <w:sz w:val="26"/>
                <w:szCs w:val="26"/>
              </w:rPr>
              <w:t xml:space="preserve">UIC Police Department </w:t>
            </w:r>
            <w:r>
              <w:rPr>
                <w:sz w:val="26"/>
                <w:szCs w:val="26"/>
              </w:rPr>
              <w:t xml:space="preserve">has </w:t>
            </w:r>
            <w:r w:rsidRPr="00854EF8">
              <w:rPr>
                <w:sz w:val="26"/>
                <w:szCs w:val="26"/>
              </w:rPr>
              <w:t>increased contracted security staff at healthcare locations due to ongoing safety concerns, including threats of violence against employees and weapons being discovered in the Hospital.</w:t>
            </w:r>
            <w:r>
              <w:rPr>
                <w:sz w:val="26"/>
                <w:szCs w:val="26"/>
              </w:rPr>
              <w:t xml:space="preserve"> </w:t>
            </w:r>
            <w:r w:rsidRPr="00854EF8">
              <w:rPr>
                <w:sz w:val="26"/>
                <w:szCs w:val="26"/>
              </w:rPr>
              <w:t xml:space="preserve">Increased security staffing is also required to operate </w:t>
            </w:r>
            <w:r>
              <w:rPr>
                <w:sz w:val="26"/>
                <w:szCs w:val="26"/>
              </w:rPr>
              <w:t>eleven (</w:t>
            </w:r>
            <w:r w:rsidRPr="00854EF8">
              <w:rPr>
                <w:sz w:val="26"/>
                <w:szCs w:val="26"/>
              </w:rPr>
              <w:t>1</w:t>
            </w:r>
            <w:r>
              <w:rPr>
                <w:sz w:val="26"/>
                <w:szCs w:val="26"/>
              </w:rPr>
              <w:t>1)</w:t>
            </w:r>
            <w:r w:rsidRPr="00854EF8">
              <w:rPr>
                <w:sz w:val="26"/>
                <w:szCs w:val="26"/>
              </w:rPr>
              <w:t xml:space="preserve"> Evolv Weapon Detection systems that were purchased by UI Health administrators under </w:t>
            </w:r>
            <w:r>
              <w:rPr>
                <w:sz w:val="26"/>
                <w:szCs w:val="26"/>
              </w:rPr>
              <w:t>E</w:t>
            </w:r>
            <w:r w:rsidRPr="00854EF8">
              <w:rPr>
                <w:sz w:val="26"/>
                <w:szCs w:val="26"/>
              </w:rPr>
              <w:t xml:space="preserve">mergency </w:t>
            </w:r>
            <w:r>
              <w:rPr>
                <w:sz w:val="26"/>
                <w:szCs w:val="26"/>
              </w:rPr>
              <w:t>P</w:t>
            </w:r>
            <w:r w:rsidRPr="00854EF8">
              <w:rPr>
                <w:sz w:val="26"/>
                <w:szCs w:val="26"/>
              </w:rPr>
              <w:t xml:space="preserve">urchase </w:t>
            </w:r>
            <w:r>
              <w:rPr>
                <w:sz w:val="26"/>
                <w:szCs w:val="26"/>
              </w:rPr>
              <w:t>#</w:t>
            </w:r>
            <w:r w:rsidRPr="00854EF8">
              <w:rPr>
                <w:sz w:val="26"/>
                <w:szCs w:val="26"/>
              </w:rPr>
              <w:t>797IDM. Two security guards are required to operate each system.</w:t>
            </w:r>
          </w:p>
          <w:p w14:paraId="1D0C1134" w14:textId="77777777" w:rsidR="00255F2C" w:rsidRDefault="00255F2C" w:rsidP="00255F2C">
            <w:pPr>
              <w:jc w:val="both"/>
              <w:rPr>
                <w:rFonts w:ascii="Times New Roman" w:hAnsi="Times New Roman"/>
                <w:sz w:val="26"/>
                <w:szCs w:val="26"/>
              </w:rPr>
            </w:pPr>
          </w:p>
          <w:p w14:paraId="72FCC105" w14:textId="77777777" w:rsidR="00255F2C" w:rsidRDefault="00255F2C" w:rsidP="00255F2C">
            <w:pPr>
              <w:jc w:val="both"/>
            </w:pPr>
            <w:r>
              <w:rPr>
                <w:rFonts w:ascii="Times New Roman" w:hAnsi="Times New Roman"/>
                <w:sz w:val="26"/>
                <w:szCs w:val="26"/>
              </w:rPr>
              <w:t>W</w:t>
            </w:r>
            <w:r w:rsidRPr="007A790B">
              <w:rPr>
                <w:rFonts w:ascii="Times New Roman" w:hAnsi="Times New Roman"/>
                <w:sz w:val="26"/>
                <w:szCs w:val="26"/>
              </w:rPr>
              <w:t>ithout additional assistance from United, the University will not be able to provide enough security guards to maintain a safe environment at these critical medical care centers. Continued use of this vendor will allow the UI Health Hospital, Clinics, and Specialty Care Building to maintain continuity in their operations, which supports public health and safety.</w:t>
            </w:r>
            <w:bookmarkEnd w:id="7"/>
          </w:p>
          <w:p w14:paraId="6585C171" w14:textId="77777777" w:rsidR="00255F2C" w:rsidRPr="00C95927" w:rsidRDefault="00255F2C" w:rsidP="00255F2C">
            <w:pPr>
              <w:jc w:val="both"/>
              <w:rPr>
                <w:rFonts w:ascii="Times New Roman" w:hAnsi="Times New Roman"/>
                <w:sz w:val="26"/>
                <w:szCs w:val="26"/>
              </w:rPr>
            </w:pPr>
            <w:r>
              <w:rPr>
                <w:rFonts w:ascii="Times New Roman" w:hAnsi="Times New Roman"/>
                <w:sz w:val="26"/>
                <w:szCs w:val="26"/>
              </w:rPr>
              <w:t xml:space="preserve">A new solicitation will be issued in April 2023 to meet the Hospital’s needs for unarmed security services. The department is currently working with Purchasing to complete the procurement process. </w:t>
            </w:r>
            <w:r w:rsidRPr="00C95927">
              <w:rPr>
                <w:rFonts w:ascii="Times New Roman" w:hAnsi="Times New Roman"/>
                <w:sz w:val="26"/>
                <w:szCs w:val="26"/>
              </w:rPr>
              <w:t xml:space="preserve">These additional funds will allow the UIC Police Department to address operational needs for these services </w:t>
            </w:r>
            <w:r>
              <w:rPr>
                <w:rFonts w:ascii="Times New Roman" w:hAnsi="Times New Roman"/>
                <w:sz w:val="26"/>
                <w:szCs w:val="26"/>
              </w:rPr>
              <w:t xml:space="preserve">through the completion and award of the new solicitation.  </w:t>
            </w:r>
          </w:p>
          <w:p w14:paraId="575B0A27" w14:textId="77777777" w:rsidR="00255F2C" w:rsidRPr="00C95927" w:rsidRDefault="00255F2C" w:rsidP="00255F2C">
            <w:pPr>
              <w:pStyle w:val="NoSpacing"/>
              <w:jc w:val="both"/>
              <w:rPr>
                <w:rFonts w:ascii="Times New Roman" w:hAnsi="Times New Roman"/>
                <w:sz w:val="26"/>
                <w:szCs w:val="26"/>
              </w:rPr>
            </w:pPr>
          </w:p>
          <w:p w14:paraId="3ACA6238" w14:textId="5AA16EE8" w:rsidR="00255F2C" w:rsidRPr="00255F2C" w:rsidRDefault="00255F2C" w:rsidP="00255F2C">
            <w:pPr>
              <w:pStyle w:val="Default"/>
              <w:jc w:val="both"/>
              <w:rPr>
                <w:color w:val="auto"/>
                <w:sz w:val="26"/>
                <w:szCs w:val="26"/>
              </w:rPr>
            </w:pPr>
            <w:r w:rsidRPr="005C38D7">
              <w:rPr>
                <w:b/>
                <w:bCs/>
                <w:sz w:val="26"/>
                <w:szCs w:val="26"/>
              </w:rPr>
              <w:t>The goal for BEP participation</w:t>
            </w:r>
            <w:r>
              <w:rPr>
                <w:sz w:val="26"/>
                <w:szCs w:val="26"/>
              </w:rPr>
              <w:t xml:space="preserve"> under RFP #IJW050 was 25% and the goal for Veteran-owned business participation was 3%.  United Security Services, Inc. </w:t>
            </w:r>
            <w:r w:rsidRPr="004A2D54">
              <w:rPr>
                <w:sz w:val="26"/>
                <w:szCs w:val="26"/>
              </w:rPr>
              <w:t xml:space="preserve">submitted a BEP Utilization Plan and will utilize Page Security, Inc. as their BEP vendor </w:t>
            </w:r>
            <w:r>
              <w:rPr>
                <w:sz w:val="26"/>
                <w:szCs w:val="26"/>
              </w:rPr>
              <w:t xml:space="preserve">and </w:t>
            </w:r>
            <w:r w:rsidRPr="004A2D54">
              <w:rPr>
                <w:sz w:val="26"/>
                <w:szCs w:val="26"/>
              </w:rPr>
              <w:t xml:space="preserve">Halo Security Group </w:t>
            </w:r>
            <w:r>
              <w:rPr>
                <w:sz w:val="26"/>
                <w:szCs w:val="26"/>
              </w:rPr>
              <w:t>as</w:t>
            </w:r>
            <w:r w:rsidRPr="004A2D54">
              <w:rPr>
                <w:sz w:val="26"/>
                <w:szCs w:val="26"/>
              </w:rPr>
              <w:t xml:space="preserve"> the Veteran-owned business. </w:t>
            </w:r>
            <w:bookmarkEnd w:id="4"/>
          </w:p>
        </w:tc>
      </w:tr>
    </w:tbl>
    <w:p w14:paraId="6F9F75FC" w14:textId="7A0E9A5A" w:rsidR="00881246" w:rsidRDefault="00881246" w:rsidP="0088124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pPr>
    </w:p>
    <w:p w14:paraId="1D4465FC" w14:textId="64092E9D" w:rsidR="007A46D4" w:rsidRDefault="007A46D4" w:rsidP="0088124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pPr>
    </w:p>
    <w:p w14:paraId="4F4E3478" w14:textId="77777777" w:rsidR="007A46D4" w:rsidRPr="00353536" w:rsidRDefault="007A46D4" w:rsidP="0088124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353536" w14:paraId="27971733" w14:textId="77777777" w:rsidTr="000E1716">
        <w:trPr>
          <w:trHeight w:val="120"/>
        </w:trPr>
        <w:tc>
          <w:tcPr>
            <w:tcW w:w="342" w:type="dxa"/>
            <w:tcBorders>
              <w:bottom w:val="double" w:sz="6" w:space="0" w:color="auto"/>
            </w:tcBorders>
          </w:tcPr>
          <w:p w14:paraId="16E50F8A" w14:textId="4C90AF5B" w:rsidR="002D28AA" w:rsidRPr="00353536" w:rsidRDefault="002D28AA" w:rsidP="000E1716">
            <w:pPr>
              <w:pStyle w:val="NoSpacing"/>
              <w:rPr>
                <w:rFonts w:ascii="Times New Roman" w:hAnsi="Times New Roman"/>
                <w:sz w:val="26"/>
                <w:szCs w:val="26"/>
              </w:rPr>
            </w:pPr>
          </w:p>
        </w:tc>
        <w:tc>
          <w:tcPr>
            <w:tcW w:w="990" w:type="dxa"/>
            <w:tcBorders>
              <w:bottom w:val="double" w:sz="6" w:space="0" w:color="auto"/>
            </w:tcBorders>
          </w:tcPr>
          <w:p w14:paraId="6C91DA4D" w14:textId="7370E1BB" w:rsidR="002D28AA" w:rsidRPr="00353536" w:rsidRDefault="002D28AA" w:rsidP="000E1716">
            <w:pPr>
              <w:pStyle w:val="NoSpacing"/>
              <w:rPr>
                <w:rFonts w:ascii="Times New Roman" w:hAnsi="Times New Roman"/>
                <w:sz w:val="26"/>
                <w:szCs w:val="26"/>
              </w:rPr>
            </w:pPr>
          </w:p>
        </w:tc>
        <w:tc>
          <w:tcPr>
            <w:tcW w:w="8118" w:type="dxa"/>
            <w:tcBorders>
              <w:bottom w:val="double" w:sz="6" w:space="0" w:color="auto"/>
            </w:tcBorders>
          </w:tcPr>
          <w:p w14:paraId="3270AC84" w14:textId="576C5E77" w:rsidR="002D28AA" w:rsidRPr="00353536" w:rsidRDefault="002D28AA">
            <w:pPr>
              <w:pStyle w:val="NoSpacing"/>
              <w:rPr>
                <w:rFonts w:ascii="Times New Roman" w:hAnsi="Times New Roman"/>
                <w:sz w:val="26"/>
                <w:szCs w:val="26"/>
              </w:rPr>
            </w:pPr>
          </w:p>
        </w:tc>
      </w:tr>
    </w:tbl>
    <w:p w14:paraId="33C686F8" w14:textId="6F1D6868" w:rsidR="0076023D" w:rsidRPr="00353536" w:rsidRDefault="0076023D" w:rsidP="002C343C">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SUMMARY OF PURCHASES</w:t>
            </w:r>
          </w:p>
        </w:tc>
      </w:tr>
      <w:tr w:rsidR="000E15C9" w:rsidRPr="00353536" w14:paraId="3EBF655C" w14:textId="77777777" w:rsidTr="00A05784">
        <w:trPr>
          <w:trHeight w:val="394"/>
        </w:trPr>
        <w:tc>
          <w:tcPr>
            <w:tcW w:w="5693" w:type="dxa"/>
          </w:tcPr>
          <w:p w14:paraId="78561DD1" w14:textId="1D4B1030" w:rsidR="000E15C9" w:rsidRPr="00353536" w:rsidRDefault="000E15C9"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 xml:space="preserve">University of Illinois at </w:t>
            </w:r>
            <w:r w:rsidR="005C38D7">
              <w:rPr>
                <w:rFonts w:ascii="Times New Roman" w:eastAsia="Times New Roman" w:hAnsi="Times New Roman"/>
                <w:sz w:val="26"/>
                <w:szCs w:val="26"/>
              </w:rPr>
              <w:t>Urbana-Champaign</w:t>
            </w:r>
          </w:p>
        </w:tc>
        <w:tc>
          <w:tcPr>
            <w:tcW w:w="1902" w:type="dxa"/>
            <w:shd w:val="clear" w:color="auto" w:fill="auto"/>
          </w:tcPr>
          <w:p w14:paraId="1AC2D057" w14:textId="27B1D7CB" w:rsidR="000E15C9" w:rsidRPr="00821EB7" w:rsidRDefault="000E15C9"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5C38D7">
              <w:rPr>
                <w:rFonts w:ascii="Times New Roman" w:eastAsia="Times New Roman" w:hAnsi="Times New Roman"/>
                <w:sz w:val="26"/>
                <w:szCs w:val="26"/>
              </w:rPr>
              <w:t>15,000,000</w:t>
            </w:r>
          </w:p>
        </w:tc>
      </w:tr>
      <w:tr w:rsidR="00AF7580" w:rsidRPr="00353536" w14:paraId="725CD422" w14:textId="77777777" w:rsidTr="00A05784">
        <w:trPr>
          <w:trHeight w:val="394"/>
        </w:trPr>
        <w:tc>
          <w:tcPr>
            <w:tcW w:w="5693" w:type="dxa"/>
          </w:tcPr>
          <w:p w14:paraId="5F3E2CE3" w14:textId="63B8BA75" w:rsidR="00AF7580" w:rsidRPr="00353536" w:rsidRDefault="00AF7580"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 xml:space="preserve">University of Illinois at </w:t>
            </w:r>
            <w:r w:rsidR="005C38D7" w:rsidRPr="00353536">
              <w:rPr>
                <w:rFonts w:ascii="Times New Roman" w:eastAsia="Times New Roman" w:hAnsi="Times New Roman"/>
                <w:sz w:val="26"/>
                <w:szCs w:val="26"/>
              </w:rPr>
              <w:t>Chicago</w:t>
            </w:r>
          </w:p>
        </w:tc>
        <w:tc>
          <w:tcPr>
            <w:tcW w:w="1902" w:type="dxa"/>
            <w:shd w:val="clear" w:color="auto" w:fill="auto"/>
          </w:tcPr>
          <w:p w14:paraId="6F4CDA3A" w14:textId="520053CB" w:rsidR="00AF7580" w:rsidRPr="00821EB7" w:rsidRDefault="00AF7580"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8071D1">
              <w:rPr>
                <w:rFonts w:ascii="Times New Roman" w:eastAsia="Times New Roman" w:hAnsi="Times New Roman"/>
                <w:sz w:val="26"/>
                <w:szCs w:val="26"/>
              </w:rPr>
              <w:t>6,000,000</w:t>
            </w:r>
          </w:p>
        </w:tc>
      </w:tr>
      <w:tr w:rsidR="002C5F64" w:rsidRPr="00353536" w14:paraId="3497DD18" w14:textId="77777777" w:rsidTr="00A05784">
        <w:trPr>
          <w:trHeight w:val="394"/>
        </w:trPr>
        <w:tc>
          <w:tcPr>
            <w:tcW w:w="5693" w:type="dxa"/>
          </w:tcPr>
          <w:p w14:paraId="1410443E" w14:textId="613729C3" w:rsidR="002C5F64" w:rsidRPr="00353536" w:rsidRDefault="002C5F64"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xml:space="preserve">University of Illinois at </w:t>
            </w:r>
            <w:r w:rsidR="005C38D7">
              <w:rPr>
                <w:rFonts w:ascii="Times New Roman" w:eastAsia="Times New Roman" w:hAnsi="Times New Roman"/>
                <w:sz w:val="26"/>
                <w:szCs w:val="26"/>
              </w:rPr>
              <w:t>System Office</w:t>
            </w:r>
          </w:p>
        </w:tc>
        <w:tc>
          <w:tcPr>
            <w:tcW w:w="1902" w:type="dxa"/>
            <w:shd w:val="clear" w:color="auto" w:fill="auto"/>
          </w:tcPr>
          <w:p w14:paraId="4F16B12D" w14:textId="6A120E57" w:rsidR="002C5F64" w:rsidRPr="00821EB7" w:rsidRDefault="00821EB7" w:rsidP="002A641F">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5C38D7">
              <w:rPr>
                <w:rFonts w:ascii="Times New Roman" w:eastAsia="Times New Roman" w:hAnsi="Times New Roman"/>
                <w:sz w:val="26"/>
                <w:szCs w:val="26"/>
              </w:rPr>
              <w:t>2,600,000</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0B588B2D" w14:textId="51BB71BF" w:rsidR="002C343C" w:rsidRPr="00353536"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821EB7">
              <w:rPr>
                <w:rFonts w:ascii="Times New Roman" w:eastAsia="Times New Roman" w:hAnsi="Times New Roman"/>
                <w:sz w:val="26"/>
                <w:szCs w:val="26"/>
              </w:rPr>
              <w:t xml:space="preserve">$ </w:t>
            </w:r>
            <w:r w:rsidR="00045674" w:rsidRPr="00821EB7">
              <w:rPr>
                <w:rFonts w:ascii="Times New Roman" w:eastAsia="Times New Roman" w:hAnsi="Times New Roman"/>
                <w:sz w:val="26"/>
                <w:szCs w:val="26"/>
              </w:rPr>
              <w:t xml:space="preserve"> </w:t>
            </w:r>
            <w:r w:rsidR="008071D1">
              <w:rPr>
                <w:rFonts w:ascii="Times New Roman" w:eastAsia="Times New Roman" w:hAnsi="Times New Roman"/>
                <w:sz w:val="26"/>
                <w:szCs w:val="26"/>
              </w:rPr>
              <w:t>23,600,000</w:t>
            </w:r>
          </w:p>
        </w:tc>
      </w:tr>
      <w:tr w:rsidR="002C343C" w:rsidRPr="00353536" w14:paraId="15952539" w14:textId="77777777" w:rsidTr="00A05784">
        <w:trPr>
          <w:trHeight w:val="394"/>
        </w:trPr>
        <w:tc>
          <w:tcPr>
            <w:tcW w:w="5693" w:type="dxa"/>
          </w:tcPr>
          <w:p w14:paraId="04CC1882" w14:textId="2FC2E2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c>
          <w:tcPr>
            <w:tcW w:w="1902" w:type="dxa"/>
            <w:shd w:val="clear" w:color="auto" w:fill="auto"/>
          </w:tcPr>
          <w:p w14:paraId="24D4DFA9" w14:textId="65C53656" w:rsidR="002C343C" w:rsidRPr="00353536" w:rsidRDefault="002C343C" w:rsidP="00AD2AF9">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353536">
              <w:rPr>
                <w:rFonts w:ascii="Times New Roman" w:eastAsia="Times New Roman" w:hAnsi="Times New Roman"/>
                <w:sz w:val="26"/>
                <w:szCs w:val="26"/>
                <w:highlight w:val="yellow"/>
              </w:rPr>
              <w:t xml:space="preserve">   </w:t>
            </w:r>
          </w:p>
        </w:tc>
      </w:tr>
      <w:tr w:rsidR="008331ED" w:rsidRPr="00353536" w14:paraId="61494642" w14:textId="77777777" w:rsidTr="00A05784">
        <w:trPr>
          <w:trHeight w:val="350"/>
        </w:trPr>
        <w:tc>
          <w:tcPr>
            <w:tcW w:w="5693" w:type="dxa"/>
          </w:tcPr>
          <w:p w14:paraId="29CB77A6" w14:textId="432C350E"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b/>
                <w:sz w:val="26"/>
                <w:szCs w:val="26"/>
              </w:rPr>
              <w:t xml:space="preserve">SUMMARY OF </w:t>
            </w:r>
            <w:r>
              <w:rPr>
                <w:rFonts w:ascii="Times New Roman" w:eastAsia="Times New Roman" w:hAnsi="Times New Roman"/>
                <w:b/>
                <w:sz w:val="26"/>
                <w:szCs w:val="26"/>
              </w:rPr>
              <w:t>CHANGE ORDERS</w:t>
            </w:r>
          </w:p>
        </w:tc>
        <w:tc>
          <w:tcPr>
            <w:tcW w:w="1902" w:type="dxa"/>
            <w:shd w:val="clear" w:color="auto" w:fill="auto"/>
          </w:tcPr>
          <w:p w14:paraId="7DB9F06B" w14:textId="77777777"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5C38D7" w:rsidRPr="00353536" w14:paraId="1D5E3A40" w14:textId="77777777" w:rsidTr="00A05784">
        <w:trPr>
          <w:trHeight w:val="350"/>
        </w:trPr>
        <w:tc>
          <w:tcPr>
            <w:tcW w:w="5693" w:type="dxa"/>
          </w:tcPr>
          <w:p w14:paraId="12EFC13F" w14:textId="40D5FD1C" w:rsidR="005C38D7"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sz w:val="26"/>
                <w:szCs w:val="26"/>
              </w:rPr>
              <w:t xml:space="preserve">University of Illinois at </w:t>
            </w:r>
            <w:r>
              <w:rPr>
                <w:rFonts w:ascii="Times New Roman" w:eastAsia="Times New Roman" w:hAnsi="Times New Roman"/>
                <w:sz w:val="26"/>
                <w:szCs w:val="26"/>
              </w:rPr>
              <w:t>Urbana-Champaign</w:t>
            </w:r>
          </w:p>
        </w:tc>
        <w:tc>
          <w:tcPr>
            <w:tcW w:w="1902" w:type="dxa"/>
            <w:shd w:val="clear" w:color="auto" w:fill="auto"/>
          </w:tcPr>
          <w:p w14:paraId="12D55658" w14:textId="7FA3D8D8" w:rsidR="005C38D7" w:rsidRPr="00821EB7" w:rsidRDefault="005C38D7" w:rsidP="005C38D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2,058,254</w:t>
            </w:r>
          </w:p>
        </w:tc>
      </w:tr>
      <w:tr w:rsidR="005C38D7" w:rsidRPr="00353536" w14:paraId="1EE89680" w14:textId="77777777" w:rsidTr="00A05784">
        <w:trPr>
          <w:trHeight w:val="350"/>
        </w:trPr>
        <w:tc>
          <w:tcPr>
            <w:tcW w:w="5693" w:type="dxa"/>
          </w:tcPr>
          <w:p w14:paraId="1298BE8D" w14:textId="48C7350D"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Chicago</w:t>
            </w:r>
          </w:p>
        </w:tc>
        <w:tc>
          <w:tcPr>
            <w:tcW w:w="1902" w:type="dxa"/>
            <w:shd w:val="clear" w:color="auto" w:fill="auto"/>
          </w:tcPr>
          <w:p w14:paraId="08D2ED5C" w14:textId="082B1280" w:rsidR="005C38D7" w:rsidRPr="00353536" w:rsidRDefault="005C38D7" w:rsidP="005C38D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6,720,000</w:t>
            </w:r>
          </w:p>
        </w:tc>
      </w:tr>
      <w:tr w:rsidR="005C38D7" w:rsidRPr="00353536" w14:paraId="5449BA2F" w14:textId="77777777" w:rsidTr="00A05784">
        <w:trPr>
          <w:trHeight w:val="350"/>
        </w:trPr>
        <w:tc>
          <w:tcPr>
            <w:tcW w:w="5693" w:type="dxa"/>
          </w:tcPr>
          <w:p w14:paraId="41FBB381" w14:textId="359E226F"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 xml:space="preserve">Recommended from </w:t>
            </w:r>
            <w:r>
              <w:rPr>
                <w:rFonts w:ascii="Times New Roman" w:eastAsia="Times New Roman" w:hAnsi="Times New Roman"/>
                <w:color w:val="000000"/>
                <w:sz w:val="26"/>
                <w:szCs w:val="26"/>
              </w:rPr>
              <w:t>Institutional</w:t>
            </w:r>
            <w:r w:rsidRPr="00353536">
              <w:rPr>
                <w:rFonts w:ascii="Times New Roman" w:eastAsia="Times New Roman" w:hAnsi="Times New Roman"/>
                <w:color w:val="000000"/>
                <w:sz w:val="26"/>
                <w:szCs w:val="26"/>
              </w:rPr>
              <w:t xml:space="preserve"> Funds</w:t>
            </w:r>
          </w:p>
          <w:p w14:paraId="14C85AB8" w14:textId="702231E1"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654CF46C" w14:textId="2B3AF6AE" w:rsidR="005C38D7" w:rsidRPr="00353536" w:rsidRDefault="005C38D7" w:rsidP="005C38D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8,778,254</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3A472772" w14:textId="77777777" w:rsidR="00AC1317" w:rsidRPr="00353536" w:rsidRDefault="00AC1317" w:rsidP="00B37520">
      <w:pPr>
        <w:pStyle w:val="NoSpacing"/>
        <w:rPr>
          <w:rFonts w:ascii="Times New Roman" w:hAnsi="Times New Roman"/>
          <w:sz w:val="26"/>
          <w:szCs w:val="26"/>
        </w:rPr>
      </w:pPr>
    </w:p>
    <w:sectPr w:rsidR="00AC1317" w:rsidRPr="00353536" w:rsidSect="00A45A0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7739" w14:textId="77777777" w:rsidR="00CD79E4" w:rsidRDefault="00CD79E4" w:rsidP="00A817DF">
      <w:pPr>
        <w:spacing w:after="0" w:line="240" w:lineRule="auto"/>
      </w:pPr>
      <w:r>
        <w:separator/>
      </w:r>
    </w:p>
  </w:endnote>
  <w:endnote w:type="continuationSeparator" w:id="0">
    <w:p w14:paraId="7A325368" w14:textId="77777777" w:rsidR="00CD79E4" w:rsidRDefault="00CD79E4"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2A54" w14:textId="77777777" w:rsidR="00CD79E4" w:rsidRDefault="00CD79E4" w:rsidP="00A817DF">
      <w:pPr>
        <w:spacing w:after="0" w:line="240" w:lineRule="auto"/>
      </w:pPr>
      <w:r>
        <w:separator/>
      </w:r>
    </w:p>
  </w:footnote>
  <w:footnote w:type="continuationSeparator" w:id="0">
    <w:p w14:paraId="6632E2CC" w14:textId="77777777" w:rsidR="00CD79E4" w:rsidRDefault="00CD79E4"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9"/>
  </w:num>
  <w:num w:numId="2" w16cid:durableId="70201751">
    <w:abstractNumId w:val="11"/>
  </w:num>
  <w:num w:numId="3" w16cid:durableId="1048265266">
    <w:abstractNumId w:val="10"/>
  </w:num>
  <w:num w:numId="4" w16cid:durableId="1585650123">
    <w:abstractNumId w:val="2"/>
  </w:num>
  <w:num w:numId="5" w16cid:durableId="838888282">
    <w:abstractNumId w:val="0"/>
  </w:num>
  <w:num w:numId="6" w16cid:durableId="1045367517">
    <w:abstractNumId w:val="6"/>
  </w:num>
  <w:num w:numId="7" w16cid:durableId="897666194">
    <w:abstractNumId w:val="8"/>
  </w:num>
  <w:num w:numId="8" w16cid:durableId="2017615362">
    <w:abstractNumId w:val="12"/>
  </w:num>
  <w:num w:numId="9" w16cid:durableId="826671625">
    <w:abstractNumId w:val="7"/>
  </w:num>
  <w:num w:numId="10" w16cid:durableId="1128474828">
    <w:abstractNumId w:val="3"/>
  </w:num>
  <w:num w:numId="11" w16cid:durableId="402604075">
    <w:abstractNumId w:val="1"/>
  </w:num>
  <w:num w:numId="12" w16cid:durableId="2074963495">
    <w:abstractNumId w:val="4"/>
  </w:num>
  <w:num w:numId="13" w16cid:durableId="987980008">
    <w:abstractNumId w:val="5"/>
  </w:num>
  <w:num w:numId="14" w16cid:durableId="12767919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2052"/>
    <w:rsid w:val="000143EE"/>
    <w:rsid w:val="00015DC9"/>
    <w:rsid w:val="00040E89"/>
    <w:rsid w:val="00044FA0"/>
    <w:rsid w:val="00045674"/>
    <w:rsid w:val="00050736"/>
    <w:rsid w:val="000623F4"/>
    <w:rsid w:val="000671B9"/>
    <w:rsid w:val="000707D0"/>
    <w:rsid w:val="000715A9"/>
    <w:rsid w:val="00071A28"/>
    <w:rsid w:val="00073330"/>
    <w:rsid w:val="00081788"/>
    <w:rsid w:val="00081B16"/>
    <w:rsid w:val="000833FC"/>
    <w:rsid w:val="00085CAE"/>
    <w:rsid w:val="00086CBF"/>
    <w:rsid w:val="00090A46"/>
    <w:rsid w:val="00091912"/>
    <w:rsid w:val="0009212E"/>
    <w:rsid w:val="000B3155"/>
    <w:rsid w:val="000B3742"/>
    <w:rsid w:val="000B5B85"/>
    <w:rsid w:val="000B69D6"/>
    <w:rsid w:val="000C2912"/>
    <w:rsid w:val="000C6006"/>
    <w:rsid w:val="000D35D5"/>
    <w:rsid w:val="000E15C9"/>
    <w:rsid w:val="000E51D1"/>
    <w:rsid w:val="000F53D3"/>
    <w:rsid w:val="000F72ED"/>
    <w:rsid w:val="00112E2B"/>
    <w:rsid w:val="00114F6C"/>
    <w:rsid w:val="00124B96"/>
    <w:rsid w:val="00141D9C"/>
    <w:rsid w:val="00152827"/>
    <w:rsid w:val="001610D8"/>
    <w:rsid w:val="00162A4C"/>
    <w:rsid w:val="00165B0B"/>
    <w:rsid w:val="00172D76"/>
    <w:rsid w:val="00182841"/>
    <w:rsid w:val="00184765"/>
    <w:rsid w:val="00196069"/>
    <w:rsid w:val="001A0B41"/>
    <w:rsid w:val="001A31BF"/>
    <w:rsid w:val="001A33EE"/>
    <w:rsid w:val="001A4080"/>
    <w:rsid w:val="001A5F67"/>
    <w:rsid w:val="001B2AC1"/>
    <w:rsid w:val="001B4AC0"/>
    <w:rsid w:val="001B4D8B"/>
    <w:rsid w:val="001B762B"/>
    <w:rsid w:val="001D3AA7"/>
    <w:rsid w:val="001D78B4"/>
    <w:rsid w:val="001E6078"/>
    <w:rsid w:val="001F257D"/>
    <w:rsid w:val="001F3416"/>
    <w:rsid w:val="001F3C70"/>
    <w:rsid w:val="001F5883"/>
    <w:rsid w:val="001F7A96"/>
    <w:rsid w:val="001F7E65"/>
    <w:rsid w:val="00212C6B"/>
    <w:rsid w:val="0021646C"/>
    <w:rsid w:val="002179D7"/>
    <w:rsid w:val="00236489"/>
    <w:rsid w:val="00241688"/>
    <w:rsid w:val="0024234E"/>
    <w:rsid w:val="00250572"/>
    <w:rsid w:val="00252F86"/>
    <w:rsid w:val="00255F2C"/>
    <w:rsid w:val="002602E8"/>
    <w:rsid w:val="00264C63"/>
    <w:rsid w:val="00271695"/>
    <w:rsid w:val="00271CE3"/>
    <w:rsid w:val="00274EEF"/>
    <w:rsid w:val="00283AEB"/>
    <w:rsid w:val="002870E8"/>
    <w:rsid w:val="002931FB"/>
    <w:rsid w:val="00293A98"/>
    <w:rsid w:val="002A5B7D"/>
    <w:rsid w:val="002A641F"/>
    <w:rsid w:val="002B0DE6"/>
    <w:rsid w:val="002B66B6"/>
    <w:rsid w:val="002B7C93"/>
    <w:rsid w:val="002C343C"/>
    <w:rsid w:val="002C47B0"/>
    <w:rsid w:val="002C4BB1"/>
    <w:rsid w:val="002C5F64"/>
    <w:rsid w:val="002D0113"/>
    <w:rsid w:val="002D28AA"/>
    <w:rsid w:val="002D35E7"/>
    <w:rsid w:val="002E0B93"/>
    <w:rsid w:val="002E31C2"/>
    <w:rsid w:val="002E44F4"/>
    <w:rsid w:val="002F04D8"/>
    <w:rsid w:val="002F4DAF"/>
    <w:rsid w:val="003045AE"/>
    <w:rsid w:val="00307B8F"/>
    <w:rsid w:val="00307D0C"/>
    <w:rsid w:val="00315A3D"/>
    <w:rsid w:val="003175D4"/>
    <w:rsid w:val="00317DD0"/>
    <w:rsid w:val="00333ECF"/>
    <w:rsid w:val="003376C9"/>
    <w:rsid w:val="00343729"/>
    <w:rsid w:val="00346ABB"/>
    <w:rsid w:val="00353536"/>
    <w:rsid w:val="00357D48"/>
    <w:rsid w:val="00372028"/>
    <w:rsid w:val="003900FD"/>
    <w:rsid w:val="003907E9"/>
    <w:rsid w:val="00390FC0"/>
    <w:rsid w:val="0039204D"/>
    <w:rsid w:val="00395D90"/>
    <w:rsid w:val="003A175C"/>
    <w:rsid w:val="003A2088"/>
    <w:rsid w:val="003A5B58"/>
    <w:rsid w:val="003B7D68"/>
    <w:rsid w:val="003C4265"/>
    <w:rsid w:val="003D06D9"/>
    <w:rsid w:val="003D1DBE"/>
    <w:rsid w:val="003D312D"/>
    <w:rsid w:val="003D5357"/>
    <w:rsid w:val="003D7C25"/>
    <w:rsid w:val="003E14BF"/>
    <w:rsid w:val="003E42E4"/>
    <w:rsid w:val="003F3C8D"/>
    <w:rsid w:val="003F4DDE"/>
    <w:rsid w:val="003F6C7A"/>
    <w:rsid w:val="00416087"/>
    <w:rsid w:val="00417623"/>
    <w:rsid w:val="00425BB7"/>
    <w:rsid w:val="00426458"/>
    <w:rsid w:val="00427DA3"/>
    <w:rsid w:val="00431751"/>
    <w:rsid w:val="00435F85"/>
    <w:rsid w:val="00437797"/>
    <w:rsid w:val="00450F9C"/>
    <w:rsid w:val="00457CDE"/>
    <w:rsid w:val="00470228"/>
    <w:rsid w:val="0047290A"/>
    <w:rsid w:val="00480227"/>
    <w:rsid w:val="0048161E"/>
    <w:rsid w:val="00481670"/>
    <w:rsid w:val="0048342A"/>
    <w:rsid w:val="00487510"/>
    <w:rsid w:val="004A1335"/>
    <w:rsid w:val="004A6CB4"/>
    <w:rsid w:val="004A7669"/>
    <w:rsid w:val="004A7B2E"/>
    <w:rsid w:val="004B23AD"/>
    <w:rsid w:val="004B2BDA"/>
    <w:rsid w:val="004C0608"/>
    <w:rsid w:val="004C43B8"/>
    <w:rsid w:val="004E2F4F"/>
    <w:rsid w:val="004F787F"/>
    <w:rsid w:val="005122F2"/>
    <w:rsid w:val="005145D8"/>
    <w:rsid w:val="00517741"/>
    <w:rsid w:val="00525289"/>
    <w:rsid w:val="00525D4A"/>
    <w:rsid w:val="00526A44"/>
    <w:rsid w:val="00537F38"/>
    <w:rsid w:val="00542702"/>
    <w:rsid w:val="00545379"/>
    <w:rsid w:val="0055223A"/>
    <w:rsid w:val="00552EB0"/>
    <w:rsid w:val="00555371"/>
    <w:rsid w:val="0057172C"/>
    <w:rsid w:val="00573A23"/>
    <w:rsid w:val="005745EF"/>
    <w:rsid w:val="005917CC"/>
    <w:rsid w:val="005978EE"/>
    <w:rsid w:val="005C38D7"/>
    <w:rsid w:val="005C393C"/>
    <w:rsid w:val="005C45AE"/>
    <w:rsid w:val="005D08FB"/>
    <w:rsid w:val="005D66E5"/>
    <w:rsid w:val="005D6E7E"/>
    <w:rsid w:val="005E0799"/>
    <w:rsid w:val="005E70D5"/>
    <w:rsid w:val="00602119"/>
    <w:rsid w:val="0060572F"/>
    <w:rsid w:val="006059B6"/>
    <w:rsid w:val="00606D2C"/>
    <w:rsid w:val="00610227"/>
    <w:rsid w:val="00621395"/>
    <w:rsid w:val="00631E2A"/>
    <w:rsid w:val="00646B4F"/>
    <w:rsid w:val="00652AC9"/>
    <w:rsid w:val="00652B42"/>
    <w:rsid w:val="00660DBC"/>
    <w:rsid w:val="00664CE2"/>
    <w:rsid w:val="006718D0"/>
    <w:rsid w:val="006722F9"/>
    <w:rsid w:val="00693FCC"/>
    <w:rsid w:val="00694F56"/>
    <w:rsid w:val="00696A30"/>
    <w:rsid w:val="00697A43"/>
    <w:rsid w:val="006A2B59"/>
    <w:rsid w:val="006A498C"/>
    <w:rsid w:val="006A4FD8"/>
    <w:rsid w:val="006A5B1A"/>
    <w:rsid w:val="006A77EA"/>
    <w:rsid w:val="006B4216"/>
    <w:rsid w:val="006C0830"/>
    <w:rsid w:val="006C5858"/>
    <w:rsid w:val="006D7B82"/>
    <w:rsid w:val="006E2C01"/>
    <w:rsid w:val="006F037C"/>
    <w:rsid w:val="006F4DF5"/>
    <w:rsid w:val="006F53BA"/>
    <w:rsid w:val="00703E4D"/>
    <w:rsid w:val="00725371"/>
    <w:rsid w:val="00725DF2"/>
    <w:rsid w:val="00750578"/>
    <w:rsid w:val="00755CE8"/>
    <w:rsid w:val="0076023D"/>
    <w:rsid w:val="0076251E"/>
    <w:rsid w:val="007666D1"/>
    <w:rsid w:val="0077417A"/>
    <w:rsid w:val="00777270"/>
    <w:rsid w:val="007801FE"/>
    <w:rsid w:val="00780A50"/>
    <w:rsid w:val="00790C45"/>
    <w:rsid w:val="007928FD"/>
    <w:rsid w:val="007955CD"/>
    <w:rsid w:val="007A02CB"/>
    <w:rsid w:val="007A46D4"/>
    <w:rsid w:val="007B49EB"/>
    <w:rsid w:val="007C715E"/>
    <w:rsid w:val="007D2DAF"/>
    <w:rsid w:val="007D384F"/>
    <w:rsid w:val="007E5C88"/>
    <w:rsid w:val="007F0D35"/>
    <w:rsid w:val="007F1BA7"/>
    <w:rsid w:val="00800461"/>
    <w:rsid w:val="00802220"/>
    <w:rsid w:val="00803F05"/>
    <w:rsid w:val="00804CCE"/>
    <w:rsid w:val="00806DE8"/>
    <w:rsid w:val="008071D1"/>
    <w:rsid w:val="0081669D"/>
    <w:rsid w:val="00821EB7"/>
    <w:rsid w:val="00822060"/>
    <w:rsid w:val="00824193"/>
    <w:rsid w:val="008331ED"/>
    <w:rsid w:val="00833E5D"/>
    <w:rsid w:val="00837CEB"/>
    <w:rsid w:val="00840758"/>
    <w:rsid w:val="00850E03"/>
    <w:rsid w:val="00852D8E"/>
    <w:rsid w:val="00856201"/>
    <w:rsid w:val="0086174B"/>
    <w:rsid w:val="00862ECF"/>
    <w:rsid w:val="00866607"/>
    <w:rsid w:val="008667B4"/>
    <w:rsid w:val="0088073D"/>
    <w:rsid w:val="00881246"/>
    <w:rsid w:val="00896404"/>
    <w:rsid w:val="008A0A3A"/>
    <w:rsid w:val="008A49BE"/>
    <w:rsid w:val="008A5F5A"/>
    <w:rsid w:val="008D3D78"/>
    <w:rsid w:val="008E48B9"/>
    <w:rsid w:val="009140AC"/>
    <w:rsid w:val="00916E9E"/>
    <w:rsid w:val="0091703F"/>
    <w:rsid w:val="009208B6"/>
    <w:rsid w:val="0092193D"/>
    <w:rsid w:val="009239A5"/>
    <w:rsid w:val="00934E68"/>
    <w:rsid w:val="00937704"/>
    <w:rsid w:val="009412F7"/>
    <w:rsid w:val="009433E2"/>
    <w:rsid w:val="0094759E"/>
    <w:rsid w:val="00947D9A"/>
    <w:rsid w:val="0095135F"/>
    <w:rsid w:val="00951987"/>
    <w:rsid w:val="00956A39"/>
    <w:rsid w:val="00964369"/>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4C20"/>
    <w:rsid w:val="009F54F9"/>
    <w:rsid w:val="009F7098"/>
    <w:rsid w:val="009F7C35"/>
    <w:rsid w:val="00A0766E"/>
    <w:rsid w:val="00A10CC8"/>
    <w:rsid w:val="00A11DA2"/>
    <w:rsid w:val="00A15B6B"/>
    <w:rsid w:val="00A16291"/>
    <w:rsid w:val="00A36B77"/>
    <w:rsid w:val="00A37123"/>
    <w:rsid w:val="00A45A06"/>
    <w:rsid w:val="00A4643B"/>
    <w:rsid w:val="00A565DF"/>
    <w:rsid w:val="00A57ABA"/>
    <w:rsid w:val="00A612B3"/>
    <w:rsid w:val="00A6468A"/>
    <w:rsid w:val="00A72D4D"/>
    <w:rsid w:val="00A817DF"/>
    <w:rsid w:val="00A84579"/>
    <w:rsid w:val="00A86CF1"/>
    <w:rsid w:val="00A9006A"/>
    <w:rsid w:val="00A93A6B"/>
    <w:rsid w:val="00A940F7"/>
    <w:rsid w:val="00A96331"/>
    <w:rsid w:val="00AA6905"/>
    <w:rsid w:val="00AB3F1D"/>
    <w:rsid w:val="00AB46BD"/>
    <w:rsid w:val="00AB55F7"/>
    <w:rsid w:val="00AB5E95"/>
    <w:rsid w:val="00AC1317"/>
    <w:rsid w:val="00AC20BC"/>
    <w:rsid w:val="00AC2DA1"/>
    <w:rsid w:val="00AD2247"/>
    <w:rsid w:val="00AD2AF9"/>
    <w:rsid w:val="00AD6BCE"/>
    <w:rsid w:val="00AE5100"/>
    <w:rsid w:val="00AE655F"/>
    <w:rsid w:val="00AE6FCA"/>
    <w:rsid w:val="00AE7E41"/>
    <w:rsid w:val="00AF1920"/>
    <w:rsid w:val="00AF7580"/>
    <w:rsid w:val="00AF7A7C"/>
    <w:rsid w:val="00B07E57"/>
    <w:rsid w:val="00B16D5F"/>
    <w:rsid w:val="00B175A3"/>
    <w:rsid w:val="00B34107"/>
    <w:rsid w:val="00B37520"/>
    <w:rsid w:val="00B42D4C"/>
    <w:rsid w:val="00B51B04"/>
    <w:rsid w:val="00B53ECD"/>
    <w:rsid w:val="00B557C9"/>
    <w:rsid w:val="00B55900"/>
    <w:rsid w:val="00B55BB5"/>
    <w:rsid w:val="00B57AE3"/>
    <w:rsid w:val="00B64FF8"/>
    <w:rsid w:val="00B7436F"/>
    <w:rsid w:val="00B74CD2"/>
    <w:rsid w:val="00B75F06"/>
    <w:rsid w:val="00B77647"/>
    <w:rsid w:val="00B81279"/>
    <w:rsid w:val="00B81529"/>
    <w:rsid w:val="00B93AC4"/>
    <w:rsid w:val="00B973C4"/>
    <w:rsid w:val="00BA1D2D"/>
    <w:rsid w:val="00BA1FD0"/>
    <w:rsid w:val="00BA31FA"/>
    <w:rsid w:val="00BB45D5"/>
    <w:rsid w:val="00BE6129"/>
    <w:rsid w:val="00BF0F74"/>
    <w:rsid w:val="00BF79DF"/>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D33D1"/>
    <w:rsid w:val="00CD3429"/>
    <w:rsid w:val="00CD4B28"/>
    <w:rsid w:val="00CD79E4"/>
    <w:rsid w:val="00CE657C"/>
    <w:rsid w:val="00CF0EC5"/>
    <w:rsid w:val="00CF6C35"/>
    <w:rsid w:val="00CF7DF5"/>
    <w:rsid w:val="00D0051A"/>
    <w:rsid w:val="00D058D4"/>
    <w:rsid w:val="00D1519C"/>
    <w:rsid w:val="00D20988"/>
    <w:rsid w:val="00D2252D"/>
    <w:rsid w:val="00D23363"/>
    <w:rsid w:val="00D30961"/>
    <w:rsid w:val="00D33D9D"/>
    <w:rsid w:val="00D4686B"/>
    <w:rsid w:val="00D71BB4"/>
    <w:rsid w:val="00D8403A"/>
    <w:rsid w:val="00D86A58"/>
    <w:rsid w:val="00D87860"/>
    <w:rsid w:val="00D87F39"/>
    <w:rsid w:val="00D92467"/>
    <w:rsid w:val="00DA3B25"/>
    <w:rsid w:val="00DB1DE3"/>
    <w:rsid w:val="00DB4DB5"/>
    <w:rsid w:val="00DC158F"/>
    <w:rsid w:val="00DC1E5A"/>
    <w:rsid w:val="00DC4151"/>
    <w:rsid w:val="00DD2502"/>
    <w:rsid w:val="00DE6846"/>
    <w:rsid w:val="00DF4DBC"/>
    <w:rsid w:val="00E026AB"/>
    <w:rsid w:val="00E11F13"/>
    <w:rsid w:val="00E3408D"/>
    <w:rsid w:val="00E44C01"/>
    <w:rsid w:val="00E50F57"/>
    <w:rsid w:val="00E612F0"/>
    <w:rsid w:val="00E6345C"/>
    <w:rsid w:val="00E65C97"/>
    <w:rsid w:val="00E678BD"/>
    <w:rsid w:val="00E757FE"/>
    <w:rsid w:val="00E805DA"/>
    <w:rsid w:val="00E805FF"/>
    <w:rsid w:val="00E859F8"/>
    <w:rsid w:val="00E94B0E"/>
    <w:rsid w:val="00EA78BD"/>
    <w:rsid w:val="00EB675E"/>
    <w:rsid w:val="00EC160D"/>
    <w:rsid w:val="00EC4354"/>
    <w:rsid w:val="00EC5861"/>
    <w:rsid w:val="00ED2FEE"/>
    <w:rsid w:val="00EF06B3"/>
    <w:rsid w:val="00EF100E"/>
    <w:rsid w:val="00EF2B70"/>
    <w:rsid w:val="00EF33AD"/>
    <w:rsid w:val="00EF47C6"/>
    <w:rsid w:val="00F03156"/>
    <w:rsid w:val="00F073A6"/>
    <w:rsid w:val="00F122AF"/>
    <w:rsid w:val="00F13CFE"/>
    <w:rsid w:val="00F23B9C"/>
    <w:rsid w:val="00F3108F"/>
    <w:rsid w:val="00F32041"/>
    <w:rsid w:val="00F33E3E"/>
    <w:rsid w:val="00F35A06"/>
    <w:rsid w:val="00F376EB"/>
    <w:rsid w:val="00F37A72"/>
    <w:rsid w:val="00F41ABD"/>
    <w:rsid w:val="00F4322A"/>
    <w:rsid w:val="00F563D3"/>
    <w:rsid w:val="00F61739"/>
    <w:rsid w:val="00F671E8"/>
    <w:rsid w:val="00F7418C"/>
    <w:rsid w:val="00F76F2F"/>
    <w:rsid w:val="00F76FEF"/>
    <w:rsid w:val="00F77A9C"/>
    <w:rsid w:val="00F85E11"/>
    <w:rsid w:val="00F91A54"/>
    <w:rsid w:val="00F9536A"/>
    <w:rsid w:val="00FA423B"/>
    <w:rsid w:val="00FB766B"/>
    <w:rsid w:val="00FC4CA9"/>
    <w:rsid w:val="00FC5D5F"/>
    <w:rsid w:val="00FD10D6"/>
    <w:rsid w:val="00FD2A01"/>
    <w:rsid w:val="00FD438A"/>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A28"/>
    <w:pPr>
      <w:spacing w:after="160" w:line="259" w:lineRule="auto"/>
    </w:pPr>
    <w:rPr>
      <w:sz w:val="22"/>
      <w:szCs w:val="22"/>
    </w:rPr>
  </w:style>
  <w:style w:type="paragraph" w:styleId="Heading1">
    <w:name w:val="heading 1"/>
    <w:basedOn w:val="Normal"/>
    <w:next w:val="Normal"/>
    <w:link w:val="Heading1Char"/>
    <w:uiPriority w:val="9"/>
    <w:qFormat/>
    <w:rsid w:val="00071A2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0"/>
    </w:pPr>
    <w:rPr>
      <w:rFonts w:ascii="Times New Roman" w:eastAsia="Times New Roman" w:hAnsi="Times New Roman"/>
      <w:color w:val="000000"/>
      <w:sz w:val="26"/>
      <w:szCs w:val="26"/>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255F2C"/>
    <w:rPr>
      <w:sz w:val="22"/>
      <w:szCs w:val="22"/>
    </w:rPr>
  </w:style>
  <w:style w:type="character" w:customStyle="1" w:styleId="Heading1Char">
    <w:name w:val="Heading 1 Char"/>
    <w:basedOn w:val="DefaultParagraphFont"/>
    <w:link w:val="Heading1"/>
    <w:uiPriority w:val="9"/>
    <w:rsid w:val="00071A28"/>
    <w:rPr>
      <w:rFonts w:ascii="Times New Roman" w:eastAsia="Times New Roman" w:hAnsi="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10</cp:revision>
  <cp:lastPrinted>2023-05-10T20:07:00Z</cp:lastPrinted>
  <dcterms:created xsi:type="dcterms:W3CDTF">2023-05-05T18:48:00Z</dcterms:created>
  <dcterms:modified xsi:type="dcterms:W3CDTF">2023-05-18T17:14:00Z</dcterms:modified>
</cp:coreProperties>
</file>