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31D0" w14:textId="77777777" w:rsidR="006957F6" w:rsidRPr="006957F6" w:rsidRDefault="006957F6" w:rsidP="00695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6957F6">
        <w:rPr>
          <w:color w:val="FF0000"/>
        </w:rPr>
        <w:t>Approved by the Board of Trustees</w:t>
      </w:r>
    </w:p>
    <w:bookmarkEnd w:id="0"/>
    <w:p w14:paraId="6B24FE9C" w14:textId="77777777" w:rsidR="006957F6" w:rsidRPr="006957F6" w:rsidRDefault="006957F6" w:rsidP="006957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6957F6">
        <w:rPr>
          <w:color w:val="FF0000"/>
        </w:rPr>
        <w:t>May 19, 2022</w:t>
      </w:r>
      <w:bookmarkEnd w:id="1"/>
    </w:p>
    <w:p w14:paraId="5C075719" w14:textId="64E0868E" w:rsidR="009B6A47" w:rsidRPr="001510AF" w:rsidRDefault="003C2B78" w:rsidP="001510AF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25</w:t>
      </w:r>
    </w:p>
    <w:p w14:paraId="1D134B23" w14:textId="77777777" w:rsidR="001510AF" w:rsidRDefault="001510AF" w:rsidP="00F6127C">
      <w:pPr>
        <w:pStyle w:val="bdheading2"/>
        <w:rPr>
          <w:szCs w:val="26"/>
        </w:rPr>
      </w:pPr>
    </w:p>
    <w:p w14:paraId="2207169B" w14:textId="77777777" w:rsidR="001510AF" w:rsidRDefault="001510AF" w:rsidP="00F6127C">
      <w:pPr>
        <w:pStyle w:val="bdheading2"/>
        <w:rPr>
          <w:szCs w:val="26"/>
        </w:rPr>
      </w:pPr>
    </w:p>
    <w:p w14:paraId="20A54203" w14:textId="04FAEF76" w:rsidR="009B6A47" w:rsidRPr="001510AF" w:rsidRDefault="001510AF" w:rsidP="00F6127C">
      <w:pPr>
        <w:pStyle w:val="bdheading2"/>
        <w:rPr>
          <w:szCs w:val="26"/>
        </w:rPr>
      </w:pPr>
      <w:r>
        <w:rPr>
          <w:szCs w:val="26"/>
        </w:rPr>
        <w:tab/>
      </w:r>
      <w:r w:rsidR="009B6A47" w:rsidRPr="001510AF">
        <w:rPr>
          <w:szCs w:val="26"/>
        </w:rPr>
        <w:t>Board Meeting</w:t>
      </w:r>
    </w:p>
    <w:p w14:paraId="7EE21E17" w14:textId="29C1295B" w:rsidR="009B6A47" w:rsidRPr="001510AF" w:rsidRDefault="001510AF" w:rsidP="00F6127C">
      <w:pPr>
        <w:pStyle w:val="bdheading2"/>
        <w:rPr>
          <w:szCs w:val="26"/>
        </w:rPr>
      </w:pPr>
      <w:r>
        <w:rPr>
          <w:szCs w:val="26"/>
        </w:rPr>
        <w:tab/>
      </w:r>
      <w:r w:rsidR="00D715D3" w:rsidRPr="001510AF">
        <w:rPr>
          <w:szCs w:val="26"/>
        </w:rPr>
        <w:t>May 19</w:t>
      </w:r>
      <w:r w:rsidR="00C42423" w:rsidRPr="001510AF">
        <w:rPr>
          <w:szCs w:val="26"/>
        </w:rPr>
        <w:t>, 20</w:t>
      </w:r>
      <w:r w:rsidR="00D715D3" w:rsidRPr="001510AF">
        <w:rPr>
          <w:szCs w:val="26"/>
        </w:rPr>
        <w:t>22</w:t>
      </w:r>
    </w:p>
    <w:p w14:paraId="43A9509E" w14:textId="77777777" w:rsidR="009B6A47" w:rsidRPr="001510AF" w:rsidRDefault="009B6A47" w:rsidP="00F6127C">
      <w:pPr>
        <w:pStyle w:val="bdheading2"/>
        <w:rPr>
          <w:szCs w:val="26"/>
        </w:rPr>
      </w:pPr>
    </w:p>
    <w:p w14:paraId="51868567" w14:textId="77777777" w:rsidR="009B6A47" w:rsidRPr="001510AF" w:rsidRDefault="009B6A47" w:rsidP="00F6127C">
      <w:pPr>
        <w:jc w:val="center"/>
        <w:rPr>
          <w:szCs w:val="26"/>
        </w:rPr>
      </w:pPr>
      <w:r w:rsidRPr="001510AF">
        <w:rPr>
          <w:szCs w:val="26"/>
        </w:rPr>
        <w:t>ROLL CALL</w:t>
      </w:r>
    </w:p>
    <w:p w14:paraId="30B8AF9D" w14:textId="77777777" w:rsidR="009B6A47" w:rsidRPr="001510AF" w:rsidRDefault="009B6A47" w:rsidP="00F6127C">
      <w:pPr>
        <w:jc w:val="center"/>
        <w:rPr>
          <w:szCs w:val="26"/>
        </w:rPr>
      </w:pPr>
    </w:p>
    <w:p w14:paraId="3835E2CB" w14:textId="1BD9F944" w:rsidR="009B6A47" w:rsidRPr="00EF448E" w:rsidRDefault="00BC35CB" w:rsidP="00EF448E">
      <w:pPr>
        <w:pStyle w:val="Heading2"/>
      </w:pPr>
      <w:r w:rsidRPr="00EF448E">
        <w:t xml:space="preserve">APPROVE </w:t>
      </w:r>
      <w:r w:rsidR="006D2746" w:rsidRPr="00EF448E">
        <w:t>PROFESSIONAL SERVICES CONSULTANT</w:t>
      </w:r>
      <w:r w:rsidR="00A522AF" w:rsidRPr="00EF448E">
        <w:t xml:space="preserve"> FOR </w:t>
      </w:r>
      <w:r w:rsidR="00D715D3" w:rsidRPr="00EF448E">
        <w:t>DORIS KELLEY</w:t>
      </w:r>
      <w:r w:rsidR="0075307B" w:rsidRPr="00EF448E">
        <w:t xml:space="preserve"> CHRISTOPHER</w:t>
      </w:r>
      <w:r w:rsidR="00D715D3" w:rsidRPr="00EF448E">
        <w:t xml:space="preserve"> ILLINOIS EXTENSION CENTER</w:t>
      </w:r>
      <w:r w:rsidR="005A05A7" w:rsidRPr="00EF448E">
        <w:t>, URBANA</w:t>
      </w:r>
    </w:p>
    <w:p w14:paraId="064A4789" w14:textId="725C5754" w:rsidR="009B6A47" w:rsidRDefault="009B6A47" w:rsidP="00F6127C">
      <w:pPr>
        <w:jc w:val="center"/>
        <w:rPr>
          <w:szCs w:val="26"/>
        </w:rPr>
      </w:pPr>
    </w:p>
    <w:p w14:paraId="5B8F3876" w14:textId="77777777" w:rsidR="001510AF" w:rsidRPr="001510AF" w:rsidRDefault="001510AF" w:rsidP="00F6127C">
      <w:pPr>
        <w:jc w:val="center"/>
        <w:rPr>
          <w:szCs w:val="26"/>
        </w:rPr>
      </w:pPr>
    </w:p>
    <w:p w14:paraId="4714794C" w14:textId="77777777" w:rsidR="001510AF" w:rsidRDefault="009B6A47" w:rsidP="001510AF">
      <w:pPr>
        <w:pStyle w:val="bdstyle1"/>
        <w:tabs>
          <w:tab w:val="clear" w:pos="720"/>
        </w:tabs>
        <w:rPr>
          <w:szCs w:val="26"/>
        </w:rPr>
      </w:pPr>
      <w:r w:rsidRPr="001510AF">
        <w:rPr>
          <w:b/>
          <w:bCs/>
          <w:szCs w:val="26"/>
        </w:rPr>
        <w:t>Action:</w:t>
      </w:r>
      <w:r w:rsidR="001510AF">
        <w:rPr>
          <w:szCs w:val="26"/>
        </w:rPr>
        <w:tab/>
      </w:r>
      <w:r w:rsidR="00C42423" w:rsidRPr="001510AF">
        <w:rPr>
          <w:szCs w:val="26"/>
        </w:rPr>
        <w:t>Employ</w:t>
      </w:r>
      <w:r w:rsidR="00CF3CC5" w:rsidRPr="001510AF">
        <w:rPr>
          <w:szCs w:val="26"/>
        </w:rPr>
        <w:t xml:space="preserve"> </w:t>
      </w:r>
      <w:r w:rsidR="006D2746" w:rsidRPr="001510AF">
        <w:rPr>
          <w:szCs w:val="26"/>
        </w:rPr>
        <w:t>Professional Services Con</w:t>
      </w:r>
      <w:r w:rsidR="00BC35CB" w:rsidRPr="001510AF">
        <w:rPr>
          <w:szCs w:val="26"/>
        </w:rPr>
        <w:t>su</w:t>
      </w:r>
      <w:r w:rsidR="006D2746" w:rsidRPr="001510AF">
        <w:rPr>
          <w:szCs w:val="26"/>
        </w:rPr>
        <w:t>ltant</w:t>
      </w:r>
      <w:r w:rsidR="00B830F0" w:rsidRPr="001510AF">
        <w:rPr>
          <w:szCs w:val="26"/>
        </w:rPr>
        <w:t xml:space="preserve"> for</w:t>
      </w:r>
      <w:r w:rsidR="0035013E" w:rsidRPr="001510AF">
        <w:rPr>
          <w:szCs w:val="26"/>
        </w:rPr>
        <w:t xml:space="preserve"> </w:t>
      </w:r>
      <w:r w:rsidR="007C067A" w:rsidRPr="001510AF">
        <w:rPr>
          <w:szCs w:val="26"/>
        </w:rPr>
        <w:t>Doris Kelley Christopher Illinois Extension Center</w:t>
      </w:r>
    </w:p>
    <w:p w14:paraId="3F9E94BC" w14:textId="77777777" w:rsidR="001510AF" w:rsidRDefault="001510AF" w:rsidP="001510AF">
      <w:pPr>
        <w:pStyle w:val="bdstyle1"/>
        <w:tabs>
          <w:tab w:val="clear" w:pos="720"/>
        </w:tabs>
        <w:rPr>
          <w:szCs w:val="26"/>
        </w:rPr>
      </w:pPr>
    </w:p>
    <w:p w14:paraId="3E3FB871" w14:textId="777E3405" w:rsidR="00EE6DF9" w:rsidRPr="001510AF" w:rsidRDefault="005D221A" w:rsidP="001510AF">
      <w:pPr>
        <w:pStyle w:val="bdstyle1"/>
        <w:tabs>
          <w:tab w:val="clear" w:pos="720"/>
        </w:tabs>
        <w:rPr>
          <w:szCs w:val="26"/>
        </w:rPr>
      </w:pPr>
      <w:r w:rsidRPr="001510AF">
        <w:rPr>
          <w:b/>
          <w:bCs/>
          <w:szCs w:val="26"/>
        </w:rPr>
        <w:t>Funding:</w:t>
      </w:r>
      <w:r w:rsidRPr="001510AF">
        <w:rPr>
          <w:szCs w:val="26"/>
        </w:rPr>
        <w:tab/>
      </w:r>
      <w:bookmarkStart w:id="2" w:name="OLE_LINK3"/>
      <w:bookmarkStart w:id="3" w:name="OLE_LINK4"/>
      <w:r w:rsidR="00C42423" w:rsidRPr="001510AF">
        <w:rPr>
          <w:szCs w:val="26"/>
        </w:rPr>
        <w:t>Gift Funds</w:t>
      </w:r>
      <w:r w:rsidR="009D3F4F" w:rsidRPr="001510AF">
        <w:rPr>
          <w:szCs w:val="26"/>
        </w:rPr>
        <w:t xml:space="preserve"> </w:t>
      </w:r>
      <w:r w:rsidR="00BC35CB" w:rsidRPr="001510AF">
        <w:rPr>
          <w:szCs w:val="26"/>
        </w:rPr>
        <w:t>and Institutional Funds Operating Budget</w:t>
      </w:r>
    </w:p>
    <w:p w14:paraId="2D93A4B6" w14:textId="41BCBFF2" w:rsidR="00002F55" w:rsidRDefault="00EE6DF9" w:rsidP="00F6127C">
      <w:pPr>
        <w:ind w:hanging="1430"/>
        <w:rPr>
          <w:szCs w:val="26"/>
        </w:rPr>
      </w:pPr>
      <w:r w:rsidRPr="001510AF">
        <w:rPr>
          <w:szCs w:val="26"/>
        </w:rPr>
        <w:tab/>
      </w:r>
    </w:p>
    <w:p w14:paraId="011C83FB" w14:textId="77777777" w:rsidR="001510AF" w:rsidRPr="001510AF" w:rsidRDefault="001510AF" w:rsidP="00F6127C">
      <w:pPr>
        <w:ind w:hanging="1430"/>
        <w:rPr>
          <w:szCs w:val="26"/>
        </w:rPr>
      </w:pPr>
    </w:p>
    <w:bookmarkEnd w:id="2"/>
    <w:bookmarkEnd w:id="3"/>
    <w:p w14:paraId="71E5A913" w14:textId="77777777" w:rsidR="001510AF" w:rsidRDefault="001510AF" w:rsidP="001510AF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EB0417" w:rsidRPr="001510AF">
        <w:rPr>
          <w:szCs w:val="26"/>
        </w:rPr>
        <w:t xml:space="preserve">In </w:t>
      </w:r>
      <w:r w:rsidR="0075307B" w:rsidRPr="001510AF">
        <w:rPr>
          <w:szCs w:val="26"/>
        </w:rPr>
        <w:t>September</w:t>
      </w:r>
      <w:r w:rsidR="00C42423" w:rsidRPr="001510AF">
        <w:rPr>
          <w:szCs w:val="26"/>
        </w:rPr>
        <w:t xml:space="preserve"> 20</w:t>
      </w:r>
      <w:r w:rsidR="0075307B" w:rsidRPr="001510AF">
        <w:rPr>
          <w:szCs w:val="26"/>
        </w:rPr>
        <w:t>21</w:t>
      </w:r>
      <w:r w:rsidR="00EB0417" w:rsidRPr="001510AF">
        <w:rPr>
          <w:szCs w:val="26"/>
        </w:rPr>
        <w:t xml:space="preserve">, the Board approved the </w:t>
      </w:r>
      <w:r w:rsidR="0075307B" w:rsidRPr="001510AF">
        <w:rPr>
          <w:szCs w:val="26"/>
        </w:rPr>
        <w:t>Doris Kelley Christopher Illinois Extension Center</w:t>
      </w:r>
      <w:r w:rsidR="00EB0417" w:rsidRPr="001510AF">
        <w:rPr>
          <w:szCs w:val="26"/>
        </w:rPr>
        <w:t xml:space="preserve"> with a budget of $</w:t>
      </w:r>
      <w:r w:rsidR="0075307B" w:rsidRPr="001510AF">
        <w:rPr>
          <w:szCs w:val="26"/>
        </w:rPr>
        <w:t>40</w:t>
      </w:r>
      <w:r w:rsidR="00BC35CB" w:rsidRPr="001510AF">
        <w:rPr>
          <w:szCs w:val="26"/>
        </w:rPr>
        <w:t>.0</w:t>
      </w:r>
      <w:r w:rsidR="00EB0417" w:rsidRPr="001510AF">
        <w:rPr>
          <w:szCs w:val="26"/>
        </w:rPr>
        <w:t xml:space="preserve"> million. </w:t>
      </w:r>
      <w:r>
        <w:rPr>
          <w:szCs w:val="26"/>
        </w:rPr>
        <w:t xml:space="preserve"> </w:t>
      </w:r>
      <w:r w:rsidR="00CF5C15" w:rsidRPr="001510AF">
        <w:rPr>
          <w:szCs w:val="26"/>
        </w:rPr>
        <w:t xml:space="preserve">This project will provide 32,000 gross square feet of </w:t>
      </w:r>
      <w:r w:rsidR="0075307B" w:rsidRPr="001510AF">
        <w:rPr>
          <w:szCs w:val="26"/>
        </w:rPr>
        <w:t>a new centralized location for the University of Illinois Extension</w:t>
      </w:r>
      <w:r w:rsidR="00CF5C15" w:rsidRPr="001510AF">
        <w:rPr>
          <w:szCs w:val="26"/>
        </w:rPr>
        <w:t>.</w:t>
      </w:r>
    </w:p>
    <w:p w14:paraId="6CE2CD16" w14:textId="3264DFF8" w:rsidR="001510AF" w:rsidRDefault="001510AF" w:rsidP="001510AF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AE6804" w:rsidRPr="001510AF">
        <w:rPr>
          <w:szCs w:val="26"/>
        </w:rPr>
        <w:t>For</w:t>
      </w:r>
      <w:r w:rsidR="00EB0417" w:rsidRPr="001510AF">
        <w:rPr>
          <w:szCs w:val="26"/>
        </w:rPr>
        <w:t xml:space="preserve"> the project to proceed, it is necessary to employ </w:t>
      </w:r>
      <w:r w:rsidR="00C42423" w:rsidRPr="001510AF">
        <w:rPr>
          <w:szCs w:val="26"/>
        </w:rPr>
        <w:t>a professional services consultant</w:t>
      </w:r>
      <w:r w:rsidR="00EB0417" w:rsidRPr="001510AF">
        <w:rPr>
          <w:szCs w:val="26"/>
        </w:rPr>
        <w:t xml:space="preserve"> for the required professional services.  The selection of the </w:t>
      </w:r>
      <w:r w:rsidR="00C42423" w:rsidRPr="001510AF">
        <w:rPr>
          <w:szCs w:val="26"/>
        </w:rPr>
        <w:t>professional services consultant</w:t>
      </w:r>
      <w:r w:rsidR="00EB0417" w:rsidRPr="001510AF">
        <w:rPr>
          <w:szCs w:val="26"/>
        </w:rPr>
        <w:t xml:space="preserve"> for this project </w:t>
      </w:r>
      <w:r w:rsidR="00351DBC" w:rsidRPr="001510AF">
        <w:rPr>
          <w:szCs w:val="26"/>
        </w:rPr>
        <w:t>is</w:t>
      </w:r>
      <w:r w:rsidR="00EB0417" w:rsidRPr="001510AF">
        <w:rPr>
          <w:szCs w:val="26"/>
        </w:rPr>
        <w:t xml:space="preserve"> in accordance with the requirements and provisions of Public Act 87-673 (Architectural, Engineering</w:t>
      </w:r>
      <w:r w:rsidR="00AE6804" w:rsidRPr="001510AF">
        <w:rPr>
          <w:szCs w:val="26"/>
        </w:rPr>
        <w:t>,</w:t>
      </w:r>
      <w:r w:rsidR="00EB0417" w:rsidRPr="001510AF">
        <w:rPr>
          <w:szCs w:val="26"/>
        </w:rPr>
        <w:t xml:space="preserve"> and Land Surveying Qualifications-Based Selection Act)</w:t>
      </w:r>
      <w:r w:rsidR="00EB0417" w:rsidRPr="001510AF">
        <w:rPr>
          <w:rStyle w:val="FootnoteReference"/>
          <w:szCs w:val="26"/>
        </w:rPr>
        <w:footnoteReference w:id="1"/>
      </w:r>
      <w:r w:rsidR="00EF498A">
        <w:rPr>
          <w:szCs w:val="26"/>
        </w:rPr>
        <w:t>.</w:t>
      </w:r>
    </w:p>
    <w:p w14:paraId="03E17A66" w14:textId="6DBB6101" w:rsidR="00EB0417" w:rsidRPr="001510AF" w:rsidRDefault="001510AF" w:rsidP="001510AF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lastRenderedPageBreak/>
        <w:tab/>
      </w:r>
      <w:r w:rsidR="0020472F" w:rsidRPr="001510AF">
        <w:rPr>
          <w:szCs w:val="26"/>
        </w:rPr>
        <w:t>A</w:t>
      </w:r>
      <w:r w:rsidR="00C42423" w:rsidRPr="001510AF">
        <w:rPr>
          <w:szCs w:val="26"/>
        </w:rPr>
        <w:t>ccordingly, the Chancellor, University of Illinois Urbana-Champaign, and Vice President, University of Illinois</w:t>
      </w:r>
      <w:r w:rsidR="00EF498A">
        <w:rPr>
          <w:szCs w:val="26"/>
        </w:rPr>
        <w:t xml:space="preserve"> System</w:t>
      </w:r>
      <w:r w:rsidR="00EB0417" w:rsidRPr="001510AF">
        <w:rPr>
          <w:szCs w:val="26"/>
        </w:rPr>
        <w:t xml:space="preserve"> with the concurrence of the appropriate administrative officers</w:t>
      </w:r>
      <w:r w:rsidR="00AE6804" w:rsidRPr="001510AF">
        <w:rPr>
          <w:szCs w:val="26"/>
        </w:rPr>
        <w:t>,</w:t>
      </w:r>
      <w:r w:rsidR="00EB0417" w:rsidRPr="001510AF">
        <w:rPr>
          <w:szCs w:val="26"/>
        </w:rPr>
        <w:t xml:space="preserve"> recommends that </w:t>
      </w:r>
      <w:r w:rsidR="0075307B" w:rsidRPr="001510AF">
        <w:rPr>
          <w:szCs w:val="26"/>
        </w:rPr>
        <w:t>Bailey Edward</w:t>
      </w:r>
      <w:r w:rsidR="001B3A99" w:rsidRPr="001510AF">
        <w:rPr>
          <w:szCs w:val="26"/>
        </w:rPr>
        <w:t xml:space="preserve"> Design</w:t>
      </w:r>
      <w:r w:rsidR="00E37EF8" w:rsidRPr="001510AF">
        <w:rPr>
          <w:szCs w:val="26"/>
        </w:rPr>
        <w:t xml:space="preserve"> of Chicago</w:t>
      </w:r>
      <w:r w:rsidR="00477EF3" w:rsidRPr="001510AF">
        <w:rPr>
          <w:szCs w:val="26"/>
        </w:rPr>
        <w:t>, IL</w:t>
      </w:r>
      <w:r w:rsidR="00AE6804" w:rsidRPr="001510AF">
        <w:rPr>
          <w:szCs w:val="26"/>
        </w:rPr>
        <w:t>,</w:t>
      </w:r>
      <w:r w:rsidR="00EB0417" w:rsidRPr="001510AF">
        <w:rPr>
          <w:szCs w:val="26"/>
        </w:rPr>
        <w:t xml:space="preserve"> be employed for the professional services required for the </w:t>
      </w:r>
      <w:r w:rsidR="0026154B" w:rsidRPr="001510AF">
        <w:rPr>
          <w:szCs w:val="26"/>
        </w:rPr>
        <w:t xml:space="preserve">conceptualization, </w:t>
      </w:r>
      <w:r w:rsidR="00CD6767" w:rsidRPr="001510AF">
        <w:rPr>
          <w:szCs w:val="26"/>
        </w:rPr>
        <w:t xml:space="preserve">schematic design, design development, </w:t>
      </w:r>
      <w:r w:rsidR="00EB0417" w:rsidRPr="001510AF">
        <w:rPr>
          <w:szCs w:val="26"/>
        </w:rPr>
        <w:t xml:space="preserve">construction documents, bidding, and construction administration phases of the project.  The firm’s fixed fee will be </w:t>
      </w:r>
      <w:r w:rsidR="00B3298C" w:rsidRPr="001510AF">
        <w:rPr>
          <w:szCs w:val="26"/>
        </w:rPr>
        <w:t>$1,760,369</w:t>
      </w:r>
      <w:r w:rsidR="00EB0417" w:rsidRPr="001510AF">
        <w:rPr>
          <w:szCs w:val="26"/>
        </w:rPr>
        <w:t xml:space="preserve">; for on-site observation on an hourly basis not to exceed </w:t>
      </w:r>
      <w:r w:rsidR="00291580" w:rsidRPr="001510AF">
        <w:rPr>
          <w:szCs w:val="26"/>
        </w:rPr>
        <w:t>$</w:t>
      </w:r>
      <w:r w:rsidR="002C7B9E" w:rsidRPr="001510AF">
        <w:rPr>
          <w:szCs w:val="26"/>
        </w:rPr>
        <w:t>1</w:t>
      </w:r>
      <w:r w:rsidR="001B3A99" w:rsidRPr="001510AF">
        <w:rPr>
          <w:szCs w:val="26"/>
        </w:rPr>
        <w:t>20</w:t>
      </w:r>
      <w:r w:rsidR="002C7B9E" w:rsidRPr="001510AF">
        <w:rPr>
          <w:szCs w:val="26"/>
        </w:rPr>
        <w:t>,000</w:t>
      </w:r>
      <w:r w:rsidR="00EB0417" w:rsidRPr="001510AF">
        <w:rPr>
          <w:szCs w:val="26"/>
        </w:rPr>
        <w:t xml:space="preserve">; for </w:t>
      </w:r>
      <w:r w:rsidR="00AE6804" w:rsidRPr="001510AF">
        <w:rPr>
          <w:szCs w:val="26"/>
        </w:rPr>
        <w:t xml:space="preserve">the </w:t>
      </w:r>
      <w:r w:rsidR="00EB0417" w:rsidRPr="001510AF">
        <w:rPr>
          <w:szCs w:val="26"/>
        </w:rPr>
        <w:t xml:space="preserve">warranty phase on an hourly basis not to exceed </w:t>
      </w:r>
      <w:r w:rsidR="00291580" w:rsidRPr="001510AF">
        <w:rPr>
          <w:szCs w:val="26"/>
        </w:rPr>
        <w:t>$</w:t>
      </w:r>
      <w:r w:rsidR="001B3A99" w:rsidRPr="001510AF">
        <w:rPr>
          <w:szCs w:val="26"/>
        </w:rPr>
        <w:t>96</w:t>
      </w:r>
      <w:r w:rsidR="002C7B9E" w:rsidRPr="001510AF">
        <w:rPr>
          <w:szCs w:val="26"/>
        </w:rPr>
        <w:t>,</w:t>
      </w:r>
      <w:r w:rsidR="001B3A99" w:rsidRPr="001510AF">
        <w:rPr>
          <w:szCs w:val="26"/>
        </w:rPr>
        <w:t>5</w:t>
      </w:r>
      <w:r w:rsidR="002C7B9E" w:rsidRPr="001510AF">
        <w:rPr>
          <w:szCs w:val="26"/>
        </w:rPr>
        <w:t>00</w:t>
      </w:r>
      <w:r w:rsidR="00EB0417" w:rsidRPr="001510AF">
        <w:rPr>
          <w:szCs w:val="26"/>
        </w:rPr>
        <w:t xml:space="preserve">; </w:t>
      </w:r>
      <w:r w:rsidR="001B3A99" w:rsidRPr="001510AF">
        <w:rPr>
          <w:szCs w:val="26"/>
        </w:rPr>
        <w:t xml:space="preserve">for furniture, fixtures, and equipment design, the fixed fee is $120,000; for conceptualization, the fixed fee is $192,900; </w:t>
      </w:r>
      <w:r w:rsidR="00EB0417" w:rsidRPr="001510AF">
        <w:rPr>
          <w:szCs w:val="26"/>
        </w:rPr>
        <w:t xml:space="preserve">for authorized reimbursable expenses estimated at </w:t>
      </w:r>
      <w:r w:rsidR="00291580" w:rsidRPr="001510AF">
        <w:rPr>
          <w:szCs w:val="26"/>
        </w:rPr>
        <w:t>$</w:t>
      </w:r>
      <w:r w:rsidR="001B3A99" w:rsidRPr="001510AF">
        <w:rPr>
          <w:szCs w:val="26"/>
        </w:rPr>
        <w:t>82</w:t>
      </w:r>
      <w:r w:rsidR="002C7B9E" w:rsidRPr="001510AF">
        <w:rPr>
          <w:szCs w:val="26"/>
        </w:rPr>
        <w:t>,</w:t>
      </w:r>
      <w:r w:rsidR="001B3A99" w:rsidRPr="001510AF">
        <w:rPr>
          <w:szCs w:val="26"/>
        </w:rPr>
        <w:t>5</w:t>
      </w:r>
      <w:r w:rsidR="002C7B9E" w:rsidRPr="001510AF">
        <w:rPr>
          <w:szCs w:val="26"/>
        </w:rPr>
        <w:t>00</w:t>
      </w:r>
      <w:r w:rsidR="00C42423" w:rsidRPr="001510AF">
        <w:rPr>
          <w:szCs w:val="26"/>
        </w:rPr>
        <w:t xml:space="preserve">; </w:t>
      </w:r>
      <w:r w:rsidR="002847DA" w:rsidRPr="001510AF">
        <w:rPr>
          <w:szCs w:val="26"/>
        </w:rPr>
        <w:t xml:space="preserve">and </w:t>
      </w:r>
      <w:r w:rsidR="005140EB" w:rsidRPr="001510AF">
        <w:rPr>
          <w:szCs w:val="26"/>
        </w:rPr>
        <w:t>for other supplemental services for</w:t>
      </w:r>
      <w:r w:rsidR="0026154B" w:rsidRPr="001510AF">
        <w:rPr>
          <w:szCs w:val="26"/>
        </w:rPr>
        <w:t xml:space="preserve"> an hourly not to exceed fee of $60,000 and</w:t>
      </w:r>
      <w:r w:rsidR="005140EB" w:rsidRPr="001510AF">
        <w:rPr>
          <w:szCs w:val="26"/>
        </w:rPr>
        <w:t xml:space="preserve"> a fixed fee of $</w:t>
      </w:r>
      <w:r w:rsidR="00B3298C" w:rsidRPr="001510AF">
        <w:rPr>
          <w:szCs w:val="26"/>
        </w:rPr>
        <w:t>1</w:t>
      </w:r>
      <w:r w:rsidR="0026154B" w:rsidRPr="001510AF">
        <w:rPr>
          <w:szCs w:val="26"/>
        </w:rPr>
        <w:t>1</w:t>
      </w:r>
      <w:r w:rsidR="00B3298C" w:rsidRPr="001510AF">
        <w:rPr>
          <w:szCs w:val="26"/>
        </w:rPr>
        <w:t>0,000</w:t>
      </w:r>
      <w:r w:rsidR="002847DA" w:rsidRPr="001510AF">
        <w:rPr>
          <w:szCs w:val="26"/>
        </w:rPr>
        <w:t>.</w:t>
      </w:r>
    </w:p>
    <w:p w14:paraId="1CC57036" w14:textId="77777777" w:rsidR="001510AF" w:rsidRDefault="001510AF" w:rsidP="001510AF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D46DC8" w:rsidRPr="001510AF">
        <w:rPr>
          <w:szCs w:val="26"/>
        </w:rPr>
        <w:t xml:space="preserve">The </w:t>
      </w:r>
      <w:r w:rsidR="00477EF3" w:rsidRPr="001510AF">
        <w:rPr>
          <w:szCs w:val="26"/>
        </w:rPr>
        <w:t>B</w:t>
      </w:r>
      <w:r w:rsidR="008B50D5" w:rsidRPr="001510AF">
        <w:rPr>
          <w:szCs w:val="26"/>
        </w:rPr>
        <w:t xml:space="preserve">oard action recommended in this item complies in all material respects with applicable State and federal laws, University of Illinois </w:t>
      </w:r>
      <w:r w:rsidR="008B50D5" w:rsidRPr="001510AF">
        <w:rPr>
          <w:i/>
          <w:iCs/>
          <w:szCs w:val="26"/>
        </w:rPr>
        <w:t>Statutes, The General Rules Concerning University Organization and Procedure</w:t>
      </w:r>
      <w:r w:rsidR="008B50D5" w:rsidRPr="001510AF">
        <w:rPr>
          <w:szCs w:val="26"/>
        </w:rPr>
        <w:t>, and Board of Trustees policies and directives.</w:t>
      </w:r>
    </w:p>
    <w:p w14:paraId="579B1BFD" w14:textId="77777777" w:rsidR="001510AF" w:rsidRDefault="001510AF" w:rsidP="001510AF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A61E7F" w:rsidRPr="001510AF">
        <w:rPr>
          <w:szCs w:val="26"/>
        </w:rPr>
        <w:t xml:space="preserve">Funds for </w:t>
      </w:r>
      <w:r w:rsidR="00C42423" w:rsidRPr="001510AF">
        <w:rPr>
          <w:szCs w:val="26"/>
        </w:rPr>
        <w:t>this</w:t>
      </w:r>
      <w:r w:rsidR="00B830F0" w:rsidRPr="001510AF">
        <w:rPr>
          <w:szCs w:val="26"/>
        </w:rPr>
        <w:t xml:space="preserve"> project</w:t>
      </w:r>
      <w:r w:rsidR="00A61E7F" w:rsidRPr="001510AF">
        <w:rPr>
          <w:szCs w:val="26"/>
        </w:rPr>
        <w:t xml:space="preserve"> are available</w:t>
      </w:r>
      <w:r w:rsidR="0013413E" w:rsidRPr="001510AF">
        <w:rPr>
          <w:szCs w:val="26"/>
        </w:rPr>
        <w:t xml:space="preserve"> from</w:t>
      </w:r>
      <w:r w:rsidR="00F83AD3" w:rsidRPr="001510AF">
        <w:rPr>
          <w:szCs w:val="26"/>
        </w:rPr>
        <w:t xml:space="preserve"> gift funds</w:t>
      </w:r>
      <w:r w:rsidR="00BC35CB" w:rsidRPr="001510AF">
        <w:rPr>
          <w:szCs w:val="26"/>
        </w:rPr>
        <w:t xml:space="preserve"> and institutional funds operating budget of the University of Illinois Urbana-Champaign.</w:t>
      </w:r>
    </w:p>
    <w:p w14:paraId="3A454975" w14:textId="7BE49BB6" w:rsidR="00B70DC2" w:rsidRPr="001510AF" w:rsidRDefault="001510AF" w:rsidP="00E91BD8">
      <w:pPr>
        <w:pStyle w:val="bdstyle2"/>
        <w:tabs>
          <w:tab w:val="clear" w:pos="720"/>
        </w:tabs>
        <w:ind w:firstLine="0"/>
        <w:rPr>
          <w:szCs w:val="26"/>
        </w:rPr>
      </w:pPr>
      <w:r>
        <w:rPr>
          <w:szCs w:val="26"/>
        </w:rPr>
        <w:tab/>
      </w:r>
      <w:r w:rsidR="000C63B2" w:rsidRPr="001510AF">
        <w:rPr>
          <w:szCs w:val="26"/>
        </w:rPr>
        <w:t>The President of the University</w:t>
      </w:r>
      <w:r w:rsidR="00EF498A">
        <w:rPr>
          <w:szCs w:val="26"/>
        </w:rPr>
        <w:t xml:space="preserve"> of Illinois System</w:t>
      </w:r>
      <w:r w:rsidR="000C63B2" w:rsidRPr="001510AF">
        <w:rPr>
          <w:szCs w:val="26"/>
        </w:rPr>
        <w:t xml:space="preserve"> concurs.</w:t>
      </w:r>
    </w:p>
    <w:p w14:paraId="53E164D3" w14:textId="0ABCEAC8" w:rsidR="00B70DC2" w:rsidRDefault="00B70DC2" w:rsidP="00F6127C">
      <w:pPr>
        <w:pStyle w:val="bdstyle2"/>
        <w:spacing w:line="240" w:lineRule="auto"/>
        <w:rPr>
          <w:szCs w:val="26"/>
        </w:rPr>
      </w:pPr>
    </w:p>
    <w:p w14:paraId="0C87B015" w14:textId="4C7ADCA9" w:rsidR="00E91BD8" w:rsidRDefault="00E91BD8" w:rsidP="00F6127C">
      <w:pPr>
        <w:pStyle w:val="bdstyle2"/>
        <w:spacing w:line="240" w:lineRule="auto"/>
        <w:rPr>
          <w:szCs w:val="26"/>
        </w:rPr>
      </w:pPr>
    </w:p>
    <w:p w14:paraId="207020BB" w14:textId="08A4578A" w:rsidR="00E91BD8" w:rsidRDefault="00E91BD8" w:rsidP="00F6127C">
      <w:pPr>
        <w:pStyle w:val="bdstyle2"/>
        <w:spacing w:line="240" w:lineRule="auto"/>
        <w:rPr>
          <w:szCs w:val="26"/>
        </w:rPr>
      </w:pPr>
    </w:p>
    <w:p w14:paraId="23BF060D" w14:textId="7257EE0C" w:rsidR="00E91BD8" w:rsidRDefault="00E91BD8" w:rsidP="00F6127C">
      <w:pPr>
        <w:pStyle w:val="bdstyle2"/>
        <w:spacing w:line="240" w:lineRule="auto"/>
        <w:rPr>
          <w:szCs w:val="26"/>
        </w:rPr>
      </w:pPr>
    </w:p>
    <w:p w14:paraId="32542D95" w14:textId="62658445" w:rsidR="00E91BD8" w:rsidRDefault="00E91BD8" w:rsidP="00F6127C">
      <w:pPr>
        <w:pStyle w:val="bdstyle2"/>
        <w:spacing w:line="240" w:lineRule="auto"/>
        <w:rPr>
          <w:szCs w:val="26"/>
        </w:rPr>
      </w:pPr>
    </w:p>
    <w:p w14:paraId="6B902E6B" w14:textId="1551B988" w:rsidR="00E91BD8" w:rsidRDefault="00E91BD8" w:rsidP="00F6127C">
      <w:pPr>
        <w:pStyle w:val="bdstyle2"/>
        <w:spacing w:line="240" w:lineRule="auto"/>
        <w:rPr>
          <w:szCs w:val="26"/>
        </w:rPr>
      </w:pPr>
    </w:p>
    <w:p w14:paraId="7B475737" w14:textId="77777777" w:rsidR="00E91BD8" w:rsidRPr="001510AF" w:rsidRDefault="00E91BD8" w:rsidP="00F6127C">
      <w:pPr>
        <w:pStyle w:val="bdstyle2"/>
        <w:spacing w:line="240" w:lineRule="auto"/>
        <w:rPr>
          <w:szCs w:val="26"/>
        </w:rPr>
      </w:pPr>
    </w:p>
    <w:tbl>
      <w:tblPr>
        <w:tblW w:w="8280" w:type="dxa"/>
        <w:tblLayout w:type="fixed"/>
        <w:tblLook w:val="04A0" w:firstRow="1" w:lastRow="0" w:firstColumn="1" w:lastColumn="0" w:noHBand="0" w:noVBand="1"/>
      </w:tblPr>
      <w:tblGrid>
        <w:gridCol w:w="2800"/>
        <w:gridCol w:w="2060"/>
        <w:gridCol w:w="1710"/>
        <w:gridCol w:w="1710"/>
      </w:tblGrid>
      <w:tr w:rsidR="00B70DC2" w:rsidRPr="001510AF" w14:paraId="0BAFCA70" w14:textId="77777777" w:rsidTr="00B84ED7">
        <w:trPr>
          <w:trHeight w:val="330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1E6B" w14:textId="77777777" w:rsidR="00B70DC2" w:rsidRPr="001510AF" w:rsidRDefault="00B70DC2" w:rsidP="00F612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Table 1: Diverse Business Utilization</w:t>
            </w:r>
          </w:p>
        </w:tc>
      </w:tr>
      <w:tr w:rsidR="00B70DC2" w:rsidRPr="001510AF" w14:paraId="69627EBB" w14:textId="77777777" w:rsidTr="00B84ED7">
        <w:trPr>
          <w:trHeight w:val="69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F5DCD0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Awarded Vendor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250543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PSC Agreement $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7478BD2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Subcontract Value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7ECBBEC5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Subvendor % of Work</w:t>
            </w:r>
          </w:p>
        </w:tc>
      </w:tr>
      <w:tr w:rsidR="00B70DC2" w:rsidRPr="001510AF" w14:paraId="25B3AE57" w14:textId="77777777" w:rsidTr="00B84ED7">
        <w:trPr>
          <w:trHeight w:val="435"/>
        </w:trPr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2A4ACD2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Bailey Edward Design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A273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 xml:space="preserve">$2,542,269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C510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EB287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</w:tr>
      <w:tr w:rsidR="00B70DC2" w:rsidRPr="001510AF" w14:paraId="2A8F0108" w14:textId="77777777" w:rsidTr="00B84ED7">
        <w:trPr>
          <w:trHeight w:val="43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41356" w14:textId="77777777" w:rsidR="00B70DC2" w:rsidRPr="001510AF" w:rsidRDefault="00B70DC2" w:rsidP="00F612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B6A0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FB68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1921B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</w:tr>
      <w:tr w:rsidR="00B70DC2" w:rsidRPr="001510AF" w14:paraId="67CF3358" w14:textId="77777777" w:rsidTr="00B84ED7">
        <w:trPr>
          <w:trHeight w:val="43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7670C" w14:textId="77777777" w:rsidR="00B70DC2" w:rsidRPr="001510AF" w:rsidRDefault="00B70DC2" w:rsidP="00F612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1AB7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MBE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B2C7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$252,920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13D08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10%</w:t>
            </w:r>
          </w:p>
        </w:tc>
      </w:tr>
      <w:tr w:rsidR="00B70DC2" w:rsidRPr="001510AF" w14:paraId="1DB29DD3" w14:textId="77777777" w:rsidTr="00B84ED7">
        <w:trPr>
          <w:trHeight w:val="43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1B633" w14:textId="77777777" w:rsidR="00B70DC2" w:rsidRPr="001510AF" w:rsidRDefault="00B70DC2" w:rsidP="00F612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8656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VOSB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79D8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$51,500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41CD2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2%</w:t>
            </w:r>
          </w:p>
        </w:tc>
      </w:tr>
      <w:tr w:rsidR="00B70DC2" w:rsidRPr="001510AF" w14:paraId="2CA182FB" w14:textId="77777777" w:rsidTr="00B84ED7">
        <w:trPr>
          <w:trHeight w:val="435"/>
        </w:trPr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D72F4" w14:textId="77777777" w:rsidR="00B70DC2" w:rsidRPr="001510AF" w:rsidRDefault="00B70DC2" w:rsidP="00F6127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6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E988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WBE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0004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$1,815,849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06BBA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71%</w:t>
            </w:r>
          </w:p>
        </w:tc>
      </w:tr>
      <w:tr w:rsidR="00B70DC2" w:rsidRPr="001510AF" w14:paraId="39026AF8" w14:textId="77777777" w:rsidTr="00B84ED7">
        <w:trPr>
          <w:trHeight w:val="435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AACE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6F96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A3A9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35FE3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 </w:t>
            </w:r>
          </w:p>
        </w:tc>
      </w:tr>
      <w:tr w:rsidR="00B70DC2" w:rsidRPr="001510AF" w14:paraId="1838A7FB" w14:textId="77777777" w:rsidTr="00B84ED7">
        <w:trPr>
          <w:trHeight w:val="43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8E54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Total MBE (ASA)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E504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$154,920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C7C48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6%</w:t>
            </w:r>
          </w:p>
        </w:tc>
      </w:tr>
      <w:tr w:rsidR="00B70DC2" w:rsidRPr="001510AF" w14:paraId="57919266" w14:textId="77777777" w:rsidTr="00B84ED7">
        <w:trPr>
          <w:trHeight w:val="43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0925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Total MBE (HA)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8BCC9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$98,000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F5DE3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4%</w:t>
            </w:r>
          </w:p>
        </w:tc>
      </w:tr>
      <w:tr w:rsidR="00B70DC2" w:rsidRPr="001510AF" w14:paraId="60038F6D" w14:textId="77777777" w:rsidTr="00B84ED7">
        <w:trPr>
          <w:trHeight w:val="43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3118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Total VOSB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179F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$51,500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9078D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2%</w:t>
            </w:r>
          </w:p>
        </w:tc>
      </w:tr>
      <w:tr w:rsidR="00B70DC2" w:rsidRPr="001510AF" w14:paraId="74AE5AE2" w14:textId="77777777" w:rsidTr="00B84ED7">
        <w:trPr>
          <w:trHeight w:val="43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3553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Total WBE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53C6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$1,815,849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8342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71%</w:t>
            </w:r>
          </w:p>
        </w:tc>
      </w:tr>
      <w:tr w:rsidR="00B70DC2" w:rsidRPr="001510AF" w14:paraId="32E7B83D" w14:textId="77777777" w:rsidTr="00B84ED7">
        <w:trPr>
          <w:trHeight w:val="435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8896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Total Diversity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BF53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$2,120,269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5D560" w14:textId="77777777" w:rsidR="00B70DC2" w:rsidRPr="001510AF" w:rsidRDefault="00B70DC2" w:rsidP="00F6127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6"/>
              </w:rPr>
            </w:pPr>
            <w:r w:rsidRPr="001510AF">
              <w:rPr>
                <w:color w:val="000000"/>
                <w:szCs w:val="26"/>
              </w:rPr>
              <w:t>83%</w:t>
            </w:r>
          </w:p>
        </w:tc>
      </w:tr>
    </w:tbl>
    <w:p w14:paraId="7352EA66" w14:textId="77777777" w:rsidR="00B70DC2" w:rsidRPr="001510AF" w:rsidRDefault="00B70DC2" w:rsidP="00F6127C">
      <w:pPr>
        <w:pStyle w:val="bdstyle2"/>
        <w:spacing w:line="240" w:lineRule="auto"/>
        <w:rPr>
          <w:szCs w:val="26"/>
        </w:rPr>
      </w:pPr>
    </w:p>
    <w:sectPr w:rsidR="00B70DC2" w:rsidRPr="001510AF" w:rsidSect="00F6127C">
      <w:headerReference w:type="even" r:id="rId8"/>
      <w:headerReference w:type="default" r:id="rId9"/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4E5B" w14:textId="77777777" w:rsidR="007951E1" w:rsidRDefault="007951E1">
      <w:r>
        <w:separator/>
      </w:r>
    </w:p>
  </w:endnote>
  <w:endnote w:type="continuationSeparator" w:id="0">
    <w:p w14:paraId="1F819349" w14:textId="77777777" w:rsidR="007951E1" w:rsidRDefault="0079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8A1E4" w14:textId="77777777" w:rsidR="007951E1" w:rsidRDefault="007951E1">
      <w:r>
        <w:separator/>
      </w:r>
    </w:p>
  </w:footnote>
  <w:footnote w:type="continuationSeparator" w:id="0">
    <w:p w14:paraId="709C18EF" w14:textId="77777777" w:rsidR="007951E1" w:rsidRDefault="007951E1">
      <w:r>
        <w:continuationSeparator/>
      </w:r>
    </w:p>
  </w:footnote>
  <w:footnote w:id="1">
    <w:p w14:paraId="0950326D" w14:textId="2A8977F0" w:rsidR="00084E51" w:rsidRDefault="00084E51" w:rsidP="00EB0417">
      <w:pPr>
        <w:pStyle w:val="bdfootnote"/>
      </w:pPr>
      <w:r w:rsidRPr="00B84ED7">
        <w:rPr>
          <w:rStyle w:val="FootnoteReference"/>
          <w:sz w:val="20"/>
          <w:szCs w:val="14"/>
        </w:rPr>
        <w:footnoteRef/>
      </w:r>
      <w:r w:rsidRPr="00B84ED7">
        <w:rPr>
          <w:sz w:val="20"/>
          <w:szCs w:val="14"/>
        </w:rPr>
        <w:t xml:space="preserve"> A selection committee consisting of </w:t>
      </w:r>
      <w:r w:rsidR="0075307B" w:rsidRPr="00B84ED7">
        <w:rPr>
          <w:sz w:val="20"/>
          <w:szCs w:val="14"/>
        </w:rPr>
        <w:t>Jackson Liong</w:t>
      </w:r>
      <w:r w:rsidRPr="00B84ED7">
        <w:rPr>
          <w:sz w:val="20"/>
          <w:szCs w:val="14"/>
        </w:rPr>
        <w:t xml:space="preserve"> (Facilities </w:t>
      </w:r>
      <w:r w:rsidR="001510AF">
        <w:rPr>
          <w:sz w:val="20"/>
          <w:szCs w:val="14"/>
        </w:rPr>
        <w:t>and</w:t>
      </w:r>
      <w:r w:rsidRPr="00B84ED7">
        <w:rPr>
          <w:sz w:val="20"/>
          <w:szCs w:val="14"/>
        </w:rPr>
        <w:t xml:space="preserve"> Services</w:t>
      </w:r>
      <w:r w:rsidR="00AC27FF" w:rsidRPr="00B84ED7">
        <w:rPr>
          <w:sz w:val="20"/>
          <w:szCs w:val="14"/>
        </w:rPr>
        <w:t>, Capital Programs</w:t>
      </w:r>
      <w:r w:rsidRPr="00B84ED7">
        <w:rPr>
          <w:sz w:val="20"/>
          <w:szCs w:val="14"/>
        </w:rPr>
        <w:t xml:space="preserve">), </w:t>
      </w:r>
      <w:r w:rsidR="0075307B" w:rsidRPr="00B84ED7">
        <w:rPr>
          <w:sz w:val="20"/>
          <w:szCs w:val="14"/>
        </w:rPr>
        <w:t>Brad Klein</w:t>
      </w:r>
      <w:r w:rsidR="00AC27FF" w:rsidRPr="00B84ED7">
        <w:rPr>
          <w:sz w:val="20"/>
          <w:szCs w:val="14"/>
        </w:rPr>
        <w:t xml:space="preserve"> (Facilities </w:t>
      </w:r>
      <w:r w:rsidR="001510AF">
        <w:rPr>
          <w:sz w:val="20"/>
          <w:szCs w:val="14"/>
        </w:rPr>
        <w:t>and</w:t>
      </w:r>
      <w:r w:rsidR="00AC27FF" w:rsidRPr="00B84ED7">
        <w:rPr>
          <w:sz w:val="20"/>
          <w:szCs w:val="14"/>
        </w:rPr>
        <w:t xml:space="preserve"> Services, </w:t>
      </w:r>
      <w:r w:rsidR="0075307B" w:rsidRPr="00B84ED7">
        <w:rPr>
          <w:sz w:val="20"/>
          <w:szCs w:val="14"/>
        </w:rPr>
        <w:t>Capital Planning</w:t>
      </w:r>
      <w:r w:rsidR="00AC27FF" w:rsidRPr="00B84ED7">
        <w:rPr>
          <w:sz w:val="20"/>
          <w:szCs w:val="14"/>
        </w:rPr>
        <w:t xml:space="preserve">), </w:t>
      </w:r>
      <w:r w:rsidR="0075307B" w:rsidRPr="00B84ED7">
        <w:rPr>
          <w:sz w:val="20"/>
          <w:szCs w:val="14"/>
        </w:rPr>
        <w:t>Doug Wolters</w:t>
      </w:r>
      <w:r w:rsidRPr="00B84ED7">
        <w:rPr>
          <w:sz w:val="20"/>
          <w:szCs w:val="14"/>
        </w:rPr>
        <w:t xml:space="preserve"> (</w:t>
      </w:r>
      <w:r w:rsidR="0075307B" w:rsidRPr="00B84ED7">
        <w:rPr>
          <w:sz w:val="20"/>
          <w:szCs w:val="14"/>
        </w:rPr>
        <w:t>College of A</w:t>
      </w:r>
      <w:r w:rsidR="00EF498A">
        <w:rPr>
          <w:sz w:val="20"/>
          <w:szCs w:val="14"/>
        </w:rPr>
        <w:t>gricultural, Consumer and Environmental Sciences</w:t>
      </w:r>
      <w:r w:rsidRPr="00B84ED7">
        <w:rPr>
          <w:sz w:val="20"/>
          <w:szCs w:val="14"/>
        </w:rPr>
        <w:t>),</w:t>
      </w:r>
      <w:r w:rsidR="0075307B" w:rsidRPr="00B84ED7">
        <w:rPr>
          <w:sz w:val="20"/>
          <w:szCs w:val="14"/>
        </w:rPr>
        <w:t xml:space="preserve"> M</w:t>
      </w:r>
      <w:r w:rsidR="00003DF9" w:rsidRPr="00B84ED7">
        <w:rPr>
          <w:sz w:val="20"/>
          <w:szCs w:val="14"/>
        </w:rPr>
        <w:t>att Edmonson (UOCP, Capital Programs), Shauna Clayborn (Office of Procurement Diversity)</w:t>
      </w:r>
      <w:r w:rsidR="00EF498A">
        <w:rPr>
          <w:sz w:val="20"/>
          <w:szCs w:val="14"/>
        </w:rPr>
        <w:t>,</w:t>
      </w:r>
      <w:r w:rsidRPr="00B84ED7">
        <w:rPr>
          <w:sz w:val="20"/>
          <w:szCs w:val="14"/>
        </w:rPr>
        <w:t xml:space="preserve"> and </w:t>
      </w:r>
      <w:r w:rsidR="00003DF9" w:rsidRPr="00B84ED7">
        <w:rPr>
          <w:sz w:val="20"/>
          <w:szCs w:val="14"/>
        </w:rPr>
        <w:t xml:space="preserve">Joe Villanti (Facilities </w:t>
      </w:r>
      <w:r w:rsidR="001510AF">
        <w:rPr>
          <w:sz w:val="20"/>
          <w:szCs w:val="14"/>
        </w:rPr>
        <w:t>and</w:t>
      </w:r>
      <w:r w:rsidR="00003DF9" w:rsidRPr="00B84ED7">
        <w:rPr>
          <w:sz w:val="20"/>
          <w:szCs w:val="14"/>
        </w:rPr>
        <w:t xml:space="preserve"> Services, Engineering Services)</w:t>
      </w:r>
      <w:r w:rsidRPr="00B84ED7">
        <w:rPr>
          <w:sz w:val="20"/>
          <w:szCs w:val="14"/>
        </w:rPr>
        <w:t>, interviewed the following firms</w:t>
      </w:r>
      <w:r w:rsidR="00E37EF8" w:rsidRPr="00B84ED7">
        <w:rPr>
          <w:sz w:val="20"/>
          <w:szCs w:val="14"/>
        </w:rPr>
        <w:t xml:space="preserve">: </w:t>
      </w:r>
      <w:r w:rsidR="00003DF9" w:rsidRPr="00B84ED7">
        <w:rPr>
          <w:sz w:val="20"/>
          <w:szCs w:val="14"/>
        </w:rPr>
        <w:t>Bailey Edward Design</w:t>
      </w:r>
      <w:r w:rsidR="00703551" w:rsidRPr="00B84ED7">
        <w:rPr>
          <w:sz w:val="20"/>
          <w:szCs w:val="14"/>
        </w:rPr>
        <w:t xml:space="preserve">, </w:t>
      </w:r>
      <w:r w:rsidR="00003DF9" w:rsidRPr="00B84ED7">
        <w:rPr>
          <w:sz w:val="20"/>
          <w:szCs w:val="14"/>
        </w:rPr>
        <w:t>Chicago</w:t>
      </w:r>
      <w:r w:rsidR="00703551" w:rsidRPr="00B84ED7">
        <w:rPr>
          <w:sz w:val="20"/>
          <w:szCs w:val="14"/>
        </w:rPr>
        <w:t>, I</w:t>
      </w:r>
      <w:r w:rsidR="00003DF9" w:rsidRPr="00B84ED7">
        <w:rPr>
          <w:sz w:val="20"/>
          <w:szCs w:val="14"/>
        </w:rPr>
        <w:t>L</w:t>
      </w:r>
      <w:r w:rsidR="00703551" w:rsidRPr="00B84ED7">
        <w:rPr>
          <w:sz w:val="20"/>
          <w:szCs w:val="14"/>
        </w:rPr>
        <w:t xml:space="preserve">; </w:t>
      </w:r>
      <w:r w:rsidR="001A0F9A" w:rsidRPr="00B84ED7">
        <w:rPr>
          <w:sz w:val="20"/>
          <w:szCs w:val="14"/>
        </w:rPr>
        <w:t>Moody Nolan</w:t>
      </w:r>
      <w:r w:rsidR="00703551" w:rsidRPr="00B84ED7">
        <w:rPr>
          <w:sz w:val="20"/>
          <w:szCs w:val="14"/>
        </w:rPr>
        <w:t xml:space="preserve">, Chicago, IL; Ross Barney Architects, Chicago, IL; </w:t>
      </w:r>
      <w:r w:rsidR="00D92F79" w:rsidRPr="00B84ED7">
        <w:rPr>
          <w:sz w:val="20"/>
          <w:szCs w:val="14"/>
        </w:rPr>
        <w:t>SmithGroup</w:t>
      </w:r>
      <w:r w:rsidRPr="00B84ED7">
        <w:rPr>
          <w:sz w:val="20"/>
          <w:szCs w:val="14"/>
        </w:rPr>
        <w:t>, Chicago, IL;</w:t>
      </w:r>
      <w:r w:rsidR="00D92F79" w:rsidRPr="00B84ED7">
        <w:rPr>
          <w:sz w:val="20"/>
          <w:szCs w:val="14"/>
        </w:rPr>
        <w:t xml:space="preserve"> Trivers Associates, Edwardsville, IL; and Woodhouse Tinucci Architects, Chicago, IL</w:t>
      </w:r>
      <w:r w:rsidRPr="00B84ED7">
        <w:rPr>
          <w:sz w:val="20"/>
          <w:szCs w:val="14"/>
        </w:rPr>
        <w:t xml:space="preserve">.  The committee recommends </w:t>
      </w:r>
      <w:r w:rsidR="00D92F79" w:rsidRPr="00B84ED7">
        <w:rPr>
          <w:sz w:val="20"/>
          <w:szCs w:val="14"/>
        </w:rPr>
        <w:t>Bailey Edward Design</w:t>
      </w:r>
      <w:r w:rsidR="00E37EF8" w:rsidRPr="00B84ED7">
        <w:rPr>
          <w:sz w:val="20"/>
          <w:szCs w:val="14"/>
        </w:rPr>
        <w:t xml:space="preserve"> of Chicago</w:t>
      </w:r>
      <w:r w:rsidR="00703551" w:rsidRPr="00B84ED7">
        <w:rPr>
          <w:sz w:val="20"/>
          <w:szCs w:val="14"/>
        </w:rPr>
        <w:t>, IL</w:t>
      </w:r>
      <w:r w:rsidRPr="00B84ED7">
        <w:rPr>
          <w:sz w:val="20"/>
          <w:szCs w:val="14"/>
        </w:rPr>
        <w:t>, as best meeting the criteria for the project.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22308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650ECD7" w14:textId="0F35589F" w:rsidR="00E91BD8" w:rsidRDefault="00E91BD8" w:rsidP="00D17A9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29E55D" w14:textId="77777777" w:rsidR="00E91BD8" w:rsidRDefault="00E91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0761016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8A7D2AD" w14:textId="4C5C5DC8" w:rsidR="00E91BD8" w:rsidRDefault="00E91BD8" w:rsidP="00D17A9D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936573" w14:textId="5C4A3455" w:rsidR="00E91BD8" w:rsidRDefault="00E91BD8">
    <w:pPr>
      <w:pStyle w:val="Header"/>
    </w:pPr>
  </w:p>
  <w:p w14:paraId="25C69000" w14:textId="77777777" w:rsidR="00E91BD8" w:rsidRDefault="00E91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C7B"/>
    <w:multiLevelType w:val="hybridMultilevel"/>
    <w:tmpl w:val="08D05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51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tjAxNDI0NTI2MzNX0lEKTi0uzszPAykwrAUAjYYeMCwAAAA="/>
  </w:docVars>
  <w:rsids>
    <w:rsidRoot w:val="00B327B4"/>
    <w:rsid w:val="00002F55"/>
    <w:rsid w:val="00003DF9"/>
    <w:rsid w:val="00004FA6"/>
    <w:rsid w:val="0001629F"/>
    <w:rsid w:val="00021A6E"/>
    <w:rsid w:val="000231DC"/>
    <w:rsid w:val="0003698B"/>
    <w:rsid w:val="00044BC8"/>
    <w:rsid w:val="000574BA"/>
    <w:rsid w:val="00084E51"/>
    <w:rsid w:val="000B1FF1"/>
    <w:rsid w:val="000C63B2"/>
    <w:rsid w:val="000D7C60"/>
    <w:rsid w:val="0013413E"/>
    <w:rsid w:val="001510AF"/>
    <w:rsid w:val="00160BC6"/>
    <w:rsid w:val="001A0F9A"/>
    <w:rsid w:val="001B060C"/>
    <w:rsid w:val="001B3A99"/>
    <w:rsid w:val="0020472F"/>
    <w:rsid w:val="00204ED2"/>
    <w:rsid w:val="0026154B"/>
    <w:rsid w:val="00266827"/>
    <w:rsid w:val="00266F06"/>
    <w:rsid w:val="002847DA"/>
    <w:rsid w:val="00291580"/>
    <w:rsid w:val="00295D7F"/>
    <w:rsid w:val="002C7B9E"/>
    <w:rsid w:val="002D110F"/>
    <w:rsid w:val="0030794F"/>
    <w:rsid w:val="00317881"/>
    <w:rsid w:val="00341C05"/>
    <w:rsid w:val="003431EB"/>
    <w:rsid w:val="0035013E"/>
    <w:rsid w:val="00351DBC"/>
    <w:rsid w:val="00361A1D"/>
    <w:rsid w:val="00373410"/>
    <w:rsid w:val="00382B84"/>
    <w:rsid w:val="003C2B78"/>
    <w:rsid w:val="003E0E55"/>
    <w:rsid w:val="003E38F1"/>
    <w:rsid w:val="0040106E"/>
    <w:rsid w:val="00477EF3"/>
    <w:rsid w:val="00493B83"/>
    <w:rsid w:val="004B1E32"/>
    <w:rsid w:val="004E2CC1"/>
    <w:rsid w:val="004F2D91"/>
    <w:rsid w:val="00505B3F"/>
    <w:rsid w:val="005140EB"/>
    <w:rsid w:val="0052027F"/>
    <w:rsid w:val="0057507D"/>
    <w:rsid w:val="005A05A7"/>
    <w:rsid w:val="005C35FF"/>
    <w:rsid w:val="005D221A"/>
    <w:rsid w:val="005E79CC"/>
    <w:rsid w:val="00620245"/>
    <w:rsid w:val="00633A37"/>
    <w:rsid w:val="006646A0"/>
    <w:rsid w:val="006957F6"/>
    <w:rsid w:val="00696B5E"/>
    <w:rsid w:val="00697F75"/>
    <w:rsid w:val="006C41C8"/>
    <w:rsid w:val="006C5810"/>
    <w:rsid w:val="006D2746"/>
    <w:rsid w:val="006E45F4"/>
    <w:rsid w:val="006F05F1"/>
    <w:rsid w:val="006F13BB"/>
    <w:rsid w:val="006F264E"/>
    <w:rsid w:val="00703551"/>
    <w:rsid w:val="0070572C"/>
    <w:rsid w:val="00714A54"/>
    <w:rsid w:val="0072473B"/>
    <w:rsid w:val="007329C8"/>
    <w:rsid w:val="0075307B"/>
    <w:rsid w:val="00756196"/>
    <w:rsid w:val="00774033"/>
    <w:rsid w:val="00774646"/>
    <w:rsid w:val="00777D0B"/>
    <w:rsid w:val="00792842"/>
    <w:rsid w:val="00792DFB"/>
    <w:rsid w:val="007951E1"/>
    <w:rsid w:val="007A16E4"/>
    <w:rsid w:val="007C067A"/>
    <w:rsid w:val="007C1C46"/>
    <w:rsid w:val="007F7680"/>
    <w:rsid w:val="00813421"/>
    <w:rsid w:val="0082203D"/>
    <w:rsid w:val="00843AAD"/>
    <w:rsid w:val="00871A5E"/>
    <w:rsid w:val="00873CB4"/>
    <w:rsid w:val="008B50D5"/>
    <w:rsid w:val="008D1F59"/>
    <w:rsid w:val="008E6F24"/>
    <w:rsid w:val="008F5501"/>
    <w:rsid w:val="00924FAA"/>
    <w:rsid w:val="009B6A47"/>
    <w:rsid w:val="009C2994"/>
    <w:rsid w:val="009D3F4F"/>
    <w:rsid w:val="009D47AF"/>
    <w:rsid w:val="009D49DD"/>
    <w:rsid w:val="00A1797B"/>
    <w:rsid w:val="00A4286E"/>
    <w:rsid w:val="00A521FC"/>
    <w:rsid w:val="00A522AF"/>
    <w:rsid w:val="00A551C7"/>
    <w:rsid w:val="00A61E7F"/>
    <w:rsid w:val="00A76DC4"/>
    <w:rsid w:val="00A95689"/>
    <w:rsid w:val="00AC27FF"/>
    <w:rsid w:val="00AD14D8"/>
    <w:rsid w:val="00AE6804"/>
    <w:rsid w:val="00AF2072"/>
    <w:rsid w:val="00B327B4"/>
    <w:rsid w:val="00B3298C"/>
    <w:rsid w:val="00B42165"/>
    <w:rsid w:val="00B70DC2"/>
    <w:rsid w:val="00B830F0"/>
    <w:rsid w:val="00B84ED7"/>
    <w:rsid w:val="00B92FA5"/>
    <w:rsid w:val="00BB6BCB"/>
    <w:rsid w:val="00BC35CB"/>
    <w:rsid w:val="00C02A0F"/>
    <w:rsid w:val="00C20582"/>
    <w:rsid w:val="00C24F35"/>
    <w:rsid w:val="00C305CD"/>
    <w:rsid w:val="00C42423"/>
    <w:rsid w:val="00C665C6"/>
    <w:rsid w:val="00CC19D8"/>
    <w:rsid w:val="00CD6767"/>
    <w:rsid w:val="00CF3CC5"/>
    <w:rsid w:val="00CF4AA4"/>
    <w:rsid w:val="00CF5C15"/>
    <w:rsid w:val="00D13821"/>
    <w:rsid w:val="00D26BD9"/>
    <w:rsid w:val="00D46DC8"/>
    <w:rsid w:val="00D715D3"/>
    <w:rsid w:val="00D807C1"/>
    <w:rsid w:val="00D86FD6"/>
    <w:rsid w:val="00D87C7E"/>
    <w:rsid w:val="00D92C6E"/>
    <w:rsid w:val="00D92F79"/>
    <w:rsid w:val="00DB4038"/>
    <w:rsid w:val="00E03F59"/>
    <w:rsid w:val="00E37EF8"/>
    <w:rsid w:val="00E646E8"/>
    <w:rsid w:val="00E91BD8"/>
    <w:rsid w:val="00E9668E"/>
    <w:rsid w:val="00EA623D"/>
    <w:rsid w:val="00EA7E3F"/>
    <w:rsid w:val="00EB0417"/>
    <w:rsid w:val="00EB16AD"/>
    <w:rsid w:val="00EE182D"/>
    <w:rsid w:val="00EE6DF9"/>
    <w:rsid w:val="00EF448E"/>
    <w:rsid w:val="00EF498A"/>
    <w:rsid w:val="00EF7D64"/>
    <w:rsid w:val="00F151FA"/>
    <w:rsid w:val="00F23F60"/>
    <w:rsid w:val="00F6127C"/>
    <w:rsid w:val="00F76AB1"/>
    <w:rsid w:val="00F83AD3"/>
    <w:rsid w:val="00F93302"/>
    <w:rsid w:val="00F978FC"/>
    <w:rsid w:val="00FA177B"/>
    <w:rsid w:val="00FD3EF0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42B7A"/>
  <w15:chartTrackingRefBased/>
  <w15:docId w15:val="{CC1D7EA2-0229-4669-9119-1D2A1CB9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rsid w:val="00EF448E"/>
    <w:pPr>
      <w:jc w:val="center"/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customStyle="1" w:styleId="questionhd">
    <w:name w:val="questionhd"/>
    <w:basedOn w:val="Normal"/>
    <w:pPr>
      <w:overflowPunct/>
      <w:autoSpaceDE/>
      <w:autoSpaceDN/>
      <w:adjustRightInd/>
      <w:ind w:left="153" w:right="153"/>
      <w:textAlignment w:val="auto"/>
    </w:pPr>
    <w:rPr>
      <w:rFonts w:ascii="Courier" w:hAnsi="Courier"/>
      <w:b/>
      <w:sz w:val="20"/>
    </w:rPr>
  </w:style>
  <w:style w:type="paragraph" w:customStyle="1" w:styleId="questionname">
    <w:name w:val="questionname"/>
    <w:basedOn w:val="Normal"/>
    <w:pPr>
      <w:overflowPunct/>
      <w:autoSpaceDE/>
      <w:autoSpaceDN/>
      <w:adjustRightInd/>
      <w:ind w:left="153" w:right="153"/>
      <w:textAlignment w:val="auto"/>
    </w:pPr>
    <w:rPr>
      <w:rFonts w:ascii="Tahoma" w:hAnsi="Tahoma"/>
      <w:b/>
      <w:sz w:val="24"/>
    </w:rPr>
  </w:style>
  <w:style w:type="paragraph" w:styleId="FootnoteText">
    <w:name w:val="footnote text"/>
    <w:basedOn w:val="Normal"/>
    <w:semiHidden/>
    <w:rsid w:val="00F76AB1"/>
    <w:rPr>
      <w:sz w:val="20"/>
    </w:rPr>
  </w:style>
  <w:style w:type="character" w:styleId="FootnoteReference">
    <w:name w:val="footnote reference"/>
    <w:semiHidden/>
    <w:rsid w:val="00F76AB1"/>
    <w:rPr>
      <w:vertAlign w:val="superscript"/>
    </w:rPr>
  </w:style>
  <w:style w:type="paragraph" w:styleId="BalloonText">
    <w:name w:val="Balloon Text"/>
    <w:basedOn w:val="Normal"/>
    <w:semiHidden/>
    <w:rsid w:val="00822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91B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1BD8"/>
    <w:rPr>
      <w:sz w:val="26"/>
    </w:rPr>
  </w:style>
  <w:style w:type="character" w:styleId="PageNumber">
    <w:name w:val="page number"/>
    <w:basedOn w:val="DefaultParagraphFont"/>
    <w:rsid w:val="00E91BD8"/>
  </w:style>
  <w:style w:type="paragraph" w:styleId="Footer">
    <w:name w:val="footer"/>
    <w:basedOn w:val="Normal"/>
    <w:link w:val="FooterChar"/>
    <w:rsid w:val="00E91B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1BD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B0B8A-0707-4A1A-BD0C-2B6FFD04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cshade</dc:creator>
  <cp:keywords/>
  <dc:description/>
  <cp:lastModifiedBy>Williams, Aubrie Lee</cp:lastModifiedBy>
  <cp:revision>6</cp:revision>
  <cp:lastPrinted>2017-07-21T15:11:00Z</cp:lastPrinted>
  <dcterms:created xsi:type="dcterms:W3CDTF">2022-04-28T22:15:00Z</dcterms:created>
  <dcterms:modified xsi:type="dcterms:W3CDTF">2022-05-19T14:26:00Z</dcterms:modified>
</cp:coreProperties>
</file>