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7AF6D" w14:textId="77777777" w:rsidR="00C46BAB" w:rsidRPr="00C46BAB" w:rsidRDefault="00C46BAB" w:rsidP="00C46BAB">
      <w:pPr>
        <w:pBdr>
          <w:top w:val="single" w:sz="4" w:space="1" w:color="auto"/>
          <w:left w:val="single" w:sz="4" w:space="4" w:color="auto"/>
          <w:bottom w:val="single" w:sz="4" w:space="1" w:color="auto"/>
          <w:right w:val="single" w:sz="4" w:space="4" w:color="auto"/>
        </w:pBdr>
        <w:overflowPunct w:val="0"/>
        <w:adjustRightInd w:val="0"/>
        <w:ind w:right="5670"/>
        <w:textAlignment w:val="baseline"/>
        <w:rPr>
          <w:color w:val="FF0000"/>
          <w:sz w:val="26"/>
          <w:szCs w:val="26"/>
        </w:rPr>
      </w:pPr>
      <w:bookmarkStart w:id="0" w:name="_Hlk77839959"/>
      <w:bookmarkStart w:id="1" w:name="_Hlk93577479"/>
      <w:r w:rsidRPr="00C46BAB">
        <w:rPr>
          <w:color w:val="FF0000"/>
          <w:sz w:val="26"/>
          <w:szCs w:val="26"/>
        </w:rPr>
        <w:t>Approved by the Board of Trustees</w:t>
      </w:r>
    </w:p>
    <w:bookmarkEnd w:id="0"/>
    <w:bookmarkEnd w:id="1"/>
    <w:p w14:paraId="6AD1CCED" w14:textId="77777777" w:rsidR="00C46BAB" w:rsidRPr="00C46BAB" w:rsidRDefault="00C46BAB" w:rsidP="00C46BAB">
      <w:pPr>
        <w:widowControl/>
        <w:pBdr>
          <w:top w:val="single" w:sz="4" w:space="1" w:color="auto"/>
          <w:left w:val="single" w:sz="4" w:space="4" w:color="auto"/>
          <w:bottom w:val="single" w:sz="4" w:space="1" w:color="auto"/>
          <w:right w:val="single" w:sz="4" w:space="4" w:color="auto"/>
        </w:pBdr>
        <w:overflowPunct w:val="0"/>
        <w:adjustRightInd w:val="0"/>
        <w:ind w:right="5670"/>
        <w:textAlignment w:val="baseline"/>
        <w:rPr>
          <w:color w:val="FF0000"/>
          <w:sz w:val="26"/>
          <w:szCs w:val="26"/>
        </w:rPr>
      </w:pPr>
      <w:r w:rsidRPr="00C46BAB">
        <w:rPr>
          <w:color w:val="FF0000"/>
          <w:sz w:val="26"/>
          <w:szCs w:val="26"/>
        </w:rPr>
        <w:t>May 22, 2025</w:t>
      </w:r>
    </w:p>
    <w:p w14:paraId="176F1C17" w14:textId="1AD1CB53" w:rsidR="0085278E" w:rsidRPr="00F6279E" w:rsidRDefault="00EB410E" w:rsidP="0085278E">
      <w:pPr>
        <w:pStyle w:val="BodyText"/>
        <w:tabs>
          <w:tab w:val="left" w:pos="1440"/>
        </w:tabs>
        <w:jc w:val="right"/>
        <w:rPr>
          <w:b/>
          <w:bCs/>
          <w:spacing w:val="-2"/>
          <w:sz w:val="60"/>
          <w:szCs w:val="60"/>
        </w:rPr>
      </w:pPr>
      <w:r>
        <w:rPr>
          <w:b/>
          <w:bCs/>
          <w:spacing w:val="-2"/>
          <w:sz w:val="60"/>
          <w:szCs w:val="60"/>
        </w:rPr>
        <w:t>07</w:t>
      </w:r>
    </w:p>
    <w:p w14:paraId="1C95561B" w14:textId="77777777" w:rsidR="0085278E" w:rsidRPr="009859E9" w:rsidRDefault="0085278E" w:rsidP="002F549C">
      <w:pPr>
        <w:pStyle w:val="BodyText"/>
        <w:tabs>
          <w:tab w:val="left" w:pos="1440"/>
        </w:tabs>
        <w:rPr>
          <w:spacing w:val="-2"/>
        </w:rPr>
      </w:pPr>
    </w:p>
    <w:p w14:paraId="281502AE" w14:textId="77777777" w:rsidR="0085278E" w:rsidRPr="009859E9" w:rsidRDefault="0085278E" w:rsidP="002F549C">
      <w:pPr>
        <w:pStyle w:val="BodyText"/>
        <w:tabs>
          <w:tab w:val="left" w:pos="1440"/>
        </w:tabs>
        <w:rPr>
          <w:spacing w:val="-2"/>
        </w:rPr>
      </w:pPr>
    </w:p>
    <w:p w14:paraId="4914A1E1" w14:textId="77777777" w:rsidR="0085278E" w:rsidRPr="009859E9" w:rsidRDefault="0085278E" w:rsidP="002F549C">
      <w:pPr>
        <w:pStyle w:val="BodyText"/>
        <w:tabs>
          <w:tab w:val="left" w:pos="7200"/>
        </w:tabs>
        <w:rPr>
          <w:spacing w:val="-2"/>
        </w:rPr>
      </w:pPr>
      <w:r w:rsidRPr="009859E9">
        <w:rPr>
          <w:spacing w:val="-2"/>
        </w:rPr>
        <w:tab/>
        <w:t>Board</w:t>
      </w:r>
      <w:r w:rsidRPr="009859E9">
        <w:rPr>
          <w:spacing w:val="-15"/>
        </w:rPr>
        <w:t xml:space="preserve"> </w:t>
      </w:r>
      <w:r w:rsidRPr="009859E9">
        <w:rPr>
          <w:spacing w:val="-2"/>
        </w:rPr>
        <w:t>Meeting</w:t>
      </w:r>
    </w:p>
    <w:p w14:paraId="37931852" w14:textId="77777777" w:rsidR="0085278E" w:rsidRPr="009859E9" w:rsidRDefault="0085278E" w:rsidP="002F549C">
      <w:pPr>
        <w:pStyle w:val="BodyText"/>
        <w:tabs>
          <w:tab w:val="left" w:pos="7200"/>
        </w:tabs>
      </w:pPr>
      <w:r w:rsidRPr="009859E9">
        <w:rPr>
          <w:spacing w:val="-2"/>
        </w:rPr>
        <w:tab/>
      </w:r>
      <w:r w:rsidRPr="009859E9">
        <w:t xml:space="preserve">May </w:t>
      </w:r>
      <w:r>
        <w:t>22</w:t>
      </w:r>
      <w:r w:rsidRPr="009859E9">
        <w:t>, 202</w:t>
      </w:r>
      <w:r>
        <w:t>5</w:t>
      </w:r>
    </w:p>
    <w:p w14:paraId="2118C4A1" w14:textId="77777777" w:rsidR="0085278E" w:rsidRPr="009859E9" w:rsidRDefault="0085278E" w:rsidP="002F549C">
      <w:pPr>
        <w:pStyle w:val="BodyText"/>
        <w:tabs>
          <w:tab w:val="left" w:pos="1440"/>
        </w:tabs>
      </w:pPr>
    </w:p>
    <w:p w14:paraId="4E3C08DD" w14:textId="77777777" w:rsidR="0085278E" w:rsidRPr="009859E9" w:rsidRDefault="0085278E" w:rsidP="002F549C">
      <w:pPr>
        <w:pStyle w:val="BodyText"/>
        <w:tabs>
          <w:tab w:val="left" w:pos="1440"/>
        </w:tabs>
      </w:pPr>
    </w:p>
    <w:p w14:paraId="459F8AD1" w14:textId="1408476D" w:rsidR="000F677D" w:rsidRPr="003F2E7E" w:rsidRDefault="004F7562" w:rsidP="003F2E7E">
      <w:pPr>
        <w:pStyle w:val="Heading1"/>
      </w:pPr>
      <w:r w:rsidRPr="003F2E7E">
        <w:t>RE</w:t>
      </w:r>
      <w:r w:rsidR="004A7B8C" w:rsidRPr="003F2E7E">
        <w:t>APPOINT CHIEF INTERNAL AUDITOR</w:t>
      </w:r>
    </w:p>
    <w:p w14:paraId="149D5C14" w14:textId="77777777" w:rsidR="000F677D" w:rsidRDefault="000F677D" w:rsidP="002F549C">
      <w:pPr>
        <w:pStyle w:val="BodyText"/>
        <w:ind w:left="0"/>
      </w:pPr>
    </w:p>
    <w:p w14:paraId="73E2312C" w14:textId="5702CCCB" w:rsidR="000F677D" w:rsidRDefault="004A7B8C" w:rsidP="002F549C">
      <w:pPr>
        <w:pStyle w:val="BodyText"/>
        <w:tabs>
          <w:tab w:val="left" w:pos="1800"/>
        </w:tabs>
        <w:ind w:left="1800" w:right="647" w:hanging="1441"/>
        <w:rPr>
          <w:color w:val="221F1F"/>
        </w:rPr>
      </w:pPr>
      <w:r>
        <w:rPr>
          <w:b/>
          <w:color w:val="221F1F"/>
          <w:spacing w:val="-2"/>
        </w:rPr>
        <w:t>Action:</w:t>
      </w:r>
      <w:r w:rsidR="0085278E">
        <w:rPr>
          <w:b/>
          <w:color w:val="221F1F"/>
          <w:spacing w:val="-2"/>
        </w:rPr>
        <w:tab/>
      </w:r>
      <w:r w:rsidR="004F7562" w:rsidRPr="00894D13">
        <w:rPr>
          <w:bCs/>
          <w:color w:val="221F1F"/>
          <w:spacing w:val="-2"/>
        </w:rPr>
        <w:t>Re</w:t>
      </w:r>
      <w:r w:rsidR="00894D13" w:rsidRPr="00894D13">
        <w:rPr>
          <w:bCs/>
          <w:color w:val="221F1F"/>
        </w:rPr>
        <w:t>a</w:t>
      </w:r>
      <w:r w:rsidRPr="00894D13">
        <w:rPr>
          <w:bCs/>
          <w:color w:val="221F1F"/>
        </w:rPr>
        <w:t>ppoin</w:t>
      </w:r>
      <w:r>
        <w:rPr>
          <w:color w:val="221F1F"/>
        </w:rPr>
        <w:t>t</w:t>
      </w:r>
      <w:r>
        <w:rPr>
          <w:color w:val="221F1F"/>
          <w:spacing w:val="-6"/>
        </w:rPr>
        <w:t xml:space="preserve"> </w:t>
      </w:r>
      <w:r>
        <w:rPr>
          <w:color w:val="221F1F"/>
        </w:rPr>
        <w:t>Chief</w:t>
      </w:r>
      <w:r>
        <w:rPr>
          <w:color w:val="221F1F"/>
          <w:spacing w:val="-3"/>
        </w:rPr>
        <w:t xml:space="preserve"> </w:t>
      </w:r>
      <w:r>
        <w:rPr>
          <w:color w:val="221F1F"/>
        </w:rPr>
        <w:t>Internal</w:t>
      </w:r>
      <w:r>
        <w:rPr>
          <w:color w:val="221F1F"/>
          <w:spacing w:val="-3"/>
        </w:rPr>
        <w:t xml:space="preserve"> </w:t>
      </w:r>
      <w:r>
        <w:rPr>
          <w:color w:val="221F1F"/>
        </w:rPr>
        <w:t>Auditor</w:t>
      </w:r>
      <w:r>
        <w:rPr>
          <w:color w:val="221F1F"/>
          <w:spacing w:val="-6"/>
        </w:rPr>
        <w:t xml:space="preserve"> </w:t>
      </w:r>
      <w:r>
        <w:rPr>
          <w:color w:val="221F1F"/>
        </w:rPr>
        <w:t>Pursuant</w:t>
      </w:r>
      <w:r>
        <w:rPr>
          <w:color w:val="221F1F"/>
          <w:spacing w:val="-3"/>
        </w:rPr>
        <w:t xml:space="preserve"> </w:t>
      </w:r>
      <w:r>
        <w:rPr>
          <w:color w:val="221F1F"/>
        </w:rPr>
        <w:t>to</w:t>
      </w:r>
      <w:r>
        <w:rPr>
          <w:color w:val="221F1F"/>
          <w:spacing w:val="-6"/>
        </w:rPr>
        <w:t xml:space="preserve"> </w:t>
      </w:r>
      <w:r>
        <w:rPr>
          <w:color w:val="221F1F"/>
        </w:rPr>
        <w:t>Illinois</w:t>
      </w:r>
      <w:r>
        <w:rPr>
          <w:color w:val="221F1F"/>
          <w:spacing w:val="-6"/>
        </w:rPr>
        <w:t xml:space="preserve"> </w:t>
      </w:r>
      <w:r>
        <w:rPr>
          <w:color w:val="221F1F"/>
        </w:rPr>
        <w:t>Fiscal</w:t>
      </w:r>
      <w:r>
        <w:rPr>
          <w:color w:val="221F1F"/>
          <w:spacing w:val="-3"/>
        </w:rPr>
        <w:t xml:space="preserve"> </w:t>
      </w:r>
      <w:r>
        <w:rPr>
          <w:color w:val="221F1F"/>
        </w:rPr>
        <w:t>Control</w:t>
      </w:r>
      <w:r>
        <w:rPr>
          <w:color w:val="221F1F"/>
          <w:spacing w:val="-6"/>
        </w:rPr>
        <w:t xml:space="preserve"> </w:t>
      </w:r>
      <w:r>
        <w:rPr>
          <w:color w:val="221F1F"/>
        </w:rPr>
        <w:t>and Internal Auditing Act</w:t>
      </w:r>
    </w:p>
    <w:p w14:paraId="6202D000" w14:textId="77777777" w:rsidR="002F549C" w:rsidRDefault="002F549C" w:rsidP="002F549C">
      <w:pPr>
        <w:pStyle w:val="BodyText"/>
        <w:tabs>
          <w:tab w:val="left" w:pos="1800"/>
        </w:tabs>
        <w:ind w:left="1800" w:right="647" w:hanging="1441"/>
      </w:pPr>
    </w:p>
    <w:p w14:paraId="478550E2" w14:textId="07F03916" w:rsidR="000F677D" w:rsidRDefault="004A7B8C" w:rsidP="002F549C">
      <w:pPr>
        <w:tabs>
          <w:tab w:val="left" w:pos="1800"/>
        </w:tabs>
        <w:ind w:left="360"/>
        <w:rPr>
          <w:sz w:val="26"/>
        </w:rPr>
      </w:pPr>
      <w:r>
        <w:rPr>
          <w:b/>
          <w:color w:val="221F1F"/>
          <w:spacing w:val="-2"/>
          <w:sz w:val="26"/>
        </w:rPr>
        <w:t>Funding:</w:t>
      </w:r>
      <w:r>
        <w:rPr>
          <w:b/>
          <w:color w:val="221F1F"/>
          <w:sz w:val="26"/>
        </w:rPr>
        <w:tab/>
      </w:r>
      <w:r>
        <w:rPr>
          <w:color w:val="221F1F"/>
          <w:sz w:val="26"/>
        </w:rPr>
        <w:t>No</w:t>
      </w:r>
      <w:r>
        <w:rPr>
          <w:color w:val="221F1F"/>
          <w:spacing w:val="-7"/>
          <w:sz w:val="26"/>
        </w:rPr>
        <w:t xml:space="preserve"> </w:t>
      </w:r>
      <w:r w:rsidR="00EA7351">
        <w:rPr>
          <w:color w:val="221F1F"/>
          <w:sz w:val="26"/>
        </w:rPr>
        <w:t>n</w:t>
      </w:r>
      <w:r>
        <w:rPr>
          <w:color w:val="221F1F"/>
          <w:sz w:val="26"/>
        </w:rPr>
        <w:t>ew</w:t>
      </w:r>
      <w:r>
        <w:rPr>
          <w:color w:val="221F1F"/>
          <w:spacing w:val="-7"/>
          <w:sz w:val="26"/>
        </w:rPr>
        <w:t xml:space="preserve"> </w:t>
      </w:r>
      <w:r w:rsidR="00EA7351">
        <w:rPr>
          <w:color w:val="221F1F"/>
          <w:sz w:val="26"/>
        </w:rPr>
        <w:t>f</w:t>
      </w:r>
      <w:r>
        <w:rPr>
          <w:color w:val="221F1F"/>
          <w:sz w:val="26"/>
        </w:rPr>
        <w:t>unding</w:t>
      </w:r>
      <w:r>
        <w:rPr>
          <w:color w:val="221F1F"/>
          <w:spacing w:val="-6"/>
          <w:sz w:val="26"/>
        </w:rPr>
        <w:t xml:space="preserve"> </w:t>
      </w:r>
      <w:r w:rsidR="00EA7351">
        <w:rPr>
          <w:color w:val="221F1F"/>
          <w:spacing w:val="-2"/>
          <w:sz w:val="26"/>
        </w:rPr>
        <w:t>r</w:t>
      </w:r>
      <w:r>
        <w:rPr>
          <w:color w:val="221F1F"/>
          <w:spacing w:val="-2"/>
          <w:sz w:val="26"/>
        </w:rPr>
        <w:t>equired</w:t>
      </w:r>
    </w:p>
    <w:p w14:paraId="607CB728" w14:textId="77777777" w:rsidR="000F677D" w:rsidRDefault="000F677D" w:rsidP="002F549C">
      <w:pPr>
        <w:pStyle w:val="BodyText"/>
        <w:ind w:left="0"/>
      </w:pPr>
    </w:p>
    <w:p w14:paraId="1A438C7A" w14:textId="77777777" w:rsidR="002F549C" w:rsidRDefault="002F549C" w:rsidP="002F549C">
      <w:pPr>
        <w:pStyle w:val="BodyText"/>
        <w:ind w:left="0"/>
      </w:pPr>
    </w:p>
    <w:p w14:paraId="202B8902" w14:textId="58F7FADD" w:rsidR="004D4CBF" w:rsidRPr="004D4CBF" w:rsidRDefault="004D4CBF" w:rsidP="002F549C">
      <w:pPr>
        <w:pStyle w:val="BodyText"/>
        <w:spacing w:line="480" w:lineRule="auto"/>
        <w:ind w:left="0" w:firstLine="1440"/>
        <w:rPr>
          <w:color w:val="221F1F"/>
        </w:rPr>
      </w:pPr>
      <w:r w:rsidRPr="004D4CBF">
        <w:rPr>
          <w:color w:val="221F1F"/>
        </w:rPr>
        <w:t>The Fiscal Control and Internal Auditing Act, 30 ILCS 10/2002 (the Act</w:t>
      </w:r>
      <w:r w:rsidR="00EA7351">
        <w:rPr>
          <w:color w:val="221F1F"/>
        </w:rPr>
        <w:t>)</w:t>
      </w:r>
      <w:r w:rsidRPr="004D4CBF">
        <w:rPr>
          <w:color w:val="221F1F"/>
        </w:rPr>
        <w:t xml:space="preserve">, as amended by Public Act 096-0795 (effective July 1, 2010), requires the chief executive officer of each State university to appoint a chief internal auditor (Auditor) to serve a five-year term beginning on the date of appointment. The Act stipulates that the annual salary of the Auditor may not be diminished during the term, and that the Auditor may be removed only for cause and following a hearing before the Executive Ethics Commission. Additionally, in carrying out auditing responsibilities, the Act grants the Auditor direct communication with the </w:t>
      </w:r>
      <w:r w:rsidR="00EA7351">
        <w:rPr>
          <w:color w:val="221F1F"/>
        </w:rPr>
        <w:t>p</w:t>
      </w:r>
      <w:r w:rsidRPr="004D4CBF">
        <w:rPr>
          <w:color w:val="221F1F"/>
        </w:rPr>
        <w:t>resident and the Board of Trustees.</w:t>
      </w:r>
    </w:p>
    <w:p w14:paraId="7E3A5E5B" w14:textId="58261485" w:rsidR="004D4CBF" w:rsidRPr="004D4CBF" w:rsidRDefault="004D4CBF" w:rsidP="002F549C">
      <w:pPr>
        <w:pStyle w:val="BodyText"/>
        <w:spacing w:line="480" w:lineRule="auto"/>
        <w:ind w:left="0" w:firstLine="1440"/>
        <w:rPr>
          <w:color w:val="221F1F"/>
        </w:rPr>
      </w:pPr>
      <w:r w:rsidRPr="004D4CBF">
        <w:rPr>
          <w:color w:val="221F1F"/>
        </w:rPr>
        <w:t xml:space="preserve">Julie A. Zemaitis currently serves as </w:t>
      </w:r>
      <w:r w:rsidR="002F549C">
        <w:rPr>
          <w:color w:val="221F1F"/>
        </w:rPr>
        <w:t>e</w:t>
      </w:r>
      <w:r w:rsidRPr="004D4CBF">
        <w:rPr>
          <w:color w:val="221F1F"/>
        </w:rPr>
        <w:t xml:space="preserve">xecutive </w:t>
      </w:r>
      <w:r w:rsidR="002F549C">
        <w:rPr>
          <w:color w:val="221F1F"/>
        </w:rPr>
        <w:t>d</w:t>
      </w:r>
      <w:r w:rsidRPr="004D4CBF">
        <w:rPr>
          <w:color w:val="221F1F"/>
        </w:rPr>
        <w:t xml:space="preserve">irector of the Office of University Audits, a position she has held since July 5, 2005. </w:t>
      </w:r>
      <w:r w:rsidR="00E632A5">
        <w:rPr>
          <w:color w:val="221F1F"/>
        </w:rPr>
        <w:t xml:space="preserve">The Board approved her current five-year academic professional appointment as </w:t>
      </w:r>
      <w:r w:rsidR="002F549C">
        <w:rPr>
          <w:color w:val="221F1F"/>
        </w:rPr>
        <w:t>a</w:t>
      </w:r>
      <w:r w:rsidR="00E632A5">
        <w:rPr>
          <w:color w:val="221F1F"/>
        </w:rPr>
        <w:t>uditor</w:t>
      </w:r>
      <w:r w:rsidRPr="004D4CBF">
        <w:rPr>
          <w:color w:val="221F1F"/>
        </w:rPr>
        <w:t xml:space="preserve"> on May 21, 2020, </w:t>
      </w:r>
      <w:r w:rsidR="00EA7351">
        <w:rPr>
          <w:color w:val="221F1F"/>
        </w:rPr>
        <w:t>which</w:t>
      </w:r>
      <w:r w:rsidRPr="004D4CBF">
        <w:rPr>
          <w:color w:val="221F1F"/>
        </w:rPr>
        <w:t xml:space="preserve"> is set to expire on June 30, 2025.</w:t>
      </w:r>
    </w:p>
    <w:p w14:paraId="34833C2F" w14:textId="019FB5BF" w:rsidR="000F677D" w:rsidRDefault="004D4CBF" w:rsidP="002F549C">
      <w:pPr>
        <w:pStyle w:val="BodyText"/>
        <w:spacing w:line="480" w:lineRule="auto"/>
        <w:ind w:left="0" w:firstLine="1440"/>
      </w:pPr>
      <w:r w:rsidRPr="004D4CBF">
        <w:rPr>
          <w:color w:val="221F1F"/>
        </w:rPr>
        <w:t xml:space="preserve">Ms. Zemaitis possesses the professional qualifications and experience </w:t>
      </w:r>
      <w:r w:rsidRPr="004D4CBF">
        <w:rPr>
          <w:color w:val="221F1F"/>
        </w:rPr>
        <w:lastRenderedPageBreak/>
        <w:t>required under the Act to continue serving as the University’s chief internal auditor</w:t>
      </w:r>
      <w:r w:rsidR="002F549C">
        <w:rPr>
          <w:color w:val="221F1F"/>
        </w:rPr>
        <w:t xml:space="preserve">. </w:t>
      </w:r>
      <w:r w:rsidR="004A7B8C">
        <w:rPr>
          <w:color w:val="221F1F"/>
        </w:rPr>
        <w:t>Board</w:t>
      </w:r>
      <w:r w:rsidR="004A7B8C">
        <w:rPr>
          <w:color w:val="221F1F"/>
          <w:spacing w:val="-6"/>
        </w:rPr>
        <w:t xml:space="preserve"> </w:t>
      </w:r>
      <w:r w:rsidR="004A7B8C">
        <w:rPr>
          <w:color w:val="221F1F"/>
        </w:rPr>
        <w:t>approval</w:t>
      </w:r>
      <w:r w:rsidR="004A7B8C">
        <w:rPr>
          <w:color w:val="221F1F"/>
          <w:spacing w:val="-5"/>
        </w:rPr>
        <w:t xml:space="preserve"> </w:t>
      </w:r>
      <w:r w:rsidR="004A7B8C">
        <w:rPr>
          <w:color w:val="221F1F"/>
        </w:rPr>
        <w:t>is</w:t>
      </w:r>
      <w:r w:rsidR="004A7B8C">
        <w:rPr>
          <w:color w:val="221F1F"/>
          <w:spacing w:val="-6"/>
        </w:rPr>
        <w:t xml:space="preserve"> </w:t>
      </w:r>
      <w:r w:rsidR="004A7B8C">
        <w:rPr>
          <w:color w:val="221F1F"/>
        </w:rPr>
        <w:t>requested</w:t>
      </w:r>
      <w:r w:rsidR="004A7B8C">
        <w:rPr>
          <w:color w:val="221F1F"/>
          <w:spacing w:val="-5"/>
        </w:rPr>
        <w:t xml:space="preserve"> </w:t>
      </w:r>
      <w:r w:rsidR="002F549C">
        <w:rPr>
          <w:color w:val="221F1F"/>
        </w:rPr>
        <w:t>for</w:t>
      </w:r>
      <w:r w:rsidR="004A7B8C">
        <w:rPr>
          <w:color w:val="221F1F"/>
          <w:spacing w:val="-5"/>
        </w:rPr>
        <w:t xml:space="preserve"> </w:t>
      </w:r>
      <w:r w:rsidR="004A7B8C">
        <w:rPr>
          <w:color w:val="221F1F"/>
        </w:rPr>
        <w:t>the</w:t>
      </w:r>
      <w:r w:rsidR="004A7B8C">
        <w:rPr>
          <w:color w:val="221F1F"/>
          <w:spacing w:val="-3"/>
        </w:rPr>
        <w:t xml:space="preserve"> </w:t>
      </w:r>
      <w:r w:rsidR="002F549C">
        <w:rPr>
          <w:color w:val="221F1F"/>
        </w:rPr>
        <w:t>p</w:t>
      </w:r>
      <w:r w:rsidR="004A7B8C">
        <w:rPr>
          <w:color w:val="221F1F"/>
        </w:rPr>
        <w:t>resident</w:t>
      </w:r>
      <w:r w:rsidR="004A7B8C">
        <w:rPr>
          <w:color w:val="221F1F"/>
          <w:spacing w:val="-3"/>
        </w:rPr>
        <w:t xml:space="preserve"> </w:t>
      </w:r>
      <w:r w:rsidR="002F549C">
        <w:rPr>
          <w:color w:val="221F1F"/>
          <w:spacing w:val="-3"/>
        </w:rPr>
        <w:t xml:space="preserve">of the University of Illinois System </w:t>
      </w:r>
      <w:r w:rsidR="002F549C">
        <w:rPr>
          <w:color w:val="221F1F"/>
        </w:rPr>
        <w:t>to</w:t>
      </w:r>
      <w:r w:rsidR="004A7B8C">
        <w:rPr>
          <w:color w:val="221F1F"/>
          <w:spacing w:val="-9"/>
        </w:rPr>
        <w:t xml:space="preserve"> </w:t>
      </w:r>
      <w:r w:rsidR="004A7B8C">
        <w:rPr>
          <w:color w:val="221F1F"/>
        </w:rPr>
        <w:t>authorize</w:t>
      </w:r>
      <w:r w:rsidR="004A7B8C">
        <w:rPr>
          <w:color w:val="221F1F"/>
          <w:spacing w:val="-5"/>
        </w:rPr>
        <w:t xml:space="preserve"> </w:t>
      </w:r>
      <w:r w:rsidR="004A7B8C">
        <w:rPr>
          <w:color w:val="221F1F"/>
          <w:spacing w:val="-2"/>
        </w:rPr>
        <w:t>Julie</w:t>
      </w:r>
      <w:r w:rsidR="002F549C">
        <w:rPr>
          <w:color w:val="221F1F"/>
          <w:spacing w:val="-2"/>
        </w:rPr>
        <w:t xml:space="preserve"> </w:t>
      </w:r>
      <w:r w:rsidR="004A7B8C">
        <w:rPr>
          <w:color w:val="221F1F"/>
        </w:rPr>
        <w:t xml:space="preserve">A. Zemaitis to receive an academic professional appointment for a five-year term as </w:t>
      </w:r>
      <w:r w:rsidR="00EA7351">
        <w:rPr>
          <w:color w:val="221F1F"/>
        </w:rPr>
        <w:t>c</w:t>
      </w:r>
      <w:r w:rsidR="004A7B8C">
        <w:rPr>
          <w:color w:val="221F1F"/>
        </w:rPr>
        <w:t>hief</w:t>
      </w:r>
      <w:r w:rsidR="004A7B8C">
        <w:rPr>
          <w:color w:val="221F1F"/>
          <w:spacing w:val="-2"/>
        </w:rPr>
        <w:t xml:space="preserve"> </w:t>
      </w:r>
      <w:r w:rsidR="00EA7351">
        <w:rPr>
          <w:color w:val="221F1F"/>
        </w:rPr>
        <w:t>i</w:t>
      </w:r>
      <w:r w:rsidR="004A7B8C">
        <w:rPr>
          <w:color w:val="221F1F"/>
        </w:rPr>
        <w:t>nternal</w:t>
      </w:r>
      <w:r w:rsidR="004A7B8C">
        <w:rPr>
          <w:color w:val="221F1F"/>
          <w:spacing w:val="-4"/>
        </w:rPr>
        <w:t xml:space="preserve"> </w:t>
      </w:r>
      <w:r w:rsidR="00EA7351">
        <w:rPr>
          <w:color w:val="221F1F"/>
        </w:rPr>
        <w:t>a</w:t>
      </w:r>
      <w:r w:rsidR="004A7B8C">
        <w:rPr>
          <w:color w:val="221F1F"/>
        </w:rPr>
        <w:t>uditor</w:t>
      </w:r>
      <w:r w:rsidR="004A7B8C">
        <w:rPr>
          <w:color w:val="221F1F"/>
          <w:spacing w:val="-2"/>
        </w:rPr>
        <w:t xml:space="preserve"> </w:t>
      </w:r>
      <w:r w:rsidR="004A7B8C">
        <w:rPr>
          <w:color w:val="221F1F"/>
        </w:rPr>
        <w:t>(or</w:t>
      </w:r>
      <w:r w:rsidR="004A7B8C">
        <w:rPr>
          <w:color w:val="221F1F"/>
          <w:spacing w:val="-4"/>
        </w:rPr>
        <w:t xml:space="preserve"> </w:t>
      </w:r>
      <w:r w:rsidR="004A7B8C">
        <w:rPr>
          <w:color w:val="221F1F"/>
        </w:rPr>
        <w:t>equivalent</w:t>
      </w:r>
      <w:r w:rsidR="004A7B8C">
        <w:rPr>
          <w:color w:val="221F1F"/>
          <w:spacing w:val="-4"/>
        </w:rPr>
        <w:t xml:space="preserve"> </w:t>
      </w:r>
      <w:r w:rsidR="004A7B8C">
        <w:rPr>
          <w:color w:val="221F1F"/>
        </w:rPr>
        <w:t>University</w:t>
      </w:r>
      <w:r w:rsidR="004A7B8C">
        <w:rPr>
          <w:color w:val="221F1F"/>
          <w:spacing w:val="-6"/>
        </w:rPr>
        <w:t xml:space="preserve"> </w:t>
      </w:r>
      <w:r w:rsidR="004A7B8C">
        <w:rPr>
          <w:color w:val="221F1F"/>
        </w:rPr>
        <w:t>position</w:t>
      </w:r>
      <w:r w:rsidR="004A7B8C">
        <w:rPr>
          <w:color w:val="221F1F"/>
          <w:spacing w:val="-4"/>
        </w:rPr>
        <w:t xml:space="preserve"> </w:t>
      </w:r>
      <w:r w:rsidR="004A7B8C">
        <w:rPr>
          <w:color w:val="221F1F"/>
        </w:rPr>
        <w:t>and</w:t>
      </w:r>
      <w:r w:rsidR="004A7B8C">
        <w:rPr>
          <w:color w:val="221F1F"/>
          <w:spacing w:val="-4"/>
        </w:rPr>
        <w:t xml:space="preserve"> </w:t>
      </w:r>
      <w:r w:rsidR="004A7B8C">
        <w:rPr>
          <w:color w:val="221F1F"/>
        </w:rPr>
        <w:t>title)</w:t>
      </w:r>
      <w:r w:rsidR="004A7B8C">
        <w:rPr>
          <w:color w:val="221F1F"/>
          <w:spacing w:val="-4"/>
        </w:rPr>
        <w:t xml:space="preserve"> </w:t>
      </w:r>
      <w:r w:rsidR="004A7B8C">
        <w:rPr>
          <w:color w:val="221F1F"/>
        </w:rPr>
        <w:t>commencing</w:t>
      </w:r>
      <w:r w:rsidR="004A7B8C">
        <w:rPr>
          <w:color w:val="221F1F"/>
          <w:spacing w:val="-2"/>
        </w:rPr>
        <w:t xml:space="preserve"> </w:t>
      </w:r>
      <w:r w:rsidR="004A7B8C">
        <w:rPr>
          <w:color w:val="221F1F"/>
        </w:rPr>
        <w:t>July</w:t>
      </w:r>
      <w:r w:rsidR="004A7B8C">
        <w:rPr>
          <w:color w:val="221F1F"/>
          <w:spacing w:val="-8"/>
        </w:rPr>
        <w:t xml:space="preserve"> </w:t>
      </w:r>
      <w:r w:rsidR="004A7B8C">
        <w:rPr>
          <w:color w:val="221F1F"/>
        </w:rPr>
        <w:t>1, 202</w:t>
      </w:r>
      <w:r w:rsidR="00B01B71">
        <w:rPr>
          <w:color w:val="221F1F"/>
        </w:rPr>
        <w:t>5</w:t>
      </w:r>
      <w:r w:rsidR="004A7B8C">
        <w:rPr>
          <w:color w:val="221F1F"/>
        </w:rPr>
        <w:t>, in accordance with the mandates of the Act.</w:t>
      </w:r>
      <w:r w:rsidR="004A7B8C">
        <w:rPr>
          <w:color w:val="221F1F"/>
          <w:spacing w:val="40"/>
        </w:rPr>
        <w:t xml:space="preserve"> </w:t>
      </w:r>
      <w:r w:rsidR="004A7B8C">
        <w:rPr>
          <w:color w:val="221F1F"/>
        </w:rPr>
        <w:t>The appointment shall be subject throughout the</w:t>
      </w:r>
      <w:r w:rsidR="004A7B8C">
        <w:rPr>
          <w:color w:val="221F1F"/>
          <w:spacing w:val="-3"/>
        </w:rPr>
        <w:t xml:space="preserve"> </w:t>
      </w:r>
      <w:r w:rsidR="004A7B8C">
        <w:rPr>
          <w:color w:val="221F1F"/>
        </w:rPr>
        <w:t>term</w:t>
      </w:r>
      <w:r w:rsidR="004A7B8C">
        <w:rPr>
          <w:color w:val="221F1F"/>
          <w:spacing w:val="-3"/>
        </w:rPr>
        <w:t xml:space="preserve"> </w:t>
      </w:r>
      <w:r w:rsidR="004A7B8C">
        <w:rPr>
          <w:color w:val="221F1F"/>
        </w:rPr>
        <w:t>to: (a)</w:t>
      </w:r>
      <w:r w:rsidR="004A7B8C">
        <w:rPr>
          <w:color w:val="221F1F"/>
          <w:spacing w:val="-3"/>
        </w:rPr>
        <w:t xml:space="preserve"> </w:t>
      </w:r>
      <w:r w:rsidR="004A7B8C">
        <w:rPr>
          <w:color w:val="221F1F"/>
        </w:rPr>
        <w:t>all</w:t>
      </w:r>
      <w:r w:rsidR="004A7B8C">
        <w:rPr>
          <w:color w:val="221F1F"/>
          <w:spacing w:val="-3"/>
        </w:rPr>
        <w:t xml:space="preserve"> </w:t>
      </w:r>
      <w:r w:rsidR="004A7B8C">
        <w:rPr>
          <w:color w:val="221F1F"/>
        </w:rPr>
        <w:t>applicable</w:t>
      </w:r>
      <w:r w:rsidR="004A7B8C">
        <w:rPr>
          <w:color w:val="221F1F"/>
          <w:spacing w:val="-3"/>
        </w:rPr>
        <w:t xml:space="preserve"> </w:t>
      </w:r>
      <w:r w:rsidR="004A7B8C">
        <w:rPr>
          <w:color w:val="221F1F"/>
        </w:rPr>
        <w:t>federal</w:t>
      </w:r>
      <w:r w:rsidR="004A7B8C">
        <w:rPr>
          <w:color w:val="221F1F"/>
          <w:spacing w:val="-3"/>
        </w:rPr>
        <w:t xml:space="preserve"> </w:t>
      </w:r>
      <w:r w:rsidR="004A7B8C">
        <w:rPr>
          <w:color w:val="221F1F"/>
        </w:rPr>
        <w:t>and</w:t>
      </w:r>
      <w:r w:rsidR="004A7B8C">
        <w:rPr>
          <w:color w:val="221F1F"/>
          <w:spacing w:val="-3"/>
        </w:rPr>
        <w:t xml:space="preserve"> </w:t>
      </w:r>
      <w:r w:rsidR="004A7B8C">
        <w:rPr>
          <w:color w:val="221F1F"/>
        </w:rPr>
        <w:t>State laws</w:t>
      </w:r>
      <w:r w:rsidR="004A7B8C">
        <w:rPr>
          <w:color w:val="221F1F"/>
          <w:spacing w:val="-3"/>
        </w:rPr>
        <w:t xml:space="preserve"> </w:t>
      </w:r>
      <w:r w:rsidR="004A7B8C">
        <w:rPr>
          <w:color w:val="221F1F"/>
        </w:rPr>
        <w:t>and</w:t>
      </w:r>
      <w:r w:rsidR="004A7B8C">
        <w:rPr>
          <w:color w:val="221F1F"/>
          <w:spacing w:val="-3"/>
        </w:rPr>
        <w:t xml:space="preserve"> </w:t>
      </w:r>
      <w:r w:rsidR="004A7B8C">
        <w:rPr>
          <w:color w:val="221F1F"/>
        </w:rPr>
        <w:t>regulations; (b)</w:t>
      </w:r>
      <w:r w:rsidR="004A7B8C">
        <w:rPr>
          <w:color w:val="221F1F"/>
          <w:spacing w:val="-3"/>
        </w:rPr>
        <w:t xml:space="preserve"> </w:t>
      </w:r>
      <w:r w:rsidR="004A7B8C">
        <w:rPr>
          <w:color w:val="221F1F"/>
        </w:rPr>
        <w:t xml:space="preserve">the University </w:t>
      </w:r>
      <w:r w:rsidR="004A7B8C">
        <w:rPr>
          <w:i/>
          <w:color w:val="221F1F"/>
        </w:rPr>
        <w:t xml:space="preserve">Statutes </w:t>
      </w:r>
      <w:r w:rsidR="004A7B8C" w:rsidRPr="00EA7351">
        <w:rPr>
          <w:iCs/>
          <w:color w:val="221F1F"/>
        </w:rPr>
        <w:t>and</w:t>
      </w:r>
      <w:r w:rsidR="004A7B8C">
        <w:rPr>
          <w:i/>
          <w:color w:val="221F1F"/>
        </w:rPr>
        <w:t xml:space="preserve"> The General Rules Concerning University Organization and Procedure</w:t>
      </w:r>
      <w:r w:rsidR="004A7B8C">
        <w:rPr>
          <w:color w:val="221F1F"/>
        </w:rPr>
        <w:t xml:space="preserve">; and (c) University employment policies for academic professional appointments, now in place or hereafter adopted, provided that such </w:t>
      </w:r>
      <w:r w:rsidR="004A7B8C">
        <w:rPr>
          <w:i/>
          <w:color w:val="221F1F"/>
        </w:rPr>
        <w:t>Statutes</w:t>
      </w:r>
      <w:r w:rsidR="004A7B8C" w:rsidRPr="00EA7351">
        <w:rPr>
          <w:iCs/>
          <w:color w:val="221F1F"/>
        </w:rPr>
        <w:t xml:space="preserve">, </w:t>
      </w:r>
      <w:r w:rsidR="00EA7351">
        <w:rPr>
          <w:i/>
          <w:color w:val="221F1F"/>
        </w:rPr>
        <w:t xml:space="preserve">The </w:t>
      </w:r>
      <w:r w:rsidR="004A7B8C">
        <w:rPr>
          <w:i/>
          <w:color w:val="221F1F"/>
        </w:rPr>
        <w:t>General Rules</w:t>
      </w:r>
      <w:r w:rsidR="004A7B8C" w:rsidRPr="00EA7351">
        <w:rPr>
          <w:iCs/>
          <w:color w:val="221F1F"/>
        </w:rPr>
        <w:t>,</w:t>
      </w:r>
      <w:r w:rsidR="004A7B8C">
        <w:rPr>
          <w:i/>
          <w:color w:val="221F1F"/>
        </w:rPr>
        <w:t xml:space="preserve"> </w:t>
      </w:r>
      <w:r w:rsidR="004A7B8C">
        <w:rPr>
          <w:color w:val="221F1F"/>
        </w:rPr>
        <w:t>and policies do not conflict with the provisions of the Act, as enacted, or as amended from time to time.</w:t>
      </w:r>
    </w:p>
    <w:p w14:paraId="29A8A467" w14:textId="77777777" w:rsidR="000F677D" w:rsidRDefault="004A7B8C" w:rsidP="002F549C">
      <w:pPr>
        <w:pStyle w:val="BodyText"/>
        <w:spacing w:line="480" w:lineRule="auto"/>
        <w:ind w:left="0" w:firstLine="1440"/>
      </w:pPr>
      <w:r>
        <w:rPr>
          <w:color w:val="221F1F"/>
        </w:rPr>
        <w:t>Section</w:t>
      </w:r>
      <w:r>
        <w:rPr>
          <w:color w:val="221F1F"/>
          <w:spacing w:val="-5"/>
        </w:rPr>
        <w:t xml:space="preserve"> </w:t>
      </w:r>
      <w:r>
        <w:rPr>
          <w:color w:val="221F1F"/>
        </w:rPr>
        <w:t>1(c)</w:t>
      </w:r>
      <w:r>
        <w:rPr>
          <w:color w:val="221F1F"/>
          <w:spacing w:val="-2"/>
        </w:rPr>
        <w:t xml:space="preserve"> </w:t>
      </w:r>
      <w:r>
        <w:rPr>
          <w:color w:val="221F1F"/>
        </w:rPr>
        <w:t>of</w:t>
      </w:r>
      <w:r>
        <w:rPr>
          <w:color w:val="221F1F"/>
          <w:spacing w:val="-2"/>
        </w:rPr>
        <w:t xml:space="preserve"> </w:t>
      </w:r>
      <w:r>
        <w:rPr>
          <w:color w:val="221F1F"/>
        </w:rPr>
        <w:t>Article</w:t>
      </w:r>
      <w:r>
        <w:rPr>
          <w:color w:val="221F1F"/>
          <w:spacing w:val="-2"/>
        </w:rPr>
        <w:t xml:space="preserve"> </w:t>
      </w:r>
      <w:r>
        <w:rPr>
          <w:color w:val="221F1F"/>
        </w:rPr>
        <w:t>IV</w:t>
      </w:r>
      <w:r>
        <w:rPr>
          <w:color w:val="221F1F"/>
          <w:spacing w:val="-5"/>
        </w:rPr>
        <w:t xml:space="preserve"> </w:t>
      </w:r>
      <w:r>
        <w:rPr>
          <w:color w:val="221F1F"/>
        </w:rPr>
        <w:t>of</w:t>
      </w:r>
      <w:r>
        <w:rPr>
          <w:color w:val="221F1F"/>
          <w:spacing w:val="-2"/>
        </w:rPr>
        <w:t xml:space="preserve"> </w:t>
      </w:r>
      <w:r>
        <w:rPr>
          <w:i/>
          <w:color w:val="221F1F"/>
        </w:rPr>
        <w:t>The</w:t>
      </w:r>
      <w:r>
        <w:rPr>
          <w:i/>
          <w:color w:val="221F1F"/>
          <w:spacing w:val="-5"/>
        </w:rPr>
        <w:t xml:space="preserve"> </w:t>
      </w:r>
      <w:r>
        <w:rPr>
          <w:i/>
          <w:color w:val="221F1F"/>
        </w:rPr>
        <w:t>General</w:t>
      </w:r>
      <w:r>
        <w:rPr>
          <w:i/>
          <w:color w:val="221F1F"/>
          <w:spacing w:val="-2"/>
        </w:rPr>
        <w:t xml:space="preserve"> </w:t>
      </w:r>
      <w:r>
        <w:rPr>
          <w:i/>
          <w:color w:val="221F1F"/>
        </w:rPr>
        <w:t>Rules</w:t>
      </w:r>
      <w:r>
        <w:rPr>
          <w:i/>
          <w:color w:val="221F1F"/>
          <w:spacing w:val="-5"/>
        </w:rPr>
        <w:t xml:space="preserve"> </w:t>
      </w:r>
      <w:r>
        <w:rPr>
          <w:color w:val="221F1F"/>
        </w:rPr>
        <w:t>of</w:t>
      </w:r>
      <w:r>
        <w:rPr>
          <w:color w:val="221F1F"/>
          <w:spacing w:val="-2"/>
        </w:rPr>
        <w:t xml:space="preserve"> </w:t>
      </w:r>
      <w:r>
        <w:rPr>
          <w:color w:val="221F1F"/>
        </w:rPr>
        <w:t>the</w:t>
      </w:r>
      <w:r>
        <w:rPr>
          <w:color w:val="221F1F"/>
          <w:spacing w:val="-5"/>
        </w:rPr>
        <w:t xml:space="preserve"> </w:t>
      </w:r>
      <w:r>
        <w:rPr>
          <w:color w:val="221F1F"/>
        </w:rPr>
        <w:t>University</w:t>
      </w:r>
      <w:r>
        <w:rPr>
          <w:color w:val="221F1F"/>
          <w:spacing w:val="-7"/>
        </w:rPr>
        <w:t xml:space="preserve"> </w:t>
      </w:r>
      <w:r>
        <w:rPr>
          <w:color w:val="221F1F"/>
        </w:rPr>
        <w:t>states</w:t>
      </w:r>
      <w:r>
        <w:rPr>
          <w:color w:val="221F1F"/>
          <w:spacing w:val="-5"/>
        </w:rPr>
        <w:t xml:space="preserve"> </w:t>
      </w:r>
      <w:r>
        <w:rPr>
          <w:color w:val="221F1F"/>
        </w:rPr>
        <w:t>that administrative staff shall generally be appointed to serve for twelve months.</w:t>
      </w:r>
    </w:p>
    <w:p w14:paraId="45B7C847" w14:textId="55855568" w:rsidR="000F677D" w:rsidRDefault="004A7B8C" w:rsidP="002F549C">
      <w:pPr>
        <w:pStyle w:val="BodyText"/>
        <w:spacing w:line="480" w:lineRule="auto"/>
        <w:ind w:left="0" w:right="203" w:firstLine="1440"/>
      </w:pPr>
      <w:r>
        <w:rPr>
          <w:color w:val="221F1F"/>
        </w:rPr>
        <w:t>Accordingly, it has been the long-standing practice of the Board to review and approve all employment agreements for academic professional appointments that have a term of more than one year.</w:t>
      </w:r>
      <w:r>
        <w:rPr>
          <w:color w:val="221F1F"/>
          <w:spacing w:val="40"/>
        </w:rPr>
        <w:t xml:space="preserve"> </w:t>
      </w:r>
      <w:r>
        <w:rPr>
          <w:color w:val="221F1F"/>
        </w:rPr>
        <w:t>Past examples include contracts for certain athletic coaches, and high-level</w:t>
      </w:r>
      <w:r>
        <w:rPr>
          <w:color w:val="221F1F"/>
          <w:spacing w:val="-4"/>
        </w:rPr>
        <w:t xml:space="preserve"> </w:t>
      </w:r>
      <w:r>
        <w:rPr>
          <w:color w:val="221F1F"/>
        </w:rPr>
        <w:t>administrative</w:t>
      </w:r>
      <w:r>
        <w:rPr>
          <w:color w:val="221F1F"/>
          <w:spacing w:val="-4"/>
        </w:rPr>
        <w:t xml:space="preserve"> </w:t>
      </w:r>
      <w:r>
        <w:rPr>
          <w:color w:val="221F1F"/>
        </w:rPr>
        <w:t>posts</w:t>
      </w:r>
      <w:r>
        <w:rPr>
          <w:color w:val="221F1F"/>
          <w:spacing w:val="-4"/>
        </w:rPr>
        <w:t xml:space="preserve"> </w:t>
      </w:r>
      <w:r>
        <w:rPr>
          <w:color w:val="221F1F"/>
        </w:rPr>
        <w:t>such</w:t>
      </w:r>
      <w:r>
        <w:rPr>
          <w:color w:val="221F1F"/>
          <w:spacing w:val="-4"/>
        </w:rPr>
        <w:t xml:space="preserve"> </w:t>
      </w:r>
      <w:r>
        <w:rPr>
          <w:color w:val="221F1F"/>
        </w:rPr>
        <w:t>as</w:t>
      </w:r>
      <w:r>
        <w:rPr>
          <w:color w:val="221F1F"/>
          <w:spacing w:val="-4"/>
        </w:rPr>
        <w:t xml:space="preserve"> </w:t>
      </w:r>
      <w:r>
        <w:rPr>
          <w:color w:val="221F1F"/>
        </w:rPr>
        <w:t>the</w:t>
      </w:r>
      <w:r>
        <w:rPr>
          <w:color w:val="221F1F"/>
          <w:spacing w:val="-4"/>
        </w:rPr>
        <w:t xml:space="preserve"> </w:t>
      </w:r>
      <w:r w:rsidR="00EA7351">
        <w:rPr>
          <w:color w:val="221F1F"/>
          <w:spacing w:val="-4"/>
        </w:rPr>
        <w:t>p</w:t>
      </w:r>
      <w:r>
        <w:rPr>
          <w:color w:val="221F1F"/>
        </w:rPr>
        <w:t>resident,</w:t>
      </w:r>
      <w:r>
        <w:rPr>
          <w:color w:val="221F1F"/>
          <w:spacing w:val="-4"/>
        </w:rPr>
        <w:t xml:space="preserve"> </w:t>
      </w:r>
      <w:r>
        <w:rPr>
          <w:color w:val="221F1F"/>
        </w:rPr>
        <w:t>and</w:t>
      </w:r>
      <w:r>
        <w:rPr>
          <w:color w:val="221F1F"/>
          <w:spacing w:val="-1"/>
        </w:rPr>
        <w:t xml:space="preserve"> </w:t>
      </w:r>
      <w:r>
        <w:rPr>
          <w:color w:val="221F1F"/>
        </w:rPr>
        <w:t>the</w:t>
      </w:r>
      <w:r>
        <w:rPr>
          <w:color w:val="221F1F"/>
          <w:spacing w:val="-4"/>
        </w:rPr>
        <w:t xml:space="preserve"> </w:t>
      </w:r>
      <w:r>
        <w:rPr>
          <w:color w:val="221F1F"/>
        </w:rPr>
        <w:t>chancellors</w:t>
      </w:r>
      <w:r>
        <w:rPr>
          <w:color w:val="221F1F"/>
          <w:spacing w:val="-4"/>
        </w:rPr>
        <w:t xml:space="preserve"> </w:t>
      </w:r>
      <w:r>
        <w:rPr>
          <w:color w:val="221F1F"/>
        </w:rPr>
        <w:t>for</w:t>
      </w:r>
      <w:r>
        <w:rPr>
          <w:color w:val="221F1F"/>
          <w:spacing w:val="-4"/>
        </w:rPr>
        <w:t xml:space="preserve"> </w:t>
      </w:r>
      <w:r>
        <w:rPr>
          <w:color w:val="221F1F"/>
        </w:rPr>
        <w:t>each</w:t>
      </w:r>
      <w:r>
        <w:rPr>
          <w:color w:val="221F1F"/>
          <w:spacing w:val="-4"/>
        </w:rPr>
        <w:t xml:space="preserve"> </w:t>
      </w:r>
      <w:r>
        <w:rPr>
          <w:color w:val="221F1F"/>
        </w:rPr>
        <w:t>of</w:t>
      </w:r>
      <w:r>
        <w:rPr>
          <w:color w:val="221F1F"/>
          <w:spacing w:val="-1"/>
        </w:rPr>
        <w:t xml:space="preserve"> </w:t>
      </w:r>
      <w:r>
        <w:rPr>
          <w:color w:val="221F1F"/>
        </w:rPr>
        <w:t xml:space="preserve">the </w:t>
      </w:r>
      <w:r>
        <w:rPr>
          <w:color w:val="221F1F"/>
          <w:spacing w:val="-2"/>
        </w:rPr>
        <w:t>universities.</w:t>
      </w:r>
    </w:p>
    <w:p w14:paraId="368B22DC" w14:textId="77777777" w:rsidR="000F677D" w:rsidRDefault="004A7B8C" w:rsidP="002F549C">
      <w:pPr>
        <w:spacing w:line="480" w:lineRule="auto"/>
        <w:ind w:right="590" w:firstLine="1440"/>
        <w:rPr>
          <w:sz w:val="26"/>
        </w:rPr>
      </w:pPr>
      <w:r>
        <w:rPr>
          <w:color w:val="221F1F"/>
          <w:sz w:val="26"/>
        </w:rPr>
        <w:t>The Board action recommended in this item complies in all material respects</w:t>
      </w:r>
      <w:r>
        <w:rPr>
          <w:color w:val="221F1F"/>
          <w:spacing w:val="-5"/>
          <w:sz w:val="26"/>
        </w:rPr>
        <w:t xml:space="preserve"> </w:t>
      </w:r>
      <w:r>
        <w:rPr>
          <w:color w:val="221F1F"/>
          <w:sz w:val="26"/>
        </w:rPr>
        <w:t>with</w:t>
      </w:r>
      <w:r>
        <w:rPr>
          <w:color w:val="221F1F"/>
          <w:spacing w:val="-5"/>
          <w:sz w:val="26"/>
        </w:rPr>
        <w:t xml:space="preserve"> </w:t>
      </w:r>
      <w:r>
        <w:rPr>
          <w:color w:val="221F1F"/>
          <w:sz w:val="26"/>
        </w:rPr>
        <w:t>applicable</w:t>
      </w:r>
      <w:r>
        <w:rPr>
          <w:color w:val="221F1F"/>
          <w:spacing w:val="-5"/>
          <w:sz w:val="26"/>
        </w:rPr>
        <w:t xml:space="preserve"> </w:t>
      </w:r>
      <w:r>
        <w:rPr>
          <w:color w:val="221F1F"/>
          <w:sz w:val="26"/>
        </w:rPr>
        <w:t>State</w:t>
      </w:r>
      <w:r>
        <w:rPr>
          <w:color w:val="221F1F"/>
          <w:spacing w:val="-5"/>
          <w:sz w:val="26"/>
        </w:rPr>
        <w:t xml:space="preserve"> </w:t>
      </w:r>
      <w:r>
        <w:rPr>
          <w:color w:val="221F1F"/>
          <w:sz w:val="26"/>
        </w:rPr>
        <w:t>and</w:t>
      </w:r>
      <w:r>
        <w:rPr>
          <w:color w:val="221F1F"/>
          <w:spacing w:val="-2"/>
          <w:sz w:val="26"/>
        </w:rPr>
        <w:t xml:space="preserve"> </w:t>
      </w:r>
      <w:r>
        <w:rPr>
          <w:color w:val="221F1F"/>
          <w:sz w:val="26"/>
        </w:rPr>
        <w:t>Federal</w:t>
      </w:r>
      <w:r>
        <w:rPr>
          <w:color w:val="221F1F"/>
          <w:spacing w:val="-5"/>
          <w:sz w:val="26"/>
        </w:rPr>
        <w:t xml:space="preserve"> </w:t>
      </w:r>
      <w:r>
        <w:rPr>
          <w:color w:val="221F1F"/>
          <w:sz w:val="26"/>
        </w:rPr>
        <w:t>laws,</w:t>
      </w:r>
      <w:r>
        <w:rPr>
          <w:color w:val="221F1F"/>
          <w:spacing w:val="-5"/>
          <w:sz w:val="26"/>
        </w:rPr>
        <w:t xml:space="preserve"> </w:t>
      </w:r>
      <w:r>
        <w:rPr>
          <w:color w:val="221F1F"/>
          <w:sz w:val="26"/>
        </w:rPr>
        <w:t>University</w:t>
      </w:r>
      <w:r>
        <w:rPr>
          <w:color w:val="221F1F"/>
          <w:spacing w:val="-9"/>
          <w:sz w:val="26"/>
        </w:rPr>
        <w:t xml:space="preserve"> </w:t>
      </w:r>
      <w:r>
        <w:rPr>
          <w:color w:val="221F1F"/>
          <w:sz w:val="26"/>
        </w:rPr>
        <w:t>of</w:t>
      </w:r>
      <w:r>
        <w:rPr>
          <w:color w:val="221F1F"/>
          <w:spacing w:val="-2"/>
          <w:sz w:val="26"/>
        </w:rPr>
        <w:t xml:space="preserve"> </w:t>
      </w:r>
      <w:r>
        <w:rPr>
          <w:color w:val="221F1F"/>
          <w:sz w:val="26"/>
        </w:rPr>
        <w:t>Illinois</w:t>
      </w:r>
      <w:r>
        <w:rPr>
          <w:color w:val="221F1F"/>
          <w:spacing w:val="-2"/>
          <w:sz w:val="26"/>
        </w:rPr>
        <w:t xml:space="preserve"> </w:t>
      </w:r>
      <w:r>
        <w:rPr>
          <w:i/>
          <w:color w:val="221F1F"/>
          <w:sz w:val="26"/>
        </w:rPr>
        <w:t>Statutes</w:t>
      </w:r>
      <w:r w:rsidRPr="00EA7351">
        <w:rPr>
          <w:iCs/>
          <w:color w:val="221F1F"/>
          <w:sz w:val="26"/>
        </w:rPr>
        <w:t>,</w:t>
      </w:r>
      <w:r>
        <w:rPr>
          <w:i/>
          <w:color w:val="221F1F"/>
          <w:spacing w:val="-2"/>
          <w:sz w:val="26"/>
        </w:rPr>
        <w:t xml:space="preserve"> </w:t>
      </w:r>
      <w:r>
        <w:rPr>
          <w:i/>
          <w:color w:val="221F1F"/>
          <w:sz w:val="26"/>
        </w:rPr>
        <w:t>The General Rules Concerning University Organization and Procedure</w:t>
      </w:r>
      <w:r w:rsidRPr="00EA7351">
        <w:rPr>
          <w:iCs/>
          <w:color w:val="221F1F"/>
          <w:sz w:val="26"/>
        </w:rPr>
        <w:t>,</w:t>
      </w:r>
      <w:r>
        <w:rPr>
          <w:i/>
          <w:color w:val="221F1F"/>
          <w:sz w:val="26"/>
        </w:rPr>
        <w:t xml:space="preserve"> </w:t>
      </w:r>
      <w:r>
        <w:rPr>
          <w:color w:val="221F1F"/>
          <w:sz w:val="26"/>
        </w:rPr>
        <w:t>and Board of Trustees policies and directives.</w:t>
      </w:r>
    </w:p>
    <w:p w14:paraId="12C52E50" w14:textId="0AB3FAB4" w:rsidR="000F677D" w:rsidRDefault="004A7B8C" w:rsidP="002F549C">
      <w:pPr>
        <w:pStyle w:val="BodyText"/>
        <w:spacing w:before="1"/>
        <w:ind w:left="0" w:firstLine="1440"/>
      </w:pPr>
      <w:r>
        <w:rPr>
          <w:color w:val="221F1F"/>
        </w:rPr>
        <w:lastRenderedPageBreak/>
        <w:t>The</w:t>
      </w:r>
      <w:r>
        <w:rPr>
          <w:color w:val="221F1F"/>
          <w:spacing w:val="-7"/>
        </w:rPr>
        <w:t xml:space="preserve"> </w:t>
      </w:r>
      <w:r w:rsidR="002F549C">
        <w:rPr>
          <w:color w:val="221F1F"/>
          <w:spacing w:val="-7"/>
        </w:rPr>
        <w:t>p</w:t>
      </w:r>
      <w:r>
        <w:rPr>
          <w:color w:val="221F1F"/>
        </w:rPr>
        <w:t>resident</w:t>
      </w:r>
      <w:r>
        <w:rPr>
          <w:color w:val="221F1F"/>
          <w:spacing w:val="-7"/>
        </w:rPr>
        <w:t xml:space="preserve"> </w:t>
      </w:r>
      <w:r>
        <w:rPr>
          <w:color w:val="221F1F"/>
        </w:rPr>
        <w:t>of</w:t>
      </w:r>
      <w:r>
        <w:rPr>
          <w:color w:val="221F1F"/>
          <w:spacing w:val="-4"/>
        </w:rPr>
        <w:t xml:space="preserve"> </w:t>
      </w:r>
      <w:r>
        <w:rPr>
          <w:color w:val="221F1F"/>
        </w:rPr>
        <w:t>the</w:t>
      </w:r>
      <w:r>
        <w:rPr>
          <w:color w:val="221F1F"/>
          <w:spacing w:val="-7"/>
        </w:rPr>
        <w:t xml:space="preserve"> </w:t>
      </w:r>
      <w:r>
        <w:rPr>
          <w:color w:val="221F1F"/>
        </w:rPr>
        <w:t>University</w:t>
      </w:r>
      <w:r w:rsidR="002F549C">
        <w:rPr>
          <w:color w:val="221F1F"/>
        </w:rPr>
        <w:t xml:space="preserve"> of Illinois System</w:t>
      </w:r>
      <w:r>
        <w:rPr>
          <w:color w:val="221F1F"/>
          <w:spacing w:val="-11"/>
        </w:rPr>
        <w:t xml:space="preserve"> </w:t>
      </w:r>
      <w:r>
        <w:rPr>
          <w:color w:val="221F1F"/>
        </w:rPr>
        <w:t>recommends</w:t>
      </w:r>
      <w:r>
        <w:rPr>
          <w:color w:val="221F1F"/>
          <w:spacing w:val="-4"/>
        </w:rPr>
        <w:t xml:space="preserve"> </w:t>
      </w:r>
      <w:r>
        <w:rPr>
          <w:color w:val="221F1F"/>
          <w:spacing w:val="-2"/>
        </w:rPr>
        <w:t>approval.</w:t>
      </w:r>
    </w:p>
    <w:sectPr w:rsidR="000F677D" w:rsidSect="002F549C">
      <w:headerReference w:type="even" r:id="rId6"/>
      <w:headerReference w:type="default" r:id="rId7"/>
      <w:footerReference w:type="even" r:id="rId8"/>
      <w:footerReference w:type="default" r:id="rId9"/>
      <w:headerReference w:type="first" r:id="rId10"/>
      <w:footerReference w:type="first" r:id="rId11"/>
      <w:pgSz w:w="12240" w:h="15840"/>
      <w:pgMar w:top="72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611C8" w14:textId="77777777" w:rsidR="008409EB" w:rsidRDefault="008409EB" w:rsidP="002F549C">
      <w:r>
        <w:separator/>
      </w:r>
    </w:p>
  </w:endnote>
  <w:endnote w:type="continuationSeparator" w:id="0">
    <w:p w14:paraId="06DC9FFD" w14:textId="77777777" w:rsidR="008409EB" w:rsidRDefault="008409EB" w:rsidP="002F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A2E2" w14:textId="77777777" w:rsidR="002F549C" w:rsidRDefault="002F5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D19A3" w14:textId="77777777" w:rsidR="002F549C" w:rsidRDefault="002F54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473E" w14:textId="77777777" w:rsidR="002F549C" w:rsidRDefault="002F5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26A11" w14:textId="77777777" w:rsidR="008409EB" w:rsidRDefault="008409EB" w:rsidP="002F549C">
      <w:r>
        <w:separator/>
      </w:r>
    </w:p>
  </w:footnote>
  <w:footnote w:type="continuationSeparator" w:id="0">
    <w:p w14:paraId="3C5A7D28" w14:textId="77777777" w:rsidR="008409EB" w:rsidRDefault="008409EB" w:rsidP="002F5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8F2C6" w14:textId="77777777" w:rsidR="002F549C" w:rsidRDefault="002F5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42975"/>
      <w:docPartObj>
        <w:docPartGallery w:val="Page Numbers (Top of Page)"/>
        <w:docPartUnique/>
      </w:docPartObj>
    </w:sdtPr>
    <w:sdtEndPr>
      <w:rPr>
        <w:noProof/>
        <w:sz w:val="26"/>
        <w:szCs w:val="26"/>
      </w:rPr>
    </w:sdtEndPr>
    <w:sdtContent>
      <w:p w14:paraId="5A068FEB" w14:textId="5506E615" w:rsidR="002F549C" w:rsidRPr="002F549C" w:rsidRDefault="002F549C">
        <w:pPr>
          <w:pStyle w:val="Header"/>
          <w:jc w:val="center"/>
          <w:rPr>
            <w:sz w:val="26"/>
            <w:szCs w:val="26"/>
          </w:rPr>
        </w:pPr>
        <w:r w:rsidRPr="002F549C">
          <w:rPr>
            <w:sz w:val="26"/>
            <w:szCs w:val="26"/>
          </w:rPr>
          <w:fldChar w:fldCharType="begin"/>
        </w:r>
        <w:r w:rsidRPr="002F549C">
          <w:rPr>
            <w:sz w:val="26"/>
            <w:szCs w:val="26"/>
          </w:rPr>
          <w:instrText xml:space="preserve"> PAGE   \* MERGEFORMAT </w:instrText>
        </w:r>
        <w:r w:rsidRPr="002F549C">
          <w:rPr>
            <w:sz w:val="26"/>
            <w:szCs w:val="26"/>
          </w:rPr>
          <w:fldChar w:fldCharType="separate"/>
        </w:r>
        <w:r w:rsidRPr="002F549C">
          <w:rPr>
            <w:noProof/>
            <w:sz w:val="26"/>
            <w:szCs w:val="26"/>
          </w:rPr>
          <w:t>2</w:t>
        </w:r>
        <w:r w:rsidRPr="002F549C">
          <w:rPr>
            <w:noProof/>
            <w:sz w:val="26"/>
            <w:szCs w:val="26"/>
          </w:rPr>
          <w:fldChar w:fldCharType="end"/>
        </w:r>
      </w:p>
    </w:sdtContent>
  </w:sdt>
  <w:p w14:paraId="78225D6B" w14:textId="77777777" w:rsidR="002F549C" w:rsidRDefault="002F54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5A15D" w14:textId="77777777" w:rsidR="002F549C" w:rsidRDefault="002F54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sDQ3tjQDAgtTI0sDMyUdpeDU4uLM/DyQAsNaAEUoLZssAAAA"/>
  </w:docVars>
  <w:rsids>
    <w:rsidRoot w:val="000F677D"/>
    <w:rsid w:val="000C3B7F"/>
    <w:rsid w:val="000F677D"/>
    <w:rsid w:val="00143DC9"/>
    <w:rsid w:val="002703E8"/>
    <w:rsid w:val="002F549C"/>
    <w:rsid w:val="002F6245"/>
    <w:rsid w:val="003B481C"/>
    <w:rsid w:val="003F2E7E"/>
    <w:rsid w:val="00481261"/>
    <w:rsid w:val="00495C7D"/>
    <w:rsid w:val="004A7B8C"/>
    <w:rsid w:val="004D4CBF"/>
    <w:rsid w:val="004F7562"/>
    <w:rsid w:val="005346E9"/>
    <w:rsid w:val="005528B5"/>
    <w:rsid w:val="00633148"/>
    <w:rsid w:val="006902DB"/>
    <w:rsid w:val="008409EB"/>
    <w:rsid w:val="0085278E"/>
    <w:rsid w:val="00894D13"/>
    <w:rsid w:val="00953F0C"/>
    <w:rsid w:val="00A2774E"/>
    <w:rsid w:val="00B01B71"/>
    <w:rsid w:val="00BA2279"/>
    <w:rsid w:val="00BD058D"/>
    <w:rsid w:val="00C46BAB"/>
    <w:rsid w:val="00CE4CD5"/>
    <w:rsid w:val="00D86C82"/>
    <w:rsid w:val="00E632A5"/>
    <w:rsid w:val="00EA7351"/>
    <w:rsid w:val="00EB410E"/>
    <w:rsid w:val="00F47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0BC51"/>
  <w15:docId w15:val="{B492C283-E6D1-448E-AF42-2DD03C53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BodyText"/>
    <w:next w:val="Normal"/>
    <w:link w:val="Heading1Char"/>
    <w:uiPriority w:val="9"/>
    <w:qFormat/>
    <w:rsid w:val="003F2E7E"/>
    <w:pPr>
      <w:ind w:right="5"/>
      <w:jc w:val="center"/>
      <w:outlineLvl w:val="0"/>
    </w:pPr>
    <w:rPr>
      <w:color w:val="221F1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rPr>
      <w:sz w:val="26"/>
      <w:szCs w:val="26"/>
    </w:rPr>
  </w:style>
  <w:style w:type="paragraph" w:styleId="Title">
    <w:name w:val="Title"/>
    <w:basedOn w:val="Normal"/>
    <w:uiPriority w:val="10"/>
    <w:qFormat/>
    <w:pPr>
      <w:spacing w:before="59"/>
      <w:ind w:right="-15"/>
      <w:jc w:val="right"/>
    </w:pPr>
    <w:rPr>
      <w:b/>
      <w:bCs/>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5346E9"/>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01B71"/>
    <w:rPr>
      <w:sz w:val="16"/>
      <w:szCs w:val="16"/>
    </w:rPr>
  </w:style>
  <w:style w:type="paragraph" w:styleId="CommentText">
    <w:name w:val="annotation text"/>
    <w:basedOn w:val="Normal"/>
    <w:link w:val="CommentTextChar"/>
    <w:uiPriority w:val="99"/>
    <w:unhideWhenUsed/>
    <w:rsid w:val="00B01B71"/>
    <w:rPr>
      <w:sz w:val="20"/>
      <w:szCs w:val="20"/>
    </w:rPr>
  </w:style>
  <w:style w:type="character" w:customStyle="1" w:styleId="CommentTextChar">
    <w:name w:val="Comment Text Char"/>
    <w:basedOn w:val="DefaultParagraphFont"/>
    <w:link w:val="CommentText"/>
    <w:uiPriority w:val="99"/>
    <w:rsid w:val="00B01B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71"/>
    <w:rPr>
      <w:b/>
      <w:bCs/>
    </w:rPr>
  </w:style>
  <w:style w:type="character" w:customStyle="1" w:styleId="CommentSubjectChar">
    <w:name w:val="Comment Subject Char"/>
    <w:basedOn w:val="CommentTextChar"/>
    <w:link w:val="CommentSubject"/>
    <w:uiPriority w:val="99"/>
    <w:semiHidden/>
    <w:rsid w:val="00B01B7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F549C"/>
    <w:pPr>
      <w:tabs>
        <w:tab w:val="center" w:pos="4680"/>
        <w:tab w:val="right" w:pos="9360"/>
      </w:tabs>
    </w:pPr>
  </w:style>
  <w:style w:type="character" w:customStyle="1" w:styleId="HeaderChar">
    <w:name w:val="Header Char"/>
    <w:basedOn w:val="DefaultParagraphFont"/>
    <w:link w:val="Header"/>
    <w:uiPriority w:val="99"/>
    <w:rsid w:val="002F549C"/>
    <w:rPr>
      <w:rFonts w:ascii="Times New Roman" w:eastAsia="Times New Roman" w:hAnsi="Times New Roman" w:cs="Times New Roman"/>
    </w:rPr>
  </w:style>
  <w:style w:type="paragraph" w:styleId="Footer">
    <w:name w:val="footer"/>
    <w:basedOn w:val="Normal"/>
    <w:link w:val="FooterChar"/>
    <w:uiPriority w:val="99"/>
    <w:unhideWhenUsed/>
    <w:rsid w:val="002F549C"/>
    <w:pPr>
      <w:tabs>
        <w:tab w:val="center" w:pos="4680"/>
        <w:tab w:val="right" w:pos="9360"/>
      </w:tabs>
    </w:pPr>
  </w:style>
  <w:style w:type="character" w:customStyle="1" w:styleId="FooterChar">
    <w:name w:val="Footer Char"/>
    <w:basedOn w:val="DefaultParagraphFont"/>
    <w:link w:val="Footer"/>
    <w:uiPriority w:val="99"/>
    <w:rsid w:val="002F549C"/>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F2E7E"/>
    <w:rPr>
      <w:rFonts w:ascii="Times New Roman" w:eastAsia="Times New Roman" w:hAnsi="Times New Roman" w:cs="Times New Roman"/>
      <w:color w:val="221F1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493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006-may-Internal-Auditor.pdf</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006-may-Internal-Auditor.pdf</dc:title>
  <dc:creator>alsterda</dc:creator>
  <cp:lastModifiedBy>Williams, Aubrie</cp:lastModifiedBy>
  <cp:revision>13</cp:revision>
  <cp:lastPrinted>2025-04-25T14:55:00Z</cp:lastPrinted>
  <dcterms:created xsi:type="dcterms:W3CDTF">2025-04-21T19:26:00Z</dcterms:created>
  <dcterms:modified xsi:type="dcterms:W3CDTF">2025-05-23T13:49:00Z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Acrobat PDFMaker 20 for Word</vt:lpwstr>
  </property>
  <property fmtid="{D5CDD505-2E9C-101B-9397-08002B2CF9AE}" pid="4" name="LastSaved">
    <vt:filetime>2025-04-18T00:00:00Z</vt:filetime>
  </property>
  <property fmtid="{D5CDD505-2E9C-101B-9397-08002B2CF9AE}" pid="5" name="Producer">
    <vt:lpwstr>Adobe PDF Library 20.9.95</vt:lpwstr>
  </property>
  <property fmtid="{D5CDD505-2E9C-101B-9397-08002B2CF9AE}" pid="6" name="SourceModified">
    <vt:lpwstr>D:20200513162107</vt:lpwstr>
  </property>
  <property fmtid="{D5CDD505-2E9C-101B-9397-08002B2CF9AE}" pid="7" name="GrammarlyDocumentId">
    <vt:lpwstr>0361451722843e6369634ffc7bfc0b579a6e3c19da12ea76e0f592d0d369a18c</vt:lpwstr>
  </property>
</Properties>
</file>