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C7E09" w14:textId="77777777" w:rsidR="0052470E" w:rsidRPr="0052470E" w:rsidRDefault="0052470E" w:rsidP="0052470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eastAsia="Times New Roman"/>
          <w:color w:val="FF0000"/>
          <w:szCs w:val="26"/>
        </w:rPr>
      </w:pPr>
      <w:bookmarkStart w:id="0" w:name="_Hlk77839959"/>
      <w:bookmarkStart w:id="1" w:name="_Hlk93577479"/>
      <w:r w:rsidRPr="0052470E">
        <w:rPr>
          <w:rFonts w:eastAsia="Times New Roman"/>
          <w:color w:val="FF0000"/>
          <w:szCs w:val="26"/>
        </w:rPr>
        <w:t>Approved by the Board of Trustees</w:t>
      </w:r>
    </w:p>
    <w:bookmarkEnd w:id="0"/>
    <w:bookmarkEnd w:id="1"/>
    <w:p w14:paraId="794BE4E0" w14:textId="77777777" w:rsidR="0052470E" w:rsidRPr="0052470E" w:rsidRDefault="0052470E" w:rsidP="0052470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eastAsia="Times New Roman"/>
          <w:color w:val="FF0000"/>
          <w:szCs w:val="26"/>
        </w:rPr>
      </w:pPr>
      <w:r w:rsidRPr="0052470E">
        <w:rPr>
          <w:rFonts w:eastAsia="Times New Roman"/>
          <w:color w:val="FF0000"/>
          <w:szCs w:val="26"/>
        </w:rPr>
        <w:t>May 22, 2025</w:t>
      </w:r>
    </w:p>
    <w:p w14:paraId="6E36DDA8" w14:textId="20AC1C32" w:rsidR="002F2D48" w:rsidRPr="006F284F" w:rsidRDefault="00AD339F"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tLeast"/>
        <w:jc w:val="right"/>
        <w:textAlignment w:val="baseline"/>
        <w:rPr>
          <w:rFonts w:eastAsia="Times New Roman"/>
          <w:b/>
          <w:color w:val="000000"/>
          <w:sz w:val="60"/>
          <w:szCs w:val="60"/>
        </w:rPr>
      </w:pPr>
      <w:r>
        <w:rPr>
          <w:rFonts w:eastAsia="Times New Roman"/>
          <w:b/>
          <w:color w:val="000000"/>
          <w:sz w:val="60"/>
          <w:szCs w:val="60"/>
        </w:rPr>
        <w:t>33</w:t>
      </w:r>
      <w:r w:rsidR="00D743A9">
        <w:rPr>
          <w:rFonts w:eastAsia="Times New Roman"/>
          <w:b/>
          <w:color w:val="000000"/>
          <w:sz w:val="60"/>
          <w:szCs w:val="60"/>
        </w:rPr>
        <w:t xml:space="preserve"> </w:t>
      </w:r>
    </w:p>
    <w:p w14:paraId="49E25591"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color w:val="000000"/>
          <w:szCs w:val="26"/>
        </w:rPr>
      </w:pPr>
    </w:p>
    <w:p w14:paraId="0AF965EF"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color w:val="000000"/>
          <w:szCs w:val="26"/>
        </w:rPr>
      </w:pPr>
    </w:p>
    <w:p w14:paraId="1CC83587" w14:textId="77777777" w:rsidR="002F2D48" w:rsidRPr="006F284F" w:rsidRDefault="002F2D48" w:rsidP="00D743A9">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8640"/>
          <w:tab w:val="left" w:pos="9090"/>
          <w:tab w:val="left" w:pos="10080"/>
          <w:tab w:val="left" w:pos="10800"/>
        </w:tabs>
        <w:overflowPunct w:val="0"/>
        <w:autoSpaceDE w:val="0"/>
        <w:autoSpaceDN w:val="0"/>
        <w:adjustRightInd w:val="0"/>
        <w:spacing w:after="0" w:line="240" w:lineRule="auto"/>
        <w:ind w:left="7200"/>
        <w:textAlignment w:val="baseline"/>
        <w:rPr>
          <w:rFonts w:eastAsia="Times New Roman"/>
          <w:color w:val="000000"/>
          <w:szCs w:val="26"/>
        </w:rPr>
      </w:pPr>
      <w:r w:rsidRPr="006F284F">
        <w:rPr>
          <w:rFonts w:eastAsia="Times New Roman"/>
          <w:color w:val="000000"/>
          <w:szCs w:val="26"/>
        </w:rPr>
        <w:t>Board Meeting</w:t>
      </w:r>
    </w:p>
    <w:p w14:paraId="47BA3C42" w14:textId="7AFB7CA8" w:rsidR="002F2D48" w:rsidRPr="006F284F" w:rsidRDefault="002F2D48" w:rsidP="00D743A9">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8640"/>
          <w:tab w:val="left" w:pos="9090"/>
          <w:tab w:val="left" w:pos="10080"/>
          <w:tab w:val="left" w:pos="10800"/>
        </w:tabs>
        <w:overflowPunct w:val="0"/>
        <w:autoSpaceDE w:val="0"/>
        <w:autoSpaceDN w:val="0"/>
        <w:adjustRightInd w:val="0"/>
        <w:spacing w:after="0" w:line="240" w:lineRule="auto"/>
        <w:ind w:left="7200"/>
        <w:textAlignment w:val="baseline"/>
        <w:rPr>
          <w:rFonts w:eastAsia="Times New Roman"/>
          <w:szCs w:val="26"/>
        </w:rPr>
      </w:pPr>
      <w:r>
        <w:rPr>
          <w:rFonts w:eastAsia="Times New Roman"/>
          <w:szCs w:val="26"/>
        </w:rPr>
        <w:t>Ma</w:t>
      </w:r>
      <w:r w:rsidR="00201AC3">
        <w:rPr>
          <w:rFonts w:eastAsia="Times New Roman"/>
          <w:szCs w:val="26"/>
        </w:rPr>
        <w:t>y</w:t>
      </w:r>
      <w:r>
        <w:rPr>
          <w:rFonts w:eastAsia="Times New Roman"/>
          <w:szCs w:val="26"/>
        </w:rPr>
        <w:t xml:space="preserve"> 2</w:t>
      </w:r>
      <w:r w:rsidR="00201AC3">
        <w:rPr>
          <w:rFonts w:eastAsia="Times New Roman"/>
          <w:szCs w:val="26"/>
        </w:rPr>
        <w:t>2</w:t>
      </w:r>
      <w:r w:rsidRPr="006F284F">
        <w:rPr>
          <w:rFonts w:eastAsia="Times New Roman"/>
          <w:szCs w:val="26"/>
        </w:rPr>
        <w:t>, 202</w:t>
      </w:r>
      <w:r w:rsidR="00814D1D">
        <w:rPr>
          <w:rFonts w:eastAsia="Times New Roman"/>
          <w:szCs w:val="26"/>
        </w:rPr>
        <w:t>5</w:t>
      </w:r>
    </w:p>
    <w:p w14:paraId="4EA67D01"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szCs w:val="26"/>
        </w:rPr>
      </w:pPr>
    </w:p>
    <w:p w14:paraId="64165EB6"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szCs w:val="26"/>
        </w:rPr>
      </w:pPr>
    </w:p>
    <w:p w14:paraId="493C53AB"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eastAsia="Times New Roman"/>
          <w:color w:val="000000"/>
          <w:szCs w:val="26"/>
        </w:rPr>
      </w:pPr>
      <w:r w:rsidRPr="006F284F">
        <w:rPr>
          <w:rFonts w:eastAsia="Times New Roman"/>
          <w:color w:val="000000"/>
          <w:szCs w:val="26"/>
        </w:rPr>
        <w:t>ROLL CALL</w:t>
      </w:r>
    </w:p>
    <w:p w14:paraId="2A62A203"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eastAsia="Times New Roman"/>
          <w:color w:val="000000"/>
          <w:szCs w:val="26"/>
        </w:rPr>
      </w:pPr>
    </w:p>
    <w:p w14:paraId="24EE0D3B" w14:textId="77777777" w:rsidR="002F2D48" w:rsidRPr="00E659E1" w:rsidRDefault="002F2D48" w:rsidP="00E659E1">
      <w:pPr>
        <w:pStyle w:val="Heading1"/>
      </w:pPr>
      <w:r w:rsidRPr="00E659E1">
        <w:t>PURCHASE RECOMMENDATIONS</w:t>
      </w:r>
    </w:p>
    <w:p w14:paraId="5B7E567D" w14:textId="77777777" w:rsidR="002F2D48" w:rsidRPr="00D7330E"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eastAsia="Times New Roman"/>
          <w:color w:val="000000"/>
          <w:szCs w:val="26"/>
        </w:rPr>
      </w:pPr>
    </w:p>
    <w:p w14:paraId="18C8F33F" w14:textId="2901CC5A" w:rsidR="002F2D48" w:rsidRPr="00D7330E"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eastAsia="Times New Roman"/>
          <w:i/>
          <w:color w:val="000000"/>
          <w:szCs w:val="26"/>
        </w:rPr>
      </w:pPr>
      <w:r w:rsidRPr="00D7330E">
        <w:rPr>
          <w:rFonts w:eastAsia="Times New Roman"/>
          <w:color w:val="000000"/>
          <w:szCs w:val="26"/>
        </w:rPr>
        <w:t xml:space="preserve">Following are purchase recommendations proposed by each </w:t>
      </w:r>
      <w:r w:rsidR="00814D1D" w:rsidRPr="00D7330E">
        <w:rPr>
          <w:rFonts w:eastAsia="Times New Roman"/>
          <w:color w:val="000000"/>
          <w:szCs w:val="26"/>
        </w:rPr>
        <w:t>u</w:t>
      </w:r>
      <w:r w:rsidRPr="00D7330E">
        <w:rPr>
          <w:rFonts w:eastAsia="Times New Roman"/>
          <w:color w:val="000000"/>
          <w:szCs w:val="26"/>
        </w:rPr>
        <w:t>niversity and the System Office.</w:t>
      </w:r>
      <w:r w:rsidR="00D743A9" w:rsidRPr="00D7330E">
        <w:rPr>
          <w:rFonts w:eastAsia="Times New Roman"/>
          <w:color w:val="000000"/>
          <w:szCs w:val="26"/>
        </w:rPr>
        <w:t xml:space="preserve"> </w:t>
      </w:r>
      <w:r w:rsidRPr="00D7330E">
        <w:rPr>
          <w:rFonts w:eastAsia="Times New Roman"/>
          <w:color w:val="000000"/>
          <w:szCs w:val="26"/>
        </w:rPr>
        <w:t>The purchases are to be funded from State appropriations or institutional funds as appropriate.</w:t>
      </w:r>
      <w:r w:rsidR="00D743A9" w:rsidRPr="00D7330E">
        <w:rPr>
          <w:rFonts w:eastAsia="Times New Roman"/>
          <w:color w:val="000000"/>
          <w:szCs w:val="26"/>
        </w:rPr>
        <w:t xml:space="preserve"> </w:t>
      </w:r>
      <w:r w:rsidRPr="00D7330E">
        <w:rPr>
          <w:rFonts w:eastAsia="Times New Roman"/>
          <w:color w:val="000000"/>
          <w:szCs w:val="26"/>
        </w:rPr>
        <w:t>Unless otherwise specified or indicated, purchases are based on the lowest acceptable bid.</w:t>
      </w:r>
      <w:r w:rsidR="00D743A9" w:rsidRPr="00D7330E">
        <w:rPr>
          <w:rFonts w:eastAsia="Times New Roman"/>
          <w:color w:val="000000"/>
          <w:szCs w:val="26"/>
        </w:rPr>
        <w:t xml:space="preserve"> </w:t>
      </w:r>
      <w:r w:rsidRPr="00D7330E">
        <w:rPr>
          <w:rFonts w:eastAsia="Times New Roman"/>
          <w:color w:val="000000"/>
          <w:szCs w:val="26"/>
        </w:rPr>
        <w:t xml:space="preserve">The </w:t>
      </w:r>
      <w:r w:rsidR="00814D1D" w:rsidRPr="00D7330E">
        <w:rPr>
          <w:rFonts w:eastAsia="Times New Roman"/>
          <w:color w:val="000000"/>
          <w:szCs w:val="26"/>
        </w:rPr>
        <w:t>v</w:t>
      </w:r>
      <w:r w:rsidRPr="00D7330E">
        <w:rPr>
          <w:rFonts w:eastAsia="Times New Roman"/>
          <w:color w:val="000000"/>
          <w:szCs w:val="26"/>
        </w:rPr>
        <w:t xml:space="preserve">ice </w:t>
      </w:r>
      <w:r w:rsidR="00814D1D" w:rsidRPr="00D7330E">
        <w:rPr>
          <w:rFonts w:eastAsia="Times New Roman"/>
          <w:color w:val="000000"/>
          <w:szCs w:val="26"/>
        </w:rPr>
        <w:t>p</w:t>
      </w:r>
      <w:r w:rsidRPr="00D7330E">
        <w:rPr>
          <w:rFonts w:eastAsia="Times New Roman"/>
          <w:color w:val="000000"/>
          <w:szCs w:val="26"/>
        </w:rPr>
        <w:t>resident</w:t>
      </w:r>
      <w:r w:rsidR="00814D1D" w:rsidRPr="00D7330E">
        <w:rPr>
          <w:rFonts w:eastAsia="Times New Roman"/>
          <w:color w:val="000000"/>
          <w:szCs w:val="26"/>
        </w:rPr>
        <w:t>/c</w:t>
      </w:r>
      <w:r w:rsidRPr="00D7330E">
        <w:rPr>
          <w:rFonts w:eastAsia="Times New Roman"/>
          <w:color w:val="000000"/>
          <w:szCs w:val="26"/>
        </w:rPr>
        <w:t xml:space="preserve">hief </w:t>
      </w:r>
      <w:r w:rsidR="00814D1D" w:rsidRPr="00D7330E">
        <w:rPr>
          <w:rFonts w:eastAsia="Times New Roman"/>
          <w:color w:val="000000"/>
          <w:szCs w:val="26"/>
        </w:rPr>
        <w:t>f</w:t>
      </w:r>
      <w:r w:rsidRPr="00D7330E">
        <w:rPr>
          <w:rFonts w:eastAsia="Times New Roman"/>
          <w:color w:val="000000"/>
          <w:szCs w:val="26"/>
        </w:rPr>
        <w:t xml:space="preserve">inancial </w:t>
      </w:r>
      <w:r w:rsidR="00814D1D" w:rsidRPr="00D7330E">
        <w:rPr>
          <w:rFonts w:eastAsia="Times New Roman"/>
          <w:color w:val="000000"/>
          <w:szCs w:val="26"/>
        </w:rPr>
        <w:t>o</w:t>
      </w:r>
      <w:r w:rsidRPr="00D7330E">
        <w:rPr>
          <w:rFonts w:eastAsia="Times New Roman"/>
          <w:color w:val="000000"/>
          <w:szCs w:val="26"/>
        </w:rPr>
        <w:t xml:space="preserve">fficer and </w:t>
      </w:r>
      <w:r w:rsidR="00814D1D" w:rsidRPr="00D7330E">
        <w:rPr>
          <w:rFonts w:eastAsia="Times New Roman"/>
          <w:color w:val="000000"/>
          <w:szCs w:val="26"/>
        </w:rPr>
        <w:t>c</w:t>
      </w:r>
      <w:r w:rsidRPr="00D7330E">
        <w:rPr>
          <w:rFonts w:eastAsia="Times New Roman"/>
          <w:color w:val="000000"/>
          <w:szCs w:val="26"/>
        </w:rPr>
        <w:t xml:space="preserve">omptroller has approved all purchases to be funded from State appropriations in accordance with the </w:t>
      </w:r>
      <w:r w:rsidRPr="00D7330E">
        <w:rPr>
          <w:rFonts w:eastAsia="Times New Roman"/>
          <w:i/>
          <w:color w:val="000000"/>
          <w:szCs w:val="26"/>
        </w:rPr>
        <w:t xml:space="preserve">Bylaws of the Board of Trustees </w:t>
      </w:r>
      <w:r w:rsidRPr="00D7330E">
        <w:rPr>
          <w:rFonts w:eastAsia="Times New Roman"/>
          <w:color w:val="000000"/>
          <w:szCs w:val="26"/>
        </w:rPr>
        <w:t xml:space="preserve">and </w:t>
      </w:r>
      <w:r w:rsidR="0065149B" w:rsidRPr="0065149B">
        <w:rPr>
          <w:rFonts w:eastAsia="Times New Roman"/>
          <w:i/>
          <w:iCs/>
          <w:color w:val="000000"/>
          <w:szCs w:val="26"/>
        </w:rPr>
        <w:t>The</w:t>
      </w:r>
      <w:r w:rsidRPr="0065149B">
        <w:rPr>
          <w:rFonts w:eastAsia="Times New Roman"/>
          <w:i/>
          <w:iCs/>
          <w:color w:val="000000"/>
          <w:szCs w:val="26"/>
        </w:rPr>
        <w:t xml:space="preserve"> </w:t>
      </w:r>
      <w:r w:rsidRPr="00D7330E">
        <w:rPr>
          <w:rFonts w:eastAsia="Times New Roman"/>
          <w:i/>
          <w:color w:val="000000"/>
          <w:szCs w:val="26"/>
        </w:rPr>
        <w:t>General Rules Concerning University Organization and Procedure.</w:t>
      </w:r>
    </w:p>
    <w:p w14:paraId="702878B2" w14:textId="77777777" w:rsidR="002F2D48" w:rsidRPr="00D7330E"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p>
    <w:p w14:paraId="5BAB4970" w14:textId="43D7B87D" w:rsidR="002F2D48" w:rsidRPr="00D7330E"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D7330E">
        <w:rPr>
          <w:rFonts w:eastAsia="Times New Roman"/>
          <w:color w:val="000000"/>
          <w:szCs w:val="26"/>
        </w:rPr>
        <w:t xml:space="preserve">The Board action recommended in this item complies in all material respects with applicable State and </w:t>
      </w:r>
      <w:r w:rsidR="00814D1D" w:rsidRPr="00D7330E">
        <w:rPr>
          <w:rFonts w:eastAsia="Times New Roman"/>
          <w:color w:val="000000"/>
          <w:szCs w:val="26"/>
        </w:rPr>
        <w:t>f</w:t>
      </w:r>
      <w:r w:rsidRPr="00D7330E">
        <w:rPr>
          <w:rFonts w:eastAsia="Times New Roman"/>
          <w:color w:val="000000"/>
          <w:szCs w:val="26"/>
        </w:rPr>
        <w:t xml:space="preserve">ederal laws, University of Illinois </w:t>
      </w:r>
      <w:r w:rsidRPr="00D7330E">
        <w:rPr>
          <w:rFonts w:eastAsia="Times New Roman"/>
          <w:i/>
          <w:color w:val="000000"/>
          <w:szCs w:val="26"/>
        </w:rPr>
        <w:t>Statutes</w:t>
      </w:r>
      <w:r w:rsidRPr="00D7330E">
        <w:rPr>
          <w:rFonts w:eastAsia="Times New Roman"/>
          <w:iCs/>
          <w:color w:val="000000"/>
          <w:szCs w:val="26"/>
        </w:rPr>
        <w:t xml:space="preserve">, </w:t>
      </w:r>
      <w:r w:rsidRPr="00D7330E">
        <w:rPr>
          <w:rFonts w:eastAsia="Times New Roman"/>
          <w:i/>
          <w:color w:val="000000"/>
          <w:szCs w:val="26"/>
        </w:rPr>
        <w:t>The General Rules Concerning University Organization and Procedure</w:t>
      </w:r>
      <w:r w:rsidRPr="00D7330E">
        <w:rPr>
          <w:rFonts w:eastAsia="Times New Roman"/>
          <w:color w:val="000000"/>
          <w:szCs w:val="26"/>
        </w:rPr>
        <w:t>, and Board of Trustees policies and directives.</w:t>
      </w:r>
    </w:p>
    <w:p w14:paraId="552D226E" w14:textId="77777777" w:rsidR="002F2D48" w:rsidRPr="00D7330E"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eastAsia="Times New Roman"/>
          <w:color w:val="000000"/>
          <w:szCs w:val="26"/>
        </w:rPr>
      </w:pPr>
    </w:p>
    <w:p w14:paraId="3F8EC082" w14:textId="77777777" w:rsidR="002F2D48" w:rsidRPr="00D7330E"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eastAsia="Times New Roman"/>
          <w:color w:val="000000"/>
          <w:szCs w:val="26"/>
        </w:rPr>
      </w:pPr>
      <w:r w:rsidRPr="00D7330E">
        <w:rPr>
          <w:rFonts w:eastAsia="Times New Roman"/>
          <w:color w:val="000000"/>
          <w:szCs w:val="26"/>
        </w:rPr>
        <w:t>The president of the University of Illinois System concurs.</w:t>
      </w:r>
    </w:p>
    <w:p w14:paraId="19EA8323" w14:textId="54B584C5" w:rsidR="00252F86" w:rsidRPr="00D7330E" w:rsidRDefault="00252F86"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eastAsia="Times New Roman"/>
          <w:color w:val="000000"/>
          <w:szCs w:val="26"/>
        </w:rPr>
      </w:pPr>
    </w:p>
    <w:p w14:paraId="0BDB4969" w14:textId="7ECED5C2" w:rsidR="00EB675E" w:rsidRPr="00E659E1" w:rsidRDefault="00252F86" w:rsidP="00AD339F">
      <w:pPr>
        <w:pStyle w:val="Heading2"/>
        <w:jc w:val="center"/>
      </w:pPr>
      <w:r w:rsidRPr="00E659E1">
        <w:t>PURCHASES RECOMMENDED</w:t>
      </w:r>
    </w:p>
    <w:p w14:paraId="5FEB6345" w14:textId="77777777" w:rsidR="006722F9" w:rsidRPr="00D7330E" w:rsidRDefault="006722F9" w:rsidP="00252F86">
      <w:pPr>
        <w:spacing w:after="0" w:line="240" w:lineRule="auto"/>
        <w:jc w:val="center"/>
        <w:rPr>
          <w:b/>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091CFA" w:rsidRPr="00D7330E" w14:paraId="434E2894" w14:textId="77777777" w:rsidTr="00361DE1">
        <w:trPr>
          <w:trHeight w:val="120"/>
        </w:trPr>
        <w:tc>
          <w:tcPr>
            <w:tcW w:w="342" w:type="dxa"/>
          </w:tcPr>
          <w:p w14:paraId="401F0F7F" w14:textId="77777777" w:rsidR="00091CFA" w:rsidRPr="00D7330E" w:rsidRDefault="00091CFA" w:rsidP="00091CFA">
            <w:pPr>
              <w:pStyle w:val="NoSpacing"/>
              <w:rPr>
                <w:sz w:val="26"/>
                <w:szCs w:val="26"/>
              </w:rPr>
            </w:pPr>
          </w:p>
        </w:tc>
        <w:tc>
          <w:tcPr>
            <w:tcW w:w="990" w:type="dxa"/>
          </w:tcPr>
          <w:p w14:paraId="02A261B8" w14:textId="77777777" w:rsidR="00091CFA" w:rsidRPr="00D7330E" w:rsidRDefault="00091CFA" w:rsidP="00091CFA">
            <w:pPr>
              <w:pStyle w:val="NoSpacing"/>
              <w:rPr>
                <w:sz w:val="26"/>
                <w:szCs w:val="26"/>
              </w:rPr>
            </w:pPr>
          </w:p>
        </w:tc>
        <w:tc>
          <w:tcPr>
            <w:tcW w:w="8118" w:type="dxa"/>
          </w:tcPr>
          <w:p w14:paraId="2A8B7682" w14:textId="77777777" w:rsidR="00091CFA" w:rsidRPr="00D7330E" w:rsidRDefault="00091CFA" w:rsidP="00091CFA">
            <w:pPr>
              <w:pStyle w:val="NoSpacing"/>
              <w:rPr>
                <w:spacing w:val="-3"/>
                <w:sz w:val="26"/>
                <w:szCs w:val="26"/>
              </w:rPr>
            </w:pPr>
          </w:p>
        </w:tc>
      </w:tr>
      <w:tr w:rsidR="00091CFA" w:rsidRPr="00E659E1" w14:paraId="3E8AF208" w14:textId="77777777" w:rsidTr="00F21A6D">
        <w:trPr>
          <w:trHeight w:val="120"/>
        </w:trPr>
        <w:tc>
          <w:tcPr>
            <w:tcW w:w="9450" w:type="dxa"/>
            <w:gridSpan w:val="3"/>
          </w:tcPr>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091CFA" w:rsidRPr="00E659E1" w14:paraId="209C5A9A" w14:textId="77777777" w:rsidTr="0025577D">
              <w:trPr>
                <w:trHeight w:val="114"/>
              </w:trPr>
              <w:tc>
                <w:tcPr>
                  <w:tcW w:w="9454" w:type="dxa"/>
                  <w:tcBorders>
                    <w:top w:val="single" w:sz="18" w:space="0" w:color="auto"/>
                    <w:bottom w:val="single" w:sz="18" w:space="0" w:color="auto"/>
                  </w:tcBorders>
                </w:tcPr>
                <w:p w14:paraId="55B87639" w14:textId="13C03A52" w:rsidR="00091CFA" w:rsidRPr="00E659E1" w:rsidRDefault="00091CFA" w:rsidP="00E659E1">
                  <w:pPr>
                    <w:pStyle w:val="Heading3"/>
                  </w:pPr>
                  <w:r w:rsidRPr="00E659E1">
                    <w:t>University of Illinois</w:t>
                  </w:r>
                  <w:r w:rsidR="00130E3F" w:rsidRPr="00E659E1">
                    <w:t xml:space="preserve"> </w:t>
                  </w:r>
                  <w:r w:rsidR="00FE0685" w:rsidRPr="00E659E1">
                    <w:t>Urbana-Champaign</w:t>
                  </w:r>
                </w:p>
              </w:tc>
            </w:tr>
          </w:tbl>
          <w:p w14:paraId="107DA0B5" w14:textId="77777777" w:rsidR="00091CFA" w:rsidRPr="00E659E1" w:rsidRDefault="00091CFA" w:rsidP="00E659E1">
            <w:pPr>
              <w:pStyle w:val="Heading3"/>
            </w:pPr>
          </w:p>
        </w:tc>
      </w:tr>
      <w:tr w:rsidR="00B775E6" w:rsidRPr="00D7330E" w14:paraId="0E86D7C9" w14:textId="77777777" w:rsidTr="00361DE1">
        <w:trPr>
          <w:trHeight w:val="120"/>
        </w:trPr>
        <w:tc>
          <w:tcPr>
            <w:tcW w:w="342" w:type="dxa"/>
            <w:tcBorders>
              <w:bottom w:val="double" w:sz="6" w:space="0" w:color="auto"/>
            </w:tcBorders>
          </w:tcPr>
          <w:p w14:paraId="2A853B15" w14:textId="3D6DFDD0" w:rsidR="00B775E6" w:rsidRPr="00E659E1" w:rsidRDefault="00B32B03" w:rsidP="00E659E1">
            <w:pPr>
              <w:pStyle w:val="Heading4"/>
            </w:pPr>
            <w:r w:rsidRPr="00E659E1">
              <w:t>1</w:t>
            </w:r>
          </w:p>
        </w:tc>
        <w:tc>
          <w:tcPr>
            <w:tcW w:w="990" w:type="dxa"/>
            <w:tcBorders>
              <w:bottom w:val="double" w:sz="6" w:space="0" w:color="auto"/>
            </w:tcBorders>
          </w:tcPr>
          <w:p w14:paraId="54386F5E" w14:textId="77777777" w:rsidR="00B775E6" w:rsidRPr="00E659E1" w:rsidRDefault="00B775E6" w:rsidP="00E659E1">
            <w:pPr>
              <w:pStyle w:val="Heading4"/>
            </w:pPr>
            <w:r w:rsidRPr="00E659E1">
              <w:t>Unit</w:t>
            </w:r>
          </w:p>
        </w:tc>
        <w:tc>
          <w:tcPr>
            <w:tcW w:w="8118" w:type="dxa"/>
            <w:tcBorders>
              <w:bottom w:val="double" w:sz="6" w:space="0" w:color="auto"/>
            </w:tcBorders>
          </w:tcPr>
          <w:p w14:paraId="141541B7" w14:textId="3BEDF1D4" w:rsidR="00A44D7C" w:rsidRPr="00E659E1" w:rsidRDefault="00FE0685" w:rsidP="00E659E1">
            <w:pPr>
              <w:pStyle w:val="Heading4"/>
            </w:pPr>
            <w:r w:rsidRPr="00E659E1">
              <w:t>Materials Research Laboratory</w:t>
            </w:r>
          </w:p>
        </w:tc>
      </w:tr>
      <w:tr w:rsidR="00B775E6" w:rsidRPr="00D7330E" w14:paraId="16D04378" w14:textId="77777777" w:rsidTr="00BC0630">
        <w:trPr>
          <w:trHeight w:val="648"/>
        </w:trPr>
        <w:tc>
          <w:tcPr>
            <w:tcW w:w="342" w:type="dxa"/>
          </w:tcPr>
          <w:p w14:paraId="6610E660" w14:textId="77777777" w:rsidR="00B775E6" w:rsidRPr="00D7330E" w:rsidRDefault="00B775E6" w:rsidP="00B775E6">
            <w:pPr>
              <w:pStyle w:val="NoSpacing"/>
              <w:rPr>
                <w:sz w:val="26"/>
                <w:szCs w:val="26"/>
              </w:rPr>
            </w:pPr>
          </w:p>
        </w:tc>
        <w:tc>
          <w:tcPr>
            <w:tcW w:w="990" w:type="dxa"/>
          </w:tcPr>
          <w:p w14:paraId="21F9BBE9" w14:textId="77777777" w:rsidR="002F2D48" w:rsidRPr="00D7330E" w:rsidRDefault="002F2D48" w:rsidP="00B775E6">
            <w:pPr>
              <w:pStyle w:val="NoSpacing"/>
              <w:rPr>
                <w:sz w:val="26"/>
                <w:szCs w:val="26"/>
              </w:rPr>
            </w:pPr>
          </w:p>
          <w:p w14:paraId="39157CFA" w14:textId="468DA79B" w:rsidR="00B775E6" w:rsidRPr="00D7330E" w:rsidRDefault="00B775E6" w:rsidP="00B775E6">
            <w:pPr>
              <w:pStyle w:val="NoSpacing"/>
              <w:rPr>
                <w:sz w:val="26"/>
                <w:szCs w:val="26"/>
              </w:rPr>
            </w:pPr>
            <w:r w:rsidRPr="00D7330E">
              <w:rPr>
                <w:sz w:val="26"/>
                <w:szCs w:val="26"/>
              </w:rPr>
              <w:t>Item</w:t>
            </w:r>
            <w:r w:rsidR="00D743A9" w:rsidRPr="00D7330E">
              <w:rPr>
                <w:sz w:val="26"/>
                <w:szCs w:val="26"/>
              </w:rPr>
              <w:t xml:space="preserve">   </w:t>
            </w:r>
          </w:p>
        </w:tc>
        <w:tc>
          <w:tcPr>
            <w:tcW w:w="8118" w:type="dxa"/>
          </w:tcPr>
          <w:p w14:paraId="1F61BF83" w14:textId="77777777" w:rsidR="002F2D48" w:rsidRPr="00D7330E" w:rsidRDefault="002F2D48" w:rsidP="002F2D48">
            <w:pPr>
              <w:pStyle w:val="NoSpacing"/>
              <w:rPr>
                <w:sz w:val="26"/>
                <w:szCs w:val="26"/>
              </w:rPr>
            </w:pPr>
          </w:p>
          <w:p w14:paraId="25646054" w14:textId="4761F5D0" w:rsidR="00B775E6" w:rsidRPr="00D7330E" w:rsidRDefault="004C5D18" w:rsidP="002F2D48">
            <w:pPr>
              <w:pStyle w:val="NoSpacing"/>
              <w:rPr>
                <w:sz w:val="26"/>
                <w:szCs w:val="26"/>
              </w:rPr>
            </w:pPr>
            <w:r>
              <w:rPr>
                <w:sz w:val="26"/>
                <w:szCs w:val="26"/>
              </w:rPr>
              <w:t>Cryostat Components for Low-Temperature Scanning Nitrogen Vacancy Microscope (LTNVM).</w:t>
            </w:r>
          </w:p>
        </w:tc>
      </w:tr>
      <w:tr w:rsidR="00B775E6" w:rsidRPr="00D7330E" w14:paraId="65073756" w14:textId="77777777" w:rsidTr="00BC0630">
        <w:trPr>
          <w:trHeight w:val="315"/>
        </w:trPr>
        <w:tc>
          <w:tcPr>
            <w:tcW w:w="342" w:type="dxa"/>
          </w:tcPr>
          <w:p w14:paraId="4EB91AF9" w14:textId="77777777" w:rsidR="00B775E6" w:rsidRPr="00D7330E" w:rsidRDefault="00B775E6" w:rsidP="00B775E6">
            <w:pPr>
              <w:pStyle w:val="NoSpacing"/>
              <w:rPr>
                <w:sz w:val="26"/>
                <w:szCs w:val="26"/>
              </w:rPr>
            </w:pPr>
            <w:r w:rsidRPr="00D7330E">
              <w:rPr>
                <w:sz w:val="26"/>
                <w:szCs w:val="26"/>
              </w:rPr>
              <w:t xml:space="preserve"> </w:t>
            </w:r>
          </w:p>
        </w:tc>
        <w:tc>
          <w:tcPr>
            <w:tcW w:w="990" w:type="dxa"/>
          </w:tcPr>
          <w:p w14:paraId="2E4CAE21" w14:textId="77777777" w:rsidR="00B775E6" w:rsidRPr="00D7330E" w:rsidRDefault="00B775E6" w:rsidP="00B775E6">
            <w:pPr>
              <w:pStyle w:val="NoSpacing"/>
              <w:rPr>
                <w:sz w:val="26"/>
                <w:szCs w:val="26"/>
              </w:rPr>
            </w:pPr>
          </w:p>
          <w:p w14:paraId="4EC10280" w14:textId="77777777" w:rsidR="00B775E6" w:rsidRPr="00D7330E" w:rsidRDefault="00B775E6" w:rsidP="00B775E6">
            <w:pPr>
              <w:pStyle w:val="NoSpacing"/>
              <w:rPr>
                <w:sz w:val="26"/>
                <w:szCs w:val="26"/>
              </w:rPr>
            </w:pPr>
            <w:r w:rsidRPr="00D7330E">
              <w:rPr>
                <w:sz w:val="26"/>
                <w:szCs w:val="26"/>
              </w:rPr>
              <w:t>Cost</w:t>
            </w:r>
          </w:p>
        </w:tc>
        <w:tc>
          <w:tcPr>
            <w:tcW w:w="8118" w:type="dxa"/>
          </w:tcPr>
          <w:p w14:paraId="16BB3D59" w14:textId="77777777" w:rsidR="00B775E6" w:rsidRPr="00D7330E" w:rsidRDefault="00B775E6" w:rsidP="00B775E6">
            <w:pPr>
              <w:pStyle w:val="NoSpacing"/>
              <w:rPr>
                <w:spacing w:val="-3"/>
                <w:sz w:val="26"/>
                <w:szCs w:val="26"/>
              </w:rPr>
            </w:pPr>
          </w:p>
          <w:p w14:paraId="2112B06E" w14:textId="02899EA2" w:rsidR="00B775E6" w:rsidRPr="00D7330E" w:rsidRDefault="001B58A7" w:rsidP="00AB3CE5">
            <w:pPr>
              <w:rPr>
                <w:spacing w:val="-3"/>
                <w:szCs w:val="26"/>
              </w:rPr>
            </w:pPr>
            <w:r w:rsidRPr="00D7330E">
              <w:rPr>
                <w:spacing w:val="-3"/>
                <w:szCs w:val="26"/>
              </w:rPr>
              <w:t>$1,</w:t>
            </w:r>
            <w:r w:rsidR="00FE0685">
              <w:rPr>
                <w:spacing w:val="-3"/>
                <w:szCs w:val="26"/>
              </w:rPr>
              <w:t>1</w:t>
            </w:r>
            <w:r w:rsidRPr="00D7330E">
              <w:rPr>
                <w:spacing w:val="-3"/>
                <w:szCs w:val="26"/>
              </w:rPr>
              <w:t>50,000</w:t>
            </w:r>
            <w:r w:rsidR="004C5D18">
              <w:rPr>
                <w:spacing w:val="-3"/>
                <w:szCs w:val="26"/>
              </w:rPr>
              <w:t xml:space="preserve"> (estimated)</w:t>
            </w:r>
          </w:p>
        </w:tc>
      </w:tr>
      <w:tr w:rsidR="00B775E6" w:rsidRPr="00D7330E" w14:paraId="2DD649F2" w14:textId="77777777" w:rsidTr="00934FC6">
        <w:trPr>
          <w:trHeight w:val="657"/>
        </w:trPr>
        <w:tc>
          <w:tcPr>
            <w:tcW w:w="342" w:type="dxa"/>
          </w:tcPr>
          <w:p w14:paraId="6B4C7E29" w14:textId="77777777" w:rsidR="00B775E6" w:rsidRPr="00D7330E" w:rsidRDefault="00B775E6" w:rsidP="00B775E6">
            <w:pPr>
              <w:pStyle w:val="NoSpacing"/>
              <w:rPr>
                <w:sz w:val="26"/>
                <w:szCs w:val="26"/>
              </w:rPr>
            </w:pPr>
          </w:p>
        </w:tc>
        <w:tc>
          <w:tcPr>
            <w:tcW w:w="990" w:type="dxa"/>
            <w:shd w:val="clear" w:color="auto" w:fill="auto"/>
          </w:tcPr>
          <w:p w14:paraId="7090DF1B" w14:textId="30741569" w:rsidR="00B775E6" w:rsidRPr="00D7330E" w:rsidRDefault="00B775E6" w:rsidP="00B775E6">
            <w:pPr>
              <w:pStyle w:val="NoSpacing"/>
              <w:rPr>
                <w:sz w:val="26"/>
                <w:szCs w:val="26"/>
              </w:rPr>
            </w:pPr>
            <w:r w:rsidRPr="00D7330E">
              <w:rPr>
                <w:sz w:val="26"/>
                <w:szCs w:val="26"/>
              </w:rPr>
              <w:t>Vendor</w:t>
            </w:r>
          </w:p>
        </w:tc>
        <w:tc>
          <w:tcPr>
            <w:tcW w:w="8118" w:type="dxa"/>
            <w:shd w:val="clear" w:color="auto" w:fill="auto"/>
          </w:tcPr>
          <w:p w14:paraId="527CBA5F" w14:textId="7F80D58B" w:rsidR="001B58A7" w:rsidRPr="00D7330E" w:rsidRDefault="00FE0685" w:rsidP="001B58A7">
            <w:pPr>
              <w:spacing w:after="0" w:line="240" w:lineRule="auto"/>
              <w:jc w:val="both"/>
              <w:rPr>
                <w:szCs w:val="26"/>
              </w:rPr>
            </w:pPr>
            <w:r w:rsidRPr="00FE0685">
              <w:rPr>
                <w:bCs/>
                <w:szCs w:val="26"/>
              </w:rPr>
              <w:t xml:space="preserve">Attocube Systems AG, Haar </w:t>
            </w:r>
            <w:r>
              <w:rPr>
                <w:bCs/>
                <w:szCs w:val="26"/>
              </w:rPr>
              <w:t xml:space="preserve">                                     </w:t>
            </w:r>
            <w:r w:rsidRPr="00FE0685">
              <w:rPr>
                <w:bCs/>
                <w:szCs w:val="26"/>
              </w:rPr>
              <w:t>Bavaria, Germany</w:t>
            </w:r>
            <w:r w:rsidR="00D743A9" w:rsidRPr="00D7330E">
              <w:rPr>
                <w:bCs/>
                <w:szCs w:val="26"/>
              </w:rPr>
              <w:t xml:space="preserve">        </w:t>
            </w:r>
            <w:r w:rsidR="001B58A7" w:rsidRPr="00D7330E">
              <w:rPr>
                <w:bCs/>
                <w:szCs w:val="26"/>
              </w:rPr>
              <w:t xml:space="preserve"> </w:t>
            </w:r>
          </w:p>
          <w:p w14:paraId="00CC0486" w14:textId="229B7810" w:rsidR="00B775E6" w:rsidRPr="00D7330E" w:rsidRDefault="00B775E6" w:rsidP="00B775E6">
            <w:pPr>
              <w:rPr>
                <w:szCs w:val="26"/>
              </w:rPr>
            </w:pPr>
          </w:p>
        </w:tc>
      </w:tr>
      <w:tr w:rsidR="00B775E6" w:rsidRPr="00D7330E" w14:paraId="2DE86FAC" w14:textId="77777777" w:rsidTr="0009228A">
        <w:trPr>
          <w:trHeight w:val="990"/>
        </w:trPr>
        <w:tc>
          <w:tcPr>
            <w:tcW w:w="342" w:type="dxa"/>
          </w:tcPr>
          <w:p w14:paraId="259A8EB8" w14:textId="77777777" w:rsidR="00B775E6" w:rsidRPr="00D7330E" w:rsidRDefault="00B775E6" w:rsidP="00B775E6">
            <w:pPr>
              <w:pStyle w:val="NoSpacing"/>
              <w:rPr>
                <w:sz w:val="26"/>
                <w:szCs w:val="26"/>
              </w:rPr>
            </w:pPr>
          </w:p>
        </w:tc>
        <w:tc>
          <w:tcPr>
            <w:tcW w:w="990" w:type="dxa"/>
            <w:shd w:val="clear" w:color="auto" w:fill="auto"/>
          </w:tcPr>
          <w:p w14:paraId="3561F559" w14:textId="77777777" w:rsidR="00B775E6" w:rsidRPr="00496CFF" w:rsidRDefault="00B775E6" w:rsidP="00B775E6">
            <w:pPr>
              <w:pStyle w:val="NoSpacing"/>
              <w:rPr>
                <w:rFonts w:ascii="Aptos" w:hAnsi="Aptos"/>
                <w:sz w:val="26"/>
                <w:szCs w:val="26"/>
              </w:rPr>
            </w:pPr>
          </w:p>
        </w:tc>
        <w:tc>
          <w:tcPr>
            <w:tcW w:w="8118" w:type="dxa"/>
            <w:shd w:val="clear" w:color="auto" w:fill="auto"/>
          </w:tcPr>
          <w:p w14:paraId="4F921E9D" w14:textId="7C1457C9" w:rsidR="00496CFF" w:rsidRPr="00496CFF" w:rsidRDefault="00496CFF" w:rsidP="00496CFF">
            <w:pPr>
              <w:rPr>
                <w:szCs w:val="26"/>
              </w:rPr>
            </w:pPr>
            <w:r w:rsidRPr="00496CFF">
              <w:rPr>
                <w:szCs w:val="26"/>
              </w:rPr>
              <w:t>The Low-Temperature Nitrogen Vacancy Microscope (LTNVM) is a cutting-edge instrument that integrates high-resolution magnetic field imaging using nitrogen vacancy (NV) centers in diamond. This advanced platform will enable the Materials Research Laboratory (MRL) to conduct magnetic imaging at nanometer-scale spatial resolution.</w:t>
            </w:r>
          </w:p>
          <w:p w14:paraId="19961046" w14:textId="36587F31" w:rsidR="00496CFF" w:rsidRPr="00496CFF" w:rsidRDefault="00496CFF" w:rsidP="00496CFF">
            <w:pPr>
              <w:rPr>
                <w:szCs w:val="26"/>
              </w:rPr>
            </w:pPr>
            <w:r w:rsidRPr="00496CFF">
              <w:rPr>
                <w:szCs w:val="26"/>
              </w:rPr>
              <w:t>The LTNVM’s state-of-the-art capabilities will drive transformative research across a broad spectrum of scientific disciplines. Potential applications include the characterization of novel quantum electronic circuits, in-depth investigations of quantum materials, and the exploration of molecular and biological systems with unprecedented sensitivity and precision.</w:t>
            </w:r>
          </w:p>
          <w:p w14:paraId="027E2153" w14:textId="2CFB0E18" w:rsidR="0001031D" w:rsidRPr="00496CFF" w:rsidRDefault="00496CFF" w:rsidP="00496CFF">
            <w:pPr>
              <w:rPr>
                <w:szCs w:val="26"/>
              </w:rPr>
            </w:pPr>
            <w:r w:rsidRPr="00496CFF">
              <w:rPr>
                <w:szCs w:val="26"/>
              </w:rPr>
              <w:t>Beyond its research impact, the LTNVM supports imaging across a wide range of temperatures and magnetic field strengths. This versatility not only expands its scientific utility but also provides exceptional opportunities for training the next generation of scientists and engineers in quantum sensing and coherent quantum phenomena.</w:t>
            </w:r>
            <w:r w:rsidR="0001031D" w:rsidRPr="00496CFF">
              <w:rPr>
                <w:szCs w:val="26"/>
              </w:rPr>
              <w:t xml:space="preserve"> This purchase is a sole source because the items are patented, required for research, and no other source can meet the researcher’s documented need.</w:t>
            </w:r>
          </w:p>
          <w:p w14:paraId="1DF728E4" w14:textId="534A763B" w:rsidR="00B775E6" w:rsidRPr="00496CFF" w:rsidRDefault="004C5D18" w:rsidP="00D7330E">
            <w:pPr>
              <w:rPr>
                <w:rFonts w:ascii="Aptos" w:hAnsi="Aptos"/>
                <w:szCs w:val="26"/>
              </w:rPr>
            </w:pPr>
            <w:r w:rsidRPr="00496CFF">
              <w:rPr>
                <w:b/>
                <w:bCs/>
                <w:szCs w:val="26"/>
              </w:rPr>
              <w:t>Business Enterprise Program (BEP)</w:t>
            </w:r>
            <w:r w:rsidRPr="00496CFF">
              <w:rPr>
                <w:szCs w:val="26"/>
              </w:rPr>
              <w:t xml:space="preserve"> goals are not established as there are no other sources able to meet the need.</w:t>
            </w:r>
          </w:p>
        </w:tc>
      </w:tr>
      <w:tr w:rsidR="00B62DED" w:rsidRPr="00D7330E" w14:paraId="0B25B887" w14:textId="77777777" w:rsidTr="0009228A">
        <w:trPr>
          <w:trHeight w:val="150"/>
        </w:trPr>
        <w:tc>
          <w:tcPr>
            <w:tcW w:w="342" w:type="dxa"/>
          </w:tcPr>
          <w:p w14:paraId="66652AFA" w14:textId="77777777" w:rsidR="00B62DED" w:rsidRPr="00D7330E" w:rsidRDefault="00B62DED" w:rsidP="00B775E6">
            <w:pPr>
              <w:pStyle w:val="NoSpacing"/>
              <w:rPr>
                <w:sz w:val="26"/>
                <w:szCs w:val="26"/>
              </w:rPr>
            </w:pPr>
          </w:p>
        </w:tc>
        <w:tc>
          <w:tcPr>
            <w:tcW w:w="990" w:type="dxa"/>
            <w:shd w:val="clear" w:color="auto" w:fill="auto"/>
          </w:tcPr>
          <w:p w14:paraId="522E9F06" w14:textId="77777777" w:rsidR="00B62DED" w:rsidRPr="00D7330E" w:rsidRDefault="00B62DED" w:rsidP="00B775E6">
            <w:pPr>
              <w:pStyle w:val="NoSpacing"/>
              <w:rPr>
                <w:sz w:val="26"/>
                <w:szCs w:val="26"/>
              </w:rPr>
            </w:pPr>
          </w:p>
        </w:tc>
        <w:tc>
          <w:tcPr>
            <w:tcW w:w="8118" w:type="dxa"/>
            <w:shd w:val="clear" w:color="auto" w:fill="auto"/>
          </w:tcPr>
          <w:p w14:paraId="619779BA" w14:textId="77777777" w:rsidR="00B62DED" w:rsidRPr="00D7330E" w:rsidRDefault="00B62DED" w:rsidP="00B775E6">
            <w:pPr>
              <w:spacing w:after="0" w:line="240" w:lineRule="auto"/>
              <w:ind w:left="1478"/>
              <w:rPr>
                <w:szCs w:val="26"/>
              </w:rPr>
            </w:pPr>
          </w:p>
        </w:tc>
      </w:tr>
      <w:tr w:rsidR="00B775E6" w:rsidRPr="00D7330E" w14:paraId="6FAD3153" w14:textId="77777777" w:rsidTr="0009228A">
        <w:trPr>
          <w:trHeight w:val="150"/>
        </w:trPr>
        <w:tc>
          <w:tcPr>
            <w:tcW w:w="342" w:type="dxa"/>
            <w:tcBorders>
              <w:bottom w:val="double" w:sz="4" w:space="0" w:color="auto"/>
            </w:tcBorders>
          </w:tcPr>
          <w:p w14:paraId="414628F7" w14:textId="3372E8CF" w:rsidR="00B775E6" w:rsidRPr="00D7330E" w:rsidRDefault="00B32B03" w:rsidP="00B775E6">
            <w:pPr>
              <w:pStyle w:val="NoSpacing"/>
              <w:rPr>
                <w:sz w:val="26"/>
                <w:szCs w:val="26"/>
              </w:rPr>
            </w:pPr>
            <w:r w:rsidRPr="00D7330E">
              <w:rPr>
                <w:sz w:val="26"/>
                <w:szCs w:val="26"/>
              </w:rPr>
              <w:t>2</w:t>
            </w:r>
          </w:p>
        </w:tc>
        <w:tc>
          <w:tcPr>
            <w:tcW w:w="990" w:type="dxa"/>
            <w:tcBorders>
              <w:bottom w:val="double" w:sz="4" w:space="0" w:color="auto"/>
            </w:tcBorders>
            <w:shd w:val="clear" w:color="auto" w:fill="auto"/>
          </w:tcPr>
          <w:p w14:paraId="3B9E5490" w14:textId="4969B5B4" w:rsidR="00B775E6" w:rsidRPr="00D7330E" w:rsidRDefault="00B775E6" w:rsidP="00B775E6">
            <w:pPr>
              <w:pStyle w:val="NoSpacing"/>
              <w:rPr>
                <w:sz w:val="26"/>
                <w:szCs w:val="26"/>
              </w:rPr>
            </w:pPr>
            <w:r w:rsidRPr="00D7330E">
              <w:rPr>
                <w:sz w:val="26"/>
                <w:szCs w:val="26"/>
              </w:rPr>
              <w:t>Unit</w:t>
            </w:r>
          </w:p>
        </w:tc>
        <w:tc>
          <w:tcPr>
            <w:tcW w:w="8118" w:type="dxa"/>
            <w:tcBorders>
              <w:bottom w:val="double" w:sz="4" w:space="0" w:color="auto"/>
            </w:tcBorders>
            <w:shd w:val="clear" w:color="auto" w:fill="auto"/>
          </w:tcPr>
          <w:p w14:paraId="441EE111" w14:textId="47DB6D2C" w:rsidR="00A44D7C" w:rsidRPr="00D7330E" w:rsidRDefault="000750EE" w:rsidP="00B775E6">
            <w:pPr>
              <w:spacing w:after="0" w:line="240" w:lineRule="auto"/>
              <w:jc w:val="both"/>
              <w:rPr>
                <w:szCs w:val="26"/>
              </w:rPr>
            </w:pPr>
            <w:r w:rsidRPr="000750EE">
              <w:rPr>
                <w:spacing w:val="-3"/>
                <w:szCs w:val="26"/>
              </w:rPr>
              <w:t>Utilities Administration</w:t>
            </w:r>
          </w:p>
        </w:tc>
      </w:tr>
      <w:tr w:rsidR="00B775E6" w:rsidRPr="00D7330E" w14:paraId="56000687" w14:textId="77777777" w:rsidTr="0009228A">
        <w:trPr>
          <w:trHeight w:val="150"/>
        </w:trPr>
        <w:tc>
          <w:tcPr>
            <w:tcW w:w="342" w:type="dxa"/>
            <w:tcBorders>
              <w:top w:val="double" w:sz="4" w:space="0" w:color="auto"/>
            </w:tcBorders>
          </w:tcPr>
          <w:p w14:paraId="3242B2D0" w14:textId="77777777" w:rsidR="00B775E6" w:rsidRPr="00D7330E" w:rsidRDefault="00B775E6" w:rsidP="00B775E6">
            <w:pPr>
              <w:pStyle w:val="NoSpacing"/>
              <w:rPr>
                <w:sz w:val="26"/>
                <w:szCs w:val="26"/>
              </w:rPr>
            </w:pPr>
          </w:p>
        </w:tc>
        <w:tc>
          <w:tcPr>
            <w:tcW w:w="990" w:type="dxa"/>
            <w:tcBorders>
              <w:top w:val="double" w:sz="4" w:space="0" w:color="auto"/>
            </w:tcBorders>
            <w:shd w:val="clear" w:color="auto" w:fill="auto"/>
          </w:tcPr>
          <w:p w14:paraId="426D2FF5" w14:textId="77777777" w:rsidR="00F53FA1" w:rsidRPr="00D7330E" w:rsidRDefault="00F53FA1" w:rsidP="00B775E6">
            <w:pPr>
              <w:pStyle w:val="NoSpacing"/>
              <w:rPr>
                <w:sz w:val="26"/>
                <w:szCs w:val="26"/>
              </w:rPr>
            </w:pPr>
          </w:p>
          <w:p w14:paraId="43D29374" w14:textId="2AED385E" w:rsidR="00B775E6" w:rsidRPr="00D7330E" w:rsidRDefault="00B775E6" w:rsidP="00B775E6">
            <w:pPr>
              <w:pStyle w:val="NoSpacing"/>
              <w:rPr>
                <w:sz w:val="26"/>
                <w:szCs w:val="26"/>
              </w:rPr>
            </w:pPr>
            <w:r w:rsidRPr="00D7330E">
              <w:rPr>
                <w:sz w:val="26"/>
                <w:szCs w:val="26"/>
              </w:rPr>
              <w:t>Item</w:t>
            </w:r>
            <w:r w:rsidR="00D743A9" w:rsidRPr="00D7330E">
              <w:rPr>
                <w:sz w:val="26"/>
                <w:szCs w:val="26"/>
              </w:rPr>
              <w:t xml:space="preserve">   </w:t>
            </w:r>
          </w:p>
        </w:tc>
        <w:tc>
          <w:tcPr>
            <w:tcW w:w="8118" w:type="dxa"/>
            <w:tcBorders>
              <w:top w:val="double" w:sz="4" w:space="0" w:color="auto"/>
            </w:tcBorders>
            <w:shd w:val="clear" w:color="auto" w:fill="auto"/>
          </w:tcPr>
          <w:p w14:paraId="2B0CD1E0" w14:textId="77777777" w:rsidR="00F53FA1" w:rsidRPr="00D7330E" w:rsidRDefault="00F53FA1" w:rsidP="00F53FA1">
            <w:pPr>
              <w:pStyle w:val="NoSpacing"/>
              <w:rPr>
                <w:sz w:val="26"/>
                <w:szCs w:val="26"/>
              </w:rPr>
            </w:pPr>
          </w:p>
          <w:p w14:paraId="0FF6A5CA" w14:textId="20A8DE96" w:rsidR="000750EE" w:rsidRPr="00EE16A1" w:rsidRDefault="007373C0" w:rsidP="00A44D7C">
            <w:pPr>
              <w:spacing w:after="0" w:line="240" w:lineRule="auto"/>
              <w:rPr>
                <w:rFonts w:eastAsia="Times New Roman"/>
                <w:bCs/>
                <w:color w:val="000000"/>
                <w:szCs w:val="26"/>
              </w:rPr>
            </w:pPr>
            <w:r>
              <w:rPr>
                <w:szCs w:val="26"/>
              </w:rPr>
              <w:t>Furnish and deliver coal, including by-product waste disposal services</w:t>
            </w:r>
            <w:r w:rsidRPr="00D7330E">
              <w:rPr>
                <w:rFonts w:eastAsia="Times New Roman"/>
                <w:b/>
                <w:color w:val="000000"/>
                <w:szCs w:val="26"/>
              </w:rPr>
              <w:t xml:space="preserve"> </w:t>
            </w:r>
            <w:r w:rsidR="00EE16A1">
              <w:rPr>
                <w:rFonts w:eastAsia="Times New Roman"/>
                <w:bCs/>
                <w:color w:val="000000"/>
                <w:szCs w:val="26"/>
              </w:rPr>
              <w:t>for the period July 1, 2025 through June 20, 2030 with one five-year renewal option.</w:t>
            </w:r>
          </w:p>
          <w:p w14:paraId="006FA455" w14:textId="0EF905D5" w:rsidR="007373C0" w:rsidRPr="00D7330E" w:rsidRDefault="007373C0" w:rsidP="00A44D7C">
            <w:pPr>
              <w:spacing w:after="0" w:line="240" w:lineRule="auto"/>
              <w:rPr>
                <w:rFonts w:eastAsia="Times New Roman"/>
                <w:b/>
                <w:color w:val="000000"/>
                <w:szCs w:val="26"/>
              </w:rPr>
            </w:pPr>
          </w:p>
        </w:tc>
      </w:tr>
      <w:tr w:rsidR="00B775E6" w:rsidRPr="00D7330E" w14:paraId="156E60B7" w14:textId="77777777" w:rsidTr="005274CF">
        <w:trPr>
          <w:trHeight w:val="150"/>
        </w:trPr>
        <w:tc>
          <w:tcPr>
            <w:tcW w:w="342" w:type="dxa"/>
          </w:tcPr>
          <w:p w14:paraId="07998497" w14:textId="59FE1609" w:rsidR="00B775E6" w:rsidRPr="00D7330E" w:rsidRDefault="00B775E6" w:rsidP="00B775E6">
            <w:pPr>
              <w:pStyle w:val="NoSpacing"/>
              <w:rPr>
                <w:sz w:val="26"/>
                <w:szCs w:val="26"/>
              </w:rPr>
            </w:pPr>
            <w:r w:rsidRPr="00D7330E">
              <w:rPr>
                <w:sz w:val="26"/>
                <w:szCs w:val="26"/>
              </w:rPr>
              <w:t xml:space="preserve"> </w:t>
            </w:r>
          </w:p>
        </w:tc>
        <w:tc>
          <w:tcPr>
            <w:tcW w:w="990" w:type="dxa"/>
            <w:shd w:val="clear" w:color="auto" w:fill="auto"/>
          </w:tcPr>
          <w:p w14:paraId="278055F8" w14:textId="33B6CEC7" w:rsidR="00B775E6" w:rsidRPr="00D7330E" w:rsidRDefault="00B775E6" w:rsidP="00B775E6">
            <w:pPr>
              <w:pStyle w:val="NoSpacing"/>
              <w:rPr>
                <w:sz w:val="26"/>
                <w:szCs w:val="26"/>
              </w:rPr>
            </w:pPr>
            <w:r w:rsidRPr="00D7330E">
              <w:rPr>
                <w:sz w:val="26"/>
                <w:szCs w:val="26"/>
              </w:rPr>
              <w:t>Cost</w:t>
            </w:r>
          </w:p>
        </w:tc>
        <w:tc>
          <w:tcPr>
            <w:tcW w:w="8118" w:type="dxa"/>
            <w:shd w:val="clear" w:color="auto" w:fill="auto"/>
          </w:tcPr>
          <w:p w14:paraId="49D9E390" w14:textId="3D905DE7" w:rsidR="00125422" w:rsidRPr="00D7330E" w:rsidRDefault="001B58A7" w:rsidP="00125422">
            <w:pPr>
              <w:spacing w:after="0" w:line="240" w:lineRule="auto"/>
              <w:rPr>
                <w:spacing w:val="-3"/>
                <w:szCs w:val="26"/>
              </w:rPr>
            </w:pPr>
            <w:r w:rsidRPr="00D7330E">
              <w:rPr>
                <w:spacing w:val="-3"/>
                <w:szCs w:val="26"/>
              </w:rPr>
              <w:t>$5</w:t>
            </w:r>
            <w:r w:rsidR="000750EE">
              <w:rPr>
                <w:spacing w:val="-3"/>
                <w:szCs w:val="26"/>
              </w:rPr>
              <w:t>0</w:t>
            </w:r>
            <w:r w:rsidRPr="00D7330E">
              <w:rPr>
                <w:spacing w:val="-3"/>
                <w:szCs w:val="26"/>
              </w:rPr>
              <w:t>,000,000</w:t>
            </w:r>
            <w:r w:rsidR="00CD6ECE">
              <w:rPr>
                <w:spacing w:val="-3"/>
                <w:szCs w:val="26"/>
              </w:rPr>
              <w:t xml:space="preserve"> (estimated)</w:t>
            </w:r>
          </w:p>
          <w:p w14:paraId="016EDF05" w14:textId="4C38C190" w:rsidR="001B58A7" w:rsidRPr="00D7330E" w:rsidRDefault="001B58A7" w:rsidP="00125422">
            <w:pPr>
              <w:spacing w:after="0" w:line="240" w:lineRule="auto"/>
              <w:rPr>
                <w:rFonts w:eastAsia="Times New Roman"/>
                <w:b/>
                <w:color w:val="000000"/>
                <w:szCs w:val="26"/>
              </w:rPr>
            </w:pPr>
          </w:p>
        </w:tc>
      </w:tr>
      <w:tr w:rsidR="00B775E6" w:rsidRPr="00D7330E" w14:paraId="305870E5" w14:textId="77777777" w:rsidTr="005274CF">
        <w:trPr>
          <w:trHeight w:val="150"/>
        </w:trPr>
        <w:tc>
          <w:tcPr>
            <w:tcW w:w="342" w:type="dxa"/>
          </w:tcPr>
          <w:p w14:paraId="6DAC217B" w14:textId="77777777" w:rsidR="00B775E6" w:rsidRPr="00D7330E" w:rsidRDefault="00B775E6" w:rsidP="00B775E6">
            <w:pPr>
              <w:pStyle w:val="NoSpacing"/>
              <w:rPr>
                <w:sz w:val="26"/>
                <w:szCs w:val="26"/>
              </w:rPr>
            </w:pPr>
          </w:p>
        </w:tc>
        <w:tc>
          <w:tcPr>
            <w:tcW w:w="990" w:type="dxa"/>
            <w:shd w:val="clear" w:color="auto" w:fill="auto"/>
          </w:tcPr>
          <w:p w14:paraId="7F8D6EBB" w14:textId="58E05C92" w:rsidR="00B775E6" w:rsidRPr="00D7330E" w:rsidRDefault="00B775E6" w:rsidP="00B775E6">
            <w:pPr>
              <w:pStyle w:val="NoSpacing"/>
              <w:rPr>
                <w:sz w:val="26"/>
                <w:szCs w:val="26"/>
              </w:rPr>
            </w:pPr>
            <w:r w:rsidRPr="00D7330E">
              <w:rPr>
                <w:sz w:val="26"/>
                <w:szCs w:val="26"/>
              </w:rPr>
              <w:t>Vendor</w:t>
            </w:r>
          </w:p>
        </w:tc>
        <w:tc>
          <w:tcPr>
            <w:tcW w:w="8118" w:type="dxa"/>
            <w:shd w:val="clear" w:color="auto" w:fill="auto"/>
          </w:tcPr>
          <w:p w14:paraId="6FDDF04B" w14:textId="3BC4042D" w:rsidR="00B775E6" w:rsidRPr="00D7330E" w:rsidRDefault="000750EE" w:rsidP="00B775E6">
            <w:pPr>
              <w:rPr>
                <w:rFonts w:eastAsia="Times New Roman"/>
                <w:bCs/>
                <w:iCs/>
                <w:szCs w:val="26"/>
              </w:rPr>
            </w:pPr>
            <w:r w:rsidRPr="000750EE">
              <w:rPr>
                <w:bCs/>
                <w:szCs w:val="26"/>
              </w:rPr>
              <w:t xml:space="preserve">Knight Hawk Coal, LLC </w:t>
            </w:r>
            <w:r>
              <w:rPr>
                <w:bCs/>
                <w:szCs w:val="26"/>
              </w:rPr>
              <w:t xml:space="preserve">                                                </w:t>
            </w:r>
            <w:r w:rsidRPr="000750EE">
              <w:rPr>
                <w:bCs/>
                <w:szCs w:val="26"/>
              </w:rPr>
              <w:t xml:space="preserve">Percy, IL </w:t>
            </w:r>
          </w:p>
        </w:tc>
      </w:tr>
      <w:tr w:rsidR="00B775E6" w:rsidRPr="00D7330E" w14:paraId="76979B6C" w14:textId="77777777" w:rsidTr="00F4062E">
        <w:trPr>
          <w:trHeight w:val="150"/>
        </w:trPr>
        <w:tc>
          <w:tcPr>
            <w:tcW w:w="342" w:type="dxa"/>
          </w:tcPr>
          <w:p w14:paraId="10350B94" w14:textId="77777777" w:rsidR="00B775E6" w:rsidRPr="00D7330E" w:rsidRDefault="00B775E6" w:rsidP="00B775E6">
            <w:pPr>
              <w:pStyle w:val="NoSpacing"/>
              <w:rPr>
                <w:sz w:val="26"/>
                <w:szCs w:val="26"/>
              </w:rPr>
            </w:pPr>
          </w:p>
        </w:tc>
        <w:tc>
          <w:tcPr>
            <w:tcW w:w="990" w:type="dxa"/>
            <w:shd w:val="clear" w:color="auto" w:fill="auto"/>
          </w:tcPr>
          <w:p w14:paraId="5E09DAD8" w14:textId="77777777" w:rsidR="00B775E6" w:rsidRPr="00D7330E" w:rsidRDefault="00B775E6" w:rsidP="00B775E6">
            <w:pPr>
              <w:pStyle w:val="NoSpacing"/>
              <w:rPr>
                <w:sz w:val="26"/>
                <w:szCs w:val="26"/>
              </w:rPr>
            </w:pPr>
          </w:p>
        </w:tc>
        <w:tc>
          <w:tcPr>
            <w:tcW w:w="8118" w:type="dxa"/>
            <w:shd w:val="clear" w:color="auto" w:fill="auto"/>
          </w:tcPr>
          <w:p w14:paraId="5AC33FA1" w14:textId="111A773B" w:rsidR="007373C0" w:rsidRDefault="007373C0" w:rsidP="007373C0">
            <w:pPr>
              <w:rPr>
                <w:szCs w:val="26"/>
              </w:rPr>
            </w:pPr>
            <w:r>
              <w:rPr>
                <w:szCs w:val="26"/>
              </w:rPr>
              <w:t>Competitive bidding procedures were followed in accordance with the Illinois Procurement Code.</w:t>
            </w:r>
          </w:p>
          <w:p w14:paraId="2EA7E282" w14:textId="6FA743EE" w:rsidR="00496CFF" w:rsidRPr="00496CFF" w:rsidRDefault="00496CFF" w:rsidP="00496CFF">
            <w:pPr>
              <w:rPr>
                <w:szCs w:val="26"/>
              </w:rPr>
            </w:pPr>
            <w:r w:rsidRPr="00496CFF">
              <w:rPr>
                <w:szCs w:val="26"/>
              </w:rPr>
              <w:t xml:space="preserve">The vendor will supply an estimated 80,000 tons of coal to the Abbott Power Plant, where it will serve as a fuel source for the University’s boilers. The coal will be combusted to generate steam, which is used to heat campus buildings. In addition to fuel supply, the vendor will manage the disposal of </w:t>
            </w:r>
            <w:r w:rsidRPr="00496CFF">
              <w:rPr>
                <w:szCs w:val="26"/>
              </w:rPr>
              <w:lastRenderedPageBreak/>
              <w:t>approximately 20,000 tons of waste by-products, including ash, cinders, gypsum, and other residues from the coal-burning process.</w:t>
            </w:r>
          </w:p>
          <w:p w14:paraId="1C74F920" w14:textId="79A95177" w:rsidR="007373C0" w:rsidRDefault="00496CFF" w:rsidP="00496CFF">
            <w:pPr>
              <w:spacing w:after="0" w:line="240" w:lineRule="auto"/>
              <w:rPr>
                <w:szCs w:val="26"/>
              </w:rPr>
            </w:pPr>
            <w:r w:rsidRPr="00496CFF">
              <w:rPr>
                <w:szCs w:val="26"/>
              </w:rPr>
              <w:t>Coal serves as either a supplementary or primary fuel source, depending on market fuel prices and equipment availability. The quoted pricing for coal includes transportation costs, which are indexed to the prevailing diesel fuel prices as published by the U.S. Energy Information Administration.</w:t>
            </w:r>
          </w:p>
          <w:p w14:paraId="0835F0BF" w14:textId="77777777" w:rsidR="00CD6ECE" w:rsidRDefault="007373C0" w:rsidP="007373C0">
            <w:pPr>
              <w:spacing w:after="0" w:line="240" w:lineRule="auto"/>
              <w:rPr>
                <w:szCs w:val="26"/>
              </w:rPr>
            </w:pPr>
            <w:r w:rsidRPr="00D75780">
              <w:rPr>
                <w:b/>
                <w:bCs/>
                <w:color w:val="000000"/>
                <w:szCs w:val="26"/>
              </w:rPr>
              <w:t>Business Enterprise Program (BEP)</w:t>
            </w:r>
            <w:r w:rsidRPr="00D75780">
              <w:rPr>
                <w:color w:val="000000"/>
                <w:szCs w:val="26"/>
              </w:rPr>
              <w:t xml:space="preserve"> goals</w:t>
            </w:r>
            <w:r>
              <w:rPr>
                <w:color w:val="000000"/>
                <w:szCs w:val="26"/>
              </w:rPr>
              <w:t xml:space="preserve"> are not established as the vendor asked for a waiver since it was not cost effective. There was a 2% goal on this solicitation.</w:t>
            </w:r>
            <w:r>
              <w:rPr>
                <w:szCs w:val="26"/>
              </w:rPr>
              <w:t xml:space="preserve"> </w:t>
            </w:r>
          </w:p>
          <w:p w14:paraId="3B1D8582" w14:textId="7EE5EB7B" w:rsidR="00197E32" w:rsidRPr="00D7330E" w:rsidRDefault="00197E32" w:rsidP="007373C0">
            <w:pPr>
              <w:spacing w:after="0" w:line="240" w:lineRule="auto"/>
              <w:rPr>
                <w:rFonts w:eastAsia="Times New Roman"/>
                <w:b/>
                <w:color w:val="000000"/>
                <w:szCs w:val="26"/>
              </w:rPr>
            </w:pPr>
          </w:p>
        </w:tc>
      </w:tr>
      <w:tr w:rsidR="00197E32" w:rsidRPr="00D7330E" w14:paraId="2CF94205" w14:textId="77777777" w:rsidTr="00F4062E">
        <w:trPr>
          <w:trHeight w:val="150"/>
        </w:trPr>
        <w:tc>
          <w:tcPr>
            <w:tcW w:w="342" w:type="dxa"/>
            <w:tcBorders>
              <w:bottom w:val="double" w:sz="4" w:space="0" w:color="auto"/>
            </w:tcBorders>
          </w:tcPr>
          <w:p w14:paraId="15C97C17" w14:textId="4DB849AE" w:rsidR="00197E32" w:rsidRPr="00D7330E" w:rsidRDefault="00197E32" w:rsidP="00B775E6">
            <w:pPr>
              <w:pStyle w:val="NoSpacing"/>
              <w:rPr>
                <w:sz w:val="26"/>
                <w:szCs w:val="26"/>
              </w:rPr>
            </w:pPr>
            <w:r>
              <w:rPr>
                <w:sz w:val="26"/>
                <w:szCs w:val="26"/>
              </w:rPr>
              <w:lastRenderedPageBreak/>
              <w:t>3</w:t>
            </w:r>
          </w:p>
        </w:tc>
        <w:tc>
          <w:tcPr>
            <w:tcW w:w="990" w:type="dxa"/>
            <w:tcBorders>
              <w:bottom w:val="double" w:sz="4" w:space="0" w:color="auto"/>
            </w:tcBorders>
            <w:shd w:val="clear" w:color="auto" w:fill="auto"/>
          </w:tcPr>
          <w:p w14:paraId="6DAA3A39" w14:textId="501F72EC" w:rsidR="00197E32" w:rsidRPr="00D7330E" w:rsidRDefault="00197E32" w:rsidP="00B775E6">
            <w:pPr>
              <w:pStyle w:val="NoSpacing"/>
              <w:rPr>
                <w:sz w:val="26"/>
                <w:szCs w:val="26"/>
              </w:rPr>
            </w:pPr>
            <w:r>
              <w:rPr>
                <w:sz w:val="26"/>
                <w:szCs w:val="26"/>
              </w:rPr>
              <w:t>Unit</w:t>
            </w:r>
          </w:p>
        </w:tc>
        <w:tc>
          <w:tcPr>
            <w:tcW w:w="8118" w:type="dxa"/>
            <w:tcBorders>
              <w:bottom w:val="double" w:sz="4" w:space="0" w:color="auto"/>
            </w:tcBorders>
            <w:shd w:val="clear" w:color="auto" w:fill="auto"/>
          </w:tcPr>
          <w:p w14:paraId="36887B91" w14:textId="09FAAADB" w:rsidR="00197E32" w:rsidRDefault="00F4062E" w:rsidP="000D3439">
            <w:pPr>
              <w:rPr>
                <w:szCs w:val="26"/>
              </w:rPr>
            </w:pPr>
            <w:r>
              <w:rPr>
                <w:szCs w:val="26"/>
              </w:rPr>
              <w:t>Division of Intercollegiate Athletics</w:t>
            </w:r>
          </w:p>
        </w:tc>
      </w:tr>
      <w:tr w:rsidR="00197E32" w:rsidRPr="00D7330E" w14:paraId="72EBDA79" w14:textId="77777777" w:rsidTr="00F4062E">
        <w:trPr>
          <w:trHeight w:val="150"/>
        </w:trPr>
        <w:tc>
          <w:tcPr>
            <w:tcW w:w="342" w:type="dxa"/>
            <w:tcBorders>
              <w:top w:val="double" w:sz="4" w:space="0" w:color="auto"/>
            </w:tcBorders>
          </w:tcPr>
          <w:p w14:paraId="4A1ABEC1" w14:textId="77777777" w:rsidR="00197E32" w:rsidRDefault="00197E32" w:rsidP="00B775E6">
            <w:pPr>
              <w:pStyle w:val="NoSpacing"/>
              <w:rPr>
                <w:sz w:val="26"/>
                <w:szCs w:val="26"/>
              </w:rPr>
            </w:pPr>
          </w:p>
        </w:tc>
        <w:tc>
          <w:tcPr>
            <w:tcW w:w="990" w:type="dxa"/>
            <w:tcBorders>
              <w:top w:val="double" w:sz="4" w:space="0" w:color="auto"/>
            </w:tcBorders>
            <w:shd w:val="clear" w:color="auto" w:fill="auto"/>
          </w:tcPr>
          <w:p w14:paraId="7F14BEE9" w14:textId="6FAFE5D9" w:rsidR="00197E32" w:rsidRDefault="00F4062E" w:rsidP="00B775E6">
            <w:pPr>
              <w:pStyle w:val="NoSpacing"/>
              <w:rPr>
                <w:sz w:val="26"/>
                <w:szCs w:val="26"/>
              </w:rPr>
            </w:pPr>
            <w:r>
              <w:rPr>
                <w:sz w:val="26"/>
                <w:szCs w:val="26"/>
              </w:rPr>
              <w:t xml:space="preserve">Item </w:t>
            </w:r>
          </w:p>
        </w:tc>
        <w:tc>
          <w:tcPr>
            <w:tcW w:w="8118" w:type="dxa"/>
            <w:tcBorders>
              <w:top w:val="double" w:sz="4" w:space="0" w:color="auto"/>
            </w:tcBorders>
            <w:shd w:val="clear" w:color="auto" w:fill="auto"/>
          </w:tcPr>
          <w:p w14:paraId="59ECF7D0" w14:textId="5CE4B62D" w:rsidR="000D3439" w:rsidRDefault="00F4062E" w:rsidP="00A36EB1">
            <w:pPr>
              <w:rPr>
                <w:szCs w:val="26"/>
              </w:rPr>
            </w:pPr>
            <w:r>
              <w:rPr>
                <w:szCs w:val="26"/>
              </w:rPr>
              <w:t>High Density WiFi System for Memorial Stadium</w:t>
            </w:r>
          </w:p>
        </w:tc>
      </w:tr>
      <w:tr w:rsidR="00A44D7C" w:rsidRPr="00D7330E" w14:paraId="720DDE9A" w14:textId="77777777" w:rsidTr="00B62DED">
        <w:trPr>
          <w:trHeight w:val="150"/>
        </w:trPr>
        <w:tc>
          <w:tcPr>
            <w:tcW w:w="342" w:type="dxa"/>
          </w:tcPr>
          <w:p w14:paraId="105A1895" w14:textId="77777777" w:rsidR="00A44D7C" w:rsidRPr="00D7330E" w:rsidRDefault="00A44D7C" w:rsidP="00B775E6">
            <w:pPr>
              <w:pStyle w:val="NoSpacing"/>
              <w:rPr>
                <w:sz w:val="26"/>
                <w:szCs w:val="26"/>
              </w:rPr>
            </w:pPr>
          </w:p>
        </w:tc>
        <w:tc>
          <w:tcPr>
            <w:tcW w:w="990" w:type="dxa"/>
            <w:shd w:val="clear" w:color="auto" w:fill="auto"/>
          </w:tcPr>
          <w:p w14:paraId="6B6DC0F3" w14:textId="63D813E8" w:rsidR="00197E32" w:rsidRPr="00D7330E" w:rsidRDefault="00F4062E" w:rsidP="00B775E6">
            <w:pPr>
              <w:pStyle w:val="NoSpacing"/>
              <w:rPr>
                <w:sz w:val="26"/>
                <w:szCs w:val="26"/>
              </w:rPr>
            </w:pPr>
            <w:r>
              <w:rPr>
                <w:sz w:val="26"/>
                <w:szCs w:val="26"/>
              </w:rPr>
              <w:t xml:space="preserve">Cost </w:t>
            </w:r>
          </w:p>
        </w:tc>
        <w:tc>
          <w:tcPr>
            <w:tcW w:w="8118" w:type="dxa"/>
            <w:shd w:val="clear" w:color="auto" w:fill="auto"/>
          </w:tcPr>
          <w:p w14:paraId="6C902CA6" w14:textId="58184373" w:rsidR="00A44D7C" w:rsidRPr="00F4062E" w:rsidRDefault="00F4062E" w:rsidP="000D3439">
            <w:pPr>
              <w:rPr>
                <w:rFonts w:eastAsia="Times New Roman"/>
                <w:bCs/>
                <w:color w:val="000000"/>
                <w:szCs w:val="26"/>
              </w:rPr>
            </w:pPr>
            <w:r w:rsidRPr="00F4062E">
              <w:rPr>
                <w:rFonts w:eastAsia="Times New Roman"/>
                <w:bCs/>
                <w:color w:val="000000"/>
                <w:szCs w:val="26"/>
              </w:rPr>
              <w:t>$10,000,000</w:t>
            </w:r>
            <w:r>
              <w:rPr>
                <w:rFonts w:eastAsia="Times New Roman"/>
                <w:bCs/>
                <w:color w:val="000000"/>
                <w:szCs w:val="26"/>
              </w:rPr>
              <w:t xml:space="preserve"> (estimated)</w:t>
            </w:r>
          </w:p>
        </w:tc>
      </w:tr>
      <w:tr w:rsidR="00F4062E" w:rsidRPr="00D7330E" w14:paraId="0A7E4F0A" w14:textId="77777777" w:rsidTr="00B62DED">
        <w:trPr>
          <w:trHeight w:val="150"/>
        </w:trPr>
        <w:tc>
          <w:tcPr>
            <w:tcW w:w="342" w:type="dxa"/>
          </w:tcPr>
          <w:p w14:paraId="3FA714CD" w14:textId="77777777" w:rsidR="00F4062E" w:rsidRPr="00D7330E" w:rsidRDefault="00F4062E" w:rsidP="00B775E6">
            <w:pPr>
              <w:pStyle w:val="NoSpacing"/>
              <w:rPr>
                <w:sz w:val="26"/>
                <w:szCs w:val="26"/>
              </w:rPr>
            </w:pPr>
          </w:p>
        </w:tc>
        <w:tc>
          <w:tcPr>
            <w:tcW w:w="990" w:type="dxa"/>
            <w:shd w:val="clear" w:color="auto" w:fill="auto"/>
          </w:tcPr>
          <w:p w14:paraId="07D5E05B" w14:textId="17BD0B31" w:rsidR="00F4062E" w:rsidRPr="00D7330E" w:rsidRDefault="00F4062E" w:rsidP="00B775E6">
            <w:pPr>
              <w:pStyle w:val="NoSpacing"/>
              <w:rPr>
                <w:sz w:val="26"/>
                <w:szCs w:val="26"/>
              </w:rPr>
            </w:pPr>
            <w:r>
              <w:rPr>
                <w:sz w:val="26"/>
                <w:szCs w:val="26"/>
              </w:rPr>
              <w:t>Vendor</w:t>
            </w:r>
          </w:p>
        </w:tc>
        <w:tc>
          <w:tcPr>
            <w:tcW w:w="8118" w:type="dxa"/>
            <w:shd w:val="clear" w:color="auto" w:fill="auto"/>
          </w:tcPr>
          <w:p w14:paraId="330CBB68" w14:textId="5ECDE0F7" w:rsidR="00F4062E" w:rsidRPr="00F4062E" w:rsidRDefault="00F4062E" w:rsidP="000D3439">
            <w:pPr>
              <w:rPr>
                <w:rFonts w:eastAsia="Times New Roman"/>
                <w:bCs/>
                <w:color w:val="000000"/>
                <w:szCs w:val="26"/>
              </w:rPr>
            </w:pPr>
            <w:r w:rsidRPr="00F4062E">
              <w:rPr>
                <w:rFonts w:eastAsia="Times New Roman"/>
                <w:bCs/>
                <w:color w:val="000000"/>
                <w:szCs w:val="26"/>
              </w:rPr>
              <w:t xml:space="preserve">MSB Consulting Engineers                                               Metairie, LA                               </w:t>
            </w:r>
          </w:p>
        </w:tc>
      </w:tr>
      <w:tr w:rsidR="00F4062E" w:rsidRPr="00D7330E" w14:paraId="7F448171" w14:textId="77777777" w:rsidTr="00B62DED">
        <w:trPr>
          <w:trHeight w:val="150"/>
        </w:trPr>
        <w:tc>
          <w:tcPr>
            <w:tcW w:w="342" w:type="dxa"/>
          </w:tcPr>
          <w:p w14:paraId="32428AC2" w14:textId="77777777" w:rsidR="00F4062E" w:rsidRPr="00D7330E" w:rsidRDefault="00F4062E" w:rsidP="00B775E6">
            <w:pPr>
              <w:pStyle w:val="NoSpacing"/>
              <w:rPr>
                <w:sz w:val="26"/>
                <w:szCs w:val="26"/>
              </w:rPr>
            </w:pPr>
          </w:p>
        </w:tc>
        <w:tc>
          <w:tcPr>
            <w:tcW w:w="990" w:type="dxa"/>
            <w:shd w:val="clear" w:color="auto" w:fill="auto"/>
          </w:tcPr>
          <w:p w14:paraId="3DD1F5AA" w14:textId="77777777" w:rsidR="00F4062E" w:rsidRPr="00D7330E" w:rsidRDefault="00F4062E" w:rsidP="00B775E6">
            <w:pPr>
              <w:pStyle w:val="NoSpacing"/>
              <w:rPr>
                <w:sz w:val="26"/>
                <w:szCs w:val="26"/>
              </w:rPr>
            </w:pPr>
          </w:p>
        </w:tc>
        <w:tc>
          <w:tcPr>
            <w:tcW w:w="8118" w:type="dxa"/>
            <w:shd w:val="clear" w:color="auto" w:fill="auto"/>
          </w:tcPr>
          <w:p w14:paraId="474910F2" w14:textId="77777777" w:rsidR="00F4062E" w:rsidRDefault="00F4062E" w:rsidP="000D3439">
            <w:pPr>
              <w:rPr>
                <w:szCs w:val="26"/>
              </w:rPr>
            </w:pPr>
            <w:r w:rsidRPr="006C550A">
              <w:rPr>
                <w:szCs w:val="26"/>
              </w:rPr>
              <w:t>This purchase is exempt from the usual selection process of the procurement code because the procurement expenditure is for events or activities paid for exclusively by revenues generated by the event or activity, gifts, or donations for the event or activity, private grants, or any combination thereof, per 30 ILCS 500 / 1-13(b)(2).</w:t>
            </w:r>
          </w:p>
          <w:p w14:paraId="1F23BACC" w14:textId="77777777" w:rsidR="00F4062E" w:rsidRPr="009246E2" w:rsidRDefault="00F4062E" w:rsidP="000D3439">
            <w:pPr>
              <w:shd w:val="clear" w:color="auto" w:fill="FFFFFF"/>
              <w:rPr>
                <w:color w:val="000000"/>
                <w:szCs w:val="26"/>
              </w:rPr>
            </w:pPr>
            <w:r w:rsidRPr="009246E2">
              <w:rPr>
                <w:color w:val="000000"/>
                <w:szCs w:val="26"/>
              </w:rPr>
              <w:t>The p</w:t>
            </w:r>
            <w:r>
              <w:rPr>
                <w:color w:val="000000"/>
                <w:szCs w:val="26"/>
              </w:rPr>
              <w:t>urchase is</w:t>
            </w:r>
            <w:r w:rsidRPr="009246E2">
              <w:rPr>
                <w:color w:val="000000"/>
                <w:szCs w:val="26"/>
              </w:rPr>
              <w:t xml:space="preserve"> </w:t>
            </w:r>
            <w:r>
              <w:rPr>
                <w:color w:val="000000"/>
                <w:szCs w:val="26"/>
              </w:rPr>
              <w:t xml:space="preserve">to </w:t>
            </w:r>
            <w:r w:rsidRPr="009246E2">
              <w:rPr>
                <w:color w:val="000000"/>
                <w:szCs w:val="26"/>
              </w:rPr>
              <w:t>upgrade Memorial Stadium with the installation of a high-density Wi-Fi system. This project aims to enhance the digital experience for all attendees by providing reliable and fast internet connectivity throughout the venue including the tailgating area in Grange Grove. The system will be designed to handle the high traffic demands during events, ensuring that fans can stay connected, share their experiences on social media, and access real-time information seamlessly.</w:t>
            </w:r>
            <w:r>
              <w:rPr>
                <w:color w:val="000000"/>
                <w:szCs w:val="26"/>
              </w:rPr>
              <w:t xml:space="preserve">  </w:t>
            </w:r>
            <w:r w:rsidRPr="009246E2">
              <w:rPr>
                <w:color w:val="000000"/>
                <w:szCs w:val="26"/>
              </w:rPr>
              <w:t>Additionally, the high-density Wi-Fi system will support the stadium's operations, including ticketing, concessions, and security, ensuring a smooth and efficient event management process.</w:t>
            </w:r>
          </w:p>
          <w:p w14:paraId="014CF217" w14:textId="77777777" w:rsidR="00F4062E" w:rsidRPr="009246E2" w:rsidRDefault="00F4062E" w:rsidP="000D3439">
            <w:pPr>
              <w:shd w:val="clear" w:color="auto" w:fill="FFFFFF"/>
              <w:rPr>
                <w:color w:val="000000"/>
                <w:szCs w:val="26"/>
              </w:rPr>
            </w:pPr>
            <w:r w:rsidRPr="009246E2">
              <w:rPr>
                <w:color w:val="000000"/>
                <w:szCs w:val="26"/>
              </w:rPr>
              <w:t>The implementation of this high-density Wi-Fi system will involve a complete turnkey installation, including the manufacture, installation, supply, delivery, labor, testing, and documentation of all necessary equipment and materials. The system will be fully integrated and operational, providing a complete, workable solution that meets all required performance specifications as well as campus technology standards.</w:t>
            </w:r>
          </w:p>
          <w:p w14:paraId="6DE11F0A" w14:textId="77777777" w:rsidR="00F4062E" w:rsidRDefault="00F4062E" w:rsidP="000D3439">
            <w:pPr>
              <w:rPr>
                <w:bCs/>
                <w:szCs w:val="26"/>
              </w:rPr>
            </w:pPr>
            <w:r>
              <w:rPr>
                <w:b/>
                <w:szCs w:val="26"/>
              </w:rPr>
              <w:lastRenderedPageBreak/>
              <w:t>B</w:t>
            </w:r>
            <w:r w:rsidRPr="009246E2">
              <w:rPr>
                <w:b/>
                <w:szCs w:val="26"/>
              </w:rPr>
              <w:t xml:space="preserve">usiness Enterprise Program (BEP) </w:t>
            </w:r>
            <w:r w:rsidRPr="009246E2">
              <w:rPr>
                <w:bCs/>
                <w:szCs w:val="26"/>
              </w:rPr>
              <w:t>goals are not established for contracts which are exempt from the requirements of the Illinois Procurement Code</w:t>
            </w:r>
            <w:r>
              <w:rPr>
                <w:bCs/>
                <w:szCs w:val="26"/>
              </w:rPr>
              <w:t>.</w:t>
            </w:r>
          </w:p>
          <w:p w14:paraId="3ACA55A5" w14:textId="349CB295" w:rsidR="00A36EB1" w:rsidRPr="00D7330E" w:rsidRDefault="00A36EB1" w:rsidP="000D3439">
            <w:pPr>
              <w:rPr>
                <w:rFonts w:eastAsia="Times New Roman"/>
                <w:b/>
                <w:color w:val="000000"/>
                <w:szCs w:val="26"/>
              </w:rPr>
            </w:pPr>
          </w:p>
        </w:tc>
      </w:tr>
    </w:tbl>
    <w:p w14:paraId="58B2334E" w14:textId="77777777" w:rsidR="00AD339F" w:rsidRDefault="00AD339F">
      <w:r>
        <w:lastRenderedPageBreak/>
        <w:br w:type="page"/>
      </w: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F052D8" w:rsidRPr="00D7330E" w14:paraId="3B87A92D" w14:textId="77777777" w:rsidTr="003E1FA3">
        <w:trPr>
          <w:trHeight w:val="333"/>
        </w:trPr>
        <w:tc>
          <w:tcPr>
            <w:tcW w:w="9450" w:type="dxa"/>
            <w:gridSpan w:val="3"/>
          </w:tcPr>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F052D8" w:rsidRPr="00D7330E" w14:paraId="2A83060F" w14:textId="77777777" w:rsidTr="00701ADE">
              <w:trPr>
                <w:trHeight w:val="114"/>
              </w:trPr>
              <w:tc>
                <w:tcPr>
                  <w:tcW w:w="9454" w:type="dxa"/>
                  <w:tcBorders>
                    <w:top w:val="single" w:sz="18" w:space="0" w:color="auto"/>
                    <w:bottom w:val="single" w:sz="18" w:space="0" w:color="auto"/>
                  </w:tcBorders>
                </w:tcPr>
                <w:p w14:paraId="41F68CC4" w14:textId="458349C7" w:rsidR="00F052D8" w:rsidRPr="00D7330E" w:rsidRDefault="00F052D8" w:rsidP="00F052D8">
                  <w:pPr>
                    <w:tabs>
                      <w:tab w:val="left" w:pos="-720"/>
                      <w:tab w:val="left" w:pos="9090"/>
                    </w:tabs>
                    <w:suppressAutoHyphens/>
                    <w:overflowPunct w:val="0"/>
                    <w:autoSpaceDE w:val="0"/>
                    <w:autoSpaceDN w:val="0"/>
                    <w:adjustRightInd w:val="0"/>
                    <w:spacing w:after="0" w:line="240" w:lineRule="auto"/>
                    <w:jc w:val="center"/>
                    <w:textAlignment w:val="baseline"/>
                    <w:rPr>
                      <w:rFonts w:eastAsia="Times New Roman"/>
                      <w:b/>
                      <w:szCs w:val="26"/>
                    </w:rPr>
                  </w:pPr>
                  <w:r w:rsidRPr="00D7330E">
                    <w:rPr>
                      <w:rFonts w:eastAsia="Times New Roman"/>
                      <w:b/>
                      <w:szCs w:val="26"/>
                    </w:rPr>
                    <w:lastRenderedPageBreak/>
                    <w:t xml:space="preserve">University of Illinois </w:t>
                  </w:r>
                  <w:r w:rsidR="00FE0685" w:rsidRPr="00D7330E">
                    <w:rPr>
                      <w:rFonts w:eastAsia="Times New Roman"/>
                      <w:b/>
                      <w:szCs w:val="26"/>
                    </w:rPr>
                    <w:t>Chicago</w:t>
                  </w:r>
                </w:p>
              </w:tc>
            </w:tr>
          </w:tbl>
          <w:p w14:paraId="385F4FDD" w14:textId="77777777" w:rsidR="00F052D8" w:rsidRPr="00D7330E" w:rsidRDefault="00F052D8" w:rsidP="00F052D8">
            <w:pPr>
              <w:spacing w:after="0"/>
              <w:jc w:val="both"/>
              <w:rPr>
                <w:szCs w:val="26"/>
              </w:rPr>
            </w:pPr>
          </w:p>
        </w:tc>
      </w:tr>
      <w:tr w:rsidR="00F052D8" w:rsidRPr="00D7330E" w14:paraId="7A096C94" w14:textId="77777777" w:rsidTr="003E1FA3">
        <w:trPr>
          <w:trHeight w:val="333"/>
        </w:trPr>
        <w:tc>
          <w:tcPr>
            <w:tcW w:w="342" w:type="dxa"/>
            <w:tcBorders>
              <w:bottom w:val="double" w:sz="4" w:space="0" w:color="auto"/>
            </w:tcBorders>
          </w:tcPr>
          <w:p w14:paraId="7CCA554E" w14:textId="2F9BAA65" w:rsidR="00F052D8" w:rsidRPr="00D7330E" w:rsidRDefault="00197E32" w:rsidP="00F052D8">
            <w:pPr>
              <w:pStyle w:val="NoSpacing"/>
              <w:jc w:val="both"/>
              <w:rPr>
                <w:sz w:val="26"/>
                <w:szCs w:val="26"/>
              </w:rPr>
            </w:pPr>
            <w:r>
              <w:rPr>
                <w:sz w:val="26"/>
                <w:szCs w:val="26"/>
              </w:rPr>
              <w:t>4</w:t>
            </w:r>
          </w:p>
        </w:tc>
        <w:tc>
          <w:tcPr>
            <w:tcW w:w="990" w:type="dxa"/>
            <w:tcBorders>
              <w:bottom w:val="double" w:sz="4" w:space="0" w:color="auto"/>
            </w:tcBorders>
            <w:shd w:val="clear" w:color="auto" w:fill="auto"/>
          </w:tcPr>
          <w:p w14:paraId="7937997A" w14:textId="74F70072" w:rsidR="00F052D8" w:rsidRPr="00D7330E" w:rsidRDefault="00F052D8" w:rsidP="00F052D8">
            <w:pPr>
              <w:pStyle w:val="NoSpacing"/>
              <w:jc w:val="both"/>
              <w:rPr>
                <w:sz w:val="26"/>
                <w:szCs w:val="26"/>
              </w:rPr>
            </w:pPr>
            <w:r w:rsidRPr="00D7330E">
              <w:rPr>
                <w:sz w:val="26"/>
                <w:szCs w:val="26"/>
              </w:rPr>
              <w:t>Unit</w:t>
            </w:r>
          </w:p>
        </w:tc>
        <w:tc>
          <w:tcPr>
            <w:tcW w:w="8118" w:type="dxa"/>
            <w:tcBorders>
              <w:bottom w:val="double" w:sz="4" w:space="0" w:color="auto"/>
            </w:tcBorders>
            <w:shd w:val="clear" w:color="auto" w:fill="auto"/>
          </w:tcPr>
          <w:p w14:paraId="6507DF2B" w14:textId="767B2DCB" w:rsidR="00F052D8" w:rsidRPr="00D7330E" w:rsidRDefault="00D75780" w:rsidP="00F052D8">
            <w:pPr>
              <w:spacing w:after="0"/>
              <w:jc w:val="both"/>
              <w:rPr>
                <w:szCs w:val="26"/>
              </w:rPr>
            </w:pPr>
            <w:r>
              <w:rPr>
                <w:spacing w:val="-3"/>
                <w:szCs w:val="26"/>
              </w:rPr>
              <w:t>UI Hospital and Clinics</w:t>
            </w:r>
          </w:p>
        </w:tc>
      </w:tr>
      <w:tr w:rsidR="00F052D8" w:rsidRPr="00D7330E" w14:paraId="0BBEAEF1" w14:textId="77777777" w:rsidTr="003E1FA3">
        <w:trPr>
          <w:trHeight w:val="333"/>
        </w:trPr>
        <w:tc>
          <w:tcPr>
            <w:tcW w:w="342" w:type="dxa"/>
            <w:tcBorders>
              <w:top w:val="double" w:sz="4" w:space="0" w:color="auto"/>
            </w:tcBorders>
          </w:tcPr>
          <w:p w14:paraId="37049EC9" w14:textId="77777777" w:rsidR="00F052D8" w:rsidRPr="00D7330E" w:rsidRDefault="00F052D8" w:rsidP="00F052D8">
            <w:pPr>
              <w:pStyle w:val="NoSpacing"/>
              <w:jc w:val="both"/>
              <w:rPr>
                <w:sz w:val="26"/>
                <w:szCs w:val="26"/>
              </w:rPr>
            </w:pPr>
          </w:p>
        </w:tc>
        <w:tc>
          <w:tcPr>
            <w:tcW w:w="990" w:type="dxa"/>
            <w:tcBorders>
              <w:top w:val="double" w:sz="4" w:space="0" w:color="auto"/>
            </w:tcBorders>
            <w:shd w:val="clear" w:color="auto" w:fill="auto"/>
          </w:tcPr>
          <w:p w14:paraId="42D904FC" w14:textId="77777777" w:rsidR="00F052D8" w:rsidRPr="00D7330E" w:rsidRDefault="00F052D8" w:rsidP="00F052D8">
            <w:pPr>
              <w:pStyle w:val="NoSpacing"/>
              <w:rPr>
                <w:sz w:val="26"/>
                <w:szCs w:val="26"/>
              </w:rPr>
            </w:pPr>
          </w:p>
          <w:p w14:paraId="474C636E" w14:textId="1AA0FCDC" w:rsidR="00F052D8" w:rsidRPr="00D7330E" w:rsidRDefault="00F052D8" w:rsidP="00F052D8">
            <w:pPr>
              <w:pStyle w:val="NoSpacing"/>
              <w:jc w:val="both"/>
              <w:rPr>
                <w:sz w:val="26"/>
                <w:szCs w:val="26"/>
              </w:rPr>
            </w:pPr>
            <w:r w:rsidRPr="00D7330E">
              <w:rPr>
                <w:sz w:val="26"/>
                <w:szCs w:val="26"/>
              </w:rPr>
              <w:t>Item</w:t>
            </w:r>
          </w:p>
        </w:tc>
        <w:tc>
          <w:tcPr>
            <w:tcW w:w="8118" w:type="dxa"/>
            <w:tcBorders>
              <w:top w:val="double" w:sz="4" w:space="0" w:color="auto"/>
            </w:tcBorders>
            <w:shd w:val="clear" w:color="auto" w:fill="auto"/>
          </w:tcPr>
          <w:p w14:paraId="3F2F7796" w14:textId="77777777" w:rsidR="00F052D8" w:rsidRPr="00D7330E" w:rsidRDefault="00F052D8" w:rsidP="00F052D8">
            <w:pPr>
              <w:pStyle w:val="NoSpacing"/>
              <w:rPr>
                <w:sz w:val="26"/>
                <w:szCs w:val="26"/>
              </w:rPr>
            </w:pPr>
          </w:p>
          <w:p w14:paraId="588F47B4" w14:textId="181B8531" w:rsidR="00F052D8" w:rsidRPr="00D7330E" w:rsidRDefault="00D75780" w:rsidP="00F052D8">
            <w:pPr>
              <w:spacing w:after="0"/>
              <w:jc w:val="both"/>
              <w:rPr>
                <w:szCs w:val="26"/>
              </w:rPr>
            </w:pPr>
            <w:r w:rsidRPr="00E42C5B">
              <w:rPr>
                <w:szCs w:val="26"/>
              </w:rPr>
              <w:t xml:space="preserve">Purchase of </w:t>
            </w:r>
            <w:r>
              <w:rPr>
                <w:szCs w:val="26"/>
              </w:rPr>
              <w:t>Specialty Pharmaceutical Lamzede for UI Hospital and Clinics</w:t>
            </w:r>
          </w:p>
        </w:tc>
      </w:tr>
      <w:tr w:rsidR="00F052D8" w:rsidRPr="00D7330E" w14:paraId="6AD4E238" w14:textId="77777777" w:rsidTr="003E1FA3">
        <w:trPr>
          <w:trHeight w:val="333"/>
        </w:trPr>
        <w:tc>
          <w:tcPr>
            <w:tcW w:w="342" w:type="dxa"/>
          </w:tcPr>
          <w:p w14:paraId="1903403F" w14:textId="77777777" w:rsidR="00F052D8" w:rsidRPr="00D7330E" w:rsidRDefault="00F052D8" w:rsidP="00F052D8">
            <w:pPr>
              <w:pStyle w:val="NoSpacing"/>
              <w:jc w:val="both"/>
              <w:rPr>
                <w:sz w:val="26"/>
                <w:szCs w:val="26"/>
              </w:rPr>
            </w:pPr>
          </w:p>
        </w:tc>
        <w:tc>
          <w:tcPr>
            <w:tcW w:w="990" w:type="dxa"/>
            <w:shd w:val="clear" w:color="auto" w:fill="auto"/>
          </w:tcPr>
          <w:p w14:paraId="2D113813" w14:textId="77777777" w:rsidR="00F052D8" w:rsidRPr="00D7330E" w:rsidRDefault="00F052D8" w:rsidP="00F052D8">
            <w:pPr>
              <w:pStyle w:val="NoSpacing"/>
              <w:rPr>
                <w:sz w:val="26"/>
                <w:szCs w:val="26"/>
              </w:rPr>
            </w:pPr>
          </w:p>
          <w:p w14:paraId="2CC4803D" w14:textId="08A0F491" w:rsidR="00F052D8" w:rsidRPr="00D7330E" w:rsidRDefault="00F052D8" w:rsidP="00F052D8">
            <w:pPr>
              <w:pStyle w:val="NoSpacing"/>
              <w:jc w:val="both"/>
              <w:rPr>
                <w:sz w:val="26"/>
                <w:szCs w:val="26"/>
              </w:rPr>
            </w:pPr>
            <w:r w:rsidRPr="00D7330E">
              <w:rPr>
                <w:sz w:val="26"/>
                <w:szCs w:val="26"/>
              </w:rPr>
              <w:t>Cost</w:t>
            </w:r>
          </w:p>
        </w:tc>
        <w:tc>
          <w:tcPr>
            <w:tcW w:w="8118" w:type="dxa"/>
            <w:shd w:val="clear" w:color="auto" w:fill="auto"/>
          </w:tcPr>
          <w:p w14:paraId="27B14898" w14:textId="77777777" w:rsidR="00F052D8" w:rsidRPr="00D7330E" w:rsidRDefault="00F052D8" w:rsidP="00F052D8">
            <w:pPr>
              <w:pStyle w:val="NoSpacing"/>
              <w:rPr>
                <w:sz w:val="26"/>
                <w:szCs w:val="26"/>
              </w:rPr>
            </w:pPr>
          </w:p>
          <w:p w14:paraId="0978655A" w14:textId="0073788E" w:rsidR="00F052D8" w:rsidRPr="00D7330E" w:rsidRDefault="00D75780" w:rsidP="00616398">
            <w:pPr>
              <w:tabs>
                <w:tab w:val="left" w:pos="-720"/>
                <w:tab w:val="left" w:pos="0"/>
                <w:tab w:val="left" w:pos="720"/>
                <w:tab w:val="left" w:pos="1080"/>
                <w:tab w:val="left" w:pos="1440"/>
              </w:tabs>
              <w:suppressAutoHyphens/>
              <w:jc w:val="both"/>
              <w:rPr>
                <w:szCs w:val="26"/>
              </w:rPr>
            </w:pPr>
            <w:r w:rsidRPr="00DE7E8E">
              <w:rPr>
                <w:spacing w:val="-3"/>
                <w:szCs w:val="26"/>
              </w:rPr>
              <w:t>$</w:t>
            </w:r>
            <w:r>
              <w:rPr>
                <w:spacing w:val="-3"/>
                <w:szCs w:val="26"/>
              </w:rPr>
              <w:t>1,650,000</w:t>
            </w:r>
            <w:r w:rsidRPr="00DE7E8E">
              <w:rPr>
                <w:spacing w:val="-3"/>
                <w:szCs w:val="26"/>
              </w:rPr>
              <w:t xml:space="preserve"> (estimated)</w:t>
            </w:r>
            <w:r w:rsidR="007F1E33" w:rsidRPr="00DE7E8E">
              <w:rPr>
                <w:spacing w:val="-3"/>
                <w:szCs w:val="26"/>
              </w:rPr>
              <w:t xml:space="preserve"> </w:t>
            </w:r>
            <w:r w:rsidR="00037C1C">
              <w:rPr>
                <w:spacing w:val="-3"/>
                <w:szCs w:val="26"/>
              </w:rPr>
              <w:t>for a thirteen-month period June 1, 2025 to June 30, 2026</w:t>
            </w:r>
          </w:p>
        </w:tc>
      </w:tr>
      <w:tr w:rsidR="00F052D8" w:rsidRPr="00D7330E" w14:paraId="0E234F1E" w14:textId="77777777" w:rsidTr="003E1FA3">
        <w:trPr>
          <w:trHeight w:val="333"/>
        </w:trPr>
        <w:tc>
          <w:tcPr>
            <w:tcW w:w="342" w:type="dxa"/>
          </w:tcPr>
          <w:p w14:paraId="0B2E18D9" w14:textId="77777777" w:rsidR="00F052D8" w:rsidRPr="00D7330E" w:rsidRDefault="00F052D8" w:rsidP="00F052D8">
            <w:pPr>
              <w:pStyle w:val="NoSpacing"/>
              <w:jc w:val="both"/>
              <w:rPr>
                <w:sz w:val="26"/>
                <w:szCs w:val="26"/>
              </w:rPr>
            </w:pPr>
          </w:p>
        </w:tc>
        <w:tc>
          <w:tcPr>
            <w:tcW w:w="990" w:type="dxa"/>
            <w:shd w:val="clear" w:color="auto" w:fill="auto"/>
          </w:tcPr>
          <w:p w14:paraId="027BE1C7" w14:textId="21D312FA" w:rsidR="00F052D8" w:rsidRPr="00D7330E" w:rsidRDefault="00F052D8" w:rsidP="00F052D8">
            <w:pPr>
              <w:pStyle w:val="NoSpacing"/>
              <w:jc w:val="both"/>
              <w:rPr>
                <w:sz w:val="26"/>
                <w:szCs w:val="26"/>
              </w:rPr>
            </w:pPr>
            <w:r w:rsidRPr="00D7330E">
              <w:rPr>
                <w:sz w:val="26"/>
                <w:szCs w:val="26"/>
              </w:rPr>
              <w:t>Vendor</w:t>
            </w:r>
          </w:p>
        </w:tc>
        <w:tc>
          <w:tcPr>
            <w:tcW w:w="8118" w:type="dxa"/>
            <w:shd w:val="clear" w:color="auto" w:fill="auto"/>
          </w:tcPr>
          <w:p w14:paraId="1F9EE9F3" w14:textId="619A818C" w:rsidR="00D75780" w:rsidRPr="00D75780" w:rsidRDefault="00D75780" w:rsidP="00D75780">
            <w:pPr>
              <w:spacing w:after="0" w:line="240" w:lineRule="auto"/>
              <w:jc w:val="both"/>
              <w:rPr>
                <w:szCs w:val="26"/>
              </w:rPr>
            </w:pPr>
            <w:r w:rsidRPr="00D75780">
              <w:rPr>
                <w:bCs/>
                <w:szCs w:val="26"/>
              </w:rPr>
              <w:t xml:space="preserve">Eversana Life Science Services LLC     </w:t>
            </w:r>
            <w:r>
              <w:rPr>
                <w:bCs/>
                <w:szCs w:val="26"/>
              </w:rPr>
              <w:t xml:space="preserve">                </w:t>
            </w:r>
            <w:r w:rsidRPr="00D75780">
              <w:rPr>
                <w:bCs/>
                <w:szCs w:val="26"/>
              </w:rPr>
              <w:t xml:space="preserve"> Chesterfield, Missouri                   </w:t>
            </w:r>
          </w:p>
          <w:p w14:paraId="65913175" w14:textId="77777777" w:rsidR="00F052D8" w:rsidRPr="00D7330E" w:rsidRDefault="00F052D8" w:rsidP="00F052D8">
            <w:pPr>
              <w:spacing w:after="0"/>
              <w:jc w:val="both"/>
              <w:rPr>
                <w:szCs w:val="26"/>
              </w:rPr>
            </w:pPr>
          </w:p>
        </w:tc>
      </w:tr>
      <w:tr w:rsidR="00F052D8" w:rsidRPr="00D7330E" w14:paraId="0F8FD728" w14:textId="77777777" w:rsidTr="003E1FA3">
        <w:trPr>
          <w:trHeight w:val="333"/>
        </w:trPr>
        <w:tc>
          <w:tcPr>
            <w:tcW w:w="342" w:type="dxa"/>
          </w:tcPr>
          <w:p w14:paraId="57958A15" w14:textId="77777777" w:rsidR="00F052D8" w:rsidRPr="00D7330E" w:rsidRDefault="00F052D8" w:rsidP="00F052D8">
            <w:pPr>
              <w:pStyle w:val="NoSpacing"/>
              <w:jc w:val="both"/>
              <w:rPr>
                <w:sz w:val="26"/>
                <w:szCs w:val="26"/>
              </w:rPr>
            </w:pPr>
          </w:p>
        </w:tc>
        <w:tc>
          <w:tcPr>
            <w:tcW w:w="990" w:type="dxa"/>
            <w:shd w:val="clear" w:color="auto" w:fill="auto"/>
          </w:tcPr>
          <w:p w14:paraId="1EDF1F5F" w14:textId="77777777" w:rsidR="00F052D8" w:rsidRPr="00D7330E" w:rsidRDefault="00F052D8" w:rsidP="00F052D8">
            <w:pPr>
              <w:pStyle w:val="NoSpacing"/>
              <w:jc w:val="both"/>
              <w:rPr>
                <w:sz w:val="26"/>
                <w:szCs w:val="26"/>
              </w:rPr>
            </w:pPr>
          </w:p>
        </w:tc>
        <w:tc>
          <w:tcPr>
            <w:tcW w:w="8118" w:type="dxa"/>
            <w:shd w:val="clear" w:color="auto" w:fill="auto"/>
          </w:tcPr>
          <w:p w14:paraId="68920D08" w14:textId="6FE0AE33" w:rsidR="00496CFF" w:rsidRPr="00496CFF" w:rsidRDefault="00496CFF" w:rsidP="00496CFF">
            <w:pPr>
              <w:jc w:val="both"/>
              <w:rPr>
                <w:color w:val="000000"/>
                <w:szCs w:val="26"/>
              </w:rPr>
            </w:pPr>
            <w:r w:rsidRPr="00496CFF">
              <w:rPr>
                <w:color w:val="000000"/>
                <w:szCs w:val="26"/>
              </w:rPr>
              <w:t>Lamzede is an enzyme replacement therapy indicated for the treatment of Alpha-Mannosidosis, an ultra-rare genetic disorder that impairs the body’s ability to break down specific complex sugars. Weekly Lamzede infusions help reduce the accumulation of these sugar molecules within cells, thereby improving cellular function and enhancing patients’ quality of life.</w:t>
            </w:r>
          </w:p>
          <w:p w14:paraId="413B029E" w14:textId="77777777" w:rsidR="00496CFF" w:rsidRDefault="00496CFF" w:rsidP="00496CFF">
            <w:pPr>
              <w:spacing w:after="0" w:line="240" w:lineRule="auto"/>
              <w:jc w:val="both"/>
              <w:rPr>
                <w:color w:val="000000"/>
                <w:szCs w:val="26"/>
              </w:rPr>
            </w:pPr>
            <w:r w:rsidRPr="00496CFF">
              <w:rPr>
                <w:color w:val="000000"/>
                <w:szCs w:val="26"/>
              </w:rPr>
              <w:t>The manufacturer has granted exclusive U.S. distribution rights for Lamzede to Eversana Life Science Services LLC. As a result, Lamzede is available solely through Eversana Life Sciences.</w:t>
            </w:r>
          </w:p>
          <w:p w14:paraId="28701BA1" w14:textId="77777777" w:rsidR="00496CFF" w:rsidRDefault="00496CFF" w:rsidP="00496CFF">
            <w:pPr>
              <w:spacing w:after="0" w:line="240" w:lineRule="auto"/>
              <w:ind w:left="360"/>
              <w:jc w:val="both"/>
              <w:rPr>
                <w:color w:val="000000"/>
                <w:szCs w:val="26"/>
              </w:rPr>
            </w:pPr>
          </w:p>
          <w:p w14:paraId="761E19BF" w14:textId="0FE03C25" w:rsidR="00D75780" w:rsidRDefault="00D75780" w:rsidP="00496CFF">
            <w:pPr>
              <w:spacing w:after="0" w:line="240" w:lineRule="auto"/>
              <w:jc w:val="both"/>
              <w:rPr>
                <w:color w:val="000000"/>
                <w:szCs w:val="26"/>
              </w:rPr>
            </w:pPr>
            <w:r w:rsidRPr="00D75780">
              <w:rPr>
                <w:color w:val="000000"/>
                <w:szCs w:val="26"/>
              </w:rPr>
              <w:t>This purchase is exempt from competitive selection procedures in accordance with the Illinois Procurement Code (30ILCS 500/1-13(b-5)).</w:t>
            </w:r>
          </w:p>
          <w:p w14:paraId="0C0FE769" w14:textId="77777777" w:rsidR="00496CFF" w:rsidRPr="00D75780" w:rsidRDefault="00496CFF" w:rsidP="00496CFF">
            <w:pPr>
              <w:spacing w:after="0" w:line="240" w:lineRule="auto"/>
              <w:jc w:val="both"/>
              <w:rPr>
                <w:color w:val="000000"/>
                <w:szCs w:val="26"/>
              </w:rPr>
            </w:pPr>
          </w:p>
          <w:p w14:paraId="70C34DE2" w14:textId="7BCEADEB" w:rsidR="00F052D8" w:rsidRPr="00D7330E" w:rsidRDefault="00D75780" w:rsidP="00D75780">
            <w:pPr>
              <w:spacing w:after="0"/>
              <w:jc w:val="both"/>
              <w:rPr>
                <w:szCs w:val="26"/>
              </w:rPr>
            </w:pPr>
            <w:r w:rsidRPr="00D75780">
              <w:rPr>
                <w:b/>
                <w:bCs/>
                <w:color w:val="000000"/>
                <w:szCs w:val="26"/>
              </w:rPr>
              <w:t>Business Enterprise Program (BEP)</w:t>
            </w:r>
            <w:r w:rsidRPr="00D75780">
              <w:rPr>
                <w:color w:val="000000"/>
                <w:szCs w:val="26"/>
              </w:rPr>
              <w:t xml:space="preserve"> goals are not established for contracts which are exempt from the requirements of the Illinois Procurement Code.</w:t>
            </w:r>
          </w:p>
        </w:tc>
      </w:tr>
      <w:tr w:rsidR="00F052D8" w:rsidRPr="00D7330E" w14:paraId="241580D9" w14:textId="77777777" w:rsidTr="003E1FA3">
        <w:trPr>
          <w:trHeight w:val="333"/>
        </w:trPr>
        <w:tc>
          <w:tcPr>
            <w:tcW w:w="342" w:type="dxa"/>
          </w:tcPr>
          <w:p w14:paraId="39E7186C" w14:textId="77777777" w:rsidR="00F052D8" w:rsidRPr="00D7330E" w:rsidRDefault="00F052D8" w:rsidP="00F052D8">
            <w:pPr>
              <w:pStyle w:val="NoSpacing"/>
              <w:jc w:val="both"/>
              <w:rPr>
                <w:sz w:val="26"/>
                <w:szCs w:val="26"/>
              </w:rPr>
            </w:pPr>
          </w:p>
        </w:tc>
        <w:tc>
          <w:tcPr>
            <w:tcW w:w="990" w:type="dxa"/>
            <w:shd w:val="clear" w:color="auto" w:fill="auto"/>
          </w:tcPr>
          <w:p w14:paraId="71A0B6CE" w14:textId="77777777" w:rsidR="00F052D8" w:rsidRPr="00D7330E" w:rsidRDefault="00F052D8" w:rsidP="00F052D8">
            <w:pPr>
              <w:pStyle w:val="NoSpacing"/>
              <w:jc w:val="both"/>
              <w:rPr>
                <w:sz w:val="26"/>
                <w:szCs w:val="26"/>
              </w:rPr>
            </w:pPr>
          </w:p>
        </w:tc>
        <w:tc>
          <w:tcPr>
            <w:tcW w:w="8118" w:type="dxa"/>
            <w:shd w:val="clear" w:color="auto" w:fill="auto"/>
          </w:tcPr>
          <w:p w14:paraId="3D91F94B" w14:textId="77777777" w:rsidR="00F052D8" w:rsidRPr="00D7330E" w:rsidRDefault="00F052D8" w:rsidP="00F052D8">
            <w:pPr>
              <w:spacing w:after="0"/>
              <w:jc w:val="both"/>
              <w:rPr>
                <w:szCs w:val="26"/>
              </w:rPr>
            </w:pPr>
          </w:p>
        </w:tc>
      </w:tr>
      <w:tr w:rsidR="00F052D8" w:rsidRPr="00D7330E" w14:paraId="753958E9" w14:textId="77777777" w:rsidTr="003E1FA3">
        <w:trPr>
          <w:trHeight w:val="333"/>
        </w:trPr>
        <w:tc>
          <w:tcPr>
            <w:tcW w:w="342" w:type="dxa"/>
            <w:tcBorders>
              <w:bottom w:val="double" w:sz="4" w:space="0" w:color="auto"/>
            </w:tcBorders>
          </w:tcPr>
          <w:p w14:paraId="702FBEB8" w14:textId="3BC2435E" w:rsidR="00F052D8" w:rsidRPr="00D7330E" w:rsidRDefault="00197E32" w:rsidP="00F052D8">
            <w:pPr>
              <w:pStyle w:val="NoSpacing"/>
              <w:jc w:val="both"/>
              <w:rPr>
                <w:sz w:val="26"/>
                <w:szCs w:val="26"/>
              </w:rPr>
            </w:pPr>
            <w:r>
              <w:rPr>
                <w:sz w:val="26"/>
                <w:szCs w:val="26"/>
              </w:rPr>
              <w:t>5</w:t>
            </w:r>
          </w:p>
        </w:tc>
        <w:tc>
          <w:tcPr>
            <w:tcW w:w="990" w:type="dxa"/>
            <w:tcBorders>
              <w:bottom w:val="double" w:sz="4" w:space="0" w:color="auto"/>
            </w:tcBorders>
            <w:shd w:val="clear" w:color="auto" w:fill="auto"/>
          </w:tcPr>
          <w:p w14:paraId="72B49EAA" w14:textId="1B983C50" w:rsidR="00F052D8" w:rsidRPr="00D7330E" w:rsidRDefault="00F052D8" w:rsidP="00F052D8">
            <w:pPr>
              <w:pStyle w:val="NoSpacing"/>
              <w:jc w:val="both"/>
              <w:rPr>
                <w:sz w:val="26"/>
                <w:szCs w:val="26"/>
              </w:rPr>
            </w:pPr>
            <w:r w:rsidRPr="00D7330E">
              <w:rPr>
                <w:sz w:val="26"/>
                <w:szCs w:val="26"/>
              </w:rPr>
              <w:t>Unit</w:t>
            </w:r>
          </w:p>
        </w:tc>
        <w:tc>
          <w:tcPr>
            <w:tcW w:w="8118" w:type="dxa"/>
            <w:tcBorders>
              <w:bottom w:val="double" w:sz="4" w:space="0" w:color="auto"/>
            </w:tcBorders>
            <w:shd w:val="clear" w:color="auto" w:fill="auto"/>
          </w:tcPr>
          <w:p w14:paraId="1637C97C" w14:textId="61A65BE1" w:rsidR="00F052D8" w:rsidRPr="00D7330E" w:rsidRDefault="00D75780" w:rsidP="00F052D8">
            <w:pPr>
              <w:spacing w:after="0"/>
              <w:jc w:val="both"/>
              <w:rPr>
                <w:szCs w:val="26"/>
              </w:rPr>
            </w:pPr>
            <w:r>
              <w:rPr>
                <w:spacing w:val="-3"/>
                <w:szCs w:val="26"/>
              </w:rPr>
              <w:t>UI Hospital and Clinics</w:t>
            </w:r>
          </w:p>
        </w:tc>
      </w:tr>
      <w:tr w:rsidR="00F052D8" w:rsidRPr="00D7330E" w14:paraId="01AB1587" w14:textId="77777777" w:rsidTr="00F076EC">
        <w:trPr>
          <w:trHeight w:val="510"/>
        </w:trPr>
        <w:tc>
          <w:tcPr>
            <w:tcW w:w="342" w:type="dxa"/>
            <w:tcBorders>
              <w:top w:val="double" w:sz="4" w:space="0" w:color="auto"/>
            </w:tcBorders>
          </w:tcPr>
          <w:p w14:paraId="321A36F7" w14:textId="77777777" w:rsidR="00F052D8" w:rsidRPr="00D7330E" w:rsidRDefault="00F052D8" w:rsidP="00F052D8">
            <w:pPr>
              <w:pStyle w:val="NoSpacing"/>
              <w:rPr>
                <w:sz w:val="26"/>
                <w:szCs w:val="26"/>
              </w:rPr>
            </w:pPr>
          </w:p>
        </w:tc>
        <w:tc>
          <w:tcPr>
            <w:tcW w:w="990" w:type="dxa"/>
            <w:tcBorders>
              <w:top w:val="double" w:sz="4" w:space="0" w:color="auto"/>
            </w:tcBorders>
            <w:shd w:val="clear" w:color="auto" w:fill="auto"/>
          </w:tcPr>
          <w:p w14:paraId="1AA2A11E" w14:textId="77777777" w:rsidR="00F052D8" w:rsidRPr="00D7330E" w:rsidRDefault="00F052D8" w:rsidP="00F052D8">
            <w:pPr>
              <w:pStyle w:val="NoSpacing"/>
              <w:rPr>
                <w:sz w:val="26"/>
                <w:szCs w:val="26"/>
              </w:rPr>
            </w:pPr>
          </w:p>
          <w:p w14:paraId="32BB7C3F" w14:textId="6C0BCAA5" w:rsidR="00F052D8" w:rsidRPr="00D7330E" w:rsidRDefault="00F052D8" w:rsidP="00F052D8">
            <w:pPr>
              <w:pStyle w:val="NoSpacing"/>
              <w:rPr>
                <w:sz w:val="26"/>
                <w:szCs w:val="26"/>
              </w:rPr>
            </w:pPr>
            <w:r w:rsidRPr="00D7330E">
              <w:rPr>
                <w:sz w:val="26"/>
                <w:szCs w:val="26"/>
              </w:rPr>
              <w:t>Item</w:t>
            </w:r>
          </w:p>
        </w:tc>
        <w:tc>
          <w:tcPr>
            <w:tcW w:w="8118" w:type="dxa"/>
            <w:tcBorders>
              <w:top w:val="double" w:sz="4" w:space="0" w:color="auto"/>
            </w:tcBorders>
            <w:shd w:val="clear" w:color="auto" w:fill="auto"/>
            <w:vAlign w:val="center"/>
          </w:tcPr>
          <w:p w14:paraId="3172DB01" w14:textId="77777777" w:rsidR="00F052D8" w:rsidRPr="00D7330E" w:rsidRDefault="00F052D8" w:rsidP="00F052D8">
            <w:pPr>
              <w:pStyle w:val="NoSpacing"/>
              <w:rPr>
                <w:sz w:val="26"/>
                <w:szCs w:val="26"/>
              </w:rPr>
            </w:pPr>
          </w:p>
          <w:p w14:paraId="5D9A408C" w14:textId="762726E7" w:rsidR="00F052D8" w:rsidRPr="00D7330E" w:rsidRDefault="007F1E33" w:rsidP="00F052D8">
            <w:pPr>
              <w:pStyle w:val="NoSpacing"/>
              <w:rPr>
                <w:sz w:val="26"/>
                <w:szCs w:val="26"/>
              </w:rPr>
            </w:pPr>
            <w:r>
              <w:rPr>
                <w:sz w:val="26"/>
                <w:szCs w:val="26"/>
              </w:rPr>
              <w:t>Purchase of an Enterprise Imaging Platform for UI Hospital and Clinics</w:t>
            </w:r>
          </w:p>
        </w:tc>
      </w:tr>
      <w:tr w:rsidR="00F052D8" w:rsidRPr="00D7330E" w14:paraId="796AD199" w14:textId="77777777" w:rsidTr="005274CF">
        <w:trPr>
          <w:trHeight w:val="150"/>
        </w:trPr>
        <w:tc>
          <w:tcPr>
            <w:tcW w:w="342" w:type="dxa"/>
          </w:tcPr>
          <w:p w14:paraId="568FF330" w14:textId="77777777" w:rsidR="00F052D8" w:rsidRPr="00D7330E" w:rsidRDefault="00F052D8" w:rsidP="00F052D8">
            <w:pPr>
              <w:pStyle w:val="NoSpacing"/>
              <w:rPr>
                <w:sz w:val="26"/>
                <w:szCs w:val="26"/>
              </w:rPr>
            </w:pPr>
          </w:p>
        </w:tc>
        <w:tc>
          <w:tcPr>
            <w:tcW w:w="990" w:type="dxa"/>
            <w:shd w:val="clear" w:color="auto" w:fill="auto"/>
          </w:tcPr>
          <w:p w14:paraId="50127206" w14:textId="77777777" w:rsidR="00F052D8" w:rsidRPr="00D7330E" w:rsidRDefault="00F052D8" w:rsidP="00F052D8">
            <w:pPr>
              <w:pStyle w:val="NoSpacing"/>
              <w:rPr>
                <w:sz w:val="26"/>
                <w:szCs w:val="26"/>
              </w:rPr>
            </w:pPr>
          </w:p>
          <w:p w14:paraId="6B716F1F" w14:textId="6EAD2A2B" w:rsidR="00F052D8" w:rsidRPr="00D7330E" w:rsidRDefault="00F052D8" w:rsidP="00F052D8">
            <w:pPr>
              <w:pStyle w:val="NoSpacing"/>
              <w:rPr>
                <w:sz w:val="26"/>
                <w:szCs w:val="26"/>
              </w:rPr>
            </w:pPr>
            <w:r w:rsidRPr="00D7330E">
              <w:rPr>
                <w:sz w:val="26"/>
                <w:szCs w:val="26"/>
              </w:rPr>
              <w:t>Cost</w:t>
            </w:r>
          </w:p>
        </w:tc>
        <w:tc>
          <w:tcPr>
            <w:tcW w:w="8118" w:type="dxa"/>
            <w:shd w:val="clear" w:color="auto" w:fill="auto"/>
          </w:tcPr>
          <w:p w14:paraId="396167A1" w14:textId="77777777" w:rsidR="00F052D8" w:rsidRPr="00D7330E" w:rsidRDefault="00F052D8" w:rsidP="00F052D8">
            <w:pPr>
              <w:spacing w:after="0"/>
              <w:rPr>
                <w:szCs w:val="26"/>
              </w:rPr>
            </w:pPr>
          </w:p>
          <w:p w14:paraId="57B97AEE" w14:textId="77777777" w:rsidR="00037C1C" w:rsidRDefault="007F1E33" w:rsidP="00037C1C">
            <w:pPr>
              <w:pStyle w:val="NoSpacing"/>
              <w:rPr>
                <w:spacing w:val="-3"/>
                <w:sz w:val="26"/>
                <w:szCs w:val="26"/>
              </w:rPr>
            </w:pPr>
            <w:r>
              <w:rPr>
                <w:spacing w:val="-3"/>
                <w:sz w:val="26"/>
                <w:szCs w:val="26"/>
              </w:rPr>
              <w:t xml:space="preserve">$8,740,000 (estimated) </w:t>
            </w:r>
            <w:r w:rsidR="00037C1C" w:rsidRPr="00DE7E8E">
              <w:rPr>
                <w:spacing w:val="-3"/>
                <w:sz w:val="26"/>
                <w:szCs w:val="26"/>
              </w:rPr>
              <w:t xml:space="preserve">for a </w:t>
            </w:r>
            <w:r w:rsidR="00037C1C">
              <w:rPr>
                <w:spacing w:val="-3"/>
                <w:sz w:val="26"/>
                <w:szCs w:val="26"/>
              </w:rPr>
              <w:t>five</w:t>
            </w:r>
            <w:r w:rsidR="00037C1C" w:rsidRPr="00DE7E8E">
              <w:rPr>
                <w:spacing w:val="-3"/>
                <w:sz w:val="26"/>
                <w:szCs w:val="26"/>
              </w:rPr>
              <w:t xml:space="preserve">-year period beginning </w:t>
            </w:r>
            <w:r w:rsidR="00037C1C">
              <w:rPr>
                <w:spacing w:val="-3"/>
                <w:sz w:val="26"/>
                <w:szCs w:val="26"/>
              </w:rPr>
              <w:t>July</w:t>
            </w:r>
            <w:r w:rsidR="00037C1C" w:rsidRPr="00DE7E8E">
              <w:rPr>
                <w:spacing w:val="-3"/>
                <w:sz w:val="26"/>
                <w:szCs w:val="26"/>
              </w:rPr>
              <w:t xml:space="preserve"> 1, 202</w:t>
            </w:r>
            <w:r w:rsidR="00037C1C">
              <w:rPr>
                <w:spacing w:val="-3"/>
                <w:sz w:val="26"/>
                <w:szCs w:val="26"/>
              </w:rPr>
              <w:t>5</w:t>
            </w:r>
            <w:r w:rsidR="00037C1C" w:rsidRPr="00DE7E8E">
              <w:rPr>
                <w:spacing w:val="-3"/>
                <w:sz w:val="26"/>
                <w:szCs w:val="26"/>
              </w:rPr>
              <w:t xml:space="preserve">             with </w:t>
            </w:r>
            <w:r w:rsidR="00037C1C">
              <w:rPr>
                <w:spacing w:val="-3"/>
                <w:sz w:val="26"/>
                <w:szCs w:val="26"/>
              </w:rPr>
              <w:t>one</w:t>
            </w:r>
            <w:r w:rsidR="00037C1C" w:rsidRPr="00DE7E8E">
              <w:rPr>
                <w:spacing w:val="-3"/>
                <w:sz w:val="26"/>
                <w:szCs w:val="26"/>
              </w:rPr>
              <w:t xml:space="preserve"> optional </w:t>
            </w:r>
            <w:r w:rsidR="00037C1C">
              <w:rPr>
                <w:spacing w:val="-3"/>
                <w:sz w:val="26"/>
                <w:szCs w:val="26"/>
              </w:rPr>
              <w:t>five</w:t>
            </w:r>
            <w:r w:rsidR="00037C1C" w:rsidRPr="00DE7E8E">
              <w:rPr>
                <w:spacing w:val="-3"/>
                <w:sz w:val="26"/>
                <w:szCs w:val="26"/>
              </w:rPr>
              <w:t xml:space="preserve">-year renewal period (total 10 years).      </w:t>
            </w:r>
            <w:r w:rsidR="00037C1C">
              <w:rPr>
                <w:spacing w:val="-3"/>
                <w:sz w:val="26"/>
                <w:szCs w:val="26"/>
              </w:rPr>
              <w:t xml:space="preserve">      </w:t>
            </w:r>
            <w:r w:rsidR="00037C1C" w:rsidRPr="00DE7E8E">
              <w:rPr>
                <w:spacing w:val="-3"/>
                <w:sz w:val="26"/>
                <w:szCs w:val="26"/>
              </w:rPr>
              <w:t xml:space="preserve">  </w:t>
            </w:r>
          </w:p>
          <w:p w14:paraId="39287E04" w14:textId="30E46D43" w:rsidR="00616398" w:rsidRDefault="00037C1C" w:rsidP="00CD6ECE">
            <w:pPr>
              <w:pStyle w:val="NoSpacing"/>
              <w:rPr>
                <w:spacing w:val="-3"/>
                <w:sz w:val="26"/>
                <w:szCs w:val="26"/>
              </w:rPr>
            </w:pPr>
            <w:r w:rsidRPr="00DE7E8E">
              <w:rPr>
                <w:spacing w:val="-3"/>
                <w:sz w:val="26"/>
                <w:szCs w:val="26"/>
              </w:rPr>
              <w:t>Total cost (estimated) including renewal periods is $</w:t>
            </w:r>
            <w:r w:rsidRPr="006A764D">
              <w:rPr>
                <w:spacing w:val="-3"/>
                <w:sz w:val="26"/>
                <w:szCs w:val="26"/>
              </w:rPr>
              <w:t>15,85</w:t>
            </w:r>
            <w:r>
              <w:rPr>
                <w:spacing w:val="-3"/>
                <w:sz w:val="26"/>
                <w:szCs w:val="26"/>
              </w:rPr>
              <w:t>8,000</w:t>
            </w:r>
          </w:p>
          <w:p w14:paraId="79C0EDAC" w14:textId="7F3FEA8E" w:rsidR="00CD6ECE" w:rsidRPr="00D7330E" w:rsidRDefault="00CD6ECE" w:rsidP="00CD6ECE">
            <w:pPr>
              <w:pStyle w:val="NoSpacing"/>
              <w:rPr>
                <w:szCs w:val="26"/>
              </w:rPr>
            </w:pPr>
          </w:p>
        </w:tc>
      </w:tr>
      <w:tr w:rsidR="00F052D8" w:rsidRPr="00D7330E" w14:paraId="76B3DC5C" w14:textId="77777777" w:rsidTr="005274CF">
        <w:trPr>
          <w:trHeight w:val="150"/>
        </w:trPr>
        <w:tc>
          <w:tcPr>
            <w:tcW w:w="342" w:type="dxa"/>
          </w:tcPr>
          <w:p w14:paraId="22094E1C" w14:textId="77777777" w:rsidR="00F052D8" w:rsidRPr="00D7330E" w:rsidRDefault="00F052D8" w:rsidP="00F052D8">
            <w:pPr>
              <w:pStyle w:val="NoSpacing"/>
              <w:rPr>
                <w:sz w:val="26"/>
                <w:szCs w:val="26"/>
              </w:rPr>
            </w:pPr>
          </w:p>
        </w:tc>
        <w:tc>
          <w:tcPr>
            <w:tcW w:w="990" w:type="dxa"/>
            <w:shd w:val="clear" w:color="auto" w:fill="auto"/>
          </w:tcPr>
          <w:p w14:paraId="5A06501A" w14:textId="2D1A961B" w:rsidR="00F052D8" w:rsidRPr="00D7330E" w:rsidRDefault="00F052D8" w:rsidP="00F052D8">
            <w:pPr>
              <w:pStyle w:val="NoSpacing"/>
              <w:rPr>
                <w:sz w:val="26"/>
                <w:szCs w:val="26"/>
              </w:rPr>
            </w:pPr>
            <w:r w:rsidRPr="00D7330E">
              <w:rPr>
                <w:sz w:val="26"/>
                <w:szCs w:val="26"/>
              </w:rPr>
              <w:t>Vendor</w:t>
            </w:r>
          </w:p>
        </w:tc>
        <w:tc>
          <w:tcPr>
            <w:tcW w:w="8118" w:type="dxa"/>
            <w:shd w:val="clear" w:color="auto" w:fill="auto"/>
          </w:tcPr>
          <w:p w14:paraId="7BF41AEF" w14:textId="77777777" w:rsidR="007F1E33" w:rsidRDefault="007F1E33" w:rsidP="007F1E33">
            <w:pPr>
              <w:pStyle w:val="NoSpacing"/>
              <w:jc w:val="both"/>
              <w:rPr>
                <w:bCs/>
                <w:sz w:val="26"/>
                <w:szCs w:val="26"/>
              </w:rPr>
            </w:pPr>
            <w:r>
              <w:rPr>
                <w:bCs/>
                <w:sz w:val="26"/>
                <w:szCs w:val="26"/>
              </w:rPr>
              <w:t>AGFA Healthcare Corporation                    Carlstadt, NJ</w:t>
            </w:r>
          </w:p>
          <w:p w14:paraId="3F3BDDAC" w14:textId="77777777" w:rsidR="00F052D8" w:rsidRPr="00D7330E" w:rsidRDefault="00F052D8" w:rsidP="00F052D8">
            <w:pPr>
              <w:spacing w:after="0"/>
              <w:rPr>
                <w:szCs w:val="26"/>
              </w:rPr>
            </w:pPr>
          </w:p>
        </w:tc>
      </w:tr>
      <w:tr w:rsidR="00F052D8" w:rsidRPr="00D7330E" w14:paraId="25A50CAA" w14:textId="77777777" w:rsidTr="005274CF">
        <w:trPr>
          <w:trHeight w:val="150"/>
        </w:trPr>
        <w:tc>
          <w:tcPr>
            <w:tcW w:w="342" w:type="dxa"/>
          </w:tcPr>
          <w:p w14:paraId="7B8DEF62" w14:textId="77777777" w:rsidR="00F052D8" w:rsidRPr="00D7330E" w:rsidRDefault="00F052D8" w:rsidP="00F052D8">
            <w:pPr>
              <w:pStyle w:val="NoSpacing"/>
              <w:rPr>
                <w:sz w:val="26"/>
                <w:szCs w:val="26"/>
              </w:rPr>
            </w:pPr>
          </w:p>
        </w:tc>
        <w:tc>
          <w:tcPr>
            <w:tcW w:w="990" w:type="dxa"/>
            <w:shd w:val="clear" w:color="auto" w:fill="auto"/>
          </w:tcPr>
          <w:p w14:paraId="0F256E21" w14:textId="77777777" w:rsidR="00F052D8" w:rsidRPr="00D7330E" w:rsidRDefault="00F052D8" w:rsidP="00F052D8">
            <w:pPr>
              <w:pStyle w:val="NoSpacing"/>
              <w:rPr>
                <w:sz w:val="26"/>
                <w:szCs w:val="26"/>
              </w:rPr>
            </w:pPr>
          </w:p>
        </w:tc>
        <w:tc>
          <w:tcPr>
            <w:tcW w:w="8118" w:type="dxa"/>
            <w:shd w:val="clear" w:color="auto" w:fill="auto"/>
          </w:tcPr>
          <w:p w14:paraId="353E854C" w14:textId="77777777" w:rsidR="00496CFF" w:rsidRPr="00496CFF" w:rsidRDefault="00496CFF" w:rsidP="00496CFF">
            <w:pPr>
              <w:jc w:val="both"/>
              <w:rPr>
                <w:color w:val="000000"/>
                <w:szCs w:val="26"/>
              </w:rPr>
            </w:pPr>
            <w:r w:rsidRPr="00496CFF">
              <w:rPr>
                <w:color w:val="000000"/>
                <w:szCs w:val="26"/>
              </w:rPr>
              <w:t xml:space="preserve">Enterprise Imaging (EI) represents a modern, integrated approach to diagnostic imaging in healthcare. Unlike traditional Picture Archiving and Communication Systems (PACS), EI leverages a contemporary cloud-based platform to consolidate and manage all clinical imaging across the health system. It provides a longitudinal image record that is fully embedded within </w:t>
            </w:r>
            <w:r w:rsidRPr="00496CFF">
              <w:rPr>
                <w:color w:val="000000"/>
                <w:szCs w:val="26"/>
              </w:rPr>
              <w:lastRenderedPageBreak/>
              <w:t>the Electronic Health Record (EHR), enabling seamless access to imaging data across clinical disciplines.</w:t>
            </w:r>
          </w:p>
          <w:p w14:paraId="025CB28D" w14:textId="118EE810" w:rsidR="00496CFF" w:rsidRPr="00496CFF" w:rsidRDefault="00496CFF" w:rsidP="00496CFF">
            <w:pPr>
              <w:jc w:val="both"/>
              <w:rPr>
                <w:color w:val="000000"/>
                <w:szCs w:val="26"/>
              </w:rPr>
            </w:pPr>
            <w:r w:rsidRPr="00496CFF">
              <w:rPr>
                <w:color w:val="000000"/>
                <w:szCs w:val="26"/>
              </w:rPr>
              <w:t>For over 20 years, UI Hospital has relied on its existing PACS to support radiology imaging. In addition, separate systems are currently used to archive images for cardiology, mammography, and ultrasound. The implementation of an Enterprise Imaging system will replace all of these disparate systems with a unified platform.</w:t>
            </w:r>
          </w:p>
          <w:p w14:paraId="0F9DE75E" w14:textId="77777777" w:rsidR="00496CFF" w:rsidRDefault="00496CFF" w:rsidP="00496CFF">
            <w:pPr>
              <w:jc w:val="both"/>
              <w:rPr>
                <w:color w:val="000000"/>
                <w:szCs w:val="26"/>
              </w:rPr>
            </w:pPr>
            <w:r w:rsidRPr="00496CFF">
              <w:rPr>
                <w:color w:val="000000"/>
                <w:szCs w:val="26"/>
              </w:rPr>
              <w:t>In December 2024, UI Health issued a Request for Proposal (RFP) to evaluate qualified vendors offering Enterprise Imaging platform solutions. Six vendors submitted proposals that met the RFP requirements. Following a competitive evaluation process, AGFA HealthCare Corporation received the highest score among the six responsive proposals and was selected by the RFP committee. The selection process was conducted in full compliance with the Illinois Procurement Code (30 ILCS 500/20-15).</w:t>
            </w:r>
          </w:p>
          <w:p w14:paraId="29FE8E47" w14:textId="3269603E" w:rsidR="00F052D8" w:rsidRPr="007F1E33" w:rsidRDefault="007B6A11" w:rsidP="00496CFF">
            <w:pPr>
              <w:jc w:val="both"/>
              <w:rPr>
                <w:color w:val="000000"/>
                <w:szCs w:val="26"/>
              </w:rPr>
            </w:pPr>
            <w:r w:rsidRPr="007F1E33">
              <w:rPr>
                <w:b/>
                <w:bCs/>
                <w:color w:val="000000"/>
                <w:szCs w:val="26"/>
              </w:rPr>
              <w:t>Business Enterprise Program (BEP)</w:t>
            </w:r>
            <w:r w:rsidRPr="007F1E33">
              <w:rPr>
                <w:color w:val="000000"/>
                <w:szCs w:val="26"/>
              </w:rPr>
              <w:t xml:space="preserve"> </w:t>
            </w:r>
            <w:r w:rsidR="00442481" w:rsidRPr="00442481">
              <w:rPr>
                <w:b/>
                <w:bCs/>
                <w:color w:val="000000"/>
                <w:szCs w:val="26"/>
              </w:rPr>
              <w:t>goals</w:t>
            </w:r>
            <w:r w:rsidR="00442481">
              <w:rPr>
                <w:color w:val="000000"/>
                <w:szCs w:val="26"/>
              </w:rPr>
              <w:t xml:space="preserve">: A </w:t>
            </w:r>
            <w:r w:rsidR="007F1E33" w:rsidRPr="007F1E33">
              <w:rPr>
                <w:szCs w:val="26"/>
              </w:rPr>
              <w:t xml:space="preserve">3% BEP aspirational goal was established for this procurement in accordance with State statutes.  AGFA submitted a waiver request to reduce the 3% BEP Goal down to 0% due to the proprietary components of this highly specialized, FDA-regulated software that can only be installed and supported by AGFA.  The Office of Procurement Diversity reviewed the request and confirmed </w:t>
            </w:r>
            <w:r w:rsidR="00496CFF">
              <w:rPr>
                <w:szCs w:val="26"/>
              </w:rPr>
              <w:t>its</w:t>
            </w:r>
            <w:r w:rsidR="007F1E33" w:rsidRPr="007F1E33">
              <w:rPr>
                <w:szCs w:val="26"/>
              </w:rPr>
              <w:t xml:space="preserve"> support.  The waiver was granted by UI Procurement Services.</w:t>
            </w:r>
          </w:p>
        </w:tc>
      </w:tr>
      <w:tr w:rsidR="00D85698" w:rsidRPr="00D7330E" w14:paraId="38B9BE0D" w14:textId="77777777" w:rsidTr="00891355">
        <w:trPr>
          <w:trHeight w:val="120"/>
        </w:trPr>
        <w:tc>
          <w:tcPr>
            <w:tcW w:w="342" w:type="dxa"/>
          </w:tcPr>
          <w:p w14:paraId="57573FEC" w14:textId="77777777" w:rsidR="00D85698" w:rsidRPr="00D7330E" w:rsidRDefault="00D85698" w:rsidP="00891355">
            <w:pPr>
              <w:pStyle w:val="NoSpacing"/>
              <w:rPr>
                <w:sz w:val="26"/>
                <w:szCs w:val="26"/>
              </w:rPr>
            </w:pPr>
          </w:p>
        </w:tc>
        <w:tc>
          <w:tcPr>
            <w:tcW w:w="990" w:type="dxa"/>
          </w:tcPr>
          <w:p w14:paraId="493C27C3" w14:textId="77777777" w:rsidR="00D85698" w:rsidRPr="00D7330E" w:rsidRDefault="00D85698" w:rsidP="00891355">
            <w:pPr>
              <w:pStyle w:val="NoSpacing"/>
              <w:rPr>
                <w:sz w:val="26"/>
                <w:szCs w:val="26"/>
              </w:rPr>
            </w:pPr>
          </w:p>
        </w:tc>
        <w:tc>
          <w:tcPr>
            <w:tcW w:w="8118" w:type="dxa"/>
          </w:tcPr>
          <w:p w14:paraId="23CE3451" w14:textId="77777777" w:rsidR="00D85698" w:rsidRPr="00D7330E" w:rsidRDefault="00D85698" w:rsidP="00891355">
            <w:pPr>
              <w:pStyle w:val="NoSpacing"/>
              <w:rPr>
                <w:spacing w:val="-3"/>
                <w:sz w:val="26"/>
                <w:szCs w:val="26"/>
              </w:rPr>
            </w:pPr>
          </w:p>
        </w:tc>
      </w:tr>
      <w:tr w:rsidR="00D85698" w:rsidRPr="00D7330E" w14:paraId="46653B7D" w14:textId="77777777" w:rsidTr="00891355">
        <w:trPr>
          <w:trHeight w:val="120"/>
        </w:trPr>
        <w:tc>
          <w:tcPr>
            <w:tcW w:w="342" w:type="dxa"/>
            <w:tcBorders>
              <w:bottom w:val="double" w:sz="6" w:space="0" w:color="auto"/>
            </w:tcBorders>
          </w:tcPr>
          <w:p w14:paraId="57589B01" w14:textId="481CD8F4" w:rsidR="00D85698" w:rsidRPr="00D7330E" w:rsidRDefault="00197E32" w:rsidP="00891355">
            <w:pPr>
              <w:pStyle w:val="NoSpacing"/>
              <w:rPr>
                <w:sz w:val="26"/>
                <w:szCs w:val="26"/>
              </w:rPr>
            </w:pPr>
            <w:r>
              <w:rPr>
                <w:sz w:val="26"/>
                <w:szCs w:val="26"/>
              </w:rPr>
              <w:t>6</w:t>
            </w:r>
          </w:p>
        </w:tc>
        <w:tc>
          <w:tcPr>
            <w:tcW w:w="990" w:type="dxa"/>
            <w:tcBorders>
              <w:bottom w:val="double" w:sz="6" w:space="0" w:color="auto"/>
            </w:tcBorders>
          </w:tcPr>
          <w:p w14:paraId="7D3F5F29" w14:textId="77777777" w:rsidR="00D85698" w:rsidRPr="00D7330E" w:rsidRDefault="00D85698" w:rsidP="00891355">
            <w:pPr>
              <w:pStyle w:val="NoSpacing"/>
              <w:rPr>
                <w:sz w:val="26"/>
                <w:szCs w:val="26"/>
              </w:rPr>
            </w:pPr>
            <w:r w:rsidRPr="00D7330E">
              <w:rPr>
                <w:sz w:val="26"/>
                <w:szCs w:val="26"/>
              </w:rPr>
              <w:t>Unit</w:t>
            </w:r>
          </w:p>
        </w:tc>
        <w:tc>
          <w:tcPr>
            <w:tcW w:w="8118" w:type="dxa"/>
            <w:tcBorders>
              <w:bottom w:val="double" w:sz="6" w:space="0" w:color="auto"/>
            </w:tcBorders>
          </w:tcPr>
          <w:p w14:paraId="03329405" w14:textId="77777777" w:rsidR="00D85698" w:rsidRPr="00D7330E" w:rsidRDefault="00D85698" w:rsidP="00891355">
            <w:pPr>
              <w:pStyle w:val="NoSpacing"/>
              <w:rPr>
                <w:sz w:val="26"/>
                <w:szCs w:val="26"/>
              </w:rPr>
            </w:pPr>
            <w:r w:rsidRPr="00D7330E">
              <w:rPr>
                <w:spacing w:val="-3"/>
                <w:sz w:val="26"/>
                <w:szCs w:val="26"/>
              </w:rPr>
              <w:t>UI Hospital and Clinics</w:t>
            </w:r>
          </w:p>
        </w:tc>
      </w:tr>
      <w:tr w:rsidR="00D85698" w:rsidRPr="00D7330E" w14:paraId="2605AD81" w14:textId="77777777" w:rsidTr="00891355">
        <w:trPr>
          <w:trHeight w:val="648"/>
        </w:trPr>
        <w:tc>
          <w:tcPr>
            <w:tcW w:w="342" w:type="dxa"/>
          </w:tcPr>
          <w:p w14:paraId="34A802AE" w14:textId="77777777" w:rsidR="00D85698" w:rsidRPr="00D7330E" w:rsidRDefault="00D85698" w:rsidP="00891355">
            <w:pPr>
              <w:pStyle w:val="NoSpacing"/>
              <w:rPr>
                <w:sz w:val="26"/>
                <w:szCs w:val="26"/>
              </w:rPr>
            </w:pPr>
          </w:p>
        </w:tc>
        <w:tc>
          <w:tcPr>
            <w:tcW w:w="990" w:type="dxa"/>
          </w:tcPr>
          <w:p w14:paraId="2C7B96A4" w14:textId="77777777" w:rsidR="00D85698" w:rsidRPr="00D7330E" w:rsidRDefault="00D85698" w:rsidP="00891355">
            <w:pPr>
              <w:pStyle w:val="NoSpacing"/>
              <w:rPr>
                <w:sz w:val="26"/>
                <w:szCs w:val="26"/>
              </w:rPr>
            </w:pPr>
          </w:p>
          <w:p w14:paraId="1C4EEBB8" w14:textId="77777777" w:rsidR="00D85698" w:rsidRPr="00D7330E" w:rsidRDefault="00D85698" w:rsidP="00891355">
            <w:pPr>
              <w:pStyle w:val="NoSpacing"/>
              <w:rPr>
                <w:sz w:val="26"/>
                <w:szCs w:val="26"/>
              </w:rPr>
            </w:pPr>
            <w:r w:rsidRPr="00D7330E">
              <w:rPr>
                <w:sz w:val="26"/>
                <w:szCs w:val="26"/>
              </w:rPr>
              <w:t xml:space="preserve">Item   </w:t>
            </w:r>
          </w:p>
        </w:tc>
        <w:tc>
          <w:tcPr>
            <w:tcW w:w="8118" w:type="dxa"/>
          </w:tcPr>
          <w:p w14:paraId="1AB5B907" w14:textId="77777777" w:rsidR="00D85698" w:rsidRPr="00D7330E" w:rsidRDefault="00D85698" w:rsidP="00891355">
            <w:pPr>
              <w:pStyle w:val="NoSpacing"/>
              <w:rPr>
                <w:sz w:val="26"/>
                <w:szCs w:val="26"/>
              </w:rPr>
            </w:pPr>
          </w:p>
          <w:p w14:paraId="48880A73" w14:textId="24B1E709" w:rsidR="00D85698" w:rsidRPr="00D7330E" w:rsidRDefault="007F1E33" w:rsidP="00891355">
            <w:pPr>
              <w:pStyle w:val="NoSpacing"/>
              <w:rPr>
                <w:sz w:val="26"/>
                <w:szCs w:val="26"/>
              </w:rPr>
            </w:pPr>
            <w:r w:rsidRPr="00E42C5B">
              <w:rPr>
                <w:sz w:val="26"/>
                <w:szCs w:val="26"/>
              </w:rPr>
              <w:t xml:space="preserve">Purchase of </w:t>
            </w:r>
            <w:r>
              <w:rPr>
                <w:sz w:val="26"/>
                <w:szCs w:val="26"/>
              </w:rPr>
              <w:t>Specialty Pharmaceuticals for UI Hospital and Clinics</w:t>
            </w:r>
          </w:p>
        </w:tc>
      </w:tr>
      <w:tr w:rsidR="00D85698" w:rsidRPr="00D7330E" w14:paraId="6CB701D2" w14:textId="77777777" w:rsidTr="00891355">
        <w:trPr>
          <w:trHeight w:val="315"/>
        </w:trPr>
        <w:tc>
          <w:tcPr>
            <w:tcW w:w="342" w:type="dxa"/>
          </w:tcPr>
          <w:p w14:paraId="42DDEB88" w14:textId="77777777" w:rsidR="00D85698" w:rsidRPr="00D7330E" w:rsidRDefault="00D85698" w:rsidP="00891355">
            <w:pPr>
              <w:pStyle w:val="NoSpacing"/>
              <w:rPr>
                <w:sz w:val="26"/>
                <w:szCs w:val="26"/>
              </w:rPr>
            </w:pPr>
            <w:r w:rsidRPr="00D7330E">
              <w:rPr>
                <w:sz w:val="26"/>
                <w:szCs w:val="26"/>
              </w:rPr>
              <w:t xml:space="preserve"> </w:t>
            </w:r>
          </w:p>
        </w:tc>
        <w:tc>
          <w:tcPr>
            <w:tcW w:w="990" w:type="dxa"/>
          </w:tcPr>
          <w:p w14:paraId="56A186B0" w14:textId="77777777" w:rsidR="00D85698" w:rsidRPr="00D7330E" w:rsidRDefault="00D85698" w:rsidP="00891355">
            <w:pPr>
              <w:pStyle w:val="NoSpacing"/>
              <w:rPr>
                <w:sz w:val="26"/>
                <w:szCs w:val="26"/>
              </w:rPr>
            </w:pPr>
          </w:p>
          <w:p w14:paraId="0DB8F651" w14:textId="77777777" w:rsidR="00D85698" w:rsidRPr="00D7330E" w:rsidRDefault="00D85698" w:rsidP="00891355">
            <w:pPr>
              <w:pStyle w:val="NoSpacing"/>
              <w:rPr>
                <w:sz w:val="26"/>
                <w:szCs w:val="26"/>
              </w:rPr>
            </w:pPr>
            <w:r w:rsidRPr="00D7330E">
              <w:rPr>
                <w:sz w:val="26"/>
                <w:szCs w:val="26"/>
              </w:rPr>
              <w:t>Cost</w:t>
            </w:r>
          </w:p>
        </w:tc>
        <w:tc>
          <w:tcPr>
            <w:tcW w:w="8118" w:type="dxa"/>
          </w:tcPr>
          <w:p w14:paraId="0BCE35E1" w14:textId="77777777" w:rsidR="00D85698" w:rsidRPr="00D7330E" w:rsidRDefault="00D85698" w:rsidP="00891355">
            <w:pPr>
              <w:pStyle w:val="NoSpacing"/>
              <w:rPr>
                <w:spacing w:val="-3"/>
                <w:sz w:val="26"/>
                <w:szCs w:val="26"/>
              </w:rPr>
            </w:pPr>
          </w:p>
          <w:p w14:paraId="613FB90D" w14:textId="50D9819B" w:rsidR="00D85698" w:rsidRDefault="007F1E33" w:rsidP="007F1E33">
            <w:pPr>
              <w:spacing w:after="0" w:line="240" w:lineRule="auto"/>
              <w:rPr>
                <w:spacing w:val="-3"/>
                <w:szCs w:val="26"/>
              </w:rPr>
            </w:pPr>
            <w:r w:rsidRPr="007F1E33">
              <w:rPr>
                <w:spacing w:val="-3"/>
                <w:szCs w:val="26"/>
              </w:rPr>
              <w:t>$20,000,000 (estimated)</w:t>
            </w:r>
            <w:r w:rsidR="00037C1C">
              <w:rPr>
                <w:spacing w:val="-3"/>
                <w:szCs w:val="26"/>
              </w:rPr>
              <w:t xml:space="preserve"> for 5-year term July 1, 2025 through June 30, 2030 </w:t>
            </w:r>
            <w:r w:rsidR="00037C1C" w:rsidRPr="00DE7E8E">
              <w:rPr>
                <w:spacing w:val="-3"/>
                <w:szCs w:val="26"/>
              </w:rPr>
              <w:t xml:space="preserve">  </w:t>
            </w:r>
            <w:r w:rsidRPr="007F1E33">
              <w:rPr>
                <w:spacing w:val="-3"/>
                <w:szCs w:val="26"/>
              </w:rPr>
              <w:t xml:space="preserve"> </w:t>
            </w:r>
          </w:p>
          <w:p w14:paraId="00F5B1EA" w14:textId="1B4757E1" w:rsidR="007F1E33" w:rsidRPr="00D7330E" w:rsidRDefault="007F1E33" w:rsidP="007F1E33">
            <w:pPr>
              <w:spacing w:after="0" w:line="240" w:lineRule="auto"/>
              <w:rPr>
                <w:spacing w:val="-3"/>
                <w:szCs w:val="26"/>
              </w:rPr>
            </w:pPr>
          </w:p>
        </w:tc>
      </w:tr>
      <w:tr w:rsidR="00D85698" w:rsidRPr="00D7330E" w14:paraId="35AE24C9" w14:textId="77777777" w:rsidTr="00891355">
        <w:trPr>
          <w:trHeight w:val="657"/>
        </w:trPr>
        <w:tc>
          <w:tcPr>
            <w:tcW w:w="342" w:type="dxa"/>
          </w:tcPr>
          <w:p w14:paraId="43CDCEC0" w14:textId="77777777" w:rsidR="00D85698" w:rsidRPr="00D7330E" w:rsidRDefault="00D85698" w:rsidP="00891355">
            <w:pPr>
              <w:pStyle w:val="NoSpacing"/>
              <w:rPr>
                <w:sz w:val="26"/>
                <w:szCs w:val="26"/>
              </w:rPr>
            </w:pPr>
          </w:p>
        </w:tc>
        <w:tc>
          <w:tcPr>
            <w:tcW w:w="990" w:type="dxa"/>
            <w:shd w:val="clear" w:color="auto" w:fill="auto"/>
          </w:tcPr>
          <w:p w14:paraId="49816BB3" w14:textId="77777777" w:rsidR="00D85698" w:rsidRPr="00D7330E" w:rsidRDefault="00D85698" w:rsidP="00891355">
            <w:pPr>
              <w:pStyle w:val="NoSpacing"/>
              <w:rPr>
                <w:sz w:val="26"/>
                <w:szCs w:val="26"/>
              </w:rPr>
            </w:pPr>
            <w:r w:rsidRPr="00D7330E">
              <w:rPr>
                <w:sz w:val="26"/>
                <w:szCs w:val="26"/>
              </w:rPr>
              <w:t>Vendor</w:t>
            </w:r>
          </w:p>
        </w:tc>
        <w:tc>
          <w:tcPr>
            <w:tcW w:w="8118" w:type="dxa"/>
            <w:shd w:val="clear" w:color="auto" w:fill="auto"/>
          </w:tcPr>
          <w:p w14:paraId="06CB2D57" w14:textId="46F0D243" w:rsidR="007F1E33" w:rsidRPr="007F1E33" w:rsidRDefault="007F1E33" w:rsidP="007F1E33">
            <w:pPr>
              <w:spacing w:after="0" w:line="240" w:lineRule="auto"/>
              <w:jc w:val="both"/>
              <w:rPr>
                <w:szCs w:val="26"/>
              </w:rPr>
            </w:pPr>
            <w:r w:rsidRPr="007F1E33">
              <w:rPr>
                <w:bCs/>
                <w:szCs w:val="26"/>
              </w:rPr>
              <w:t xml:space="preserve">ASD Healthcare                         </w:t>
            </w:r>
            <w:r>
              <w:rPr>
                <w:bCs/>
                <w:szCs w:val="26"/>
              </w:rPr>
              <w:t xml:space="preserve">                     </w:t>
            </w:r>
            <w:r w:rsidRPr="007F1E33">
              <w:rPr>
                <w:bCs/>
                <w:szCs w:val="26"/>
              </w:rPr>
              <w:t>Frisco, Texas</w:t>
            </w:r>
          </w:p>
          <w:p w14:paraId="72A4C1DD" w14:textId="77777777" w:rsidR="00D85698" w:rsidRPr="00D7330E" w:rsidRDefault="00D85698" w:rsidP="00891355">
            <w:pPr>
              <w:rPr>
                <w:szCs w:val="26"/>
              </w:rPr>
            </w:pPr>
          </w:p>
        </w:tc>
      </w:tr>
      <w:tr w:rsidR="00D85698" w:rsidRPr="00D7330E" w14:paraId="2CAC2F3F" w14:textId="77777777" w:rsidTr="00891355">
        <w:trPr>
          <w:trHeight w:val="990"/>
        </w:trPr>
        <w:tc>
          <w:tcPr>
            <w:tcW w:w="342" w:type="dxa"/>
          </w:tcPr>
          <w:p w14:paraId="74C60344" w14:textId="77777777" w:rsidR="00D85698" w:rsidRPr="00D7330E" w:rsidRDefault="00D85698" w:rsidP="00891355">
            <w:pPr>
              <w:pStyle w:val="NoSpacing"/>
              <w:rPr>
                <w:sz w:val="26"/>
                <w:szCs w:val="26"/>
              </w:rPr>
            </w:pPr>
          </w:p>
        </w:tc>
        <w:tc>
          <w:tcPr>
            <w:tcW w:w="990" w:type="dxa"/>
            <w:shd w:val="clear" w:color="auto" w:fill="auto"/>
          </w:tcPr>
          <w:p w14:paraId="6B783625" w14:textId="77777777" w:rsidR="00D85698" w:rsidRPr="00D7330E" w:rsidRDefault="00D85698" w:rsidP="00891355">
            <w:pPr>
              <w:pStyle w:val="NoSpacing"/>
              <w:rPr>
                <w:sz w:val="26"/>
                <w:szCs w:val="26"/>
              </w:rPr>
            </w:pPr>
          </w:p>
        </w:tc>
        <w:tc>
          <w:tcPr>
            <w:tcW w:w="8118" w:type="dxa"/>
            <w:shd w:val="clear" w:color="auto" w:fill="auto"/>
          </w:tcPr>
          <w:p w14:paraId="0753CBD7" w14:textId="38F15CF0" w:rsidR="00107F78" w:rsidRPr="00107F78" w:rsidRDefault="00107F78" w:rsidP="00107F78">
            <w:pPr>
              <w:rPr>
                <w:szCs w:val="26"/>
              </w:rPr>
            </w:pPr>
            <w:r w:rsidRPr="00107F78">
              <w:rPr>
                <w:szCs w:val="26"/>
              </w:rPr>
              <w:t>ASD Healthcare supplies specialty pharmaceuticals used in the treatment of rare and complex medical conditions, including short bowel syndrome, bile duct and urinary tract cancers, and certain lung infections. Due to the high cost of these medications and their unique storage and transportation requirements, manufacturers often restrict distribution to minimize waste and prevent counterfeiting.</w:t>
            </w:r>
          </w:p>
          <w:p w14:paraId="4509498B" w14:textId="77777777" w:rsidR="00107F78" w:rsidRDefault="00107F78" w:rsidP="00107F78">
            <w:pPr>
              <w:jc w:val="both"/>
              <w:rPr>
                <w:szCs w:val="26"/>
              </w:rPr>
            </w:pPr>
            <w:r w:rsidRPr="00107F78">
              <w:rPr>
                <w:szCs w:val="26"/>
              </w:rPr>
              <w:lastRenderedPageBreak/>
              <w:t>ASD Healthcare has been granted exclusive distribution rights for these specialty drugs, ensuring secure and compliant delivery to healthcare providers.</w:t>
            </w:r>
          </w:p>
          <w:p w14:paraId="705D5ECA" w14:textId="1E873BAE" w:rsidR="00D85698" w:rsidRPr="00D7330E" w:rsidRDefault="007F1E33" w:rsidP="00107F78">
            <w:pPr>
              <w:jc w:val="both"/>
              <w:rPr>
                <w:szCs w:val="26"/>
              </w:rPr>
            </w:pPr>
            <w:r w:rsidRPr="007F1E33">
              <w:rPr>
                <w:szCs w:val="26"/>
              </w:rPr>
              <w:t>This purchase is exempt from competitive selection procedures in accordance with the Illinois Procurement Code (30ILCS 500/1-13(b-5)).</w:t>
            </w:r>
          </w:p>
          <w:p w14:paraId="490A56AE" w14:textId="6619C9DF" w:rsidR="00D85698" w:rsidRPr="00D7330E" w:rsidRDefault="007F1E33" w:rsidP="00891355">
            <w:pPr>
              <w:rPr>
                <w:szCs w:val="26"/>
              </w:rPr>
            </w:pPr>
            <w:r w:rsidRPr="000A6143">
              <w:rPr>
                <w:b/>
                <w:bCs/>
                <w:szCs w:val="26"/>
              </w:rPr>
              <w:t>Business Enterprise Program (BEP)</w:t>
            </w:r>
            <w:r w:rsidRPr="000A6143">
              <w:rPr>
                <w:szCs w:val="26"/>
              </w:rPr>
              <w:t xml:space="preserve"> goals are not established for contracts which are exempt from the requirements of the Illinois Procurement Code.</w:t>
            </w:r>
          </w:p>
        </w:tc>
      </w:tr>
      <w:tr w:rsidR="00D85698" w:rsidRPr="00D7330E" w14:paraId="7184CBF9" w14:textId="77777777" w:rsidTr="00891355">
        <w:trPr>
          <w:trHeight w:val="150"/>
        </w:trPr>
        <w:tc>
          <w:tcPr>
            <w:tcW w:w="342" w:type="dxa"/>
          </w:tcPr>
          <w:p w14:paraId="649D5C26" w14:textId="77777777" w:rsidR="00D85698" w:rsidRPr="00D7330E" w:rsidRDefault="00D85698" w:rsidP="00891355">
            <w:pPr>
              <w:pStyle w:val="NoSpacing"/>
              <w:rPr>
                <w:sz w:val="26"/>
                <w:szCs w:val="26"/>
              </w:rPr>
            </w:pPr>
          </w:p>
        </w:tc>
        <w:tc>
          <w:tcPr>
            <w:tcW w:w="990" w:type="dxa"/>
            <w:shd w:val="clear" w:color="auto" w:fill="auto"/>
          </w:tcPr>
          <w:p w14:paraId="03E51CF6" w14:textId="77777777" w:rsidR="00D85698" w:rsidRPr="00D7330E" w:rsidRDefault="00D85698" w:rsidP="00891355">
            <w:pPr>
              <w:pStyle w:val="NoSpacing"/>
              <w:rPr>
                <w:sz w:val="26"/>
                <w:szCs w:val="26"/>
              </w:rPr>
            </w:pPr>
          </w:p>
        </w:tc>
        <w:tc>
          <w:tcPr>
            <w:tcW w:w="8118" w:type="dxa"/>
            <w:shd w:val="clear" w:color="auto" w:fill="auto"/>
          </w:tcPr>
          <w:p w14:paraId="0794C636" w14:textId="77777777" w:rsidR="00D85698" w:rsidRPr="00D7330E" w:rsidRDefault="00D85698" w:rsidP="00891355">
            <w:pPr>
              <w:spacing w:after="0" w:line="240" w:lineRule="auto"/>
              <w:ind w:left="1478"/>
              <w:rPr>
                <w:szCs w:val="26"/>
              </w:rPr>
            </w:pPr>
          </w:p>
        </w:tc>
      </w:tr>
      <w:tr w:rsidR="00D85698" w:rsidRPr="00D7330E" w14:paraId="0608E810" w14:textId="77777777" w:rsidTr="00891355">
        <w:trPr>
          <w:trHeight w:val="150"/>
        </w:trPr>
        <w:tc>
          <w:tcPr>
            <w:tcW w:w="342" w:type="dxa"/>
            <w:tcBorders>
              <w:bottom w:val="double" w:sz="4" w:space="0" w:color="auto"/>
            </w:tcBorders>
          </w:tcPr>
          <w:p w14:paraId="0E91FECE" w14:textId="664DBEF0" w:rsidR="00D85698" w:rsidRPr="00D7330E" w:rsidRDefault="00197E32" w:rsidP="00891355">
            <w:pPr>
              <w:pStyle w:val="NoSpacing"/>
              <w:rPr>
                <w:sz w:val="26"/>
                <w:szCs w:val="26"/>
              </w:rPr>
            </w:pPr>
            <w:r>
              <w:rPr>
                <w:sz w:val="26"/>
                <w:szCs w:val="26"/>
              </w:rPr>
              <w:t>7</w:t>
            </w:r>
          </w:p>
        </w:tc>
        <w:tc>
          <w:tcPr>
            <w:tcW w:w="990" w:type="dxa"/>
            <w:tcBorders>
              <w:bottom w:val="double" w:sz="4" w:space="0" w:color="auto"/>
            </w:tcBorders>
            <w:shd w:val="clear" w:color="auto" w:fill="auto"/>
          </w:tcPr>
          <w:p w14:paraId="11E8D551" w14:textId="77777777" w:rsidR="00D85698" w:rsidRPr="00D7330E" w:rsidRDefault="00D85698" w:rsidP="00891355">
            <w:pPr>
              <w:pStyle w:val="NoSpacing"/>
              <w:rPr>
                <w:sz w:val="26"/>
                <w:szCs w:val="26"/>
              </w:rPr>
            </w:pPr>
            <w:r w:rsidRPr="00D7330E">
              <w:rPr>
                <w:sz w:val="26"/>
                <w:szCs w:val="26"/>
              </w:rPr>
              <w:t>Unit</w:t>
            </w:r>
          </w:p>
        </w:tc>
        <w:tc>
          <w:tcPr>
            <w:tcW w:w="8118" w:type="dxa"/>
            <w:tcBorders>
              <w:bottom w:val="double" w:sz="4" w:space="0" w:color="auto"/>
            </w:tcBorders>
            <w:shd w:val="clear" w:color="auto" w:fill="auto"/>
          </w:tcPr>
          <w:p w14:paraId="2C4C4BE9" w14:textId="77777777" w:rsidR="00D85698" w:rsidRPr="00D7330E" w:rsidRDefault="00D85698" w:rsidP="00891355">
            <w:pPr>
              <w:spacing w:after="0" w:line="240" w:lineRule="auto"/>
              <w:jc w:val="both"/>
              <w:rPr>
                <w:szCs w:val="26"/>
              </w:rPr>
            </w:pPr>
            <w:r w:rsidRPr="00D7330E">
              <w:rPr>
                <w:spacing w:val="-3"/>
                <w:szCs w:val="26"/>
              </w:rPr>
              <w:t>UI Hospital and Clinics</w:t>
            </w:r>
          </w:p>
        </w:tc>
      </w:tr>
      <w:tr w:rsidR="00D85698" w:rsidRPr="00D7330E" w14:paraId="589DF613" w14:textId="77777777" w:rsidTr="00891355">
        <w:trPr>
          <w:trHeight w:val="150"/>
        </w:trPr>
        <w:tc>
          <w:tcPr>
            <w:tcW w:w="342" w:type="dxa"/>
            <w:tcBorders>
              <w:top w:val="double" w:sz="4" w:space="0" w:color="auto"/>
            </w:tcBorders>
          </w:tcPr>
          <w:p w14:paraId="1EBB6D0E" w14:textId="77777777" w:rsidR="00D85698" w:rsidRPr="00D7330E" w:rsidRDefault="00D85698" w:rsidP="00891355">
            <w:pPr>
              <w:pStyle w:val="NoSpacing"/>
              <w:rPr>
                <w:sz w:val="26"/>
                <w:szCs w:val="26"/>
              </w:rPr>
            </w:pPr>
          </w:p>
        </w:tc>
        <w:tc>
          <w:tcPr>
            <w:tcW w:w="990" w:type="dxa"/>
            <w:tcBorders>
              <w:top w:val="double" w:sz="4" w:space="0" w:color="auto"/>
            </w:tcBorders>
            <w:shd w:val="clear" w:color="auto" w:fill="auto"/>
          </w:tcPr>
          <w:p w14:paraId="17537141" w14:textId="77777777" w:rsidR="00D85698" w:rsidRPr="00D7330E" w:rsidRDefault="00D85698" w:rsidP="00891355">
            <w:pPr>
              <w:pStyle w:val="NoSpacing"/>
              <w:rPr>
                <w:sz w:val="26"/>
                <w:szCs w:val="26"/>
              </w:rPr>
            </w:pPr>
          </w:p>
          <w:p w14:paraId="772C82CE" w14:textId="77777777" w:rsidR="00D85698" w:rsidRPr="00D7330E" w:rsidRDefault="00D85698" w:rsidP="00891355">
            <w:pPr>
              <w:pStyle w:val="NoSpacing"/>
              <w:rPr>
                <w:sz w:val="26"/>
                <w:szCs w:val="26"/>
              </w:rPr>
            </w:pPr>
            <w:r w:rsidRPr="00D7330E">
              <w:rPr>
                <w:sz w:val="26"/>
                <w:szCs w:val="26"/>
              </w:rPr>
              <w:t xml:space="preserve">Item   </w:t>
            </w:r>
          </w:p>
        </w:tc>
        <w:tc>
          <w:tcPr>
            <w:tcW w:w="8118" w:type="dxa"/>
            <w:tcBorders>
              <w:top w:val="double" w:sz="4" w:space="0" w:color="auto"/>
            </w:tcBorders>
            <w:shd w:val="clear" w:color="auto" w:fill="auto"/>
          </w:tcPr>
          <w:p w14:paraId="01A321E2" w14:textId="77777777" w:rsidR="00D85698" w:rsidRPr="00D7330E" w:rsidRDefault="00D85698" w:rsidP="00891355">
            <w:pPr>
              <w:pStyle w:val="NoSpacing"/>
              <w:rPr>
                <w:sz w:val="26"/>
                <w:szCs w:val="26"/>
              </w:rPr>
            </w:pPr>
          </w:p>
          <w:p w14:paraId="0E79A51C" w14:textId="77777777" w:rsidR="00D85698" w:rsidRDefault="000A6143" w:rsidP="00891355">
            <w:pPr>
              <w:spacing w:after="0" w:line="240" w:lineRule="auto"/>
              <w:rPr>
                <w:rFonts w:eastAsia="Times New Roman"/>
                <w:b/>
                <w:color w:val="000000"/>
                <w:szCs w:val="26"/>
              </w:rPr>
            </w:pPr>
            <w:r>
              <w:rPr>
                <w:szCs w:val="26"/>
              </w:rPr>
              <w:t>Temporary Clinical and Non-clinical Staffing Services for UI Hospital and Clinics</w:t>
            </w:r>
            <w:r w:rsidRPr="00D7330E">
              <w:rPr>
                <w:rFonts w:eastAsia="Times New Roman"/>
                <w:b/>
                <w:color w:val="000000"/>
                <w:szCs w:val="26"/>
              </w:rPr>
              <w:t xml:space="preserve"> </w:t>
            </w:r>
          </w:p>
          <w:p w14:paraId="3D4D46B2" w14:textId="06786E26" w:rsidR="000A6143" w:rsidRPr="00D7330E" w:rsidRDefault="000A6143" w:rsidP="00891355">
            <w:pPr>
              <w:spacing w:after="0" w:line="240" w:lineRule="auto"/>
              <w:rPr>
                <w:rFonts w:eastAsia="Times New Roman"/>
                <w:b/>
                <w:color w:val="000000"/>
                <w:szCs w:val="26"/>
              </w:rPr>
            </w:pPr>
          </w:p>
        </w:tc>
      </w:tr>
      <w:tr w:rsidR="00D85698" w:rsidRPr="00D7330E" w14:paraId="48378977" w14:textId="77777777" w:rsidTr="00891355">
        <w:trPr>
          <w:trHeight w:val="150"/>
        </w:trPr>
        <w:tc>
          <w:tcPr>
            <w:tcW w:w="342" w:type="dxa"/>
          </w:tcPr>
          <w:p w14:paraId="3EF627D2" w14:textId="77777777" w:rsidR="00D85698" w:rsidRPr="00D7330E" w:rsidRDefault="00D85698" w:rsidP="00891355">
            <w:pPr>
              <w:pStyle w:val="NoSpacing"/>
              <w:rPr>
                <w:sz w:val="26"/>
                <w:szCs w:val="26"/>
              </w:rPr>
            </w:pPr>
            <w:r w:rsidRPr="00D7330E">
              <w:rPr>
                <w:sz w:val="26"/>
                <w:szCs w:val="26"/>
              </w:rPr>
              <w:t xml:space="preserve"> </w:t>
            </w:r>
          </w:p>
        </w:tc>
        <w:tc>
          <w:tcPr>
            <w:tcW w:w="990" w:type="dxa"/>
            <w:shd w:val="clear" w:color="auto" w:fill="auto"/>
          </w:tcPr>
          <w:p w14:paraId="046272DE" w14:textId="77777777" w:rsidR="00D85698" w:rsidRPr="00D7330E" w:rsidRDefault="00D85698" w:rsidP="00891355">
            <w:pPr>
              <w:pStyle w:val="NoSpacing"/>
              <w:rPr>
                <w:sz w:val="26"/>
                <w:szCs w:val="26"/>
              </w:rPr>
            </w:pPr>
            <w:r w:rsidRPr="00D7330E">
              <w:rPr>
                <w:sz w:val="26"/>
                <w:szCs w:val="26"/>
              </w:rPr>
              <w:t>Cost</w:t>
            </w:r>
          </w:p>
        </w:tc>
        <w:tc>
          <w:tcPr>
            <w:tcW w:w="8118" w:type="dxa"/>
            <w:shd w:val="clear" w:color="auto" w:fill="auto"/>
          </w:tcPr>
          <w:p w14:paraId="163D5BF1" w14:textId="7D65AECD" w:rsidR="000A6143" w:rsidRPr="000A6143" w:rsidRDefault="000A6143" w:rsidP="000A6143">
            <w:pPr>
              <w:spacing w:after="0" w:line="240" w:lineRule="auto"/>
              <w:rPr>
                <w:spacing w:val="-3"/>
                <w:szCs w:val="26"/>
              </w:rPr>
            </w:pPr>
            <w:r w:rsidRPr="000A6143">
              <w:rPr>
                <w:spacing w:val="-3"/>
                <w:szCs w:val="26"/>
              </w:rPr>
              <w:t xml:space="preserve">$125,000,000 (estimated) </w:t>
            </w:r>
            <w:r w:rsidR="00037C1C" w:rsidRPr="00DE7E8E">
              <w:rPr>
                <w:spacing w:val="-3"/>
                <w:szCs w:val="26"/>
              </w:rPr>
              <w:t xml:space="preserve">for a </w:t>
            </w:r>
            <w:r w:rsidR="00037C1C">
              <w:rPr>
                <w:spacing w:val="-3"/>
                <w:szCs w:val="26"/>
              </w:rPr>
              <w:t>five-year period July 1, 2025 to June 30, 2030</w:t>
            </w:r>
            <w:r w:rsidR="00037C1C" w:rsidRPr="00DE7E8E">
              <w:rPr>
                <w:spacing w:val="-3"/>
                <w:szCs w:val="26"/>
              </w:rPr>
              <w:t xml:space="preserve">         </w:t>
            </w:r>
            <w:r w:rsidRPr="000A6143">
              <w:rPr>
                <w:spacing w:val="-3"/>
                <w:szCs w:val="26"/>
              </w:rPr>
              <w:t xml:space="preserve">         </w:t>
            </w:r>
          </w:p>
          <w:p w14:paraId="7A7A7DC3" w14:textId="77777777" w:rsidR="00D85698" w:rsidRPr="00D7330E" w:rsidRDefault="00D85698" w:rsidP="00891355">
            <w:pPr>
              <w:spacing w:after="0" w:line="240" w:lineRule="auto"/>
              <w:rPr>
                <w:rFonts w:eastAsia="Times New Roman"/>
                <w:b/>
                <w:color w:val="000000"/>
                <w:szCs w:val="26"/>
              </w:rPr>
            </w:pPr>
          </w:p>
        </w:tc>
      </w:tr>
      <w:tr w:rsidR="00D85698" w:rsidRPr="00D7330E" w14:paraId="45F50B31" w14:textId="77777777" w:rsidTr="00891355">
        <w:trPr>
          <w:trHeight w:val="150"/>
        </w:trPr>
        <w:tc>
          <w:tcPr>
            <w:tcW w:w="342" w:type="dxa"/>
          </w:tcPr>
          <w:p w14:paraId="15A17C2A" w14:textId="77777777" w:rsidR="00D85698" w:rsidRPr="00D7330E" w:rsidRDefault="00D85698" w:rsidP="00891355">
            <w:pPr>
              <w:pStyle w:val="NoSpacing"/>
              <w:rPr>
                <w:sz w:val="26"/>
                <w:szCs w:val="26"/>
              </w:rPr>
            </w:pPr>
          </w:p>
        </w:tc>
        <w:tc>
          <w:tcPr>
            <w:tcW w:w="990" w:type="dxa"/>
            <w:shd w:val="clear" w:color="auto" w:fill="auto"/>
          </w:tcPr>
          <w:p w14:paraId="6F251A3E" w14:textId="77777777" w:rsidR="00D85698" w:rsidRPr="00D7330E" w:rsidRDefault="00D85698" w:rsidP="00891355">
            <w:pPr>
              <w:pStyle w:val="NoSpacing"/>
              <w:rPr>
                <w:sz w:val="26"/>
                <w:szCs w:val="26"/>
              </w:rPr>
            </w:pPr>
            <w:r w:rsidRPr="00D7330E">
              <w:rPr>
                <w:sz w:val="26"/>
                <w:szCs w:val="26"/>
              </w:rPr>
              <w:t>Vendor</w:t>
            </w:r>
          </w:p>
        </w:tc>
        <w:tc>
          <w:tcPr>
            <w:tcW w:w="8118" w:type="dxa"/>
            <w:shd w:val="clear" w:color="auto" w:fill="auto"/>
          </w:tcPr>
          <w:p w14:paraId="3969922D" w14:textId="60BD65CE" w:rsidR="000A6143" w:rsidRPr="000A6143" w:rsidRDefault="000A6143" w:rsidP="000A6143">
            <w:pPr>
              <w:spacing w:after="0" w:line="240" w:lineRule="auto"/>
              <w:jc w:val="both"/>
              <w:rPr>
                <w:szCs w:val="26"/>
              </w:rPr>
            </w:pPr>
            <w:r w:rsidRPr="000A6143">
              <w:rPr>
                <w:bCs/>
                <w:szCs w:val="26"/>
              </w:rPr>
              <w:t xml:space="preserve">Cross Country Staffing, Inc         </w:t>
            </w:r>
            <w:r>
              <w:rPr>
                <w:bCs/>
                <w:szCs w:val="26"/>
              </w:rPr>
              <w:t xml:space="preserve">                   </w:t>
            </w:r>
            <w:r w:rsidRPr="000A6143">
              <w:rPr>
                <w:bCs/>
                <w:szCs w:val="26"/>
              </w:rPr>
              <w:t>Boca Raton, Florida</w:t>
            </w:r>
          </w:p>
          <w:p w14:paraId="4C0A65ED" w14:textId="77777777" w:rsidR="00D85698" w:rsidRPr="00D7330E" w:rsidRDefault="00D85698" w:rsidP="00891355">
            <w:pPr>
              <w:rPr>
                <w:rFonts w:eastAsia="Times New Roman"/>
                <w:bCs/>
                <w:iCs/>
                <w:szCs w:val="26"/>
              </w:rPr>
            </w:pPr>
          </w:p>
        </w:tc>
      </w:tr>
      <w:tr w:rsidR="00D85698" w:rsidRPr="00D7330E" w14:paraId="3E507635" w14:textId="77777777" w:rsidTr="00891355">
        <w:trPr>
          <w:trHeight w:val="150"/>
        </w:trPr>
        <w:tc>
          <w:tcPr>
            <w:tcW w:w="342" w:type="dxa"/>
          </w:tcPr>
          <w:p w14:paraId="64BB2553" w14:textId="77777777" w:rsidR="00D85698" w:rsidRPr="00D7330E" w:rsidRDefault="00D85698" w:rsidP="00891355">
            <w:pPr>
              <w:pStyle w:val="NoSpacing"/>
              <w:rPr>
                <w:sz w:val="26"/>
                <w:szCs w:val="26"/>
              </w:rPr>
            </w:pPr>
          </w:p>
        </w:tc>
        <w:tc>
          <w:tcPr>
            <w:tcW w:w="990" w:type="dxa"/>
            <w:shd w:val="clear" w:color="auto" w:fill="auto"/>
          </w:tcPr>
          <w:p w14:paraId="7A93C8C6" w14:textId="77777777" w:rsidR="00D85698" w:rsidRPr="00D7330E" w:rsidRDefault="00D85698" w:rsidP="00891355">
            <w:pPr>
              <w:pStyle w:val="NoSpacing"/>
              <w:rPr>
                <w:sz w:val="26"/>
                <w:szCs w:val="26"/>
              </w:rPr>
            </w:pPr>
          </w:p>
        </w:tc>
        <w:tc>
          <w:tcPr>
            <w:tcW w:w="8118" w:type="dxa"/>
            <w:shd w:val="clear" w:color="auto" w:fill="auto"/>
          </w:tcPr>
          <w:p w14:paraId="35B33F77" w14:textId="77777777" w:rsidR="00F129CD" w:rsidRPr="00F129CD" w:rsidRDefault="00F129CD" w:rsidP="00F129CD">
            <w:pPr>
              <w:spacing w:after="0" w:line="240" w:lineRule="auto"/>
              <w:rPr>
                <w:szCs w:val="26"/>
              </w:rPr>
            </w:pPr>
            <w:r w:rsidRPr="00F129CD">
              <w:rPr>
                <w:szCs w:val="26"/>
              </w:rPr>
              <w:t>UI Health utilizes temporary staffing to address routine position vacancies, respond to unexpected surges in patient volume, and support special projects essential to patient care and treatment. In FY25, temporary staff were also deployed to maintain operations during work stoppages.</w:t>
            </w:r>
          </w:p>
          <w:p w14:paraId="3896893B" w14:textId="77777777" w:rsidR="00F129CD" w:rsidRPr="00F129CD" w:rsidRDefault="00F129CD" w:rsidP="00F129CD">
            <w:pPr>
              <w:spacing w:after="0" w:line="240" w:lineRule="auto"/>
              <w:rPr>
                <w:szCs w:val="26"/>
              </w:rPr>
            </w:pPr>
          </w:p>
          <w:p w14:paraId="2472232A" w14:textId="021B5D7A" w:rsidR="000A6143" w:rsidRPr="000A6143" w:rsidRDefault="00F129CD" w:rsidP="00F129CD">
            <w:pPr>
              <w:spacing w:after="0" w:line="240" w:lineRule="auto"/>
              <w:rPr>
                <w:szCs w:val="26"/>
              </w:rPr>
            </w:pPr>
            <w:r w:rsidRPr="00F129CD">
              <w:rPr>
                <w:szCs w:val="26"/>
              </w:rPr>
              <w:t>Roles filled through temporary staffing include registered nurses, certified nursing assistants, laboratory and imaging technicians, medical assistants, dietary and clerical personnel, and locum tenens physicians. Cross Country Staffing has consistently served as a reliable provider of temporary staff. The Hospital has established onboarding and training processes to ensure temporary personnel are effectively integrated into the Hospital &amp; Clinics environment.</w:t>
            </w:r>
            <w:r w:rsidR="000A6143" w:rsidRPr="000A6143">
              <w:rPr>
                <w:spacing w:val="-3"/>
                <w:szCs w:val="26"/>
              </w:rPr>
              <w:t xml:space="preserve">.   </w:t>
            </w:r>
          </w:p>
          <w:p w14:paraId="0B5FB79D" w14:textId="77777777" w:rsidR="00D85698" w:rsidRPr="00D7330E" w:rsidRDefault="00D85698" w:rsidP="00891355">
            <w:pPr>
              <w:spacing w:after="0" w:line="240" w:lineRule="auto"/>
              <w:jc w:val="both"/>
              <w:rPr>
                <w:rFonts w:ascii="Calibri" w:hAnsi="Calibri"/>
                <w:szCs w:val="26"/>
              </w:rPr>
            </w:pPr>
          </w:p>
          <w:p w14:paraId="51955E3C" w14:textId="77777777" w:rsidR="000A6143" w:rsidRPr="000A6143" w:rsidRDefault="000A6143" w:rsidP="000A6143">
            <w:pPr>
              <w:jc w:val="both"/>
              <w:rPr>
                <w:szCs w:val="26"/>
              </w:rPr>
            </w:pPr>
            <w:r w:rsidRPr="000A6143">
              <w:rPr>
                <w:szCs w:val="26"/>
              </w:rPr>
              <w:t>This purchase is exempt from competitive selection procedures in accordance with the Illinois Procurement Code (30ILCS 500/1-13(b-5)).</w:t>
            </w:r>
          </w:p>
          <w:p w14:paraId="0C07BA96" w14:textId="77777777" w:rsidR="00D85698" w:rsidRDefault="000A6143" w:rsidP="00891355">
            <w:pPr>
              <w:spacing w:after="0" w:line="240" w:lineRule="auto"/>
              <w:rPr>
                <w:rFonts w:eastAsia="Times New Roman"/>
                <w:bCs/>
                <w:color w:val="000000"/>
                <w:szCs w:val="26"/>
              </w:rPr>
            </w:pPr>
            <w:r>
              <w:rPr>
                <w:rFonts w:eastAsia="Times New Roman"/>
                <w:b/>
                <w:color w:val="000000"/>
                <w:szCs w:val="26"/>
              </w:rPr>
              <w:t xml:space="preserve">Business Enterprise Program (BEP) </w:t>
            </w:r>
            <w:r>
              <w:rPr>
                <w:rFonts w:eastAsia="Times New Roman"/>
                <w:bCs/>
                <w:color w:val="000000"/>
                <w:szCs w:val="26"/>
              </w:rPr>
              <w:t>goals are not established for contracts which are exempt from the requirements of the Illinois Procurement Code.</w:t>
            </w:r>
          </w:p>
          <w:p w14:paraId="1F4359A7" w14:textId="77777777" w:rsidR="00A36EB1" w:rsidRDefault="00A36EB1" w:rsidP="00891355">
            <w:pPr>
              <w:spacing w:after="0" w:line="240" w:lineRule="auto"/>
              <w:rPr>
                <w:rFonts w:eastAsia="Times New Roman"/>
                <w:bCs/>
                <w:color w:val="000000"/>
                <w:szCs w:val="26"/>
              </w:rPr>
            </w:pPr>
          </w:p>
          <w:p w14:paraId="7C2F5157" w14:textId="148A3405" w:rsidR="00A36EB1" w:rsidRPr="00D7330E" w:rsidRDefault="00A36EB1" w:rsidP="00891355">
            <w:pPr>
              <w:spacing w:after="0" w:line="240" w:lineRule="auto"/>
              <w:rPr>
                <w:rFonts w:eastAsia="Times New Roman"/>
                <w:b/>
                <w:color w:val="000000"/>
                <w:szCs w:val="26"/>
              </w:rPr>
            </w:pPr>
          </w:p>
        </w:tc>
      </w:tr>
      <w:tr w:rsidR="00D85698" w:rsidRPr="00D7330E" w14:paraId="57782BF2" w14:textId="77777777" w:rsidTr="00891355">
        <w:trPr>
          <w:trHeight w:val="150"/>
        </w:trPr>
        <w:tc>
          <w:tcPr>
            <w:tcW w:w="342" w:type="dxa"/>
          </w:tcPr>
          <w:p w14:paraId="2FD3B5FB" w14:textId="77777777" w:rsidR="00D85698" w:rsidRPr="00D7330E" w:rsidRDefault="00D85698" w:rsidP="00891355">
            <w:pPr>
              <w:pStyle w:val="NoSpacing"/>
              <w:rPr>
                <w:sz w:val="26"/>
                <w:szCs w:val="26"/>
              </w:rPr>
            </w:pPr>
          </w:p>
        </w:tc>
        <w:tc>
          <w:tcPr>
            <w:tcW w:w="990" w:type="dxa"/>
            <w:shd w:val="clear" w:color="auto" w:fill="auto"/>
          </w:tcPr>
          <w:p w14:paraId="67F93925" w14:textId="77777777" w:rsidR="00D85698" w:rsidRPr="00D7330E" w:rsidRDefault="00D85698" w:rsidP="00891355">
            <w:pPr>
              <w:pStyle w:val="NoSpacing"/>
              <w:rPr>
                <w:sz w:val="26"/>
                <w:szCs w:val="26"/>
              </w:rPr>
            </w:pPr>
          </w:p>
        </w:tc>
        <w:tc>
          <w:tcPr>
            <w:tcW w:w="8118" w:type="dxa"/>
            <w:shd w:val="clear" w:color="auto" w:fill="auto"/>
          </w:tcPr>
          <w:p w14:paraId="5F122DE9" w14:textId="77777777" w:rsidR="00D85698" w:rsidRPr="00D7330E" w:rsidRDefault="00D85698" w:rsidP="00891355">
            <w:pPr>
              <w:spacing w:after="0" w:line="240" w:lineRule="auto"/>
              <w:rPr>
                <w:rFonts w:eastAsia="Times New Roman"/>
                <w:b/>
                <w:color w:val="000000"/>
                <w:szCs w:val="26"/>
              </w:rPr>
            </w:pPr>
          </w:p>
        </w:tc>
      </w:tr>
      <w:tr w:rsidR="00D85698" w:rsidRPr="00D7330E" w14:paraId="14C932D8" w14:textId="77777777" w:rsidTr="00891355">
        <w:trPr>
          <w:trHeight w:val="333"/>
        </w:trPr>
        <w:tc>
          <w:tcPr>
            <w:tcW w:w="9450" w:type="dxa"/>
            <w:gridSpan w:val="3"/>
          </w:tcPr>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D85698" w:rsidRPr="00D7330E" w14:paraId="753764D1" w14:textId="77777777" w:rsidTr="00891355">
              <w:trPr>
                <w:trHeight w:val="114"/>
              </w:trPr>
              <w:tc>
                <w:tcPr>
                  <w:tcW w:w="9454" w:type="dxa"/>
                  <w:tcBorders>
                    <w:top w:val="single" w:sz="18" w:space="0" w:color="auto"/>
                    <w:bottom w:val="single" w:sz="18" w:space="0" w:color="auto"/>
                  </w:tcBorders>
                </w:tcPr>
                <w:p w14:paraId="5B3757FD" w14:textId="77777777" w:rsidR="00D85698" w:rsidRPr="00D7330E" w:rsidRDefault="00D85698" w:rsidP="00891355">
                  <w:pPr>
                    <w:tabs>
                      <w:tab w:val="left" w:pos="-720"/>
                      <w:tab w:val="left" w:pos="9090"/>
                    </w:tabs>
                    <w:suppressAutoHyphens/>
                    <w:overflowPunct w:val="0"/>
                    <w:autoSpaceDE w:val="0"/>
                    <w:autoSpaceDN w:val="0"/>
                    <w:adjustRightInd w:val="0"/>
                    <w:spacing w:after="0" w:line="240" w:lineRule="auto"/>
                    <w:jc w:val="center"/>
                    <w:textAlignment w:val="baseline"/>
                    <w:rPr>
                      <w:rFonts w:eastAsia="Times New Roman"/>
                      <w:b/>
                      <w:szCs w:val="26"/>
                    </w:rPr>
                  </w:pPr>
                  <w:r w:rsidRPr="00D7330E">
                    <w:rPr>
                      <w:rFonts w:eastAsia="Times New Roman"/>
                      <w:b/>
                      <w:szCs w:val="26"/>
                    </w:rPr>
                    <w:lastRenderedPageBreak/>
                    <w:t>University of Illinois System Office</w:t>
                  </w:r>
                </w:p>
              </w:tc>
            </w:tr>
          </w:tbl>
          <w:p w14:paraId="692392F2" w14:textId="77777777" w:rsidR="00D85698" w:rsidRPr="00D7330E" w:rsidRDefault="00D85698" w:rsidP="00891355">
            <w:pPr>
              <w:spacing w:after="0"/>
              <w:jc w:val="both"/>
              <w:rPr>
                <w:szCs w:val="26"/>
              </w:rPr>
            </w:pPr>
          </w:p>
        </w:tc>
      </w:tr>
      <w:tr w:rsidR="00D85698" w:rsidRPr="00D7330E" w14:paraId="4D28ECE0" w14:textId="77777777" w:rsidTr="00891355">
        <w:trPr>
          <w:trHeight w:val="333"/>
        </w:trPr>
        <w:tc>
          <w:tcPr>
            <w:tcW w:w="342" w:type="dxa"/>
          </w:tcPr>
          <w:p w14:paraId="05B055A6" w14:textId="77777777" w:rsidR="00D85698" w:rsidRPr="00D7330E" w:rsidRDefault="00D85698" w:rsidP="00891355">
            <w:pPr>
              <w:pStyle w:val="NoSpacing"/>
              <w:jc w:val="both"/>
              <w:rPr>
                <w:sz w:val="26"/>
                <w:szCs w:val="26"/>
              </w:rPr>
            </w:pPr>
          </w:p>
        </w:tc>
        <w:tc>
          <w:tcPr>
            <w:tcW w:w="990" w:type="dxa"/>
            <w:shd w:val="clear" w:color="auto" w:fill="auto"/>
          </w:tcPr>
          <w:p w14:paraId="58D2783A" w14:textId="77777777" w:rsidR="00D85698" w:rsidRPr="00D7330E" w:rsidRDefault="00D85698" w:rsidP="00891355">
            <w:pPr>
              <w:pStyle w:val="NoSpacing"/>
              <w:jc w:val="both"/>
              <w:rPr>
                <w:sz w:val="26"/>
                <w:szCs w:val="26"/>
              </w:rPr>
            </w:pPr>
          </w:p>
        </w:tc>
        <w:tc>
          <w:tcPr>
            <w:tcW w:w="8118" w:type="dxa"/>
            <w:shd w:val="clear" w:color="auto" w:fill="auto"/>
          </w:tcPr>
          <w:p w14:paraId="1D5B2862" w14:textId="77777777" w:rsidR="00D85698" w:rsidRPr="00D7330E" w:rsidRDefault="00D85698" w:rsidP="00891355">
            <w:pPr>
              <w:spacing w:after="0"/>
              <w:jc w:val="both"/>
              <w:rPr>
                <w:szCs w:val="26"/>
              </w:rPr>
            </w:pPr>
          </w:p>
        </w:tc>
      </w:tr>
      <w:tr w:rsidR="00D85698" w:rsidRPr="00D7330E" w14:paraId="00E576E3" w14:textId="77777777" w:rsidTr="00891355">
        <w:trPr>
          <w:trHeight w:val="333"/>
        </w:trPr>
        <w:tc>
          <w:tcPr>
            <w:tcW w:w="342" w:type="dxa"/>
            <w:tcBorders>
              <w:bottom w:val="double" w:sz="4" w:space="0" w:color="auto"/>
            </w:tcBorders>
          </w:tcPr>
          <w:p w14:paraId="36142CD6" w14:textId="365C2AFD" w:rsidR="00D85698" w:rsidRPr="00D7330E" w:rsidRDefault="00197E32" w:rsidP="00891355">
            <w:pPr>
              <w:pStyle w:val="NoSpacing"/>
              <w:jc w:val="both"/>
              <w:rPr>
                <w:sz w:val="26"/>
                <w:szCs w:val="26"/>
              </w:rPr>
            </w:pPr>
            <w:r>
              <w:rPr>
                <w:sz w:val="26"/>
                <w:szCs w:val="26"/>
              </w:rPr>
              <w:t>8</w:t>
            </w:r>
          </w:p>
        </w:tc>
        <w:tc>
          <w:tcPr>
            <w:tcW w:w="990" w:type="dxa"/>
            <w:tcBorders>
              <w:bottom w:val="double" w:sz="4" w:space="0" w:color="auto"/>
            </w:tcBorders>
            <w:shd w:val="clear" w:color="auto" w:fill="auto"/>
          </w:tcPr>
          <w:p w14:paraId="3F08D0F4" w14:textId="77777777" w:rsidR="00D85698" w:rsidRPr="00D7330E" w:rsidRDefault="00D85698" w:rsidP="00891355">
            <w:pPr>
              <w:pStyle w:val="NoSpacing"/>
              <w:jc w:val="both"/>
              <w:rPr>
                <w:sz w:val="26"/>
                <w:szCs w:val="26"/>
              </w:rPr>
            </w:pPr>
            <w:r w:rsidRPr="00D7330E">
              <w:rPr>
                <w:sz w:val="26"/>
                <w:szCs w:val="26"/>
              </w:rPr>
              <w:t>Unit</w:t>
            </w:r>
          </w:p>
        </w:tc>
        <w:tc>
          <w:tcPr>
            <w:tcW w:w="8118" w:type="dxa"/>
            <w:tcBorders>
              <w:bottom w:val="double" w:sz="4" w:space="0" w:color="auto"/>
            </w:tcBorders>
            <w:shd w:val="clear" w:color="auto" w:fill="auto"/>
          </w:tcPr>
          <w:p w14:paraId="5044F7DB" w14:textId="1055302B" w:rsidR="00D85698" w:rsidRPr="00D7330E" w:rsidRDefault="000A6143" w:rsidP="00891355">
            <w:pPr>
              <w:spacing w:after="0"/>
              <w:jc w:val="both"/>
              <w:rPr>
                <w:szCs w:val="26"/>
              </w:rPr>
            </w:pPr>
            <w:r w:rsidRPr="000A6143">
              <w:rPr>
                <w:szCs w:val="26"/>
              </w:rPr>
              <w:t>Administrative Information Technology Services (AITS)</w:t>
            </w:r>
          </w:p>
        </w:tc>
      </w:tr>
      <w:tr w:rsidR="00D85698" w:rsidRPr="00D7330E" w14:paraId="657499B0" w14:textId="77777777" w:rsidTr="00891355">
        <w:trPr>
          <w:trHeight w:val="510"/>
        </w:trPr>
        <w:tc>
          <w:tcPr>
            <w:tcW w:w="342" w:type="dxa"/>
            <w:tcBorders>
              <w:top w:val="double" w:sz="4" w:space="0" w:color="auto"/>
            </w:tcBorders>
          </w:tcPr>
          <w:p w14:paraId="7E0E8C45" w14:textId="77777777" w:rsidR="00D85698" w:rsidRPr="00D7330E" w:rsidRDefault="00D85698" w:rsidP="00891355">
            <w:pPr>
              <w:pStyle w:val="NoSpacing"/>
              <w:rPr>
                <w:sz w:val="26"/>
                <w:szCs w:val="26"/>
              </w:rPr>
            </w:pPr>
          </w:p>
        </w:tc>
        <w:tc>
          <w:tcPr>
            <w:tcW w:w="990" w:type="dxa"/>
            <w:tcBorders>
              <w:top w:val="double" w:sz="4" w:space="0" w:color="auto"/>
            </w:tcBorders>
            <w:shd w:val="clear" w:color="auto" w:fill="auto"/>
          </w:tcPr>
          <w:p w14:paraId="0F2840E9" w14:textId="77777777" w:rsidR="00D85698" w:rsidRPr="00D7330E" w:rsidRDefault="00D85698" w:rsidP="00891355">
            <w:pPr>
              <w:pStyle w:val="NoSpacing"/>
              <w:rPr>
                <w:sz w:val="26"/>
                <w:szCs w:val="26"/>
              </w:rPr>
            </w:pPr>
          </w:p>
          <w:p w14:paraId="164EE3D1" w14:textId="77777777" w:rsidR="00D85698" w:rsidRPr="00D7330E" w:rsidRDefault="00D85698" w:rsidP="00891355">
            <w:pPr>
              <w:pStyle w:val="NoSpacing"/>
              <w:rPr>
                <w:sz w:val="26"/>
                <w:szCs w:val="26"/>
              </w:rPr>
            </w:pPr>
            <w:r w:rsidRPr="00D7330E">
              <w:rPr>
                <w:sz w:val="26"/>
                <w:szCs w:val="26"/>
              </w:rPr>
              <w:t>Item</w:t>
            </w:r>
          </w:p>
        </w:tc>
        <w:tc>
          <w:tcPr>
            <w:tcW w:w="8118" w:type="dxa"/>
            <w:tcBorders>
              <w:top w:val="double" w:sz="4" w:space="0" w:color="auto"/>
            </w:tcBorders>
            <w:shd w:val="clear" w:color="auto" w:fill="auto"/>
            <w:vAlign w:val="center"/>
          </w:tcPr>
          <w:p w14:paraId="6B86931A" w14:textId="77777777" w:rsidR="00D85698" w:rsidRPr="00D7330E" w:rsidRDefault="00D85698" w:rsidP="00891355">
            <w:pPr>
              <w:pStyle w:val="NoSpacing"/>
              <w:rPr>
                <w:sz w:val="26"/>
                <w:szCs w:val="26"/>
              </w:rPr>
            </w:pPr>
          </w:p>
          <w:p w14:paraId="24C645E8" w14:textId="24E865EE" w:rsidR="00D85698" w:rsidRPr="00D7330E" w:rsidRDefault="002E30D4" w:rsidP="00891355">
            <w:pPr>
              <w:pStyle w:val="NoSpacing"/>
              <w:rPr>
                <w:sz w:val="26"/>
                <w:szCs w:val="26"/>
              </w:rPr>
            </w:pPr>
            <w:r>
              <w:rPr>
                <w:sz w:val="26"/>
                <w:szCs w:val="26"/>
              </w:rPr>
              <w:t>Maintenance of Banner Baseline ERP Software for the period July 1, 2025, through June 30, 2030</w:t>
            </w:r>
          </w:p>
        </w:tc>
      </w:tr>
      <w:tr w:rsidR="00D85698" w:rsidRPr="00D7330E" w14:paraId="5989EC04" w14:textId="77777777" w:rsidTr="00891355">
        <w:trPr>
          <w:trHeight w:val="150"/>
        </w:trPr>
        <w:tc>
          <w:tcPr>
            <w:tcW w:w="342" w:type="dxa"/>
          </w:tcPr>
          <w:p w14:paraId="4538EEEC" w14:textId="77777777" w:rsidR="00D85698" w:rsidRPr="00D7330E" w:rsidRDefault="00D85698" w:rsidP="00891355">
            <w:pPr>
              <w:pStyle w:val="NoSpacing"/>
              <w:rPr>
                <w:sz w:val="26"/>
                <w:szCs w:val="26"/>
              </w:rPr>
            </w:pPr>
          </w:p>
        </w:tc>
        <w:tc>
          <w:tcPr>
            <w:tcW w:w="990" w:type="dxa"/>
            <w:shd w:val="clear" w:color="auto" w:fill="auto"/>
          </w:tcPr>
          <w:p w14:paraId="3432A27C" w14:textId="77777777" w:rsidR="00D85698" w:rsidRPr="00D7330E" w:rsidRDefault="00D85698" w:rsidP="00891355">
            <w:pPr>
              <w:pStyle w:val="NoSpacing"/>
              <w:rPr>
                <w:sz w:val="26"/>
                <w:szCs w:val="26"/>
              </w:rPr>
            </w:pPr>
          </w:p>
          <w:p w14:paraId="15904538" w14:textId="77777777" w:rsidR="00D85698" w:rsidRPr="00D7330E" w:rsidRDefault="00D85698" w:rsidP="00891355">
            <w:pPr>
              <w:pStyle w:val="NoSpacing"/>
              <w:rPr>
                <w:sz w:val="26"/>
                <w:szCs w:val="26"/>
              </w:rPr>
            </w:pPr>
            <w:r w:rsidRPr="00D7330E">
              <w:rPr>
                <w:sz w:val="26"/>
                <w:szCs w:val="26"/>
              </w:rPr>
              <w:t>Cost</w:t>
            </w:r>
          </w:p>
        </w:tc>
        <w:tc>
          <w:tcPr>
            <w:tcW w:w="8118" w:type="dxa"/>
            <w:shd w:val="clear" w:color="auto" w:fill="auto"/>
          </w:tcPr>
          <w:p w14:paraId="5ABC2479" w14:textId="77777777" w:rsidR="00D85698" w:rsidRPr="00D7330E" w:rsidRDefault="00D85698" w:rsidP="00891355">
            <w:pPr>
              <w:spacing w:after="0"/>
              <w:rPr>
                <w:szCs w:val="26"/>
              </w:rPr>
            </w:pPr>
          </w:p>
          <w:p w14:paraId="106DA61A" w14:textId="55D9E861" w:rsidR="00D85698" w:rsidRPr="00D7330E" w:rsidRDefault="000A6143" w:rsidP="00891355">
            <w:pPr>
              <w:tabs>
                <w:tab w:val="left" w:pos="-720"/>
                <w:tab w:val="left" w:pos="0"/>
                <w:tab w:val="left" w:pos="720"/>
                <w:tab w:val="left" w:pos="1080"/>
                <w:tab w:val="left" w:pos="1440"/>
              </w:tabs>
              <w:suppressAutoHyphens/>
              <w:jc w:val="both"/>
              <w:rPr>
                <w:szCs w:val="26"/>
              </w:rPr>
            </w:pPr>
            <w:r w:rsidRPr="000A6143">
              <w:rPr>
                <w:szCs w:val="26"/>
              </w:rPr>
              <w:t xml:space="preserve">$7,500,000 </w:t>
            </w:r>
            <w:r w:rsidR="00CD6ECE">
              <w:rPr>
                <w:szCs w:val="26"/>
              </w:rPr>
              <w:t>(estimated)</w:t>
            </w:r>
          </w:p>
        </w:tc>
      </w:tr>
      <w:tr w:rsidR="00D85698" w:rsidRPr="00D7330E" w14:paraId="232DD321" w14:textId="77777777" w:rsidTr="00891355">
        <w:trPr>
          <w:trHeight w:val="150"/>
        </w:trPr>
        <w:tc>
          <w:tcPr>
            <w:tcW w:w="342" w:type="dxa"/>
          </w:tcPr>
          <w:p w14:paraId="1B30349D" w14:textId="77777777" w:rsidR="00D85698" w:rsidRPr="00D7330E" w:rsidRDefault="00D85698" w:rsidP="00891355">
            <w:pPr>
              <w:pStyle w:val="NoSpacing"/>
              <w:rPr>
                <w:sz w:val="26"/>
                <w:szCs w:val="26"/>
              </w:rPr>
            </w:pPr>
          </w:p>
        </w:tc>
        <w:tc>
          <w:tcPr>
            <w:tcW w:w="990" w:type="dxa"/>
            <w:shd w:val="clear" w:color="auto" w:fill="auto"/>
          </w:tcPr>
          <w:p w14:paraId="235F38BD" w14:textId="77777777" w:rsidR="00D85698" w:rsidRPr="00D7330E" w:rsidRDefault="00D85698" w:rsidP="00891355">
            <w:pPr>
              <w:pStyle w:val="NoSpacing"/>
              <w:rPr>
                <w:sz w:val="26"/>
                <w:szCs w:val="26"/>
              </w:rPr>
            </w:pPr>
            <w:r w:rsidRPr="00D7330E">
              <w:rPr>
                <w:sz w:val="26"/>
                <w:szCs w:val="26"/>
              </w:rPr>
              <w:t>Vendor</w:t>
            </w:r>
          </w:p>
        </w:tc>
        <w:tc>
          <w:tcPr>
            <w:tcW w:w="8118" w:type="dxa"/>
            <w:shd w:val="clear" w:color="auto" w:fill="auto"/>
          </w:tcPr>
          <w:p w14:paraId="5B8E5792" w14:textId="12AF4E1C" w:rsidR="00D85698" w:rsidRDefault="000A6143" w:rsidP="00891355">
            <w:pPr>
              <w:spacing w:after="0"/>
              <w:rPr>
                <w:rFonts w:eastAsia="Times New Roman"/>
                <w:bCs/>
                <w:iCs/>
                <w:szCs w:val="26"/>
              </w:rPr>
            </w:pPr>
            <w:r w:rsidRPr="000A6143">
              <w:rPr>
                <w:rFonts w:eastAsia="Times New Roman"/>
                <w:bCs/>
                <w:iCs/>
                <w:szCs w:val="26"/>
              </w:rPr>
              <w:t>Ellucian Compan</w:t>
            </w:r>
            <w:r>
              <w:rPr>
                <w:rFonts w:eastAsia="Times New Roman"/>
                <w:bCs/>
                <w:iCs/>
                <w:szCs w:val="26"/>
              </w:rPr>
              <w:t>y</w:t>
            </w:r>
            <w:r w:rsidRPr="000A6143">
              <w:rPr>
                <w:rFonts w:eastAsia="Times New Roman"/>
                <w:bCs/>
                <w:iCs/>
                <w:szCs w:val="26"/>
              </w:rPr>
              <w:t xml:space="preserve"> LLC </w:t>
            </w:r>
            <w:r>
              <w:rPr>
                <w:rFonts w:eastAsia="Times New Roman"/>
                <w:bCs/>
                <w:iCs/>
                <w:szCs w:val="26"/>
              </w:rPr>
              <w:t xml:space="preserve">                        Reston, VA</w:t>
            </w:r>
          </w:p>
          <w:p w14:paraId="6C0BFE76" w14:textId="46877831" w:rsidR="000A6143" w:rsidRPr="00D7330E" w:rsidRDefault="000A6143" w:rsidP="00891355">
            <w:pPr>
              <w:spacing w:after="0"/>
              <w:rPr>
                <w:szCs w:val="26"/>
              </w:rPr>
            </w:pPr>
          </w:p>
        </w:tc>
      </w:tr>
      <w:tr w:rsidR="00D85698" w:rsidRPr="00D7330E" w14:paraId="7D0EA83A" w14:textId="77777777" w:rsidTr="00891355">
        <w:trPr>
          <w:trHeight w:val="150"/>
        </w:trPr>
        <w:tc>
          <w:tcPr>
            <w:tcW w:w="342" w:type="dxa"/>
          </w:tcPr>
          <w:p w14:paraId="30095FF2" w14:textId="77777777" w:rsidR="00D85698" w:rsidRPr="00D7330E" w:rsidRDefault="00D85698" w:rsidP="00891355">
            <w:pPr>
              <w:pStyle w:val="NoSpacing"/>
              <w:rPr>
                <w:sz w:val="26"/>
                <w:szCs w:val="26"/>
              </w:rPr>
            </w:pPr>
          </w:p>
        </w:tc>
        <w:tc>
          <w:tcPr>
            <w:tcW w:w="990" w:type="dxa"/>
            <w:shd w:val="clear" w:color="auto" w:fill="auto"/>
          </w:tcPr>
          <w:p w14:paraId="72B2A146" w14:textId="77777777" w:rsidR="00D85698" w:rsidRPr="00D7330E" w:rsidRDefault="00D85698" w:rsidP="00891355">
            <w:pPr>
              <w:pStyle w:val="NoSpacing"/>
              <w:rPr>
                <w:sz w:val="26"/>
                <w:szCs w:val="26"/>
              </w:rPr>
            </w:pPr>
          </w:p>
        </w:tc>
        <w:tc>
          <w:tcPr>
            <w:tcW w:w="8118" w:type="dxa"/>
            <w:shd w:val="clear" w:color="auto" w:fill="auto"/>
          </w:tcPr>
          <w:p w14:paraId="07B20E27" w14:textId="77777777" w:rsidR="00346906" w:rsidRPr="00346906" w:rsidRDefault="00346906" w:rsidP="00346906">
            <w:pPr>
              <w:rPr>
                <w:szCs w:val="26"/>
              </w:rPr>
            </w:pPr>
            <w:r w:rsidRPr="00346906">
              <w:rPr>
                <w:szCs w:val="26"/>
              </w:rPr>
              <w:t>This is a new sole source purchase for a five-year agreement to provide maintenance and support for the Banner Baseline ERP software. The purchase qualifies as a sole source procurement because the software is proprietary to Ellucian, and no other vendor has access to the source code or the rights to offer maintenance or support services.</w:t>
            </w:r>
          </w:p>
          <w:p w14:paraId="54D5A8C3" w14:textId="77777777" w:rsidR="00346906" w:rsidRPr="00346906" w:rsidRDefault="00346906" w:rsidP="00346906">
            <w:pPr>
              <w:rPr>
                <w:szCs w:val="26"/>
              </w:rPr>
            </w:pPr>
            <w:r w:rsidRPr="00346906">
              <w:rPr>
                <w:szCs w:val="26"/>
              </w:rPr>
              <w:t>Banner Baseline ERP serves as the system of record for the University System. The maintenance agreement covers a comprehensive suite of modules, including:</w:t>
            </w:r>
          </w:p>
          <w:p w14:paraId="23B81C54" w14:textId="77777777" w:rsidR="00346906" w:rsidRPr="00346906" w:rsidRDefault="00346906" w:rsidP="00A36EB1">
            <w:pPr>
              <w:numPr>
                <w:ilvl w:val="0"/>
                <w:numId w:val="19"/>
              </w:numPr>
              <w:spacing w:after="0"/>
              <w:rPr>
                <w:szCs w:val="26"/>
              </w:rPr>
            </w:pPr>
            <w:r w:rsidRPr="00346906">
              <w:rPr>
                <w:szCs w:val="26"/>
              </w:rPr>
              <w:t>Banner Student Self-Service</w:t>
            </w:r>
          </w:p>
          <w:p w14:paraId="69239409" w14:textId="77777777" w:rsidR="00346906" w:rsidRPr="00346906" w:rsidRDefault="00346906" w:rsidP="00A36EB1">
            <w:pPr>
              <w:numPr>
                <w:ilvl w:val="0"/>
                <w:numId w:val="19"/>
              </w:numPr>
              <w:spacing w:after="0"/>
              <w:rPr>
                <w:szCs w:val="26"/>
              </w:rPr>
            </w:pPr>
            <w:r w:rsidRPr="00346906">
              <w:rPr>
                <w:szCs w:val="26"/>
              </w:rPr>
              <w:t>Banner Faculty Self-Service</w:t>
            </w:r>
          </w:p>
          <w:p w14:paraId="14F30F17" w14:textId="77777777" w:rsidR="00346906" w:rsidRPr="00346906" w:rsidRDefault="00346906" w:rsidP="00A36EB1">
            <w:pPr>
              <w:numPr>
                <w:ilvl w:val="0"/>
                <w:numId w:val="19"/>
              </w:numPr>
              <w:spacing w:after="0"/>
              <w:rPr>
                <w:szCs w:val="26"/>
              </w:rPr>
            </w:pPr>
            <w:r w:rsidRPr="00346906">
              <w:rPr>
                <w:szCs w:val="26"/>
              </w:rPr>
              <w:t>Banner Financial Aid and Financial Aid Self-Service</w:t>
            </w:r>
          </w:p>
          <w:p w14:paraId="4B969576" w14:textId="77777777" w:rsidR="00346906" w:rsidRPr="00346906" w:rsidRDefault="00346906" w:rsidP="00A36EB1">
            <w:pPr>
              <w:numPr>
                <w:ilvl w:val="0"/>
                <w:numId w:val="19"/>
              </w:numPr>
              <w:spacing w:after="0"/>
              <w:rPr>
                <w:szCs w:val="26"/>
              </w:rPr>
            </w:pPr>
            <w:r w:rsidRPr="00346906">
              <w:rPr>
                <w:szCs w:val="26"/>
              </w:rPr>
              <w:t>CSS Profile for Financial Aid</w:t>
            </w:r>
          </w:p>
          <w:p w14:paraId="6AF09ADE" w14:textId="77777777" w:rsidR="00346906" w:rsidRPr="00346906" w:rsidRDefault="00346906" w:rsidP="00A36EB1">
            <w:pPr>
              <w:numPr>
                <w:ilvl w:val="0"/>
                <w:numId w:val="19"/>
              </w:numPr>
              <w:spacing w:after="0"/>
              <w:rPr>
                <w:szCs w:val="26"/>
              </w:rPr>
            </w:pPr>
            <w:r w:rsidRPr="00346906">
              <w:rPr>
                <w:szCs w:val="26"/>
              </w:rPr>
              <w:t>Banner Finance</w:t>
            </w:r>
          </w:p>
          <w:p w14:paraId="2B723009" w14:textId="77777777" w:rsidR="00346906" w:rsidRPr="00346906" w:rsidRDefault="00346906" w:rsidP="00A36EB1">
            <w:pPr>
              <w:numPr>
                <w:ilvl w:val="0"/>
                <w:numId w:val="19"/>
              </w:numPr>
              <w:spacing w:after="0"/>
              <w:rPr>
                <w:szCs w:val="26"/>
              </w:rPr>
            </w:pPr>
            <w:r w:rsidRPr="00346906">
              <w:rPr>
                <w:szCs w:val="26"/>
              </w:rPr>
              <w:t>Banner Human Resources</w:t>
            </w:r>
          </w:p>
          <w:p w14:paraId="56A986A2" w14:textId="77777777" w:rsidR="00346906" w:rsidRPr="00346906" w:rsidRDefault="00346906" w:rsidP="00A36EB1">
            <w:pPr>
              <w:numPr>
                <w:ilvl w:val="0"/>
                <w:numId w:val="19"/>
              </w:numPr>
              <w:spacing w:after="0"/>
              <w:rPr>
                <w:szCs w:val="26"/>
              </w:rPr>
            </w:pPr>
            <w:r w:rsidRPr="00346906">
              <w:rPr>
                <w:szCs w:val="26"/>
              </w:rPr>
              <w:t>Banner Document Management Suite</w:t>
            </w:r>
          </w:p>
          <w:p w14:paraId="409EEBFD" w14:textId="77777777" w:rsidR="00346906" w:rsidRDefault="00346906" w:rsidP="00A36EB1">
            <w:pPr>
              <w:numPr>
                <w:ilvl w:val="0"/>
                <w:numId w:val="19"/>
              </w:numPr>
              <w:spacing w:after="0"/>
              <w:rPr>
                <w:szCs w:val="26"/>
              </w:rPr>
            </w:pPr>
            <w:r w:rsidRPr="00346906">
              <w:rPr>
                <w:szCs w:val="26"/>
              </w:rPr>
              <w:t>Banner Integration for eLearning, eProcurement, and related technologies</w:t>
            </w:r>
          </w:p>
          <w:p w14:paraId="7943D2D2" w14:textId="77777777" w:rsidR="00A36EB1" w:rsidRPr="00346906" w:rsidRDefault="00A36EB1" w:rsidP="00A36EB1">
            <w:pPr>
              <w:spacing w:after="0"/>
              <w:ind w:left="360"/>
              <w:rPr>
                <w:szCs w:val="26"/>
              </w:rPr>
            </w:pPr>
          </w:p>
          <w:p w14:paraId="2BD01B68" w14:textId="77777777" w:rsidR="00346906" w:rsidRPr="00346906" w:rsidRDefault="00346906" w:rsidP="00346906">
            <w:pPr>
              <w:rPr>
                <w:szCs w:val="26"/>
              </w:rPr>
            </w:pPr>
            <w:r w:rsidRPr="00346906">
              <w:rPr>
                <w:szCs w:val="26"/>
              </w:rPr>
              <w:t>Ongoing maintenance by Ellucian includes essential upgrades throughout the contract term. These upgrades are critical to ensure the system remains current, including compliance with federally mandated releases for Financial Aid and state/federal tax updates.</w:t>
            </w:r>
          </w:p>
          <w:p w14:paraId="69B83E18" w14:textId="77777777" w:rsidR="00346906" w:rsidRPr="00346906" w:rsidRDefault="00346906" w:rsidP="00346906">
            <w:pPr>
              <w:rPr>
                <w:szCs w:val="26"/>
              </w:rPr>
            </w:pPr>
            <w:r w:rsidRPr="00346906">
              <w:rPr>
                <w:szCs w:val="26"/>
              </w:rPr>
              <w:t>As part of the agreement, Ellucian has committed to capping annual price increases to no more than 5% for the first three years and no more than 7% for the final two years.</w:t>
            </w:r>
          </w:p>
          <w:p w14:paraId="5C330C56" w14:textId="77777777" w:rsidR="00346906" w:rsidRPr="00346906" w:rsidRDefault="00346906" w:rsidP="00346906">
            <w:pPr>
              <w:rPr>
                <w:szCs w:val="26"/>
              </w:rPr>
            </w:pPr>
            <w:r w:rsidRPr="00346906">
              <w:rPr>
                <w:szCs w:val="26"/>
              </w:rPr>
              <w:t xml:space="preserve">Ellucian is the only authorized provider of installation, customization, training, and educational services for its software in the United States. The </w:t>
            </w:r>
            <w:r w:rsidRPr="00346906">
              <w:rPr>
                <w:szCs w:val="26"/>
              </w:rPr>
              <w:lastRenderedPageBreak/>
              <w:t>company does not maintain any authorized service providers or distributors. Consequently, Ellucian was unable to identify Business Enterprise Program (BEP) participation opportunities for this sole source procurement.</w:t>
            </w:r>
          </w:p>
          <w:p w14:paraId="502380BD" w14:textId="341E410B" w:rsidR="00D85698" w:rsidRPr="00D7330E" w:rsidRDefault="00D85698" w:rsidP="002E30D4">
            <w:pPr>
              <w:spacing w:after="0"/>
              <w:rPr>
                <w:szCs w:val="26"/>
              </w:rPr>
            </w:pPr>
          </w:p>
        </w:tc>
      </w:tr>
    </w:tbl>
    <w:p w14:paraId="29359927" w14:textId="61189D96" w:rsidR="00D743A9" w:rsidRPr="00D7330E" w:rsidRDefault="00D743A9">
      <w:pPr>
        <w:spacing w:after="0" w:line="240" w:lineRule="auto"/>
        <w:rPr>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881246" w:rsidRPr="00D7330E" w14:paraId="00DCA86F" w14:textId="77777777" w:rsidTr="008856C6">
        <w:trPr>
          <w:trHeight w:val="567"/>
        </w:trPr>
        <w:tc>
          <w:tcPr>
            <w:tcW w:w="342" w:type="dxa"/>
          </w:tcPr>
          <w:p w14:paraId="2FED4914" w14:textId="77777777" w:rsidR="00881246" w:rsidRPr="00D7330E" w:rsidRDefault="00881246" w:rsidP="005274CF">
            <w:pPr>
              <w:pStyle w:val="NoSpacing"/>
              <w:jc w:val="both"/>
              <w:rPr>
                <w:sz w:val="26"/>
                <w:szCs w:val="26"/>
              </w:rPr>
            </w:pPr>
          </w:p>
        </w:tc>
        <w:tc>
          <w:tcPr>
            <w:tcW w:w="990" w:type="dxa"/>
          </w:tcPr>
          <w:p w14:paraId="3D1945D4" w14:textId="77777777" w:rsidR="00881246" w:rsidRPr="00D7330E" w:rsidRDefault="00881246" w:rsidP="005274CF">
            <w:pPr>
              <w:pStyle w:val="NoSpacing"/>
              <w:jc w:val="both"/>
              <w:rPr>
                <w:sz w:val="26"/>
                <w:szCs w:val="26"/>
              </w:rPr>
            </w:pPr>
          </w:p>
        </w:tc>
        <w:tc>
          <w:tcPr>
            <w:tcW w:w="8118" w:type="dxa"/>
          </w:tcPr>
          <w:p w14:paraId="35405A80" w14:textId="2B034A45" w:rsidR="00881246" w:rsidRPr="00E659E1" w:rsidRDefault="0081669D" w:rsidP="00E659E1">
            <w:pPr>
              <w:pStyle w:val="Heading2"/>
            </w:pPr>
            <w:r w:rsidRPr="00D7330E">
              <w:tab/>
            </w:r>
            <w:r w:rsidR="00D743A9" w:rsidRPr="00D7330E">
              <w:t xml:space="preserve">        </w:t>
            </w:r>
            <w:r w:rsidR="00D6273A" w:rsidRPr="00D7330E">
              <w:t xml:space="preserve"> </w:t>
            </w:r>
            <w:r w:rsidRPr="00E659E1">
              <w:t xml:space="preserve">CHANGE ORDER </w:t>
            </w:r>
            <w:r w:rsidR="00881246" w:rsidRPr="00E659E1">
              <w:t>RECOMMENDED</w:t>
            </w:r>
          </w:p>
        </w:tc>
      </w:tr>
    </w:tbl>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FE4204" w:rsidRPr="00D7330E" w14:paraId="23EE4603" w14:textId="77777777" w:rsidTr="00503D31">
        <w:trPr>
          <w:trHeight w:val="114"/>
        </w:trPr>
        <w:tc>
          <w:tcPr>
            <w:tcW w:w="9454" w:type="dxa"/>
            <w:tcBorders>
              <w:top w:val="single" w:sz="18" w:space="0" w:color="auto"/>
              <w:bottom w:val="single" w:sz="18" w:space="0" w:color="auto"/>
            </w:tcBorders>
          </w:tcPr>
          <w:p w14:paraId="3F8672C8" w14:textId="27838A2C" w:rsidR="00FE4204" w:rsidRPr="00D7330E" w:rsidRDefault="00FE4204" w:rsidP="00503D31">
            <w:pPr>
              <w:tabs>
                <w:tab w:val="left" w:pos="-720"/>
                <w:tab w:val="left" w:pos="9090"/>
              </w:tabs>
              <w:suppressAutoHyphens/>
              <w:overflowPunct w:val="0"/>
              <w:autoSpaceDE w:val="0"/>
              <w:autoSpaceDN w:val="0"/>
              <w:adjustRightInd w:val="0"/>
              <w:spacing w:after="0" w:line="240" w:lineRule="auto"/>
              <w:jc w:val="center"/>
              <w:textAlignment w:val="baseline"/>
              <w:rPr>
                <w:rFonts w:eastAsia="Times New Roman"/>
                <w:b/>
                <w:szCs w:val="26"/>
              </w:rPr>
            </w:pPr>
            <w:bookmarkStart w:id="2" w:name="_Hlk190079908"/>
            <w:r w:rsidRPr="00D7330E">
              <w:rPr>
                <w:rFonts w:eastAsia="Times New Roman"/>
                <w:b/>
                <w:szCs w:val="26"/>
              </w:rPr>
              <w:t>University of Illinois</w:t>
            </w:r>
            <w:r w:rsidR="008856C6" w:rsidRPr="00D7330E">
              <w:rPr>
                <w:rFonts w:eastAsia="Times New Roman"/>
                <w:b/>
                <w:szCs w:val="26"/>
              </w:rPr>
              <w:t xml:space="preserve"> </w:t>
            </w:r>
            <w:r w:rsidR="00442481">
              <w:rPr>
                <w:rFonts w:eastAsia="Times New Roman"/>
                <w:b/>
                <w:szCs w:val="26"/>
              </w:rPr>
              <w:t>System Office</w:t>
            </w:r>
          </w:p>
        </w:tc>
      </w:tr>
    </w:tbl>
    <w:tbl>
      <w:tblPr>
        <w:tblW w:w="9360" w:type="dxa"/>
        <w:tblLayout w:type="fixed"/>
        <w:tblCellMar>
          <w:left w:w="72" w:type="dxa"/>
          <w:right w:w="72" w:type="dxa"/>
        </w:tblCellMar>
        <w:tblLook w:val="0000" w:firstRow="0" w:lastRow="0" w:firstColumn="0" w:lastColumn="0" w:noHBand="0" w:noVBand="0"/>
      </w:tblPr>
      <w:tblGrid>
        <w:gridCol w:w="450"/>
        <w:gridCol w:w="990"/>
        <w:gridCol w:w="7920"/>
      </w:tblGrid>
      <w:tr w:rsidR="00F6377E" w:rsidRPr="00D7330E" w14:paraId="3BB2299D" w14:textId="77777777" w:rsidTr="00BD5FE0">
        <w:trPr>
          <w:trHeight w:val="120"/>
        </w:trPr>
        <w:tc>
          <w:tcPr>
            <w:tcW w:w="450" w:type="dxa"/>
            <w:tcBorders>
              <w:bottom w:val="double" w:sz="6" w:space="0" w:color="auto"/>
            </w:tcBorders>
          </w:tcPr>
          <w:bookmarkEnd w:id="2"/>
          <w:p w14:paraId="1F8AFA6C" w14:textId="15E85D0B" w:rsidR="00F6377E" w:rsidRPr="00D7330E" w:rsidRDefault="00197E32" w:rsidP="00F6377E">
            <w:pPr>
              <w:pStyle w:val="NoSpacing"/>
              <w:rPr>
                <w:sz w:val="26"/>
                <w:szCs w:val="26"/>
              </w:rPr>
            </w:pPr>
            <w:r>
              <w:rPr>
                <w:sz w:val="26"/>
                <w:szCs w:val="26"/>
              </w:rPr>
              <w:t>9</w:t>
            </w:r>
          </w:p>
        </w:tc>
        <w:tc>
          <w:tcPr>
            <w:tcW w:w="990" w:type="dxa"/>
            <w:tcBorders>
              <w:bottom w:val="double" w:sz="6" w:space="0" w:color="auto"/>
            </w:tcBorders>
          </w:tcPr>
          <w:p w14:paraId="31B5CEDC" w14:textId="77777777" w:rsidR="00F6377E" w:rsidRPr="00D7330E" w:rsidRDefault="00F6377E" w:rsidP="00F6377E">
            <w:pPr>
              <w:pStyle w:val="NoSpacing"/>
              <w:rPr>
                <w:sz w:val="26"/>
                <w:szCs w:val="26"/>
              </w:rPr>
            </w:pPr>
            <w:r w:rsidRPr="00D7330E">
              <w:rPr>
                <w:sz w:val="26"/>
                <w:szCs w:val="26"/>
              </w:rPr>
              <w:t>Unit</w:t>
            </w:r>
          </w:p>
        </w:tc>
        <w:tc>
          <w:tcPr>
            <w:tcW w:w="7920" w:type="dxa"/>
            <w:tcBorders>
              <w:bottom w:val="double" w:sz="6" w:space="0" w:color="auto"/>
            </w:tcBorders>
          </w:tcPr>
          <w:p w14:paraId="26CDAEA8" w14:textId="719DE47A" w:rsidR="00F6377E" w:rsidRPr="00D7330E" w:rsidRDefault="00442481" w:rsidP="00F6377E">
            <w:pPr>
              <w:pStyle w:val="NoSpacing"/>
              <w:rPr>
                <w:sz w:val="26"/>
                <w:szCs w:val="26"/>
              </w:rPr>
            </w:pPr>
            <w:r>
              <w:rPr>
                <w:sz w:val="26"/>
              </w:rPr>
              <w:t>Office of Medicaid Innovation</w:t>
            </w:r>
          </w:p>
        </w:tc>
      </w:tr>
      <w:tr w:rsidR="00F6377E" w:rsidRPr="00D7330E" w14:paraId="55FAE87F" w14:textId="77777777" w:rsidTr="00BD5FE0">
        <w:trPr>
          <w:trHeight w:val="648"/>
        </w:trPr>
        <w:tc>
          <w:tcPr>
            <w:tcW w:w="450" w:type="dxa"/>
          </w:tcPr>
          <w:p w14:paraId="3CF349EC" w14:textId="77777777" w:rsidR="00F6377E" w:rsidRPr="00D7330E" w:rsidRDefault="00F6377E" w:rsidP="00F6377E">
            <w:pPr>
              <w:pStyle w:val="NoSpacing"/>
              <w:rPr>
                <w:sz w:val="26"/>
                <w:szCs w:val="26"/>
              </w:rPr>
            </w:pPr>
          </w:p>
        </w:tc>
        <w:tc>
          <w:tcPr>
            <w:tcW w:w="990" w:type="dxa"/>
          </w:tcPr>
          <w:p w14:paraId="5C67AD10" w14:textId="77777777" w:rsidR="00F6377E" w:rsidRPr="00D7330E" w:rsidRDefault="00F6377E" w:rsidP="00F6377E">
            <w:pPr>
              <w:pStyle w:val="NoSpacing"/>
              <w:rPr>
                <w:sz w:val="26"/>
                <w:szCs w:val="26"/>
              </w:rPr>
            </w:pPr>
          </w:p>
          <w:p w14:paraId="10671FD9" w14:textId="77777777" w:rsidR="00F6377E" w:rsidRPr="00D7330E" w:rsidRDefault="00F6377E" w:rsidP="00F6377E">
            <w:pPr>
              <w:pStyle w:val="NoSpacing"/>
              <w:rPr>
                <w:sz w:val="26"/>
                <w:szCs w:val="26"/>
              </w:rPr>
            </w:pPr>
            <w:r w:rsidRPr="00D7330E">
              <w:rPr>
                <w:sz w:val="26"/>
                <w:szCs w:val="26"/>
              </w:rPr>
              <w:t>Item</w:t>
            </w:r>
          </w:p>
        </w:tc>
        <w:tc>
          <w:tcPr>
            <w:tcW w:w="7920" w:type="dxa"/>
            <w:vAlign w:val="center"/>
          </w:tcPr>
          <w:p w14:paraId="7AE818BC" w14:textId="77777777" w:rsidR="002F2D48" w:rsidRPr="00D7330E" w:rsidRDefault="002F2D48" w:rsidP="00F6377E">
            <w:pPr>
              <w:pStyle w:val="NoSpacing"/>
              <w:rPr>
                <w:sz w:val="26"/>
                <w:szCs w:val="26"/>
              </w:rPr>
            </w:pPr>
          </w:p>
          <w:p w14:paraId="5F3D83EC" w14:textId="3B643454" w:rsidR="00F6377E" w:rsidRPr="00D7330E" w:rsidRDefault="00442481" w:rsidP="00F6377E">
            <w:pPr>
              <w:pStyle w:val="NoSpacing"/>
              <w:rPr>
                <w:sz w:val="26"/>
                <w:szCs w:val="26"/>
              </w:rPr>
            </w:pPr>
            <w:r>
              <w:rPr>
                <w:sz w:val="26"/>
              </w:rPr>
              <w:t xml:space="preserve">Change order for consultant </w:t>
            </w:r>
            <w:r w:rsidRPr="00822EC6">
              <w:rPr>
                <w:sz w:val="26"/>
              </w:rPr>
              <w:t>to assist the Office of Medicaid and Innovation in its partnership with the Illinois Department of Healthcare and Family Services in establishing a new framework for its Medicaid managed care delivery system.</w:t>
            </w:r>
          </w:p>
        </w:tc>
      </w:tr>
      <w:tr w:rsidR="00F6377E" w:rsidRPr="00D7330E" w14:paraId="29935A0B" w14:textId="77777777" w:rsidTr="00BD5FE0">
        <w:trPr>
          <w:trHeight w:val="315"/>
        </w:trPr>
        <w:tc>
          <w:tcPr>
            <w:tcW w:w="450" w:type="dxa"/>
          </w:tcPr>
          <w:p w14:paraId="15B64255" w14:textId="77777777" w:rsidR="00F6377E" w:rsidRPr="00D7330E" w:rsidRDefault="00F6377E" w:rsidP="00F6377E">
            <w:pPr>
              <w:pStyle w:val="NoSpacing"/>
              <w:rPr>
                <w:sz w:val="26"/>
                <w:szCs w:val="26"/>
              </w:rPr>
            </w:pPr>
          </w:p>
        </w:tc>
        <w:tc>
          <w:tcPr>
            <w:tcW w:w="990" w:type="dxa"/>
          </w:tcPr>
          <w:p w14:paraId="0C1B6377" w14:textId="77777777" w:rsidR="00F6377E" w:rsidRPr="00D7330E" w:rsidRDefault="00F6377E" w:rsidP="00F6377E">
            <w:pPr>
              <w:pStyle w:val="NoSpacing"/>
              <w:rPr>
                <w:sz w:val="26"/>
                <w:szCs w:val="26"/>
              </w:rPr>
            </w:pPr>
          </w:p>
          <w:p w14:paraId="11C382A2" w14:textId="77777777" w:rsidR="00F6377E" w:rsidRPr="00D7330E" w:rsidRDefault="00F6377E" w:rsidP="00F6377E">
            <w:pPr>
              <w:pStyle w:val="NoSpacing"/>
              <w:rPr>
                <w:sz w:val="26"/>
                <w:szCs w:val="26"/>
              </w:rPr>
            </w:pPr>
            <w:r w:rsidRPr="00D7330E">
              <w:rPr>
                <w:sz w:val="26"/>
                <w:szCs w:val="26"/>
              </w:rPr>
              <w:t>Cost</w:t>
            </w:r>
          </w:p>
        </w:tc>
        <w:tc>
          <w:tcPr>
            <w:tcW w:w="7920" w:type="dxa"/>
          </w:tcPr>
          <w:p w14:paraId="6526F004" w14:textId="77777777" w:rsidR="001B4A24" w:rsidRPr="00D7330E" w:rsidRDefault="001B4A24" w:rsidP="001B4A24">
            <w:pPr>
              <w:pStyle w:val="NoSpacing"/>
              <w:rPr>
                <w:sz w:val="26"/>
                <w:szCs w:val="26"/>
              </w:rPr>
            </w:pPr>
          </w:p>
          <w:p w14:paraId="3B6194B9" w14:textId="4602974A" w:rsidR="00934FC6" w:rsidRPr="00D7330E" w:rsidRDefault="00442481" w:rsidP="00CD6ECE">
            <w:pPr>
              <w:tabs>
                <w:tab w:val="left" w:pos="-720"/>
                <w:tab w:val="left" w:pos="0"/>
                <w:tab w:val="left" w:pos="720"/>
                <w:tab w:val="left" w:pos="1080"/>
                <w:tab w:val="left" w:pos="1440"/>
              </w:tabs>
              <w:suppressAutoHyphens/>
              <w:spacing w:after="0"/>
              <w:jc w:val="both"/>
              <w:rPr>
                <w:szCs w:val="26"/>
              </w:rPr>
            </w:pPr>
            <w:r w:rsidRPr="003A7085">
              <w:rPr>
                <w:szCs w:val="26"/>
              </w:rPr>
              <w:t>$1,050,000</w:t>
            </w:r>
            <w:r w:rsidR="00037C1C">
              <w:rPr>
                <w:szCs w:val="26"/>
              </w:rPr>
              <w:t xml:space="preserve"> (estimated) for a term September 12, 2024 through January 31, 2027</w:t>
            </w:r>
          </w:p>
        </w:tc>
      </w:tr>
      <w:tr w:rsidR="00F6377E" w:rsidRPr="00D7330E" w14:paraId="766A4E98" w14:textId="77777777" w:rsidTr="00BD5FE0">
        <w:trPr>
          <w:trHeight w:val="150"/>
        </w:trPr>
        <w:tc>
          <w:tcPr>
            <w:tcW w:w="450" w:type="dxa"/>
          </w:tcPr>
          <w:p w14:paraId="14F233DC" w14:textId="77777777" w:rsidR="00F6377E" w:rsidRPr="00D7330E" w:rsidRDefault="00F6377E" w:rsidP="00F6377E">
            <w:pPr>
              <w:pStyle w:val="NoSpacing"/>
              <w:rPr>
                <w:sz w:val="26"/>
                <w:szCs w:val="26"/>
              </w:rPr>
            </w:pPr>
          </w:p>
        </w:tc>
        <w:tc>
          <w:tcPr>
            <w:tcW w:w="990" w:type="dxa"/>
            <w:shd w:val="clear" w:color="auto" w:fill="auto"/>
          </w:tcPr>
          <w:p w14:paraId="7C865FCA" w14:textId="77777777" w:rsidR="001B4A24" w:rsidRPr="00D7330E" w:rsidRDefault="001B4A24" w:rsidP="00F6377E">
            <w:pPr>
              <w:pStyle w:val="NoSpacing"/>
              <w:rPr>
                <w:sz w:val="26"/>
                <w:szCs w:val="26"/>
              </w:rPr>
            </w:pPr>
          </w:p>
          <w:p w14:paraId="14DFD6F3" w14:textId="4072507B" w:rsidR="00F6377E" w:rsidRPr="00D7330E" w:rsidRDefault="00F6377E" w:rsidP="00F6377E">
            <w:pPr>
              <w:pStyle w:val="NoSpacing"/>
              <w:rPr>
                <w:sz w:val="26"/>
                <w:szCs w:val="26"/>
              </w:rPr>
            </w:pPr>
            <w:r w:rsidRPr="00D7330E">
              <w:rPr>
                <w:sz w:val="26"/>
                <w:szCs w:val="26"/>
              </w:rPr>
              <w:t>Vendor</w:t>
            </w:r>
          </w:p>
        </w:tc>
        <w:tc>
          <w:tcPr>
            <w:tcW w:w="7920" w:type="dxa"/>
            <w:shd w:val="clear" w:color="auto" w:fill="auto"/>
          </w:tcPr>
          <w:p w14:paraId="4CAA0428" w14:textId="77777777" w:rsidR="00442481" w:rsidRDefault="00442481" w:rsidP="00442481">
            <w:pPr>
              <w:pStyle w:val="NoSpacing"/>
              <w:jc w:val="both"/>
              <w:rPr>
                <w:bCs/>
                <w:sz w:val="26"/>
                <w:szCs w:val="26"/>
              </w:rPr>
            </w:pPr>
          </w:p>
          <w:p w14:paraId="5BF779E7" w14:textId="76CDB51D" w:rsidR="00442481" w:rsidRPr="00992DAE" w:rsidRDefault="00442481" w:rsidP="00442481">
            <w:pPr>
              <w:pStyle w:val="NoSpacing"/>
              <w:jc w:val="both"/>
              <w:rPr>
                <w:bCs/>
                <w:sz w:val="26"/>
                <w:szCs w:val="26"/>
              </w:rPr>
            </w:pPr>
            <w:r w:rsidRPr="00992DAE">
              <w:rPr>
                <w:bCs/>
                <w:sz w:val="26"/>
                <w:szCs w:val="26"/>
              </w:rPr>
              <w:t xml:space="preserve">Boston Consulting Group, Inc.                                       Boston, MA </w:t>
            </w:r>
          </w:p>
          <w:p w14:paraId="14D2CF60" w14:textId="77777777" w:rsidR="00F6377E" w:rsidRPr="00D7330E" w:rsidRDefault="00F6377E" w:rsidP="00F6377E">
            <w:pPr>
              <w:pStyle w:val="NoSpacing"/>
              <w:jc w:val="both"/>
              <w:rPr>
                <w:sz w:val="26"/>
                <w:szCs w:val="26"/>
              </w:rPr>
            </w:pPr>
          </w:p>
        </w:tc>
      </w:tr>
      <w:tr w:rsidR="00F6377E" w:rsidRPr="00D7330E" w14:paraId="0CC80085" w14:textId="77777777" w:rsidTr="00BD5FE0">
        <w:trPr>
          <w:trHeight w:val="150"/>
        </w:trPr>
        <w:tc>
          <w:tcPr>
            <w:tcW w:w="450" w:type="dxa"/>
          </w:tcPr>
          <w:p w14:paraId="67560A50" w14:textId="77777777" w:rsidR="00F6377E" w:rsidRPr="00D7330E" w:rsidRDefault="00F6377E" w:rsidP="00F6377E">
            <w:pPr>
              <w:pStyle w:val="NoSpacing"/>
              <w:rPr>
                <w:sz w:val="26"/>
                <w:szCs w:val="26"/>
              </w:rPr>
            </w:pPr>
          </w:p>
        </w:tc>
        <w:tc>
          <w:tcPr>
            <w:tcW w:w="990" w:type="dxa"/>
            <w:shd w:val="clear" w:color="auto" w:fill="auto"/>
          </w:tcPr>
          <w:p w14:paraId="6AD68AE2" w14:textId="77777777" w:rsidR="00F6377E" w:rsidRPr="00D7330E" w:rsidRDefault="00F6377E" w:rsidP="00F6377E">
            <w:pPr>
              <w:pStyle w:val="NoSpacing"/>
              <w:rPr>
                <w:sz w:val="26"/>
                <w:szCs w:val="26"/>
              </w:rPr>
            </w:pPr>
          </w:p>
        </w:tc>
        <w:tc>
          <w:tcPr>
            <w:tcW w:w="7920" w:type="dxa"/>
            <w:shd w:val="clear" w:color="auto" w:fill="auto"/>
          </w:tcPr>
          <w:p w14:paraId="04086302" w14:textId="77777777" w:rsidR="00442481" w:rsidRPr="00992DAE" w:rsidRDefault="00442481" w:rsidP="00442481">
            <w:pPr>
              <w:pStyle w:val="NoSpacing"/>
              <w:rPr>
                <w:sz w:val="26"/>
                <w:szCs w:val="26"/>
              </w:rPr>
            </w:pPr>
            <w:r w:rsidRPr="00992DAE">
              <w:rPr>
                <w:sz w:val="26"/>
                <w:szCs w:val="26"/>
              </w:rPr>
              <w:t>This is a change order to a task order awarded to Boston Consulting Group, Inc. based on the request for proposal (RFP) 1JWS1805 for Consulting for Strategic/Financial Planning and Related Services. The Board previously approved the initial $4,94</w:t>
            </w:r>
            <w:r>
              <w:rPr>
                <w:sz w:val="26"/>
                <w:szCs w:val="26"/>
              </w:rPr>
              <w:t>5</w:t>
            </w:r>
            <w:r w:rsidRPr="00992DAE">
              <w:rPr>
                <w:sz w:val="26"/>
                <w:szCs w:val="26"/>
              </w:rPr>
              <w:t xml:space="preserve">,000 amount of this award at its November 2024 meeting.    </w:t>
            </w:r>
          </w:p>
          <w:p w14:paraId="50CB0729" w14:textId="77777777" w:rsidR="00442481" w:rsidRPr="00992DAE" w:rsidRDefault="00442481" w:rsidP="00442481">
            <w:pPr>
              <w:pStyle w:val="NoSpacing"/>
              <w:ind w:left="210"/>
              <w:rPr>
                <w:sz w:val="26"/>
                <w:szCs w:val="26"/>
              </w:rPr>
            </w:pPr>
          </w:p>
          <w:p w14:paraId="17DE9C05" w14:textId="3099F06A" w:rsidR="00442481" w:rsidRDefault="00442481" w:rsidP="00442481">
            <w:pPr>
              <w:pStyle w:val="NoSpacing"/>
              <w:rPr>
                <w:sz w:val="26"/>
                <w:szCs w:val="26"/>
              </w:rPr>
            </w:pPr>
            <w:r w:rsidRPr="00992DAE">
              <w:rPr>
                <w:sz w:val="26"/>
                <w:szCs w:val="26"/>
                <w:u w:val="single"/>
              </w:rPr>
              <w:t>Previously provided background</w:t>
            </w:r>
            <w:r w:rsidRPr="00992DAE">
              <w:rPr>
                <w:sz w:val="26"/>
                <w:szCs w:val="26"/>
              </w:rPr>
              <w:t xml:space="preserve">: Under the 1JWS1805 award, a task order was needed for services for the Office of Medicaid.  The University of Illinois System, in strategic partnership with the Illinois Department of Healthcare and Family Services (HFS), established the Office of Medicaid Innovation (OMI) via an Intergovernmental Agreement in 2012.  Since then, OMI has developed a portfolio of projects and initiatives authorized and funded by HFS directly supporting Illinois’ Medical Assistance Program (including the state’s Medicaid program).  OMI’s efforts to provide direct consultative services combined with OMI’s partnerships established across the various University of Illinois campuses, colleges, and locations, allow OMI to provide clinical and policy support to HFS – aligning the resources of the University with Illinois’ public insurer – consistent with 1) the University of Illinois’s Mission to enhance the lives of the citizens of Illinois through leadership in learning, discovery, engagement and economic development; and 2) the University of Illinois </w:t>
            </w:r>
            <w:r w:rsidRPr="00992DAE">
              <w:rPr>
                <w:sz w:val="26"/>
                <w:szCs w:val="26"/>
              </w:rPr>
              <w:lastRenderedPageBreak/>
              <w:t>System’s Mission to put knowledge to work on a large scale with excellence.</w:t>
            </w:r>
          </w:p>
          <w:p w14:paraId="64C289F4" w14:textId="77777777" w:rsidR="00442481" w:rsidRPr="00992DAE" w:rsidRDefault="00442481" w:rsidP="00442481">
            <w:pPr>
              <w:pStyle w:val="NoSpacing"/>
              <w:rPr>
                <w:sz w:val="26"/>
                <w:szCs w:val="26"/>
              </w:rPr>
            </w:pPr>
          </w:p>
          <w:p w14:paraId="4E0FBFD7" w14:textId="77777777" w:rsidR="00442481" w:rsidRPr="00992DAE" w:rsidRDefault="00442481" w:rsidP="00442481">
            <w:pPr>
              <w:pStyle w:val="NoSpacing"/>
              <w:rPr>
                <w:sz w:val="26"/>
                <w:szCs w:val="26"/>
              </w:rPr>
            </w:pPr>
            <w:r w:rsidRPr="00992DAE">
              <w:rPr>
                <w:sz w:val="26"/>
                <w:szCs w:val="26"/>
              </w:rPr>
              <w:t>OMI will provide support to HFS in establishing a new framework for its Medicaid managed care delivery system by: 1) providing a national landscape review of best practices and trends in state managed care regulatory requirements, contracting practices, and ongoing oversight mechanisms; 2) provide research and perspective on the latest trends in service delivery models, including social services, accountable care organizations and alternative payment models; 3) assist in the development of an MCO procurement, including Request for Proposal and model contract, that incorporates key state priorities, innovations in service delivery, state Medicaid managed care purchasing best practices, and methods to support agency efforts to enhance contract oversight and management; and 4) provide consultation on resource needs, structural improvements, and performance management systems that will be needed at HFS to enable successful MCO performance in this changing environment..</w:t>
            </w:r>
          </w:p>
          <w:p w14:paraId="4D3F80DC" w14:textId="77777777" w:rsidR="00442481" w:rsidRPr="00992DAE" w:rsidRDefault="00442481" w:rsidP="00442481">
            <w:pPr>
              <w:pStyle w:val="NoSpacing"/>
              <w:ind w:left="210"/>
              <w:rPr>
                <w:sz w:val="26"/>
                <w:szCs w:val="26"/>
              </w:rPr>
            </w:pPr>
          </w:p>
          <w:p w14:paraId="183F4507" w14:textId="77777777" w:rsidR="00442481" w:rsidRPr="00992DAE" w:rsidRDefault="00442481" w:rsidP="00442481">
            <w:pPr>
              <w:pStyle w:val="NoSpacing"/>
              <w:jc w:val="both"/>
              <w:rPr>
                <w:sz w:val="26"/>
                <w:szCs w:val="26"/>
              </w:rPr>
            </w:pPr>
            <w:r w:rsidRPr="00992DAE">
              <w:rPr>
                <w:sz w:val="26"/>
                <w:szCs w:val="26"/>
              </w:rPr>
              <w:t xml:space="preserve">A task order was sent to the five awardees. Two (2) awardees responded--McKinsey and Company, Inc., and Boston Consulting Group, Inc.  Boston Consulting Group, Inc., was the awardee of the task order.  </w:t>
            </w:r>
          </w:p>
          <w:p w14:paraId="4E47CD7F" w14:textId="77777777" w:rsidR="00442481" w:rsidRPr="00992DAE" w:rsidRDefault="00442481" w:rsidP="00442481">
            <w:pPr>
              <w:pStyle w:val="NoSpacing"/>
              <w:ind w:left="210"/>
              <w:jc w:val="both"/>
              <w:rPr>
                <w:sz w:val="26"/>
                <w:szCs w:val="26"/>
              </w:rPr>
            </w:pPr>
          </w:p>
          <w:p w14:paraId="33A36491" w14:textId="44093743" w:rsidR="00442481" w:rsidRPr="00992DAE" w:rsidRDefault="00442481" w:rsidP="00442481">
            <w:pPr>
              <w:pStyle w:val="NoSpacing"/>
              <w:jc w:val="both"/>
              <w:rPr>
                <w:sz w:val="26"/>
                <w:szCs w:val="26"/>
              </w:rPr>
            </w:pPr>
            <w:r w:rsidRPr="00992DAE">
              <w:rPr>
                <w:sz w:val="26"/>
                <w:szCs w:val="26"/>
                <w:u w:val="single"/>
              </w:rPr>
              <w:t>Change Order information</w:t>
            </w:r>
            <w:r w:rsidRPr="00992DAE">
              <w:rPr>
                <w:sz w:val="26"/>
                <w:szCs w:val="26"/>
              </w:rPr>
              <w:t>: The University needs to add an additional $1,050,000 to have Boston Consulting Group develop and integrate a Specialty Plan they recommended from their provision of the services needed in Task Order #25. The budget allotted for in Task Order #25 services was $6,000,000.</w:t>
            </w:r>
          </w:p>
          <w:p w14:paraId="1E55E9F1" w14:textId="77777777" w:rsidR="00442481" w:rsidRPr="00992DAE" w:rsidRDefault="00442481" w:rsidP="00442481">
            <w:pPr>
              <w:pStyle w:val="NoSpacing"/>
              <w:ind w:left="210"/>
              <w:jc w:val="both"/>
              <w:rPr>
                <w:sz w:val="26"/>
                <w:szCs w:val="26"/>
              </w:rPr>
            </w:pPr>
          </w:p>
          <w:p w14:paraId="28D84B28" w14:textId="46A1B0D2" w:rsidR="00080C61" w:rsidRPr="00D7330E" w:rsidRDefault="00442481" w:rsidP="00442481">
            <w:pPr>
              <w:pStyle w:val="NoSpacing"/>
              <w:tabs>
                <w:tab w:val="left" w:pos="975"/>
              </w:tabs>
              <w:rPr>
                <w:color w:val="000000"/>
                <w:sz w:val="26"/>
                <w:szCs w:val="26"/>
              </w:rPr>
            </w:pPr>
            <w:r w:rsidRPr="00992DAE">
              <w:rPr>
                <w:sz w:val="26"/>
                <w:szCs w:val="26"/>
              </w:rPr>
              <w:t>A 25% aspirational BEP goal was established for this procurement.  Boston Consulting Group, Inc., will meet a goal of 20% by utilizing Illuminative Strategies Inc., for 15% of the services, Rios Partners, LLC, for 5% of the services, and Vander Weele Group, LLC, for 5% of the services.</w:t>
            </w:r>
          </w:p>
        </w:tc>
      </w:tr>
      <w:tr w:rsidR="002F2D48" w:rsidRPr="00D7330E" w14:paraId="31D27605" w14:textId="77777777" w:rsidTr="00BD5FE0">
        <w:trPr>
          <w:trHeight w:val="432"/>
        </w:trPr>
        <w:tc>
          <w:tcPr>
            <w:tcW w:w="450" w:type="dxa"/>
            <w:tcBorders>
              <w:bottom w:val="single" w:sz="18" w:space="0" w:color="auto"/>
            </w:tcBorders>
          </w:tcPr>
          <w:p w14:paraId="4B44AAE9" w14:textId="77777777" w:rsidR="002F2D48" w:rsidRPr="00D7330E" w:rsidRDefault="002F2D48" w:rsidP="00F6377E">
            <w:pPr>
              <w:pStyle w:val="NoSpacing"/>
              <w:rPr>
                <w:sz w:val="26"/>
                <w:szCs w:val="26"/>
              </w:rPr>
            </w:pPr>
          </w:p>
        </w:tc>
        <w:tc>
          <w:tcPr>
            <w:tcW w:w="990" w:type="dxa"/>
            <w:tcBorders>
              <w:bottom w:val="single" w:sz="18" w:space="0" w:color="auto"/>
            </w:tcBorders>
          </w:tcPr>
          <w:p w14:paraId="245D903A" w14:textId="77777777" w:rsidR="002F2D48" w:rsidRPr="00D7330E" w:rsidRDefault="002F2D48" w:rsidP="00F6377E">
            <w:pPr>
              <w:pStyle w:val="NoSpacing"/>
              <w:rPr>
                <w:sz w:val="26"/>
                <w:szCs w:val="26"/>
              </w:rPr>
            </w:pPr>
          </w:p>
        </w:tc>
        <w:tc>
          <w:tcPr>
            <w:tcW w:w="7920" w:type="dxa"/>
            <w:tcBorders>
              <w:bottom w:val="single" w:sz="18" w:space="0" w:color="auto"/>
            </w:tcBorders>
          </w:tcPr>
          <w:p w14:paraId="3472C3E8" w14:textId="77777777" w:rsidR="00080C61" w:rsidRPr="00D7330E" w:rsidRDefault="00080C61" w:rsidP="00080C61">
            <w:pPr>
              <w:tabs>
                <w:tab w:val="left" w:pos="-720"/>
                <w:tab w:val="left" w:pos="9090"/>
              </w:tabs>
              <w:suppressAutoHyphens/>
              <w:overflowPunct w:val="0"/>
              <w:autoSpaceDE w:val="0"/>
              <w:autoSpaceDN w:val="0"/>
              <w:adjustRightInd w:val="0"/>
              <w:spacing w:after="0" w:line="240" w:lineRule="auto"/>
              <w:textAlignment w:val="baseline"/>
              <w:rPr>
                <w:szCs w:val="26"/>
              </w:rPr>
            </w:pPr>
          </w:p>
        </w:tc>
      </w:tr>
    </w:tbl>
    <w:p w14:paraId="4A063824" w14:textId="4F03B1BC" w:rsidR="00A36EB1" w:rsidRDefault="00A36EB1" w:rsidP="002C343C">
      <w:pPr>
        <w:pStyle w:val="NoSpacing"/>
        <w:rPr>
          <w:rFonts w:eastAsia="Times New Roman"/>
          <w:sz w:val="26"/>
          <w:szCs w:val="26"/>
        </w:rPr>
      </w:pPr>
    </w:p>
    <w:p w14:paraId="5BC657B5" w14:textId="77777777" w:rsidR="00A36EB1" w:rsidRDefault="00A36EB1">
      <w:pPr>
        <w:spacing w:after="0" w:line="240" w:lineRule="auto"/>
        <w:rPr>
          <w:rFonts w:eastAsia="Times New Roman"/>
          <w:szCs w:val="26"/>
        </w:rPr>
      </w:pPr>
      <w:r>
        <w:rPr>
          <w:rFonts w:eastAsia="Times New Roman"/>
          <w:szCs w:val="26"/>
        </w:rPr>
        <w:br w:type="page"/>
      </w:r>
    </w:p>
    <w:p w14:paraId="2CBC4DDC" w14:textId="77777777" w:rsidR="0076023D" w:rsidRPr="00D7330E" w:rsidRDefault="0076023D" w:rsidP="002C343C">
      <w:pPr>
        <w:pStyle w:val="NoSpacing"/>
        <w:rPr>
          <w:rFonts w:eastAsia="Times New Roman"/>
          <w:sz w:val="26"/>
          <w:szCs w:val="26"/>
        </w:rPr>
      </w:pPr>
    </w:p>
    <w:tbl>
      <w:tblPr>
        <w:tblpPr w:leftFromText="180" w:rightFromText="180" w:vertAnchor="text" w:horzAnchor="margin" w:tblpXSpec="center" w:tblpY="90"/>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5693"/>
        <w:gridCol w:w="1902"/>
      </w:tblGrid>
      <w:tr w:rsidR="002E16B6" w:rsidRPr="00D7330E" w14:paraId="1F21279B" w14:textId="77777777" w:rsidTr="00271289">
        <w:trPr>
          <w:cantSplit/>
          <w:trHeight w:val="314"/>
        </w:trPr>
        <w:tc>
          <w:tcPr>
            <w:tcW w:w="7595" w:type="dxa"/>
            <w:gridSpan w:val="2"/>
          </w:tcPr>
          <w:p w14:paraId="5546FB3D" w14:textId="77777777" w:rsidR="002E16B6" w:rsidRPr="00D7330E" w:rsidRDefault="002E16B6" w:rsidP="00271289">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eastAsia="Times New Roman"/>
                <w:b/>
                <w:szCs w:val="26"/>
              </w:rPr>
            </w:pPr>
            <w:r w:rsidRPr="00D7330E">
              <w:rPr>
                <w:rFonts w:eastAsia="Times New Roman"/>
                <w:b/>
                <w:szCs w:val="26"/>
              </w:rPr>
              <w:t>SUMMARY OF PURCHASES</w:t>
            </w:r>
          </w:p>
        </w:tc>
      </w:tr>
      <w:tr w:rsidR="002E16B6" w:rsidRPr="00D7330E" w14:paraId="06848E01" w14:textId="77777777" w:rsidTr="00271289">
        <w:trPr>
          <w:trHeight w:val="394"/>
        </w:trPr>
        <w:tc>
          <w:tcPr>
            <w:tcW w:w="5693" w:type="dxa"/>
          </w:tcPr>
          <w:p w14:paraId="55F933FB" w14:textId="77777777" w:rsidR="002E16B6" w:rsidRPr="00D7330E" w:rsidRDefault="002E16B6" w:rsidP="00271289">
            <w:pPr>
              <w:overflowPunct w:val="0"/>
              <w:autoSpaceDE w:val="0"/>
              <w:autoSpaceDN w:val="0"/>
              <w:adjustRightInd w:val="0"/>
              <w:spacing w:after="0" w:line="240" w:lineRule="auto"/>
              <w:textAlignment w:val="baseline"/>
              <w:rPr>
                <w:rFonts w:eastAsia="Times New Roman"/>
                <w:szCs w:val="26"/>
              </w:rPr>
            </w:pPr>
            <w:r w:rsidRPr="00D7330E">
              <w:rPr>
                <w:rFonts w:eastAsia="Times New Roman"/>
                <w:szCs w:val="26"/>
              </w:rPr>
              <w:t xml:space="preserve">University of Illinois </w:t>
            </w:r>
            <w:r>
              <w:rPr>
                <w:rFonts w:eastAsia="Times New Roman"/>
                <w:szCs w:val="26"/>
              </w:rPr>
              <w:t>Urbana-Champaign</w:t>
            </w:r>
          </w:p>
        </w:tc>
        <w:tc>
          <w:tcPr>
            <w:tcW w:w="1902" w:type="dxa"/>
            <w:shd w:val="clear" w:color="auto" w:fill="auto"/>
          </w:tcPr>
          <w:p w14:paraId="544C19BF" w14:textId="4CA648AB" w:rsidR="002E16B6" w:rsidRPr="00D7330E" w:rsidRDefault="002E16B6" w:rsidP="00271289">
            <w:pPr>
              <w:overflowPunct w:val="0"/>
              <w:autoSpaceDE w:val="0"/>
              <w:autoSpaceDN w:val="0"/>
              <w:adjustRightInd w:val="0"/>
              <w:spacing w:after="0" w:line="240" w:lineRule="auto"/>
              <w:textAlignment w:val="baseline"/>
              <w:rPr>
                <w:rFonts w:eastAsia="Times New Roman"/>
                <w:szCs w:val="26"/>
              </w:rPr>
            </w:pPr>
            <w:r w:rsidRPr="00D7330E">
              <w:rPr>
                <w:rFonts w:eastAsia="Times New Roman"/>
                <w:szCs w:val="26"/>
              </w:rPr>
              <w:t xml:space="preserve">$ </w:t>
            </w:r>
            <w:r w:rsidR="00301F8C">
              <w:rPr>
                <w:rFonts w:eastAsia="Times New Roman"/>
                <w:szCs w:val="26"/>
              </w:rPr>
              <w:t xml:space="preserve"> </w:t>
            </w:r>
            <w:r w:rsidR="00F4062E">
              <w:rPr>
                <w:rFonts w:eastAsia="Times New Roman"/>
                <w:szCs w:val="26"/>
              </w:rPr>
              <w:t>6</w:t>
            </w:r>
            <w:r>
              <w:rPr>
                <w:rFonts w:eastAsia="Times New Roman"/>
                <w:szCs w:val="26"/>
              </w:rPr>
              <w:t>1</w:t>
            </w:r>
            <w:r w:rsidRPr="00D7330E">
              <w:rPr>
                <w:rFonts w:eastAsia="Times New Roman"/>
                <w:szCs w:val="26"/>
              </w:rPr>
              <w:t>,150,000</w:t>
            </w:r>
          </w:p>
        </w:tc>
      </w:tr>
      <w:tr w:rsidR="002E16B6" w:rsidRPr="00D7330E" w14:paraId="6DCA621F" w14:textId="77777777" w:rsidTr="00271289">
        <w:trPr>
          <w:trHeight w:val="394"/>
        </w:trPr>
        <w:tc>
          <w:tcPr>
            <w:tcW w:w="5693" w:type="dxa"/>
          </w:tcPr>
          <w:p w14:paraId="26487922" w14:textId="77777777" w:rsidR="002E16B6" w:rsidRPr="00D7330E" w:rsidRDefault="002E16B6" w:rsidP="00271289">
            <w:pPr>
              <w:overflowPunct w:val="0"/>
              <w:autoSpaceDE w:val="0"/>
              <w:autoSpaceDN w:val="0"/>
              <w:adjustRightInd w:val="0"/>
              <w:spacing w:after="0" w:line="240" w:lineRule="auto"/>
              <w:textAlignment w:val="baseline"/>
              <w:rPr>
                <w:rFonts w:eastAsia="Times New Roman"/>
                <w:szCs w:val="26"/>
              </w:rPr>
            </w:pPr>
            <w:r>
              <w:rPr>
                <w:rFonts w:eastAsia="Times New Roman"/>
                <w:szCs w:val="26"/>
              </w:rPr>
              <w:t>University of Illinois Chicago</w:t>
            </w:r>
          </w:p>
        </w:tc>
        <w:tc>
          <w:tcPr>
            <w:tcW w:w="1902" w:type="dxa"/>
            <w:shd w:val="clear" w:color="auto" w:fill="auto"/>
          </w:tcPr>
          <w:p w14:paraId="455BCCBE" w14:textId="77777777" w:rsidR="002E16B6" w:rsidRPr="00D7330E" w:rsidRDefault="002E16B6" w:rsidP="00271289">
            <w:pPr>
              <w:overflowPunct w:val="0"/>
              <w:autoSpaceDE w:val="0"/>
              <w:autoSpaceDN w:val="0"/>
              <w:adjustRightInd w:val="0"/>
              <w:spacing w:after="0" w:line="240" w:lineRule="auto"/>
              <w:textAlignment w:val="baseline"/>
              <w:rPr>
                <w:rFonts w:eastAsia="Times New Roman"/>
                <w:szCs w:val="26"/>
              </w:rPr>
            </w:pPr>
            <w:r>
              <w:rPr>
                <w:rFonts w:eastAsia="Times New Roman"/>
                <w:szCs w:val="26"/>
              </w:rPr>
              <w:t>$155,390,000</w:t>
            </w:r>
          </w:p>
        </w:tc>
      </w:tr>
      <w:tr w:rsidR="002E16B6" w:rsidRPr="00D7330E" w14:paraId="2D37CB73" w14:textId="77777777" w:rsidTr="00271289">
        <w:trPr>
          <w:trHeight w:val="394"/>
        </w:trPr>
        <w:tc>
          <w:tcPr>
            <w:tcW w:w="5693" w:type="dxa"/>
          </w:tcPr>
          <w:p w14:paraId="08233BF2" w14:textId="77777777" w:rsidR="002E16B6" w:rsidRDefault="002E16B6" w:rsidP="00271289">
            <w:pPr>
              <w:overflowPunct w:val="0"/>
              <w:autoSpaceDE w:val="0"/>
              <w:autoSpaceDN w:val="0"/>
              <w:adjustRightInd w:val="0"/>
              <w:spacing w:after="0" w:line="240" w:lineRule="auto"/>
              <w:textAlignment w:val="baseline"/>
              <w:rPr>
                <w:rFonts w:eastAsia="Times New Roman"/>
                <w:szCs w:val="26"/>
              </w:rPr>
            </w:pPr>
            <w:r>
              <w:rPr>
                <w:rFonts w:eastAsia="Times New Roman"/>
                <w:szCs w:val="26"/>
              </w:rPr>
              <w:t>University of Illinois System Office</w:t>
            </w:r>
          </w:p>
        </w:tc>
        <w:tc>
          <w:tcPr>
            <w:tcW w:w="1902" w:type="dxa"/>
            <w:shd w:val="clear" w:color="auto" w:fill="auto"/>
          </w:tcPr>
          <w:p w14:paraId="4ABF6FFB" w14:textId="0CF7292E" w:rsidR="002E16B6" w:rsidRDefault="002E16B6" w:rsidP="00271289">
            <w:pPr>
              <w:overflowPunct w:val="0"/>
              <w:autoSpaceDE w:val="0"/>
              <w:autoSpaceDN w:val="0"/>
              <w:adjustRightInd w:val="0"/>
              <w:spacing w:after="0" w:line="240" w:lineRule="auto"/>
              <w:textAlignment w:val="baseline"/>
              <w:rPr>
                <w:rFonts w:eastAsia="Times New Roman"/>
                <w:szCs w:val="26"/>
              </w:rPr>
            </w:pPr>
            <w:r>
              <w:rPr>
                <w:rFonts w:eastAsia="Times New Roman"/>
                <w:szCs w:val="26"/>
              </w:rPr>
              <w:t xml:space="preserve">$ </w:t>
            </w:r>
            <w:r w:rsidR="00301F8C">
              <w:rPr>
                <w:rFonts w:eastAsia="Times New Roman"/>
                <w:szCs w:val="26"/>
              </w:rPr>
              <w:t xml:space="preserve">   </w:t>
            </w:r>
            <w:r>
              <w:rPr>
                <w:rFonts w:eastAsia="Times New Roman"/>
                <w:szCs w:val="26"/>
              </w:rPr>
              <w:t>7,500,000</w:t>
            </w:r>
          </w:p>
        </w:tc>
      </w:tr>
      <w:tr w:rsidR="002E16B6" w:rsidRPr="00D7330E" w14:paraId="4ED8A39B" w14:textId="77777777" w:rsidTr="00271289">
        <w:trPr>
          <w:trHeight w:val="394"/>
        </w:trPr>
        <w:tc>
          <w:tcPr>
            <w:tcW w:w="5693" w:type="dxa"/>
          </w:tcPr>
          <w:p w14:paraId="5084B765" w14:textId="77777777" w:rsidR="002E16B6" w:rsidRPr="00D7330E" w:rsidRDefault="002E16B6" w:rsidP="00271289">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D7330E">
              <w:rPr>
                <w:rFonts w:eastAsia="Times New Roman"/>
                <w:color w:val="000000"/>
                <w:szCs w:val="26"/>
              </w:rPr>
              <w:t>Recommended from Institutional Funds</w:t>
            </w:r>
          </w:p>
          <w:p w14:paraId="0E7C7583" w14:textId="77777777" w:rsidR="002E16B6" w:rsidRPr="00D7330E" w:rsidRDefault="002E16B6" w:rsidP="00271289">
            <w:pPr>
              <w:overflowPunct w:val="0"/>
              <w:autoSpaceDE w:val="0"/>
              <w:autoSpaceDN w:val="0"/>
              <w:adjustRightInd w:val="0"/>
              <w:spacing w:after="0" w:line="240" w:lineRule="auto"/>
              <w:textAlignment w:val="baseline"/>
              <w:rPr>
                <w:rFonts w:eastAsia="Times New Roman"/>
                <w:szCs w:val="26"/>
              </w:rPr>
            </w:pPr>
            <w:r w:rsidRPr="00D7330E">
              <w:rPr>
                <w:rFonts w:eastAsia="Times New Roman"/>
                <w:color w:val="000000"/>
                <w:szCs w:val="26"/>
              </w:rPr>
              <w:t>Grand Total</w:t>
            </w:r>
          </w:p>
        </w:tc>
        <w:tc>
          <w:tcPr>
            <w:tcW w:w="1902" w:type="dxa"/>
            <w:shd w:val="clear" w:color="auto" w:fill="auto"/>
          </w:tcPr>
          <w:p w14:paraId="57B4D192" w14:textId="5731738A" w:rsidR="002E16B6" w:rsidRPr="00D7330E" w:rsidRDefault="002E16B6" w:rsidP="00271289">
            <w:pPr>
              <w:overflowPunct w:val="0"/>
              <w:autoSpaceDE w:val="0"/>
              <w:autoSpaceDN w:val="0"/>
              <w:adjustRightInd w:val="0"/>
              <w:spacing w:after="0" w:line="240" w:lineRule="auto"/>
              <w:textAlignment w:val="baseline"/>
              <w:rPr>
                <w:rFonts w:eastAsia="Times New Roman"/>
                <w:szCs w:val="26"/>
              </w:rPr>
            </w:pPr>
            <w:r w:rsidRPr="00D7330E">
              <w:rPr>
                <w:rFonts w:eastAsia="Times New Roman"/>
                <w:szCs w:val="26"/>
              </w:rPr>
              <w:t>$</w:t>
            </w:r>
            <w:r>
              <w:rPr>
                <w:rFonts w:eastAsia="Times New Roman"/>
                <w:szCs w:val="26"/>
              </w:rPr>
              <w:t>2</w:t>
            </w:r>
            <w:r w:rsidR="00F4062E">
              <w:rPr>
                <w:rFonts w:eastAsia="Times New Roman"/>
                <w:szCs w:val="26"/>
              </w:rPr>
              <w:t>2</w:t>
            </w:r>
            <w:r w:rsidRPr="00D7330E">
              <w:rPr>
                <w:rFonts w:eastAsia="Times New Roman"/>
                <w:szCs w:val="26"/>
              </w:rPr>
              <w:t>4,</w:t>
            </w:r>
            <w:r>
              <w:rPr>
                <w:rFonts w:eastAsia="Times New Roman"/>
                <w:szCs w:val="26"/>
              </w:rPr>
              <w:t>04</w:t>
            </w:r>
            <w:r w:rsidRPr="00D7330E">
              <w:rPr>
                <w:rFonts w:eastAsia="Times New Roman"/>
                <w:szCs w:val="26"/>
              </w:rPr>
              <w:t>0,000</w:t>
            </w:r>
          </w:p>
        </w:tc>
      </w:tr>
      <w:tr w:rsidR="002E16B6" w:rsidRPr="00D7330E" w14:paraId="52056F70" w14:textId="77777777" w:rsidTr="00271289">
        <w:trPr>
          <w:trHeight w:val="394"/>
        </w:trPr>
        <w:tc>
          <w:tcPr>
            <w:tcW w:w="5693" w:type="dxa"/>
          </w:tcPr>
          <w:p w14:paraId="68095BC8" w14:textId="77777777" w:rsidR="002E16B6" w:rsidRPr="00D7330E" w:rsidRDefault="002E16B6" w:rsidP="00271289">
            <w:pPr>
              <w:overflowPunct w:val="0"/>
              <w:autoSpaceDE w:val="0"/>
              <w:autoSpaceDN w:val="0"/>
              <w:adjustRightInd w:val="0"/>
              <w:spacing w:after="0" w:line="240" w:lineRule="auto"/>
              <w:textAlignment w:val="baseline"/>
              <w:rPr>
                <w:rFonts w:eastAsia="Times New Roman"/>
                <w:bCs/>
                <w:szCs w:val="26"/>
              </w:rPr>
            </w:pPr>
          </w:p>
        </w:tc>
        <w:tc>
          <w:tcPr>
            <w:tcW w:w="1902" w:type="dxa"/>
            <w:shd w:val="clear" w:color="auto" w:fill="auto"/>
          </w:tcPr>
          <w:p w14:paraId="4A12E5C4" w14:textId="77777777" w:rsidR="002E16B6" w:rsidRPr="00D7330E" w:rsidRDefault="002E16B6" w:rsidP="00271289">
            <w:pPr>
              <w:overflowPunct w:val="0"/>
              <w:autoSpaceDE w:val="0"/>
              <w:autoSpaceDN w:val="0"/>
              <w:adjustRightInd w:val="0"/>
              <w:spacing w:after="0" w:line="240" w:lineRule="auto"/>
              <w:textAlignment w:val="baseline"/>
              <w:rPr>
                <w:rFonts w:eastAsia="Times New Roman"/>
                <w:szCs w:val="26"/>
              </w:rPr>
            </w:pPr>
          </w:p>
        </w:tc>
      </w:tr>
      <w:tr w:rsidR="002E16B6" w:rsidRPr="00D7330E" w14:paraId="1461B6A4" w14:textId="77777777" w:rsidTr="00271289">
        <w:trPr>
          <w:trHeight w:val="350"/>
        </w:trPr>
        <w:tc>
          <w:tcPr>
            <w:tcW w:w="7595" w:type="dxa"/>
            <w:gridSpan w:val="2"/>
          </w:tcPr>
          <w:p w14:paraId="3590F05C" w14:textId="77777777" w:rsidR="002E16B6" w:rsidRPr="00D7330E" w:rsidRDefault="002E16B6" w:rsidP="00271289">
            <w:pPr>
              <w:overflowPunct w:val="0"/>
              <w:autoSpaceDE w:val="0"/>
              <w:autoSpaceDN w:val="0"/>
              <w:adjustRightInd w:val="0"/>
              <w:spacing w:after="0" w:line="240" w:lineRule="auto"/>
              <w:jc w:val="center"/>
              <w:textAlignment w:val="baseline"/>
              <w:rPr>
                <w:rFonts w:eastAsia="Times New Roman"/>
                <w:szCs w:val="26"/>
              </w:rPr>
            </w:pPr>
            <w:r w:rsidRPr="00D7330E">
              <w:rPr>
                <w:rFonts w:eastAsia="Times New Roman"/>
                <w:b/>
                <w:szCs w:val="26"/>
              </w:rPr>
              <w:t>SUMMARY OF CHANGE ORDERS</w:t>
            </w:r>
          </w:p>
        </w:tc>
      </w:tr>
      <w:tr w:rsidR="002E16B6" w:rsidRPr="00D7330E" w14:paraId="017C0675" w14:textId="77777777" w:rsidTr="00271289">
        <w:trPr>
          <w:trHeight w:val="350"/>
        </w:trPr>
        <w:tc>
          <w:tcPr>
            <w:tcW w:w="5693" w:type="dxa"/>
          </w:tcPr>
          <w:p w14:paraId="03A8746B" w14:textId="77777777" w:rsidR="002E16B6" w:rsidRPr="00D7330E" w:rsidRDefault="002E16B6" w:rsidP="00271289">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D7330E">
              <w:rPr>
                <w:rFonts w:eastAsia="Times New Roman"/>
                <w:bCs/>
                <w:szCs w:val="26"/>
              </w:rPr>
              <w:t xml:space="preserve">University of Illinois </w:t>
            </w:r>
            <w:r>
              <w:rPr>
                <w:rFonts w:eastAsia="Times New Roman"/>
                <w:bCs/>
                <w:szCs w:val="26"/>
              </w:rPr>
              <w:t>System Office</w:t>
            </w:r>
          </w:p>
        </w:tc>
        <w:tc>
          <w:tcPr>
            <w:tcW w:w="1902" w:type="dxa"/>
            <w:shd w:val="clear" w:color="auto" w:fill="auto"/>
          </w:tcPr>
          <w:p w14:paraId="7086E13E" w14:textId="77777777" w:rsidR="002E16B6" w:rsidRPr="00D7330E" w:rsidRDefault="002E16B6" w:rsidP="00271289">
            <w:pPr>
              <w:overflowPunct w:val="0"/>
              <w:autoSpaceDE w:val="0"/>
              <w:autoSpaceDN w:val="0"/>
              <w:adjustRightInd w:val="0"/>
              <w:spacing w:after="0" w:line="240" w:lineRule="auto"/>
              <w:textAlignment w:val="baseline"/>
              <w:rPr>
                <w:rFonts w:eastAsia="Times New Roman"/>
                <w:szCs w:val="26"/>
              </w:rPr>
            </w:pPr>
            <w:r w:rsidRPr="00D7330E">
              <w:rPr>
                <w:rFonts w:eastAsia="Times New Roman"/>
                <w:szCs w:val="26"/>
              </w:rPr>
              <w:t xml:space="preserve">$ </w:t>
            </w:r>
            <w:r>
              <w:rPr>
                <w:rFonts w:eastAsia="Times New Roman"/>
                <w:szCs w:val="26"/>
              </w:rPr>
              <w:t>1,050,000</w:t>
            </w:r>
          </w:p>
        </w:tc>
      </w:tr>
      <w:tr w:rsidR="002E16B6" w:rsidRPr="00D7330E" w14:paraId="199602D5" w14:textId="77777777" w:rsidTr="00271289">
        <w:trPr>
          <w:trHeight w:val="350"/>
        </w:trPr>
        <w:tc>
          <w:tcPr>
            <w:tcW w:w="5693" w:type="dxa"/>
          </w:tcPr>
          <w:p w14:paraId="0E105E98" w14:textId="77777777" w:rsidR="002E16B6" w:rsidRPr="00D7330E" w:rsidRDefault="002E16B6" w:rsidP="00271289">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D7330E">
              <w:rPr>
                <w:rFonts w:eastAsia="Times New Roman"/>
                <w:color w:val="000000"/>
                <w:szCs w:val="26"/>
              </w:rPr>
              <w:t>Recommended from Institutional Funds</w:t>
            </w:r>
          </w:p>
          <w:p w14:paraId="2509A784" w14:textId="77777777" w:rsidR="002E16B6" w:rsidRPr="00D7330E" w:rsidRDefault="002E16B6" w:rsidP="00271289">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D7330E">
              <w:rPr>
                <w:rFonts w:eastAsia="Times New Roman"/>
                <w:color w:val="000000"/>
                <w:szCs w:val="26"/>
              </w:rPr>
              <w:t>Grand Total</w:t>
            </w:r>
          </w:p>
        </w:tc>
        <w:tc>
          <w:tcPr>
            <w:tcW w:w="1902" w:type="dxa"/>
            <w:shd w:val="clear" w:color="auto" w:fill="auto"/>
          </w:tcPr>
          <w:p w14:paraId="7E6C3E11" w14:textId="77777777" w:rsidR="002E16B6" w:rsidRPr="00D7330E" w:rsidRDefault="002E16B6" w:rsidP="00271289">
            <w:pPr>
              <w:overflowPunct w:val="0"/>
              <w:autoSpaceDE w:val="0"/>
              <w:autoSpaceDN w:val="0"/>
              <w:adjustRightInd w:val="0"/>
              <w:spacing w:after="0" w:line="240" w:lineRule="auto"/>
              <w:textAlignment w:val="baseline"/>
              <w:rPr>
                <w:rFonts w:eastAsia="Times New Roman"/>
                <w:szCs w:val="26"/>
              </w:rPr>
            </w:pPr>
            <w:r w:rsidRPr="00D7330E">
              <w:rPr>
                <w:rFonts w:eastAsia="Times New Roman"/>
                <w:szCs w:val="26"/>
              </w:rPr>
              <w:t xml:space="preserve">$ </w:t>
            </w:r>
            <w:r>
              <w:rPr>
                <w:rFonts w:eastAsia="Times New Roman"/>
                <w:szCs w:val="26"/>
              </w:rPr>
              <w:t>1,050,000</w:t>
            </w:r>
          </w:p>
        </w:tc>
      </w:tr>
    </w:tbl>
    <w:p w14:paraId="15036B6A" w14:textId="3F3C87CA" w:rsidR="00B55900" w:rsidRPr="00353536"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eastAsia="Times New Roman"/>
          <w:szCs w:val="26"/>
        </w:rPr>
      </w:pPr>
    </w:p>
    <w:p w14:paraId="103238C3" w14:textId="71B84549" w:rsidR="00B55900" w:rsidRPr="00353536"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eastAsia="Times New Roman"/>
          <w:szCs w:val="26"/>
        </w:rPr>
      </w:pPr>
    </w:p>
    <w:p w14:paraId="4547076B" w14:textId="77777777" w:rsidR="00B55900" w:rsidRPr="00353536"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eastAsia="Times New Roman"/>
          <w:szCs w:val="26"/>
        </w:rPr>
      </w:pPr>
    </w:p>
    <w:p w14:paraId="3A472772" w14:textId="77777777" w:rsidR="00AC1317" w:rsidRPr="00353536" w:rsidRDefault="00AC1317" w:rsidP="00B37520">
      <w:pPr>
        <w:pStyle w:val="NoSpacing"/>
        <w:rPr>
          <w:sz w:val="26"/>
          <w:szCs w:val="26"/>
        </w:rPr>
      </w:pPr>
    </w:p>
    <w:sectPr w:rsidR="00AC1317" w:rsidRPr="00353536" w:rsidSect="0065149B">
      <w:headerReference w:type="defaul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AE7DA" w14:textId="77777777" w:rsidR="00FE63DE" w:rsidRDefault="00FE63DE" w:rsidP="00A817DF">
      <w:pPr>
        <w:spacing w:after="0" w:line="240" w:lineRule="auto"/>
      </w:pPr>
      <w:r>
        <w:separator/>
      </w:r>
    </w:p>
  </w:endnote>
  <w:endnote w:type="continuationSeparator" w:id="0">
    <w:p w14:paraId="5630F4CE" w14:textId="77777777" w:rsidR="00FE63DE" w:rsidRDefault="00FE63DE" w:rsidP="00A8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3"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60E97" w14:textId="77777777" w:rsidR="00FE63DE" w:rsidRDefault="00FE63DE" w:rsidP="00A817DF">
      <w:pPr>
        <w:spacing w:after="0" w:line="240" w:lineRule="auto"/>
      </w:pPr>
      <w:r>
        <w:separator/>
      </w:r>
    </w:p>
  </w:footnote>
  <w:footnote w:type="continuationSeparator" w:id="0">
    <w:p w14:paraId="27739A62" w14:textId="77777777" w:rsidR="00FE63DE" w:rsidRDefault="00FE63DE" w:rsidP="00A81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3931216"/>
      <w:docPartObj>
        <w:docPartGallery w:val="Page Numbers (Top of Page)"/>
        <w:docPartUnique/>
      </w:docPartObj>
    </w:sdtPr>
    <w:sdtEndPr>
      <w:rPr>
        <w:noProof/>
      </w:rPr>
    </w:sdtEndPr>
    <w:sdtContent>
      <w:p w14:paraId="453E5F57" w14:textId="0D550C09" w:rsidR="00301F8C" w:rsidRDefault="00301F8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D53F6F3" w14:textId="1CCD791D" w:rsidR="00A817DF" w:rsidRDefault="00A81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7DA3"/>
    <w:multiLevelType w:val="hybridMultilevel"/>
    <w:tmpl w:val="5B0A09FA"/>
    <w:lvl w:ilvl="0" w:tplc="F530B88A">
      <w:numFmt w:val="bullet"/>
      <w:lvlText w:val=""/>
      <w:lvlJc w:val="left"/>
      <w:pPr>
        <w:ind w:left="770" w:hanging="360"/>
      </w:pPr>
      <w:rPr>
        <w:rFonts w:ascii="Symbol" w:eastAsia="Symbol" w:hAnsi="Symbol" w:cs="Symbol" w:hint="default"/>
        <w:b w:val="0"/>
        <w:bCs w:val="0"/>
        <w:i w:val="0"/>
        <w:iCs w:val="0"/>
        <w:spacing w:val="0"/>
        <w:w w:val="100"/>
        <w:sz w:val="24"/>
        <w:szCs w:val="24"/>
        <w:lang w:val="en-US" w:eastAsia="en-US" w:bidi="ar-SA"/>
      </w:rPr>
    </w:lvl>
    <w:lvl w:ilvl="1" w:tplc="06D0B582">
      <w:numFmt w:val="bullet"/>
      <w:lvlText w:val="•"/>
      <w:lvlJc w:val="left"/>
      <w:pPr>
        <w:ind w:left="1526" w:hanging="360"/>
      </w:pPr>
      <w:rPr>
        <w:rFonts w:hint="default"/>
        <w:lang w:val="en-US" w:eastAsia="en-US" w:bidi="ar-SA"/>
      </w:rPr>
    </w:lvl>
    <w:lvl w:ilvl="2" w:tplc="F1AE6832">
      <w:numFmt w:val="bullet"/>
      <w:lvlText w:val="•"/>
      <w:lvlJc w:val="left"/>
      <w:pPr>
        <w:ind w:left="2272" w:hanging="360"/>
      </w:pPr>
      <w:rPr>
        <w:rFonts w:hint="default"/>
        <w:lang w:val="en-US" w:eastAsia="en-US" w:bidi="ar-SA"/>
      </w:rPr>
    </w:lvl>
    <w:lvl w:ilvl="3" w:tplc="BFE2D3C6">
      <w:numFmt w:val="bullet"/>
      <w:lvlText w:val="•"/>
      <w:lvlJc w:val="left"/>
      <w:pPr>
        <w:ind w:left="3018" w:hanging="360"/>
      </w:pPr>
      <w:rPr>
        <w:rFonts w:hint="default"/>
        <w:lang w:val="en-US" w:eastAsia="en-US" w:bidi="ar-SA"/>
      </w:rPr>
    </w:lvl>
    <w:lvl w:ilvl="4" w:tplc="FF3C5DF0">
      <w:numFmt w:val="bullet"/>
      <w:lvlText w:val="•"/>
      <w:lvlJc w:val="left"/>
      <w:pPr>
        <w:ind w:left="3764" w:hanging="360"/>
      </w:pPr>
      <w:rPr>
        <w:rFonts w:hint="default"/>
        <w:lang w:val="en-US" w:eastAsia="en-US" w:bidi="ar-SA"/>
      </w:rPr>
    </w:lvl>
    <w:lvl w:ilvl="5" w:tplc="1DDE3EB4">
      <w:numFmt w:val="bullet"/>
      <w:lvlText w:val="•"/>
      <w:lvlJc w:val="left"/>
      <w:pPr>
        <w:ind w:left="4511" w:hanging="360"/>
      </w:pPr>
      <w:rPr>
        <w:rFonts w:hint="default"/>
        <w:lang w:val="en-US" w:eastAsia="en-US" w:bidi="ar-SA"/>
      </w:rPr>
    </w:lvl>
    <w:lvl w:ilvl="6" w:tplc="D3BEB1EC">
      <w:numFmt w:val="bullet"/>
      <w:lvlText w:val="•"/>
      <w:lvlJc w:val="left"/>
      <w:pPr>
        <w:ind w:left="5257" w:hanging="360"/>
      </w:pPr>
      <w:rPr>
        <w:rFonts w:hint="default"/>
        <w:lang w:val="en-US" w:eastAsia="en-US" w:bidi="ar-SA"/>
      </w:rPr>
    </w:lvl>
    <w:lvl w:ilvl="7" w:tplc="4044C530">
      <w:numFmt w:val="bullet"/>
      <w:lvlText w:val="•"/>
      <w:lvlJc w:val="left"/>
      <w:pPr>
        <w:ind w:left="6003" w:hanging="360"/>
      </w:pPr>
      <w:rPr>
        <w:rFonts w:hint="default"/>
        <w:lang w:val="en-US" w:eastAsia="en-US" w:bidi="ar-SA"/>
      </w:rPr>
    </w:lvl>
    <w:lvl w:ilvl="8" w:tplc="63AC3B16">
      <w:numFmt w:val="bullet"/>
      <w:lvlText w:val="•"/>
      <w:lvlJc w:val="left"/>
      <w:pPr>
        <w:ind w:left="6749" w:hanging="360"/>
      </w:pPr>
      <w:rPr>
        <w:rFonts w:hint="default"/>
        <w:lang w:val="en-US" w:eastAsia="en-US" w:bidi="ar-SA"/>
      </w:rPr>
    </w:lvl>
  </w:abstractNum>
  <w:abstractNum w:abstractNumId="1" w15:restartNumberingAfterBreak="0">
    <w:nsid w:val="0E950B53"/>
    <w:multiLevelType w:val="hybridMultilevel"/>
    <w:tmpl w:val="1B4EC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DE3068"/>
    <w:multiLevelType w:val="hybridMultilevel"/>
    <w:tmpl w:val="75549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F4659"/>
    <w:multiLevelType w:val="multilevel"/>
    <w:tmpl w:val="2084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053FA"/>
    <w:multiLevelType w:val="hybridMultilevel"/>
    <w:tmpl w:val="D1D6A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76FAF"/>
    <w:multiLevelType w:val="hybridMultilevel"/>
    <w:tmpl w:val="7D0E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06EBD"/>
    <w:multiLevelType w:val="hybridMultilevel"/>
    <w:tmpl w:val="36D01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7E3D04"/>
    <w:multiLevelType w:val="hybridMultilevel"/>
    <w:tmpl w:val="273ECA9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8" w15:restartNumberingAfterBreak="0">
    <w:nsid w:val="32937498"/>
    <w:multiLevelType w:val="hybridMultilevel"/>
    <w:tmpl w:val="36B082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CF41188"/>
    <w:multiLevelType w:val="hybridMultilevel"/>
    <w:tmpl w:val="90CE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C93821"/>
    <w:multiLevelType w:val="hybridMultilevel"/>
    <w:tmpl w:val="3850DAD4"/>
    <w:lvl w:ilvl="0" w:tplc="7BE435A4">
      <w:numFmt w:val="bullet"/>
      <w:lvlText w:val=""/>
      <w:lvlJc w:val="left"/>
      <w:pPr>
        <w:ind w:left="2622" w:hanging="360"/>
      </w:pPr>
      <w:rPr>
        <w:rFonts w:ascii="Symbol" w:eastAsia="Symbol" w:hAnsi="Symbol" w:cs="Symbol" w:hint="default"/>
        <w:b w:val="0"/>
        <w:bCs w:val="0"/>
        <w:i w:val="0"/>
        <w:iCs w:val="0"/>
        <w:spacing w:val="0"/>
        <w:w w:val="100"/>
        <w:sz w:val="24"/>
        <w:szCs w:val="24"/>
        <w:lang w:val="en-US" w:eastAsia="en-US" w:bidi="ar-SA"/>
      </w:rPr>
    </w:lvl>
    <w:lvl w:ilvl="1" w:tplc="2200D9A6">
      <w:numFmt w:val="bullet"/>
      <w:lvlText w:val="•"/>
      <w:lvlJc w:val="left"/>
      <w:pPr>
        <w:ind w:left="3390" w:hanging="360"/>
      </w:pPr>
      <w:rPr>
        <w:rFonts w:hint="default"/>
        <w:lang w:val="en-US" w:eastAsia="en-US" w:bidi="ar-SA"/>
      </w:rPr>
    </w:lvl>
    <w:lvl w:ilvl="2" w:tplc="70AE4D4E">
      <w:numFmt w:val="bullet"/>
      <w:lvlText w:val="•"/>
      <w:lvlJc w:val="left"/>
      <w:pPr>
        <w:ind w:left="4160" w:hanging="360"/>
      </w:pPr>
      <w:rPr>
        <w:rFonts w:hint="default"/>
        <w:lang w:val="en-US" w:eastAsia="en-US" w:bidi="ar-SA"/>
      </w:rPr>
    </w:lvl>
    <w:lvl w:ilvl="3" w:tplc="0D12E77E">
      <w:numFmt w:val="bullet"/>
      <w:lvlText w:val="•"/>
      <w:lvlJc w:val="left"/>
      <w:pPr>
        <w:ind w:left="4930" w:hanging="360"/>
      </w:pPr>
      <w:rPr>
        <w:rFonts w:hint="default"/>
        <w:lang w:val="en-US" w:eastAsia="en-US" w:bidi="ar-SA"/>
      </w:rPr>
    </w:lvl>
    <w:lvl w:ilvl="4" w:tplc="7FC0662A">
      <w:numFmt w:val="bullet"/>
      <w:lvlText w:val="•"/>
      <w:lvlJc w:val="left"/>
      <w:pPr>
        <w:ind w:left="5700" w:hanging="360"/>
      </w:pPr>
      <w:rPr>
        <w:rFonts w:hint="default"/>
        <w:lang w:val="en-US" w:eastAsia="en-US" w:bidi="ar-SA"/>
      </w:rPr>
    </w:lvl>
    <w:lvl w:ilvl="5" w:tplc="BB6ED988">
      <w:numFmt w:val="bullet"/>
      <w:lvlText w:val="•"/>
      <w:lvlJc w:val="left"/>
      <w:pPr>
        <w:ind w:left="6470" w:hanging="360"/>
      </w:pPr>
      <w:rPr>
        <w:rFonts w:hint="default"/>
        <w:lang w:val="en-US" w:eastAsia="en-US" w:bidi="ar-SA"/>
      </w:rPr>
    </w:lvl>
    <w:lvl w:ilvl="6" w:tplc="E96428B2">
      <w:numFmt w:val="bullet"/>
      <w:lvlText w:val="•"/>
      <w:lvlJc w:val="left"/>
      <w:pPr>
        <w:ind w:left="7240" w:hanging="360"/>
      </w:pPr>
      <w:rPr>
        <w:rFonts w:hint="default"/>
        <w:lang w:val="en-US" w:eastAsia="en-US" w:bidi="ar-SA"/>
      </w:rPr>
    </w:lvl>
    <w:lvl w:ilvl="7" w:tplc="C108EF0A">
      <w:numFmt w:val="bullet"/>
      <w:lvlText w:val="•"/>
      <w:lvlJc w:val="left"/>
      <w:pPr>
        <w:ind w:left="8010" w:hanging="360"/>
      </w:pPr>
      <w:rPr>
        <w:rFonts w:hint="default"/>
        <w:lang w:val="en-US" w:eastAsia="en-US" w:bidi="ar-SA"/>
      </w:rPr>
    </w:lvl>
    <w:lvl w:ilvl="8" w:tplc="13923E18">
      <w:numFmt w:val="bullet"/>
      <w:lvlText w:val="•"/>
      <w:lvlJc w:val="left"/>
      <w:pPr>
        <w:ind w:left="8780" w:hanging="360"/>
      </w:pPr>
      <w:rPr>
        <w:rFonts w:hint="default"/>
        <w:lang w:val="en-US" w:eastAsia="en-US" w:bidi="ar-SA"/>
      </w:rPr>
    </w:lvl>
  </w:abstractNum>
  <w:abstractNum w:abstractNumId="11" w15:restartNumberingAfterBreak="0">
    <w:nsid w:val="416E62C8"/>
    <w:multiLevelType w:val="hybridMultilevel"/>
    <w:tmpl w:val="A9BAE4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2F42F5"/>
    <w:multiLevelType w:val="hybridMultilevel"/>
    <w:tmpl w:val="CFC090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792FD9"/>
    <w:multiLevelType w:val="hybridMultilevel"/>
    <w:tmpl w:val="4378D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4C75BC"/>
    <w:multiLevelType w:val="hybridMultilevel"/>
    <w:tmpl w:val="086681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696DB1"/>
    <w:multiLevelType w:val="hybridMultilevel"/>
    <w:tmpl w:val="EBFE0C48"/>
    <w:lvl w:ilvl="0" w:tplc="02E0B0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DB50BE"/>
    <w:multiLevelType w:val="hybridMultilevel"/>
    <w:tmpl w:val="B728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3F4A48"/>
    <w:multiLevelType w:val="hybridMultilevel"/>
    <w:tmpl w:val="F82E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BF3C54"/>
    <w:multiLevelType w:val="hybridMultilevel"/>
    <w:tmpl w:val="5D2E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727823">
    <w:abstractNumId w:val="13"/>
  </w:num>
  <w:num w:numId="2" w16cid:durableId="70201751">
    <w:abstractNumId w:val="15"/>
  </w:num>
  <w:num w:numId="3" w16cid:durableId="1048265266">
    <w:abstractNumId w:val="14"/>
  </w:num>
  <w:num w:numId="4" w16cid:durableId="1585650123">
    <w:abstractNumId w:val="4"/>
  </w:num>
  <w:num w:numId="5" w16cid:durableId="838888282">
    <w:abstractNumId w:val="1"/>
  </w:num>
  <w:num w:numId="6" w16cid:durableId="1045367517">
    <w:abstractNumId w:val="9"/>
  </w:num>
  <w:num w:numId="7" w16cid:durableId="897666194">
    <w:abstractNumId w:val="12"/>
  </w:num>
  <w:num w:numId="8" w16cid:durableId="2017615362">
    <w:abstractNumId w:val="16"/>
  </w:num>
  <w:num w:numId="9" w16cid:durableId="826671625">
    <w:abstractNumId w:val="11"/>
  </w:num>
  <w:num w:numId="10" w16cid:durableId="1128474828">
    <w:abstractNumId w:val="6"/>
  </w:num>
  <w:num w:numId="11" w16cid:durableId="402604075">
    <w:abstractNumId w:val="2"/>
  </w:num>
  <w:num w:numId="12" w16cid:durableId="2074963495">
    <w:abstractNumId w:val="7"/>
  </w:num>
  <w:num w:numId="13" w16cid:durableId="987980008">
    <w:abstractNumId w:val="8"/>
  </w:num>
  <w:num w:numId="14" w16cid:durableId="1276791993">
    <w:abstractNumId w:val="17"/>
  </w:num>
  <w:num w:numId="15" w16cid:durableId="2070229302">
    <w:abstractNumId w:val="5"/>
  </w:num>
  <w:num w:numId="16" w16cid:durableId="1960799502">
    <w:abstractNumId w:val="18"/>
  </w:num>
  <w:num w:numId="17" w16cid:durableId="1029793834">
    <w:abstractNumId w:val="0"/>
  </w:num>
  <w:num w:numId="18" w16cid:durableId="188757344">
    <w:abstractNumId w:val="10"/>
  </w:num>
  <w:num w:numId="19" w16cid:durableId="1525902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Q3trQwMzU0MDYwMjFV0lEKTi0uzszPAykwqgUA6fglgywAAAA="/>
  </w:docVars>
  <w:rsids>
    <w:rsidRoot w:val="00790C45"/>
    <w:rsid w:val="000031A9"/>
    <w:rsid w:val="00004D4E"/>
    <w:rsid w:val="0001031D"/>
    <w:rsid w:val="00010EA7"/>
    <w:rsid w:val="00012052"/>
    <w:rsid w:val="000143EE"/>
    <w:rsid w:val="00015DC9"/>
    <w:rsid w:val="00035646"/>
    <w:rsid w:val="00037C1C"/>
    <w:rsid w:val="00040E89"/>
    <w:rsid w:val="00043312"/>
    <w:rsid w:val="0004427C"/>
    <w:rsid w:val="00044FA0"/>
    <w:rsid w:val="00045674"/>
    <w:rsid w:val="00050736"/>
    <w:rsid w:val="000623F4"/>
    <w:rsid w:val="000628A6"/>
    <w:rsid w:val="000671B9"/>
    <w:rsid w:val="000707D0"/>
    <w:rsid w:val="000715A9"/>
    <w:rsid w:val="000750EE"/>
    <w:rsid w:val="00075885"/>
    <w:rsid w:val="00080C61"/>
    <w:rsid w:val="00081788"/>
    <w:rsid w:val="00081B16"/>
    <w:rsid w:val="000833FC"/>
    <w:rsid w:val="00085CAE"/>
    <w:rsid w:val="00086CBF"/>
    <w:rsid w:val="00090A46"/>
    <w:rsid w:val="00091912"/>
    <w:rsid w:val="00091CFA"/>
    <w:rsid w:val="0009228A"/>
    <w:rsid w:val="00094741"/>
    <w:rsid w:val="0009781F"/>
    <w:rsid w:val="000A0032"/>
    <w:rsid w:val="000A16D9"/>
    <w:rsid w:val="000A6143"/>
    <w:rsid w:val="000B04AB"/>
    <w:rsid w:val="000B3155"/>
    <w:rsid w:val="000B3742"/>
    <w:rsid w:val="000B5B85"/>
    <w:rsid w:val="000B69D6"/>
    <w:rsid w:val="000C2912"/>
    <w:rsid w:val="000C6006"/>
    <w:rsid w:val="000D3439"/>
    <w:rsid w:val="000D35D5"/>
    <w:rsid w:val="000D5BC3"/>
    <w:rsid w:val="000D6281"/>
    <w:rsid w:val="000D64DB"/>
    <w:rsid w:val="000E15C9"/>
    <w:rsid w:val="000E51D1"/>
    <w:rsid w:val="000F53D3"/>
    <w:rsid w:val="000F72ED"/>
    <w:rsid w:val="00107F78"/>
    <w:rsid w:val="00112E2B"/>
    <w:rsid w:val="00114F6C"/>
    <w:rsid w:val="00115A32"/>
    <w:rsid w:val="00124B96"/>
    <w:rsid w:val="00125422"/>
    <w:rsid w:val="001278A6"/>
    <w:rsid w:val="00130E3F"/>
    <w:rsid w:val="00141D9C"/>
    <w:rsid w:val="00151197"/>
    <w:rsid w:val="00152827"/>
    <w:rsid w:val="001610D8"/>
    <w:rsid w:val="00162A4C"/>
    <w:rsid w:val="00165B0B"/>
    <w:rsid w:val="00172D76"/>
    <w:rsid w:val="001730D7"/>
    <w:rsid w:val="00182841"/>
    <w:rsid w:val="00184765"/>
    <w:rsid w:val="00196069"/>
    <w:rsid w:val="00197E32"/>
    <w:rsid w:val="001A0B41"/>
    <w:rsid w:val="001A31BF"/>
    <w:rsid w:val="001A33EE"/>
    <w:rsid w:val="001A4080"/>
    <w:rsid w:val="001A5F67"/>
    <w:rsid w:val="001B2AC1"/>
    <w:rsid w:val="001B4A24"/>
    <w:rsid w:val="001B4AC0"/>
    <w:rsid w:val="001B4D8B"/>
    <w:rsid w:val="001B58A7"/>
    <w:rsid w:val="001B762B"/>
    <w:rsid w:val="001D3AA7"/>
    <w:rsid w:val="001D78B4"/>
    <w:rsid w:val="001E4E42"/>
    <w:rsid w:val="001E6078"/>
    <w:rsid w:val="001F257D"/>
    <w:rsid w:val="001F3416"/>
    <w:rsid w:val="001F3C70"/>
    <w:rsid w:val="001F55E7"/>
    <w:rsid w:val="001F5883"/>
    <w:rsid w:val="001F7A96"/>
    <w:rsid w:val="001F7E65"/>
    <w:rsid w:val="00201AC3"/>
    <w:rsid w:val="00212C6B"/>
    <w:rsid w:val="0021646C"/>
    <w:rsid w:val="002179D7"/>
    <w:rsid w:val="00232759"/>
    <w:rsid w:val="00236489"/>
    <w:rsid w:val="00241688"/>
    <w:rsid w:val="0024234E"/>
    <w:rsid w:val="002450A1"/>
    <w:rsid w:val="00247931"/>
    <w:rsid w:val="00250572"/>
    <w:rsid w:val="00252F86"/>
    <w:rsid w:val="00255F2C"/>
    <w:rsid w:val="002602E8"/>
    <w:rsid w:val="00264C63"/>
    <w:rsid w:val="00271695"/>
    <w:rsid w:val="00271CE3"/>
    <w:rsid w:val="00274904"/>
    <w:rsid w:val="00274EEF"/>
    <w:rsid w:val="00276FA8"/>
    <w:rsid w:val="00283AEB"/>
    <w:rsid w:val="002870E8"/>
    <w:rsid w:val="0028799B"/>
    <w:rsid w:val="002931FB"/>
    <w:rsid w:val="0029340E"/>
    <w:rsid w:val="00293A98"/>
    <w:rsid w:val="002A5B7D"/>
    <w:rsid w:val="002A641F"/>
    <w:rsid w:val="002B0DE6"/>
    <w:rsid w:val="002B1BE5"/>
    <w:rsid w:val="002B66B6"/>
    <w:rsid w:val="002B7C93"/>
    <w:rsid w:val="002C343C"/>
    <w:rsid w:val="002C47B0"/>
    <w:rsid w:val="002C4BB1"/>
    <w:rsid w:val="002C5F64"/>
    <w:rsid w:val="002D0113"/>
    <w:rsid w:val="002D28AA"/>
    <w:rsid w:val="002D2EBE"/>
    <w:rsid w:val="002D35E7"/>
    <w:rsid w:val="002D4035"/>
    <w:rsid w:val="002E0B93"/>
    <w:rsid w:val="002E1375"/>
    <w:rsid w:val="002E16B6"/>
    <w:rsid w:val="002E30D4"/>
    <w:rsid w:val="002E31C2"/>
    <w:rsid w:val="002E44F4"/>
    <w:rsid w:val="002F04D8"/>
    <w:rsid w:val="002F2D48"/>
    <w:rsid w:val="002F4DAF"/>
    <w:rsid w:val="00301F8C"/>
    <w:rsid w:val="003045AE"/>
    <w:rsid w:val="00306B06"/>
    <w:rsid w:val="00307B8F"/>
    <w:rsid w:val="00307D0C"/>
    <w:rsid w:val="00315A3D"/>
    <w:rsid w:val="003175D4"/>
    <w:rsid w:val="00317DD0"/>
    <w:rsid w:val="00333ECF"/>
    <w:rsid w:val="003376C9"/>
    <w:rsid w:val="00343729"/>
    <w:rsid w:val="00346906"/>
    <w:rsid w:val="00346ABB"/>
    <w:rsid w:val="00353536"/>
    <w:rsid w:val="00354DFE"/>
    <w:rsid w:val="00357D48"/>
    <w:rsid w:val="00361DE1"/>
    <w:rsid w:val="00372028"/>
    <w:rsid w:val="00377765"/>
    <w:rsid w:val="00380E12"/>
    <w:rsid w:val="003900FD"/>
    <w:rsid w:val="003907E9"/>
    <w:rsid w:val="00390FC0"/>
    <w:rsid w:val="0039204D"/>
    <w:rsid w:val="00395D90"/>
    <w:rsid w:val="003A175C"/>
    <w:rsid w:val="003A2088"/>
    <w:rsid w:val="003A53D9"/>
    <w:rsid w:val="003A5B58"/>
    <w:rsid w:val="003B7D68"/>
    <w:rsid w:val="003C4265"/>
    <w:rsid w:val="003D06D9"/>
    <w:rsid w:val="003D1DBE"/>
    <w:rsid w:val="003D312D"/>
    <w:rsid w:val="003D5357"/>
    <w:rsid w:val="003D7C25"/>
    <w:rsid w:val="003E14BF"/>
    <w:rsid w:val="003E1FA3"/>
    <w:rsid w:val="003E42E4"/>
    <w:rsid w:val="003E62CF"/>
    <w:rsid w:val="003F3C8D"/>
    <w:rsid w:val="003F4DDE"/>
    <w:rsid w:val="003F6C7A"/>
    <w:rsid w:val="0041505E"/>
    <w:rsid w:val="00416087"/>
    <w:rsid w:val="00420B03"/>
    <w:rsid w:val="00425BB7"/>
    <w:rsid w:val="00426458"/>
    <w:rsid w:val="00427DA3"/>
    <w:rsid w:val="00431751"/>
    <w:rsid w:val="00435F85"/>
    <w:rsid w:val="00437797"/>
    <w:rsid w:val="00442481"/>
    <w:rsid w:val="00450F9C"/>
    <w:rsid w:val="00457CDE"/>
    <w:rsid w:val="00464D6F"/>
    <w:rsid w:val="00467717"/>
    <w:rsid w:val="00470228"/>
    <w:rsid w:val="0047290A"/>
    <w:rsid w:val="00477568"/>
    <w:rsid w:val="00480227"/>
    <w:rsid w:val="00481670"/>
    <w:rsid w:val="0048342A"/>
    <w:rsid w:val="00487510"/>
    <w:rsid w:val="00495256"/>
    <w:rsid w:val="00496CFF"/>
    <w:rsid w:val="004A1335"/>
    <w:rsid w:val="004A6CB4"/>
    <w:rsid w:val="004A7669"/>
    <w:rsid w:val="004A7B2E"/>
    <w:rsid w:val="004B23AD"/>
    <w:rsid w:val="004B2BDA"/>
    <w:rsid w:val="004C0608"/>
    <w:rsid w:val="004C43B8"/>
    <w:rsid w:val="004C5D18"/>
    <w:rsid w:val="004D189C"/>
    <w:rsid w:val="004E2F4F"/>
    <w:rsid w:val="004F31D7"/>
    <w:rsid w:val="004F787F"/>
    <w:rsid w:val="005122F2"/>
    <w:rsid w:val="005145D8"/>
    <w:rsid w:val="00517741"/>
    <w:rsid w:val="0052470E"/>
    <w:rsid w:val="00525289"/>
    <w:rsid w:val="00525D4A"/>
    <w:rsid w:val="00526A44"/>
    <w:rsid w:val="00537F38"/>
    <w:rsid w:val="00540E60"/>
    <w:rsid w:val="00542702"/>
    <w:rsid w:val="00543A5A"/>
    <w:rsid w:val="00552EB0"/>
    <w:rsid w:val="00555371"/>
    <w:rsid w:val="0057172C"/>
    <w:rsid w:val="005733AC"/>
    <w:rsid w:val="00573A23"/>
    <w:rsid w:val="005745EF"/>
    <w:rsid w:val="005917CC"/>
    <w:rsid w:val="005978EE"/>
    <w:rsid w:val="005C38D7"/>
    <w:rsid w:val="005C393C"/>
    <w:rsid w:val="005C45AE"/>
    <w:rsid w:val="005D08FB"/>
    <w:rsid w:val="005D3635"/>
    <w:rsid w:val="005D66E5"/>
    <w:rsid w:val="005D6E7E"/>
    <w:rsid w:val="005E00C1"/>
    <w:rsid w:val="005E0483"/>
    <w:rsid w:val="005E0799"/>
    <w:rsid w:val="005E6979"/>
    <w:rsid w:val="005E70D5"/>
    <w:rsid w:val="005F2308"/>
    <w:rsid w:val="00602119"/>
    <w:rsid w:val="0060572F"/>
    <w:rsid w:val="006059B6"/>
    <w:rsid w:val="00606D2C"/>
    <w:rsid w:val="00607197"/>
    <w:rsid w:val="00610227"/>
    <w:rsid w:val="00616398"/>
    <w:rsid w:val="00621395"/>
    <w:rsid w:val="00631E2A"/>
    <w:rsid w:val="00642E66"/>
    <w:rsid w:val="0065149B"/>
    <w:rsid w:val="00652AC9"/>
    <w:rsid w:val="00652B42"/>
    <w:rsid w:val="00652F1D"/>
    <w:rsid w:val="00660DBC"/>
    <w:rsid w:val="00664CE2"/>
    <w:rsid w:val="00667303"/>
    <w:rsid w:val="006718D0"/>
    <w:rsid w:val="006722F9"/>
    <w:rsid w:val="00694F56"/>
    <w:rsid w:val="00696A30"/>
    <w:rsid w:val="00697A43"/>
    <w:rsid w:val="006A2B59"/>
    <w:rsid w:val="006A4606"/>
    <w:rsid w:val="006A498C"/>
    <w:rsid w:val="006A4FD8"/>
    <w:rsid w:val="006A5B1A"/>
    <w:rsid w:val="006A77EA"/>
    <w:rsid w:val="006B4216"/>
    <w:rsid w:val="006C0830"/>
    <w:rsid w:val="006C5858"/>
    <w:rsid w:val="006D4B9B"/>
    <w:rsid w:val="006D7B82"/>
    <w:rsid w:val="006E2C01"/>
    <w:rsid w:val="006F037C"/>
    <w:rsid w:val="006F4DF5"/>
    <w:rsid w:val="006F53BA"/>
    <w:rsid w:val="00703E4D"/>
    <w:rsid w:val="00711A18"/>
    <w:rsid w:val="00725371"/>
    <w:rsid w:val="00725DF2"/>
    <w:rsid w:val="007373C0"/>
    <w:rsid w:val="00745CCF"/>
    <w:rsid w:val="00755CE8"/>
    <w:rsid w:val="0076023D"/>
    <w:rsid w:val="0076251E"/>
    <w:rsid w:val="007666D1"/>
    <w:rsid w:val="0077417A"/>
    <w:rsid w:val="00777270"/>
    <w:rsid w:val="007801FE"/>
    <w:rsid w:val="00780A50"/>
    <w:rsid w:val="00790C45"/>
    <w:rsid w:val="007928FD"/>
    <w:rsid w:val="007955CD"/>
    <w:rsid w:val="00795EBC"/>
    <w:rsid w:val="007A02CB"/>
    <w:rsid w:val="007A46D4"/>
    <w:rsid w:val="007B49EB"/>
    <w:rsid w:val="007B6A11"/>
    <w:rsid w:val="007C715E"/>
    <w:rsid w:val="007D2DAF"/>
    <w:rsid w:val="007D384F"/>
    <w:rsid w:val="007E11BA"/>
    <w:rsid w:val="007E5C88"/>
    <w:rsid w:val="007F0D35"/>
    <w:rsid w:val="007F1BA7"/>
    <w:rsid w:val="007F1E33"/>
    <w:rsid w:val="007F2C48"/>
    <w:rsid w:val="00800461"/>
    <w:rsid w:val="00802220"/>
    <w:rsid w:val="00803F05"/>
    <w:rsid w:val="00804CCE"/>
    <w:rsid w:val="00806DE8"/>
    <w:rsid w:val="00814778"/>
    <w:rsid w:val="00814D1D"/>
    <w:rsid w:val="0081669D"/>
    <w:rsid w:val="00821EB7"/>
    <w:rsid w:val="00822060"/>
    <w:rsid w:val="00824193"/>
    <w:rsid w:val="00831D4B"/>
    <w:rsid w:val="008327E0"/>
    <w:rsid w:val="008331ED"/>
    <w:rsid w:val="00833E5D"/>
    <w:rsid w:val="00834684"/>
    <w:rsid w:val="00837CEB"/>
    <w:rsid w:val="00840758"/>
    <w:rsid w:val="00850E03"/>
    <w:rsid w:val="00852D8E"/>
    <w:rsid w:val="00856201"/>
    <w:rsid w:val="0086174B"/>
    <w:rsid w:val="00862ECF"/>
    <w:rsid w:val="00866607"/>
    <w:rsid w:val="008667B4"/>
    <w:rsid w:val="0088073D"/>
    <w:rsid w:val="00881246"/>
    <w:rsid w:val="008856C6"/>
    <w:rsid w:val="00890239"/>
    <w:rsid w:val="00896404"/>
    <w:rsid w:val="008A0A3A"/>
    <w:rsid w:val="008A49BE"/>
    <w:rsid w:val="008A5F5A"/>
    <w:rsid w:val="008A76F6"/>
    <w:rsid w:val="008B1803"/>
    <w:rsid w:val="008C2043"/>
    <w:rsid w:val="008C5291"/>
    <w:rsid w:val="008D3D78"/>
    <w:rsid w:val="008E48B9"/>
    <w:rsid w:val="008E5232"/>
    <w:rsid w:val="0090482B"/>
    <w:rsid w:val="009112AA"/>
    <w:rsid w:val="009140AC"/>
    <w:rsid w:val="00916E9E"/>
    <w:rsid w:val="0091703F"/>
    <w:rsid w:val="009208B6"/>
    <w:rsid w:val="0092193D"/>
    <w:rsid w:val="00923084"/>
    <w:rsid w:val="009239A5"/>
    <w:rsid w:val="0093137B"/>
    <w:rsid w:val="00932F29"/>
    <w:rsid w:val="00934E68"/>
    <w:rsid w:val="00934FC6"/>
    <w:rsid w:val="00937704"/>
    <w:rsid w:val="009412F7"/>
    <w:rsid w:val="009433E2"/>
    <w:rsid w:val="0094759E"/>
    <w:rsid w:val="00947D9A"/>
    <w:rsid w:val="0095135F"/>
    <w:rsid w:val="00951987"/>
    <w:rsid w:val="00953F0C"/>
    <w:rsid w:val="00956A39"/>
    <w:rsid w:val="00960688"/>
    <w:rsid w:val="00964369"/>
    <w:rsid w:val="0097228A"/>
    <w:rsid w:val="0097563B"/>
    <w:rsid w:val="00995CB6"/>
    <w:rsid w:val="00996840"/>
    <w:rsid w:val="00996A1C"/>
    <w:rsid w:val="00997329"/>
    <w:rsid w:val="00997940"/>
    <w:rsid w:val="009B1FAA"/>
    <w:rsid w:val="009C04C5"/>
    <w:rsid w:val="009C37EA"/>
    <w:rsid w:val="009C42A4"/>
    <w:rsid w:val="009D191D"/>
    <w:rsid w:val="009D210B"/>
    <w:rsid w:val="009D6C8E"/>
    <w:rsid w:val="009E6403"/>
    <w:rsid w:val="009F0658"/>
    <w:rsid w:val="009F4C20"/>
    <w:rsid w:val="009F54F9"/>
    <w:rsid w:val="009F7098"/>
    <w:rsid w:val="009F7C35"/>
    <w:rsid w:val="00A036DB"/>
    <w:rsid w:val="00A0766E"/>
    <w:rsid w:val="00A10CC8"/>
    <w:rsid w:val="00A11DA2"/>
    <w:rsid w:val="00A15B6B"/>
    <w:rsid w:val="00A16291"/>
    <w:rsid w:val="00A2774E"/>
    <w:rsid w:val="00A33C67"/>
    <w:rsid w:val="00A36B77"/>
    <w:rsid w:val="00A36EB1"/>
    <w:rsid w:val="00A37123"/>
    <w:rsid w:val="00A44D7C"/>
    <w:rsid w:val="00A4617C"/>
    <w:rsid w:val="00A4643B"/>
    <w:rsid w:val="00A53454"/>
    <w:rsid w:val="00A565DF"/>
    <w:rsid w:val="00A57ABA"/>
    <w:rsid w:val="00A612B3"/>
    <w:rsid w:val="00A6468A"/>
    <w:rsid w:val="00A72D4D"/>
    <w:rsid w:val="00A74A45"/>
    <w:rsid w:val="00A817DF"/>
    <w:rsid w:val="00A84579"/>
    <w:rsid w:val="00A86CF1"/>
    <w:rsid w:val="00A9006A"/>
    <w:rsid w:val="00A93A6B"/>
    <w:rsid w:val="00A940F7"/>
    <w:rsid w:val="00A95116"/>
    <w:rsid w:val="00A96331"/>
    <w:rsid w:val="00AA6905"/>
    <w:rsid w:val="00AB3CE5"/>
    <w:rsid w:val="00AB3F1D"/>
    <w:rsid w:val="00AB46BD"/>
    <w:rsid w:val="00AB5E95"/>
    <w:rsid w:val="00AC037A"/>
    <w:rsid w:val="00AC1317"/>
    <w:rsid w:val="00AC20BC"/>
    <w:rsid w:val="00AC2DA1"/>
    <w:rsid w:val="00AC3D48"/>
    <w:rsid w:val="00AD1DD3"/>
    <w:rsid w:val="00AD2247"/>
    <w:rsid w:val="00AD2AF9"/>
    <w:rsid w:val="00AD339F"/>
    <w:rsid w:val="00AD6BCE"/>
    <w:rsid w:val="00AE5100"/>
    <w:rsid w:val="00AE655F"/>
    <w:rsid w:val="00AE6FCA"/>
    <w:rsid w:val="00AE7E41"/>
    <w:rsid w:val="00AF1920"/>
    <w:rsid w:val="00AF7580"/>
    <w:rsid w:val="00AF7A7C"/>
    <w:rsid w:val="00B007C0"/>
    <w:rsid w:val="00B07E57"/>
    <w:rsid w:val="00B16D5F"/>
    <w:rsid w:val="00B175A3"/>
    <w:rsid w:val="00B2672D"/>
    <w:rsid w:val="00B32B03"/>
    <w:rsid w:val="00B34107"/>
    <w:rsid w:val="00B37520"/>
    <w:rsid w:val="00B4111B"/>
    <w:rsid w:val="00B42D4C"/>
    <w:rsid w:val="00B51B04"/>
    <w:rsid w:val="00B53ECD"/>
    <w:rsid w:val="00B557C9"/>
    <w:rsid w:val="00B55900"/>
    <w:rsid w:val="00B57AE3"/>
    <w:rsid w:val="00B61A02"/>
    <w:rsid w:val="00B62DED"/>
    <w:rsid w:val="00B64B99"/>
    <w:rsid w:val="00B64FF8"/>
    <w:rsid w:val="00B7436F"/>
    <w:rsid w:val="00B74CD2"/>
    <w:rsid w:val="00B75F06"/>
    <w:rsid w:val="00B775E6"/>
    <w:rsid w:val="00B77647"/>
    <w:rsid w:val="00B81279"/>
    <w:rsid w:val="00B81529"/>
    <w:rsid w:val="00B93AC4"/>
    <w:rsid w:val="00B973C4"/>
    <w:rsid w:val="00BA1D2D"/>
    <w:rsid w:val="00BA1FD0"/>
    <w:rsid w:val="00BA2279"/>
    <w:rsid w:val="00BA31FA"/>
    <w:rsid w:val="00BB1A68"/>
    <w:rsid w:val="00BB45D5"/>
    <w:rsid w:val="00BD5FE0"/>
    <w:rsid w:val="00BE6129"/>
    <w:rsid w:val="00BF0F74"/>
    <w:rsid w:val="00BF29E2"/>
    <w:rsid w:val="00BF79DF"/>
    <w:rsid w:val="00C16DFA"/>
    <w:rsid w:val="00C279B8"/>
    <w:rsid w:val="00C411D8"/>
    <w:rsid w:val="00C413AA"/>
    <w:rsid w:val="00C41497"/>
    <w:rsid w:val="00C4531C"/>
    <w:rsid w:val="00C54A45"/>
    <w:rsid w:val="00C56EDF"/>
    <w:rsid w:val="00C70B26"/>
    <w:rsid w:val="00C71135"/>
    <w:rsid w:val="00C754ED"/>
    <w:rsid w:val="00CA1216"/>
    <w:rsid w:val="00CA6A48"/>
    <w:rsid w:val="00CA7D87"/>
    <w:rsid w:val="00CB17B7"/>
    <w:rsid w:val="00CB625C"/>
    <w:rsid w:val="00CC0310"/>
    <w:rsid w:val="00CD33D1"/>
    <w:rsid w:val="00CD3429"/>
    <w:rsid w:val="00CD4B28"/>
    <w:rsid w:val="00CD6ECE"/>
    <w:rsid w:val="00CE007B"/>
    <w:rsid w:val="00CE657C"/>
    <w:rsid w:val="00CF0EC5"/>
    <w:rsid w:val="00CF12BB"/>
    <w:rsid w:val="00CF6C35"/>
    <w:rsid w:val="00CF7DF5"/>
    <w:rsid w:val="00D0051A"/>
    <w:rsid w:val="00D058D4"/>
    <w:rsid w:val="00D0692B"/>
    <w:rsid w:val="00D11118"/>
    <w:rsid w:val="00D1519C"/>
    <w:rsid w:val="00D20528"/>
    <w:rsid w:val="00D20988"/>
    <w:rsid w:val="00D2252D"/>
    <w:rsid w:val="00D23363"/>
    <w:rsid w:val="00D233A4"/>
    <w:rsid w:val="00D30961"/>
    <w:rsid w:val="00D33D9D"/>
    <w:rsid w:val="00D452DC"/>
    <w:rsid w:val="00D4686B"/>
    <w:rsid w:val="00D6273A"/>
    <w:rsid w:val="00D71521"/>
    <w:rsid w:val="00D71BB4"/>
    <w:rsid w:val="00D7330E"/>
    <w:rsid w:val="00D743A9"/>
    <w:rsid w:val="00D75780"/>
    <w:rsid w:val="00D8403A"/>
    <w:rsid w:val="00D85698"/>
    <w:rsid w:val="00D86A58"/>
    <w:rsid w:val="00D87860"/>
    <w:rsid w:val="00D87F39"/>
    <w:rsid w:val="00D92467"/>
    <w:rsid w:val="00D9572D"/>
    <w:rsid w:val="00DA3B25"/>
    <w:rsid w:val="00DA5244"/>
    <w:rsid w:val="00DB1DE3"/>
    <w:rsid w:val="00DB4DB5"/>
    <w:rsid w:val="00DC158F"/>
    <w:rsid w:val="00DC1E5A"/>
    <w:rsid w:val="00DC4151"/>
    <w:rsid w:val="00DD2502"/>
    <w:rsid w:val="00DD6334"/>
    <w:rsid w:val="00DE6846"/>
    <w:rsid w:val="00DF4C72"/>
    <w:rsid w:val="00DF4DBC"/>
    <w:rsid w:val="00E026AB"/>
    <w:rsid w:val="00E1112F"/>
    <w:rsid w:val="00E11F13"/>
    <w:rsid w:val="00E31D29"/>
    <w:rsid w:val="00E3408D"/>
    <w:rsid w:val="00E44C01"/>
    <w:rsid w:val="00E44D3C"/>
    <w:rsid w:val="00E50F57"/>
    <w:rsid w:val="00E612F0"/>
    <w:rsid w:val="00E6345C"/>
    <w:rsid w:val="00E659E1"/>
    <w:rsid w:val="00E65C97"/>
    <w:rsid w:val="00E678BD"/>
    <w:rsid w:val="00E757FE"/>
    <w:rsid w:val="00E805DA"/>
    <w:rsid w:val="00E805FF"/>
    <w:rsid w:val="00E859F8"/>
    <w:rsid w:val="00E935EC"/>
    <w:rsid w:val="00E94B0E"/>
    <w:rsid w:val="00EA78BD"/>
    <w:rsid w:val="00EB675E"/>
    <w:rsid w:val="00EC160D"/>
    <w:rsid w:val="00EC188D"/>
    <w:rsid w:val="00EC4354"/>
    <w:rsid w:val="00EC5861"/>
    <w:rsid w:val="00ED2FEE"/>
    <w:rsid w:val="00ED57F4"/>
    <w:rsid w:val="00EE16A1"/>
    <w:rsid w:val="00EF06B3"/>
    <w:rsid w:val="00EF100E"/>
    <w:rsid w:val="00EF2B70"/>
    <w:rsid w:val="00EF33AD"/>
    <w:rsid w:val="00EF47C6"/>
    <w:rsid w:val="00F0150E"/>
    <w:rsid w:val="00F03156"/>
    <w:rsid w:val="00F052D8"/>
    <w:rsid w:val="00F0660E"/>
    <w:rsid w:val="00F073A6"/>
    <w:rsid w:val="00F076EC"/>
    <w:rsid w:val="00F122AF"/>
    <w:rsid w:val="00F129CD"/>
    <w:rsid w:val="00F13CFE"/>
    <w:rsid w:val="00F17643"/>
    <w:rsid w:val="00F22646"/>
    <w:rsid w:val="00F23B9C"/>
    <w:rsid w:val="00F3108F"/>
    <w:rsid w:val="00F32041"/>
    <w:rsid w:val="00F33E3E"/>
    <w:rsid w:val="00F3539B"/>
    <w:rsid w:val="00F35A06"/>
    <w:rsid w:val="00F376EB"/>
    <w:rsid w:val="00F37A72"/>
    <w:rsid w:val="00F4062E"/>
    <w:rsid w:val="00F41ABD"/>
    <w:rsid w:val="00F4322A"/>
    <w:rsid w:val="00F47925"/>
    <w:rsid w:val="00F53080"/>
    <w:rsid w:val="00F53616"/>
    <w:rsid w:val="00F53FA1"/>
    <w:rsid w:val="00F563D3"/>
    <w:rsid w:val="00F601A3"/>
    <w:rsid w:val="00F61739"/>
    <w:rsid w:val="00F61FB1"/>
    <w:rsid w:val="00F6377E"/>
    <w:rsid w:val="00F671E8"/>
    <w:rsid w:val="00F7418C"/>
    <w:rsid w:val="00F76F2F"/>
    <w:rsid w:val="00F76FEF"/>
    <w:rsid w:val="00F77A9C"/>
    <w:rsid w:val="00F85E11"/>
    <w:rsid w:val="00F87EE6"/>
    <w:rsid w:val="00F91A54"/>
    <w:rsid w:val="00F9536A"/>
    <w:rsid w:val="00FA423B"/>
    <w:rsid w:val="00FB766B"/>
    <w:rsid w:val="00FC4CA9"/>
    <w:rsid w:val="00FC5D5F"/>
    <w:rsid w:val="00FD10D6"/>
    <w:rsid w:val="00FD438A"/>
    <w:rsid w:val="00FE0685"/>
    <w:rsid w:val="00FE3653"/>
    <w:rsid w:val="00FE4204"/>
    <w:rsid w:val="00FE63DE"/>
    <w:rsid w:val="00FF1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C43D80"/>
  <w15:chartTrackingRefBased/>
  <w15:docId w15:val="{E0E35B74-C5BD-44E8-B1D7-649BC816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6"/>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E659E1"/>
    <w:pPr>
      <w:keepNext/>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outlineLvl w:val="0"/>
    </w:pPr>
    <w:rPr>
      <w:rFonts w:eastAsia="Times New Roman"/>
      <w:color w:val="000000"/>
      <w:szCs w:val="26"/>
    </w:rPr>
  </w:style>
  <w:style w:type="paragraph" w:styleId="Heading2">
    <w:name w:val="heading 2"/>
    <w:basedOn w:val="Normal"/>
    <w:next w:val="Normal"/>
    <w:link w:val="Heading2Char"/>
    <w:qFormat/>
    <w:rsid w:val="00E659E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outlineLvl w:val="1"/>
    </w:pPr>
    <w:rPr>
      <w:rFonts w:eastAsia="Times New Roman"/>
      <w:b/>
      <w:color w:val="000000"/>
      <w:szCs w:val="26"/>
    </w:rPr>
  </w:style>
  <w:style w:type="paragraph" w:styleId="Heading3">
    <w:name w:val="heading 3"/>
    <w:basedOn w:val="Normal"/>
    <w:next w:val="Normal"/>
    <w:link w:val="Heading3Char"/>
    <w:uiPriority w:val="9"/>
    <w:unhideWhenUsed/>
    <w:qFormat/>
    <w:rsid w:val="00E659E1"/>
    <w:pPr>
      <w:tabs>
        <w:tab w:val="left" w:pos="-720"/>
        <w:tab w:val="left" w:pos="9090"/>
      </w:tabs>
      <w:suppressAutoHyphens/>
      <w:overflowPunct w:val="0"/>
      <w:autoSpaceDE w:val="0"/>
      <w:autoSpaceDN w:val="0"/>
      <w:adjustRightInd w:val="0"/>
      <w:spacing w:after="0" w:line="240" w:lineRule="auto"/>
      <w:jc w:val="center"/>
      <w:textAlignment w:val="baseline"/>
      <w:outlineLvl w:val="2"/>
    </w:pPr>
    <w:rPr>
      <w:rFonts w:eastAsia="Times New Roman"/>
      <w:b/>
      <w:szCs w:val="26"/>
    </w:rPr>
  </w:style>
  <w:style w:type="paragraph" w:styleId="Heading4">
    <w:name w:val="heading 4"/>
    <w:basedOn w:val="NoSpacing"/>
    <w:next w:val="Normal"/>
    <w:link w:val="Heading4Char"/>
    <w:qFormat/>
    <w:rsid w:val="00E659E1"/>
    <w:pPr>
      <w:outlineLvl w:val="3"/>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1317"/>
    <w:rPr>
      <w:sz w:val="22"/>
    </w:rPr>
  </w:style>
  <w:style w:type="character" w:customStyle="1" w:styleId="Heading2Char">
    <w:name w:val="Heading 2 Char"/>
    <w:link w:val="Heading2"/>
    <w:rsid w:val="00E659E1"/>
    <w:rPr>
      <w:rFonts w:eastAsia="Times New Roman"/>
      <w:b/>
      <w:color w:val="000000"/>
      <w:szCs w:val="26"/>
    </w:rPr>
  </w:style>
  <w:style w:type="paragraph" w:customStyle="1" w:styleId="StyleLeft081">
    <w:name w:val="Style Left:  0.81&quot;"/>
    <w:basedOn w:val="Normal"/>
    <w:rsid w:val="007928FD"/>
    <w:pPr>
      <w:widowControl w:val="0"/>
      <w:autoSpaceDE w:val="0"/>
      <w:autoSpaceDN w:val="0"/>
      <w:adjustRightInd w:val="0"/>
      <w:spacing w:after="0" w:line="240" w:lineRule="auto"/>
      <w:ind w:left="1170"/>
    </w:pPr>
    <w:rPr>
      <w:rFonts w:ascii="Arial" w:eastAsia="Times New Roman" w:hAnsi="Arial"/>
      <w:sz w:val="24"/>
      <w:szCs w:val="20"/>
    </w:rPr>
  </w:style>
  <w:style w:type="character" w:styleId="CommentReference">
    <w:name w:val="annotation reference"/>
    <w:rsid w:val="00E50F57"/>
    <w:rPr>
      <w:sz w:val="16"/>
      <w:szCs w:val="16"/>
    </w:rPr>
  </w:style>
  <w:style w:type="paragraph" w:styleId="CommentText">
    <w:name w:val="annotation text"/>
    <w:basedOn w:val="Normal"/>
    <w:link w:val="CommentTextChar"/>
    <w:rsid w:val="00E50F57"/>
    <w:pPr>
      <w:spacing w:after="0" w:line="240" w:lineRule="auto"/>
      <w:jc w:val="both"/>
    </w:pPr>
    <w:rPr>
      <w:rFonts w:eastAsia="Times New Roman"/>
      <w:sz w:val="20"/>
      <w:szCs w:val="20"/>
    </w:rPr>
  </w:style>
  <w:style w:type="character" w:customStyle="1" w:styleId="CommentTextChar">
    <w:name w:val="Comment Text Char"/>
    <w:link w:val="CommentText"/>
    <w:rsid w:val="00E50F57"/>
    <w:rPr>
      <w:rFonts w:ascii="Times New Roman" w:eastAsia="Times New Roman" w:hAnsi="Times New Roman"/>
    </w:rPr>
  </w:style>
  <w:style w:type="paragraph" w:styleId="BalloonText">
    <w:name w:val="Balloon Text"/>
    <w:basedOn w:val="Normal"/>
    <w:link w:val="BalloonTextChar"/>
    <w:uiPriority w:val="99"/>
    <w:semiHidden/>
    <w:unhideWhenUsed/>
    <w:rsid w:val="00E50F5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50F57"/>
    <w:rPr>
      <w:rFonts w:ascii="Segoe UI" w:hAnsi="Segoe UI" w:cs="Segoe UI"/>
      <w:sz w:val="18"/>
      <w:szCs w:val="18"/>
    </w:rPr>
  </w:style>
  <w:style w:type="paragraph" w:styleId="Header">
    <w:name w:val="header"/>
    <w:basedOn w:val="Normal"/>
    <w:link w:val="HeaderChar"/>
    <w:uiPriority w:val="99"/>
    <w:unhideWhenUsed/>
    <w:rsid w:val="00A81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7DF"/>
    <w:rPr>
      <w:sz w:val="22"/>
      <w:szCs w:val="22"/>
    </w:rPr>
  </w:style>
  <w:style w:type="paragraph" w:styleId="Footer">
    <w:name w:val="footer"/>
    <w:basedOn w:val="Normal"/>
    <w:link w:val="FooterChar"/>
    <w:uiPriority w:val="99"/>
    <w:unhideWhenUsed/>
    <w:rsid w:val="00A81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7DF"/>
    <w:rPr>
      <w:sz w:val="22"/>
      <w:szCs w:val="22"/>
    </w:rPr>
  </w:style>
  <w:style w:type="paragraph" w:styleId="CommentSubject">
    <w:name w:val="annotation subject"/>
    <w:basedOn w:val="CommentText"/>
    <w:next w:val="CommentText"/>
    <w:link w:val="CommentSubjectChar"/>
    <w:uiPriority w:val="99"/>
    <w:semiHidden/>
    <w:unhideWhenUsed/>
    <w:rsid w:val="00694F56"/>
    <w:pPr>
      <w:spacing w:after="160"/>
      <w:jc w:val="left"/>
    </w:pPr>
    <w:rPr>
      <w:rFonts w:ascii="Calibri" w:eastAsia="Calibri" w:hAnsi="Calibri"/>
      <w:b/>
      <w:bCs/>
    </w:rPr>
  </w:style>
  <w:style w:type="character" w:customStyle="1" w:styleId="CommentSubjectChar">
    <w:name w:val="Comment Subject Char"/>
    <w:basedOn w:val="CommentTextChar"/>
    <w:link w:val="CommentSubject"/>
    <w:uiPriority w:val="99"/>
    <w:semiHidden/>
    <w:rsid w:val="00694F56"/>
    <w:rPr>
      <w:rFonts w:ascii="Times New Roman" w:eastAsia="Times New Roman" w:hAnsi="Times New Roman"/>
      <w:b/>
      <w:bCs/>
    </w:rPr>
  </w:style>
  <w:style w:type="paragraph" w:customStyle="1" w:styleId="WPDefaults">
    <w:name w:val="WP Defaults"/>
    <w:rsid w:val="00B5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eastAsia="Times New Roman" w:hAnsi="Courier"/>
      <w:color w:val="000000"/>
      <w:sz w:val="24"/>
    </w:rPr>
  </w:style>
  <w:style w:type="character" w:customStyle="1" w:styleId="Heading4Char">
    <w:name w:val="Heading 4 Char"/>
    <w:basedOn w:val="DefaultParagraphFont"/>
    <w:link w:val="Heading4"/>
    <w:rsid w:val="00E659E1"/>
    <w:rPr>
      <w:szCs w:val="26"/>
    </w:rPr>
  </w:style>
  <w:style w:type="table" w:styleId="TableGrid">
    <w:name w:val="Table Grid"/>
    <w:basedOn w:val="TableNormal"/>
    <w:uiPriority w:val="39"/>
    <w:rsid w:val="00837CEB"/>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D384F"/>
    <w:pPr>
      <w:overflowPunct w:val="0"/>
      <w:autoSpaceDE w:val="0"/>
      <w:autoSpaceDN w:val="0"/>
      <w:adjustRightInd w:val="0"/>
      <w:spacing w:after="0" w:line="240" w:lineRule="auto"/>
      <w:ind w:left="720"/>
      <w:textAlignment w:val="baseline"/>
    </w:pPr>
    <w:rPr>
      <w:rFonts w:eastAsia="Times New Roman"/>
      <w:sz w:val="24"/>
      <w:szCs w:val="20"/>
    </w:rPr>
  </w:style>
  <w:style w:type="character" w:customStyle="1" w:styleId="BodyText2Char">
    <w:name w:val="Body Text 2 Char"/>
    <w:basedOn w:val="DefaultParagraphFont"/>
    <w:link w:val="BodyText2"/>
    <w:rsid w:val="007D384F"/>
    <w:rPr>
      <w:rFonts w:ascii="Times New Roman" w:eastAsia="Times New Roman" w:hAnsi="Times New Roman"/>
      <w:sz w:val="24"/>
    </w:rPr>
  </w:style>
  <w:style w:type="paragraph" w:styleId="NormalWeb">
    <w:name w:val="Normal (Web)"/>
    <w:basedOn w:val="Normal"/>
    <w:uiPriority w:val="99"/>
    <w:unhideWhenUsed/>
    <w:rsid w:val="00A0766E"/>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1"/>
    <w:qFormat/>
    <w:rsid w:val="00F122AF"/>
    <w:pPr>
      <w:ind w:left="720"/>
      <w:contextualSpacing/>
    </w:pPr>
    <w:rPr>
      <w:rFonts w:asciiTheme="minorHAnsi" w:eastAsiaTheme="minorHAnsi" w:hAnsiTheme="minorHAnsi" w:cstheme="minorBidi"/>
    </w:rPr>
  </w:style>
  <w:style w:type="character" w:customStyle="1" w:styleId="xcontentpasted0">
    <w:name w:val="x_contentpasted0"/>
    <w:basedOn w:val="DefaultParagraphFont"/>
    <w:rsid w:val="006722F9"/>
  </w:style>
  <w:style w:type="paragraph" w:customStyle="1" w:styleId="Default">
    <w:name w:val="Default"/>
    <w:rsid w:val="00255F2C"/>
    <w:pPr>
      <w:autoSpaceDE w:val="0"/>
      <w:autoSpaceDN w:val="0"/>
      <w:adjustRightInd w:val="0"/>
    </w:pPr>
    <w:rPr>
      <w:color w:val="000000"/>
      <w:sz w:val="24"/>
      <w:szCs w:val="24"/>
    </w:rPr>
  </w:style>
  <w:style w:type="paragraph" w:styleId="Revision">
    <w:name w:val="Revision"/>
    <w:hidden/>
    <w:uiPriority w:val="99"/>
    <w:semiHidden/>
    <w:rsid w:val="00255F2C"/>
    <w:rPr>
      <w:sz w:val="22"/>
    </w:rPr>
  </w:style>
  <w:style w:type="character" w:styleId="HTMLCode">
    <w:name w:val="HTML Code"/>
    <w:basedOn w:val="DefaultParagraphFont"/>
    <w:uiPriority w:val="99"/>
    <w:semiHidden/>
    <w:unhideWhenUsed/>
    <w:rsid w:val="00B64B99"/>
    <w:rPr>
      <w:rFonts w:ascii="Courier New" w:eastAsia="Times New Roman" w:hAnsi="Courier New" w:cs="Courier New"/>
      <w:sz w:val="20"/>
      <w:szCs w:val="20"/>
    </w:rPr>
  </w:style>
  <w:style w:type="paragraph" w:styleId="BodyText">
    <w:name w:val="Body Text"/>
    <w:basedOn w:val="Normal"/>
    <w:link w:val="BodyTextChar"/>
    <w:rsid w:val="0009228A"/>
    <w:pPr>
      <w:spacing w:after="120" w:line="240" w:lineRule="auto"/>
    </w:pPr>
    <w:rPr>
      <w:rFonts w:eastAsia="Times New Roman"/>
      <w:sz w:val="24"/>
      <w:szCs w:val="24"/>
    </w:rPr>
  </w:style>
  <w:style w:type="character" w:customStyle="1" w:styleId="BodyTextChar">
    <w:name w:val="Body Text Char"/>
    <w:basedOn w:val="DefaultParagraphFont"/>
    <w:link w:val="BodyText"/>
    <w:rsid w:val="0009228A"/>
    <w:rPr>
      <w:rFonts w:ascii="Times New Roman" w:eastAsia="Times New Roman" w:hAnsi="Times New Roman"/>
      <w:sz w:val="24"/>
      <w:szCs w:val="24"/>
    </w:rPr>
  </w:style>
  <w:style w:type="paragraph" w:customStyle="1" w:styleId="TableParagraph">
    <w:name w:val="Table Paragraph"/>
    <w:basedOn w:val="Normal"/>
    <w:uiPriority w:val="1"/>
    <w:qFormat/>
    <w:rsid w:val="00E44D3C"/>
    <w:pPr>
      <w:widowControl w:val="0"/>
      <w:autoSpaceDE w:val="0"/>
      <w:autoSpaceDN w:val="0"/>
      <w:spacing w:after="0" w:line="240" w:lineRule="auto"/>
    </w:pPr>
    <w:rPr>
      <w:rFonts w:eastAsia="Times New Roman"/>
      <w:sz w:val="22"/>
    </w:rPr>
  </w:style>
  <w:style w:type="character" w:customStyle="1" w:styleId="Heading1Char">
    <w:name w:val="Heading 1 Char"/>
    <w:basedOn w:val="DefaultParagraphFont"/>
    <w:link w:val="Heading1"/>
    <w:uiPriority w:val="9"/>
    <w:rsid w:val="00E659E1"/>
    <w:rPr>
      <w:rFonts w:eastAsia="Times New Roman"/>
      <w:color w:val="000000"/>
      <w:szCs w:val="26"/>
    </w:rPr>
  </w:style>
  <w:style w:type="character" w:customStyle="1" w:styleId="Heading3Char">
    <w:name w:val="Heading 3 Char"/>
    <w:basedOn w:val="DefaultParagraphFont"/>
    <w:link w:val="Heading3"/>
    <w:uiPriority w:val="9"/>
    <w:rsid w:val="00E659E1"/>
    <w:rPr>
      <w:rFonts w:eastAsia="Times New Roman"/>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73003">
      <w:bodyDiv w:val="1"/>
      <w:marLeft w:val="0"/>
      <w:marRight w:val="0"/>
      <w:marTop w:val="0"/>
      <w:marBottom w:val="0"/>
      <w:divBdr>
        <w:top w:val="none" w:sz="0" w:space="0" w:color="auto"/>
        <w:left w:val="none" w:sz="0" w:space="0" w:color="auto"/>
        <w:bottom w:val="none" w:sz="0" w:space="0" w:color="auto"/>
        <w:right w:val="none" w:sz="0" w:space="0" w:color="auto"/>
      </w:divBdr>
    </w:div>
    <w:div w:id="245044519">
      <w:bodyDiv w:val="1"/>
      <w:marLeft w:val="0"/>
      <w:marRight w:val="0"/>
      <w:marTop w:val="0"/>
      <w:marBottom w:val="0"/>
      <w:divBdr>
        <w:top w:val="none" w:sz="0" w:space="0" w:color="auto"/>
        <w:left w:val="none" w:sz="0" w:space="0" w:color="auto"/>
        <w:bottom w:val="none" w:sz="0" w:space="0" w:color="auto"/>
        <w:right w:val="none" w:sz="0" w:space="0" w:color="auto"/>
      </w:divBdr>
    </w:div>
    <w:div w:id="809518183">
      <w:bodyDiv w:val="1"/>
      <w:marLeft w:val="0"/>
      <w:marRight w:val="0"/>
      <w:marTop w:val="0"/>
      <w:marBottom w:val="0"/>
      <w:divBdr>
        <w:top w:val="none" w:sz="0" w:space="0" w:color="auto"/>
        <w:left w:val="none" w:sz="0" w:space="0" w:color="auto"/>
        <w:bottom w:val="none" w:sz="0" w:space="0" w:color="auto"/>
        <w:right w:val="none" w:sz="0" w:space="0" w:color="auto"/>
      </w:divBdr>
    </w:div>
    <w:div w:id="880551329">
      <w:bodyDiv w:val="1"/>
      <w:marLeft w:val="0"/>
      <w:marRight w:val="0"/>
      <w:marTop w:val="0"/>
      <w:marBottom w:val="0"/>
      <w:divBdr>
        <w:top w:val="none" w:sz="0" w:space="0" w:color="auto"/>
        <w:left w:val="none" w:sz="0" w:space="0" w:color="auto"/>
        <w:bottom w:val="none" w:sz="0" w:space="0" w:color="auto"/>
        <w:right w:val="none" w:sz="0" w:space="0" w:color="auto"/>
      </w:divBdr>
    </w:div>
    <w:div w:id="901216421">
      <w:bodyDiv w:val="1"/>
      <w:marLeft w:val="0"/>
      <w:marRight w:val="0"/>
      <w:marTop w:val="0"/>
      <w:marBottom w:val="0"/>
      <w:divBdr>
        <w:top w:val="none" w:sz="0" w:space="0" w:color="auto"/>
        <w:left w:val="none" w:sz="0" w:space="0" w:color="auto"/>
        <w:bottom w:val="none" w:sz="0" w:space="0" w:color="auto"/>
        <w:right w:val="none" w:sz="0" w:space="0" w:color="auto"/>
      </w:divBdr>
    </w:div>
    <w:div w:id="946618010">
      <w:bodyDiv w:val="1"/>
      <w:marLeft w:val="0"/>
      <w:marRight w:val="0"/>
      <w:marTop w:val="0"/>
      <w:marBottom w:val="0"/>
      <w:divBdr>
        <w:top w:val="none" w:sz="0" w:space="0" w:color="auto"/>
        <w:left w:val="none" w:sz="0" w:space="0" w:color="auto"/>
        <w:bottom w:val="none" w:sz="0" w:space="0" w:color="auto"/>
        <w:right w:val="none" w:sz="0" w:space="0" w:color="auto"/>
      </w:divBdr>
    </w:div>
    <w:div w:id="993726450">
      <w:bodyDiv w:val="1"/>
      <w:marLeft w:val="0"/>
      <w:marRight w:val="0"/>
      <w:marTop w:val="0"/>
      <w:marBottom w:val="0"/>
      <w:divBdr>
        <w:top w:val="none" w:sz="0" w:space="0" w:color="auto"/>
        <w:left w:val="none" w:sz="0" w:space="0" w:color="auto"/>
        <w:bottom w:val="none" w:sz="0" w:space="0" w:color="auto"/>
        <w:right w:val="none" w:sz="0" w:space="0" w:color="auto"/>
      </w:divBdr>
    </w:div>
    <w:div w:id="1000741412">
      <w:bodyDiv w:val="1"/>
      <w:marLeft w:val="0"/>
      <w:marRight w:val="0"/>
      <w:marTop w:val="0"/>
      <w:marBottom w:val="0"/>
      <w:divBdr>
        <w:top w:val="none" w:sz="0" w:space="0" w:color="auto"/>
        <w:left w:val="none" w:sz="0" w:space="0" w:color="auto"/>
        <w:bottom w:val="none" w:sz="0" w:space="0" w:color="auto"/>
        <w:right w:val="none" w:sz="0" w:space="0" w:color="auto"/>
      </w:divBdr>
    </w:div>
    <w:div w:id="1255437595">
      <w:bodyDiv w:val="1"/>
      <w:marLeft w:val="0"/>
      <w:marRight w:val="0"/>
      <w:marTop w:val="0"/>
      <w:marBottom w:val="0"/>
      <w:divBdr>
        <w:top w:val="none" w:sz="0" w:space="0" w:color="auto"/>
        <w:left w:val="none" w:sz="0" w:space="0" w:color="auto"/>
        <w:bottom w:val="none" w:sz="0" w:space="0" w:color="auto"/>
        <w:right w:val="none" w:sz="0" w:space="0" w:color="auto"/>
      </w:divBdr>
    </w:div>
    <w:div w:id="1558585656">
      <w:bodyDiv w:val="1"/>
      <w:marLeft w:val="0"/>
      <w:marRight w:val="0"/>
      <w:marTop w:val="0"/>
      <w:marBottom w:val="0"/>
      <w:divBdr>
        <w:top w:val="none" w:sz="0" w:space="0" w:color="auto"/>
        <w:left w:val="none" w:sz="0" w:space="0" w:color="auto"/>
        <w:bottom w:val="none" w:sz="0" w:space="0" w:color="auto"/>
        <w:right w:val="none" w:sz="0" w:space="0" w:color="auto"/>
      </w:divBdr>
    </w:div>
    <w:div w:id="1679773213">
      <w:bodyDiv w:val="1"/>
      <w:marLeft w:val="0"/>
      <w:marRight w:val="0"/>
      <w:marTop w:val="0"/>
      <w:marBottom w:val="0"/>
      <w:divBdr>
        <w:top w:val="none" w:sz="0" w:space="0" w:color="auto"/>
        <w:left w:val="none" w:sz="0" w:space="0" w:color="auto"/>
        <w:bottom w:val="none" w:sz="0" w:space="0" w:color="auto"/>
        <w:right w:val="none" w:sz="0" w:space="0" w:color="auto"/>
      </w:divBdr>
    </w:div>
    <w:div w:id="1823545573">
      <w:bodyDiv w:val="1"/>
      <w:marLeft w:val="0"/>
      <w:marRight w:val="0"/>
      <w:marTop w:val="0"/>
      <w:marBottom w:val="0"/>
      <w:divBdr>
        <w:top w:val="none" w:sz="0" w:space="0" w:color="auto"/>
        <w:left w:val="none" w:sz="0" w:space="0" w:color="auto"/>
        <w:bottom w:val="none" w:sz="0" w:space="0" w:color="auto"/>
        <w:right w:val="none" w:sz="0" w:space="0" w:color="auto"/>
      </w:divBdr>
    </w:div>
    <w:div w:id="1832065052">
      <w:bodyDiv w:val="1"/>
      <w:marLeft w:val="0"/>
      <w:marRight w:val="0"/>
      <w:marTop w:val="0"/>
      <w:marBottom w:val="0"/>
      <w:divBdr>
        <w:top w:val="none" w:sz="0" w:space="0" w:color="auto"/>
        <w:left w:val="none" w:sz="0" w:space="0" w:color="auto"/>
        <w:bottom w:val="none" w:sz="0" w:space="0" w:color="auto"/>
        <w:right w:val="none" w:sz="0" w:space="0" w:color="auto"/>
      </w:divBdr>
    </w:div>
    <w:div w:id="1840192637">
      <w:bodyDiv w:val="1"/>
      <w:marLeft w:val="0"/>
      <w:marRight w:val="0"/>
      <w:marTop w:val="0"/>
      <w:marBottom w:val="0"/>
      <w:divBdr>
        <w:top w:val="none" w:sz="0" w:space="0" w:color="auto"/>
        <w:left w:val="none" w:sz="0" w:space="0" w:color="auto"/>
        <w:bottom w:val="none" w:sz="0" w:space="0" w:color="auto"/>
        <w:right w:val="none" w:sz="0" w:space="0" w:color="auto"/>
      </w:divBdr>
    </w:div>
    <w:div w:id="1852989640">
      <w:bodyDiv w:val="1"/>
      <w:marLeft w:val="0"/>
      <w:marRight w:val="0"/>
      <w:marTop w:val="0"/>
      <w:marBottom w:val="0"/>
      <w:divBdr>
        <w:top w:val="none" w:sz="0" w:space="0" w:color="auto"/>
        <w:left w:val="none" w:sz="0" w:space="0" w:color="auto"/>
        <w:bottom w:val="none" w:sz="0" w:space="0" w:color="auto"/>
        <w:right w:val="none" w:sz="0" w:space="0" w:color="auto"/>
      </w:divBdr>
    </w:div>
    <w:div w:id="20661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18890-E8F0-4885-9EC2-EF9CC83B1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2641</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Rebecca D</dc:creator>
  <cp:keywords/>
  <dc:description/>
  <cp:lastModifiedBy>Williams, Aubrie</cp:lastModifiedBy>
  <cp:revision>8</cp:revision>
  <cp:lastPrinted>2024-02-21T15:44:00Z</cp:lastPrinted>
  <dcterms:created xsi:type="dcterms:W3CDTF">2025-05-01T21:33:00Z</dcterms:created>
  <dcterms:modified xsi:type="dcterms:W3CDTF">2025-05-23T14:17:00Z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a2adc81a705e0c021f01152de730247318374fbcd8feb4ac4d42a7421ef9ede7</vt:lpwstr>
  </property>
</Properties>
</file>