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2187F" w14:textId="77777777" w:rsidR="00490A21" w:rsidRPr="00490A21" w:rsidRDefault="00490A21" w:rsidP="00490A2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490A21">
        <w:rPr>
          <w:rFonts w:ascii="Times New Roman" w:eastAsia="Times New Roman" w:hAnsi="Times New Roman" w:cs="Times New Roman"/>
          <w:color w:val="FF0000"/>
          <w:kern w:val="0"/>
          <w:sz w:val="26"/>
          <w:szCs w:val="26"/>
          <w14:ligatures w14:val="none"/>
        </w:rPr>
        <w:t>Approved by the Board of Trustees</w:t>
      </w:r>
    </w:p>
    <w:bookmarkEnd w:id="0"/>
    <w:bookmarkEnd w:id="1"/>
    <w:p w14:paraId="2A926BD2" w14:textId="77777777" w:rsidR="00490A21" w:rsidRPr="00490A21" w:rsidRDefault="00490A21" w:rsidP="00490A2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490A21">
        <w:rPr>
          <w:rFonts w:ascii="Times New Roman" w:eastAsia="Times New Roman" w:hAnsi="Times New Roman" w:cs="Times New Roman"/>
          <w:color w:val="FF0000"/>
          <w:kern w:val="0"/>
          <w:sz w:val="26"/>
          <w:szCs w:val="26"/>
          <w14:ligatures w14:val="none"/>
        </w:rPr>
        <w:t>November 14, 2024</w:t>
      </w:r>
    </w:p>
    <w:p w14:paraId="1547EC23" w14:textId="110F8CC0" w:rsidR="00AB6BB2" w:rsidRPr="00AB6BB2" w:rsidRDefault="007E59B2" w:rsidP="00AB6BB2">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w:t>
      </w:r>
      <w:r w:rsidR="003B1FD0">
        <w:rPr>
          <w:rFonts w:ascii="Times New Roman" w:hAnsi="Times New Roman" w:cs="Times New Roman"/>
          <w:b/>
          <w:bCs/>
          <w:sz w:val="60"/>
          <w:szCs w:val="60"/>
        </w:rPr>
        <w:t>8</w:t>
      </w:r>
    </w:p>
    <w:p w14:paraId="033AB084" w14:textId="77777777" w:rsidR="00AB6BB2" w:rsidRPr="00AB6BB2" w:rsidRDefault="00AB6BB2" w:rsidP="00AB6BB2">
      <w:pPr>
        <w:spacing w:after="0" w:line="240" w:lineRule="auto"/>
        <w:rPr>
          <w:rFonts w:ascii="Times New Roman" w:hAnsi="Times New Roman" w:cs="Times New Roman"/>
          <w:sz w:val="26"/>
          <w:szCs w:val="26"/>
        </w:rPr>
      </w:pPr>
    </w:p>
    <w:p w14:paraId="7D927B76" w14:textId="77777777" w:rsidR="00AB6BB2" w:rsidRPr="00AB6BB2" w:rsidRDefault="00AB6BB2" w:rsidP="00AB6BB2">
      <w:pPr>
        <w:spacing w:after="0" w:line="240" w:lineRule="auto"/>
        <w:rPr>
          <w:rFonts w:ascii="Times New Roman" w:hAnsi="Times New Roman" w:cs="Times New Roman"/>
          <w:sz w:val="26"/>
          <w:szCs w:val="26"/>
        </w:rPr>
      </w:pPr>
    </w:p>
    <w:p w14:paraId="779750F5" w14:textId="3344ECA0" w:rsidR="00AB6BB2" w:rsidRPr="00AB6BB2" w:rsidRDefault="0048679E" w:rsidP="00756E81">
      <w:pPr>
        <w:pStyle w:val="bdheading2"/>
        <w:tabs>
          <w:tab w:val="clear" w:pos="7200"/>
          <w:tab w:val="right" w:pos="9360"/>
        </w:tabs>
        <w:ind w:left="7200"/>
        <w:jc w:val="both"/>
        <w:rPr>
          <w:szCs w:val="26"/>
        </w:rPr>
      </w:pPr>
      <w:r>
        <w:rPr>
          <w:szCs w:val="26"/>
        </w:rPr>
        <w:t xml:space="preserve">Board </w:t>
      </w:r>
      <w:r w:rsidR="003D64E5">
        <w:rPr>
          <w:szCs w:val="26"/>
        </w:rPr>
        <w:t>Meeting</w:t>
      </w:r>
    </w:p>
    <w:p w14:paraId="0309B7ED" w14:textId="76367B22" w:rsidR="00AB6BB2" w:rsidRDefault="0048679E" w:rsidP="00756E81">
      <w:pPr>
        <w:pStyle w:val="bdheading2"/>
        <w:tabs>
          <w:tab w:val="clear" w:pos="7200"/>
          <w:tab w:val="right" w:pos="9360"/>
        </w:tabs>
        <w:ind w:left="7200"/>
        <w:jc w:val="both"/>
        <w:rPr>
          <w:szCs w:val="26"/>
        </w:rPr>
      </w:pPr>
      <w:r>
        <w:rPr>
          <w:szCs w:val="26"/>
        </w:rPr>
        <w:t>November 14</w:t>
      </w:r>
      <w:r w:rsidR="003D64E5">
        <w:rPr>
          <w:szCs w:val="26"/>
        </w:rPr>
        <w:t>, 2024</w:t>
      </w:r>
    </w:p>
    <w:p w14:paraId="3BC6446A" w14:textId="77777777" w:rsidR="00756E81" w:rsidRDefault="00756E81" w:rsidP="00097FFC">
      <w:pPr>
        <w:spacing w:after="0" w:line="240" w:lineRule="auto"/>
        <w:jc w:val="center"/>
        <w:rPr>
          <w:rFonts w:ascii="Times New Roman" w:hAnsi="Times New Roman" w:cs="Times New Roman"/>
          <w:caps/>
          <w:sz w:val="26"/>
          <w:szCs w:val="26"/>
        </w:rPr>
      </w:pPr>
    </w:p>
    <w:p w14:paraId="6AC6F333" w14:textId="77777777" w:rsidR="00756E81" w:rsidRDefault="00756E81" w:rsidP="00097FFC">
      <w:pPr>
        <w:spacing w:after="0" w:line="240" w:lineRule="auto"/>
        <w:jc w:val="center"/>
        <w:rPr>
          <w:rFonts w:ascii="Times New Roman" w:hAnsi="Times New Roman" w:cs="Times New Roman"/>
          <w:caps/>
          <w:sz w:val="26"/>
          <w:szCs w:val="26"/>
        </w:rPr>
      </w:pPr>
    </w:p>
    <w:p w14:paraId="175E879C" w14:textId="77777777" w:rsidR="00D06DDD" w:rsidRPr="00D06DDD" w:rsidRDefault="00D06DDD" w:rsidP="00D06DDD">
      <w:pPr>
        <w:spacing w:after="0" w:line="240" w:lineRule="auto"/>
        <w:jc w:val="center"/>
        <w:rPr>
          <w:rFonts w:ascii="Times New Roman" w:hAnsi="Times New Roman" w:cs="Times New Roman"/>
          <w:caps/>
          <w:sz w:val="26"/>
          <w:szCs w:val="26"/>
        </w:rPr>
      </w:pPr>
      <w:r w:rsidRPr="00D06DDD">
        <w:rPr>
          <w:rFonts w:ascii="Times New Roman" w:hAnsi="Times New Roman" w:cs="Times New Roman"/>
          <w:caps/>
          <w:sz w:val="26"/>
          <w:szCs w:val="26"/>
        </w:rPr>
        <w:t>REVISE DOLLAR LIMITS ON PURCHASES, LEASES, BUDGET APPROVAL, CONTRACT APPROVAL, AND OTHER ACTIONS REQUIRING SPECIFIC BOARD OF TRUSTEES AUTHORIZATION</w:t>
      </w:r>
    </w:p>
    <w:p w14:paraId="4A4ECFF6" w14:textId="77777777" w:rsidR="00AB6BB2" w:rsidRDefault="00AB6BB2" w:rsidP="00AB6BB2">
      <w:pPr>
        <w:spacing w:after="0" w:line="240" w:lineRule="auto"/>
        <w:rPr>
          <w:rFonts w:ascii="Times New Roman" w:hAnsi="Times New Roman" w:cs="Times New Roman"/>
          <w:sz w:val="26"/>
          <w:szCs w:val="26"/>
        </w:rPr>
      </w:pPr>
    </w:p>
    <w:p w14:paraId="068257EC" w14:textId="77777777" w:rsidR="00756E81" w:rsidRPr="00AB6BB2" w:rsidRDefault="00756E81" w:rsidP="00AB6BB2">
      <w:pPr>
        <w:spacing w:after="0" w:line="240" w:lineRule="auto"/>
        <w:rPr>
          <w:rFonts w:ascii="Times New Roman" w:hAnsi="Times New Roman" w:cs="Times New Roman"/>
          <w:sz w:val="26"/>
          <w:szCs w:val="26"/>
        </w:rPr>
      </w:pPr>
    </w:p>
    <w:p w14:paraId="4C8CF512" w14:textId="63B6B1AD" w:rsidR="00AB6BB2" w:rsidRPr="00AB6BB2" w:rsidRDefault="00AB6BB2" w:rsidP="00AB6BB2">
      <w:pPr>
        <w:spacing w:after="0" w:line="240" w:lineRule="auto"/>
        <w:ind w:left="1440" w:hanging="1440"/>
        <w:rPr>
          <w:rFonts w:ascii="Times New Roman" w:hAnsi="Times New Roman" w:cs="Times New Roman"/>
          <w:sz w:val="26"/>
          <w:szCs w:val="26"/>
        </w:rPr>
      </w:pPr>
      <w:r w:rsidRPr="00AB6BB2">
        <w:rPr>
          <w:rFonts w:ascii="Times New Roman" w:hAnsi="Times New Roman" w:cs="Times New Roman"/>
          <w:b/>
          <w:bCs/>
          <w:sz w:val="26"/>
          <w:szCs w:val="26"/>
        </w:rPr>
        <w:t>Action:</w:t>
      </w:r>
      <w:r w:rsidRPr="00AB6BB2">
        <w:rPr>
          <w:rFonts w:ascii="Times New Roman" w:hAnsi="Times New Roman" w:cs="Times New Roman"/>
          <w:b/>
          <w:bCs/>
          <w:sz w:val="26"/>
          <w:szCs w:val="26"/>
        </w:rPr>
        <w:tab/>
      </w:r>
      <w:r w:rsidR="00D06DDD" w:rsidRPr="00D06DDD">
        <w:rPr>
          <w:rFonts w:ascii="Times New Roman" w:hAnsi="Times New Roman" w:cs="Times New Roman"/>
          <w:sz w:val="26"/>
          <w:szCs w:val="26"/>
        </w:rPr>
        <w:t>Revise Dollar Limits on Purchases, Leases, Budget Approval, Contract Approval, and Other Actions Requiring Specific Board of Trustees Authorization</w:t>
      </w:r>
    </w:p>
    <w:p w14:paraId="56A2922C" w14:textId="7F59F7D8" w:rsidR="00AB6BB2" w:rsidRPr="00AB6BB2" w:rsidRDefault="00AB6BB2" w:rsidP="00942FDC">
      <w:pPr>
        <w:pStyle w:val="bdstyle1"/>
        <w:tabs>
          <w:tab w:val="clear" w:pos="720"/>
          <w:tab w:val="clear" w:pos="1440"/>
          <w:tab w:val="center" w:pos="4680"/>
        </w:tabs>
        <w:rPr>
          <w:szCs w:val="26"/>
        </w:rPr>
      </w:pPr>
    </w:p>
    <w:p w14:paraId="35CE8BA2" w14:textId="66ECBCC5" w:rsidR="00AB6BB2" w:rsidRPr="00AB6BB2" w:rsidRDefault="00AB6BB2" w:rsidP="00AB6BB2">
      <w:pPr>
        <w:pStyle w:val="bdstyle1"/>
        <w:rPr>
          <w:szCs w:val="26"/>
        </w:rPr>
      </w:pPr>
      <w:r w:rsidRPr="00AB6BB2">
        <w:rPr>
          <w:b/>
          <w:bCs/>
          <w:szCs w:val="26"/>
        </w:rPr>
        <w:t>Funding:</w:t>
      </w:r>
      <w:r w:rsidRPr="00AB6BB2">
        <w:rPr>
          <w:szCs w:val="26"/>
        </w:rPr>
        <w:tab/>
      </w:r>
      <w:r w:rsidR="00D06DDD">
        <w:rPr>
          <w:szCs w:val="26"/>
        </w:rPr>
        <w:t>No New Funding Required</w:t>
      </w:r>
    </w:p>
    <w:p w14:paraId="6BD4D378" w14:textId="77777777" w:rsidR="00AB6BB2" w:rsidRDefault="00AB6BB2" w:rsidP="00AB6BB2">
      <w:pPr>
        <w:spacing w:after="0" w:line="240" w:lineRule="auto"/>
        <w:rPr>
          <w:rFonts w:ascii="Times New Roman" w:hAnsi="Times New Roman" w:cs="Times New Roman"/>
          <w:sz w:val="26"/>
          <w:szCs w:val="26"/>
          <w:u w:val="single"/>
        </w:rPr>
      </w:pPr>
    </w:p>
    <w:p w14:paraId="5F79D014" w14:textId="77777777" w:rsidR="00756E81" w:rsidRPr="00AB6BB2" w:rsidRDefault="00756E81" w:rsidP="00AB6BB2">
      <w:pPr>
        <w:spacing w:after="0" w:line="240" w:lineRule="auto"/>
        <w:rPr>
          <w:rFonts w:ascii="Times New Roman" w:hAnsi="Times New Roman" w:cs="Times New Roman"/>
          <w:sz w:val="26"/>
          <w:szCs w:val="26"/>
          <w:u w:val="single"/>
        </w:rPr>
      </w:pPr>
    </w:p>
    <w:p w14:paraId="101DA36E" w14:textId="7E5D4F9D" w:rsidR="001B6E01" w:rsidRDefault="001B6E01" w:rsidP="001B6E01">
      <w:pPr>
        <w:autoSpaceDE w:val="0"/>
        <w:autoSpaceDN w:val="0"/>
        <w:adjustRightInd w:val="0"/>
        <w:spacing w:after="0" w:line="480" w:lineRule="auto"/>
        <w:ind w:firstLine="1440"/>
        <w:rPr>
          <w:rFonts w:ascii="Times New Roman" w:hAnsi="Times New Roman" w:cs="Times New Roman"/>
          <w:kern w:val="0"/>
          <w:sz w:val="26"/>
          <w:szCs w:val="26"/>
        </w:rPr>
      </w:pPr>
      <w:r>
        <w:rPr>
          <w:rFonts w:ascii="Times New Roman" w:hAnsi="Times New Roman" w:cs="Times New Roman"/>
          <w:kern w:val="0"/>
          <w:sz w:val="26"/>
          <w:szCs w:val="26"/>
        </w:rPr>
        <w:t>On July 19, 2024, the Board of Trustees Executive Committee established a University-Related Organization (URO), the Illinois Quantum and Microelectronics Park, LLC (IQMP, LLC), to operate and manage the Quantum Science Facilities and made certain delegations of authority to the president of the University of Illinois System related to the formation of the URO. Pursuant to the Board of Trustees Executive Committee’s approval on July 19, 2024, the president of the University of Illinois System and delegates have taken actions to further establish and form the URO and establish a limited liability corporation (LLC). On August 15, 2024, the Board of Trustees Executive Committee delegated to the president and appropriate University officers the authority to execute the Operating Agr</w:t>
      </w:r>
      <w:r w:rsidRPr="00D21E45">
        <w:rPr>
          <w:rFonts w:ascii="Times New Roman" w:hAnsi="Times New Roman" w:cs="Times New Roman"/>
          <w:kern w:val="0"/>
          <w:sz w:val="26"/>
          <w:szCs w:val="26"/>
        </w:rPr>
        <w:t xml:space="preserve">eement and Services and Management Agreement. The IQMP, </w:t>
      </w:r>
      <w:r w:rsidRPr="00D21E45">
        <w:rPr>
          <w:rFonts w:ascii="Times New Roman" w:hAnsi="Times New Roman" w:cs="Times New Roman"/>
          <w:kern w:val="0"/>
          <w:sz w:val="26"/>
          <w:szCs w:val="26"/>
        </w:rPr>
        <w:lastRenderedPageBreak/>
        <w:t>LLC Board of Managers approved these</w:t>
      </w:r>
      <w:r w:rsidR="00FF63C7" w:rsidRPr="00D21E45">
        <w:rPr>
          <w:rFonts w:ascii="Times New Roman" w:hAnsi="Times New Roman" w:cs="Times New Roman"/>
          <w:kern w:val="0"/>
          <w:sz w:val="26"/>
          <w:szCs w:val="26"/>
        </w:rPr>
        <w:t xml:space="preserve"> agreements</w:t>
      </w:r>
      <w:r w:rsidRPr="00D21E45">
        <w:rPr>
          <w:rFonts w:ascii="Times New Roman" w:hAnsi="Times New Roman" w:cs="Times New Roman"/>
          <w:kern w:val="0"/>
          <w:sz w:val="26"/>
          <w:szCs w:val="26"/>
        </w:rPr>
        <w:t xml:space="preserve"> on October 24, 2024, and the documents were executed by all parties on November </w:t>
      </w:r>
      <w:r w:rsidR="00D21E45" w:rsidRPr="00D21E45">
        <w:rPr>
          <w:rFonts w:ascii="Times New Roman" w:hAnsi="Times New Roman" w:cs="Times New Roman"/>
          <w:kern w:val="0"/>
          <w:sz w:val="26"/>
          <w:szCs w:val="26"/>
        </w:rPr>
        <w:t>13</w:t>
      </w:r>
      <w:r w:rsidRPr="00D21E45">
        <w:rPr>
          <w:rFonts w:ascii="Times New Roman" w:hAnsi="Times New Roman" w:cs="Times New Roman"/>
          <w:kern w:val="0"/>
          <w:sz w:val="26"/>
          <w:szCs w:val="26"/>
        </w:rPr>
        <w:t>, 2024.</w:t>
      </w:r>
    </w:p>
    <w:p w14:paraId="5C136696" w14:textId="5622968C" w:rsidR="001B6E01" w:rsidRDefault="001B6E01" w:rsidP="001B6E01">
      <w:pPr>
        <w:autoSpaceDE w:val="0"/>
        <w:autoSpaceDN w:val="0"/>
        <w:adjustRightInd w:val="0"/>
        <w:spacing w:after="0" w:line="480" w:lineRule="auto"/>
        <w:rPr>
          <w:rFonts w:ascii="Times New Roman" w:hAnsi="Times New Roman" w:cs="Times New Roman"/>
          <w:kern w:val="0"/>
          <w:sz w:val="26"/>
          <w:szCs w:val="26"/>
        </w:rPr>
      </w:pPr>
      <w:r>
        <w:rPr>
          <w:rFonts w:ascii="Times New Roman" w:hAnsi="Times New Roman" w:cs="Times New Roman"/>
          <w:kern w:val="0"/>
          <w:sz w:val="26"/>
          <w:szCs w:val="26"/>
        </w:rPr>
        <w:tab/>
      </w:r>
      <w:r>
        <w:rPr>
          <w:rFonts w:ascii="Times New Roman" w:hAnsi="Times New Roman" w:cs="Times New Roman"/>
          <w:kern w:val="0"/>
          <w:sz w:val="26"/>
          <w:szCs w:val="26"/>
        </w:rPr>
        <w:tab/>
        <w:t xml:space="preserve">The Operating Agreement states that IQMP, LLC shall establish a Signature Authority Policy, which delineates who may approve of and bind IQMP, LLC to certain agreements, contracts, and leases. IQMP, LLC anticipates it will need to make large purchases in support of the Quantum Science Facilities, primarily utilizing funds granted by the State of Illinois. IQMP, LLC leadership expects many of these purchases will be in excess of $1,000,000. Therefore, the Signature Authority Policy requires purchases of $3,000,000 or more to be approved by the Board of Trustees as </w:t>
      </w:r>
      <w:r w:rsidR="004E1414">
        <w:rPr>
          <w:rFonts w:ascii="Times New Roman" w:hAnsi="Times New Roman" w:cs="Times New Roman"/>
          <w:kern w:val="0"/>
          <w:sz w:val="26"/>
          <w:szCs w:val="26"/>
        </w:rPr>
        <w:t xml:space="preserve">the </w:t>
      </w:r>
      <w:r>
        <w:rPr>
          <w:rFonts w:ascii="Times New Roman" w:hAnsi="Times New Roman" w:cs="Times New Roman"/>
          <w:kern w:val="0"/>
          <w:sz w:val="26"/>
          <w:szCs w:val="26"/>
        </w:rPr>
        <w:t>Sole Member. The IQMP, LLC Board of Managers approved the Signature Authority Policy at its October 24, 2024, meeting. Approval of the IQMP, LLC Signature Authority Policy is anticipated to be contemporaneous with the approval of the recommendation below.</w:t>
      </w:r>
    </w:p>
    <w:p w14:paraId="7AF38886" w14:textId="77777777" w:rsidR="007F4DFC" w:rsidRPr="007F4DFC" w:rsidRDefault="007F4DFC" w:rsidP="007F4DFC">
      <w:pPr>
        <w:widowControl w:val="0"/>
        <w:autoSpaceDE w:val="0"/>
        <w:autoSpaceDN w:val="0"/>
        <w:spacing w:before="1" w:after="0" w:line="480" w:lineRule="auto"/>
        <w:ind w:firstLine="1440"/>
        <w:rPr>
          <w:rFonts w:ascii="Times New Roman" w:eastAsia="Times New Roman" w:hAnsi="Times New Roman" w:cs="Times New Roman"/>
          <w:kern w:val="0"/>
          <w:sz w:val="26"/>
          <w14:ligatures w14:val="none"/>
        </w:rPr>
      </w:pPr>
      <w:r w:rsidRPr="007F4DFC">
        <w:rPr>
          <w:rFonts w:ascii="Times New Roman" w:eastAsia="Times New Roman" w:hAnsi="Times New Roman" w:cs="Times New Roman"/>
          <w:i/>
          <w:color w:val="231F20"/>
          <w:kern w:val="0"/>
          <w:sz w:val="26"/>
          <w14:ligatures w14:val="none"/>
        </w:rPr>
        <w:t>The</w:t>
      </w:r>
      <w:r w:rsidRPr="007F4DFC">
        <w:rPr>
          <w:rFonts w:ascii="Times New Roman" w:eastAsia="Times New Roman" w:hAnsi="Times New Roman" w:cs="Times New Roman"/>
          <w:i/>
          <w:color w:val="231F20"/>
          <w:spacing w:val="-5"/>
          <w:kern w:val="0"/>
          <w:sz w:val="26"/>
          <w14:ligatures w14:val="none"/>
        </w:rPr>
        <w:t xml:space="preserve"> </w:t>
      </w:r>
      <w:r w:rsidRPr="007F4DFC">
        <w:rPr>
          <w:rFonts w:ascii="Times New Roman" w:eastAsia="Times New Roman" w:hAnsi="Times New Roman" w:cs="Times New Roman"/>
          <w:i/>
          <w:color w:val="231F20"/>
          <w:kern w:val="0"/>
          <w:sz w:val="26"/>
          <w14:ligatures w14:val="none"/>
        </w:rPr>
        <w:t>General</w:t>
      </w:r>
      <w:r w:rsidRPr="007F4DFC">
        <w:rPr>
          <w:rFonts w:ascii="Times New Roman" w:eastAsia="Times New Roman" w:hAnsi="Times New Roman" w:cs="Times New Roman"/>
          <w:i/>
          <w:color w:val="231F20"/>
          <w:spacing w:val="-5"/>
          <w:kern w:val="0"/>
          <w:sz w:val="26"/>
          <w14:ligatures w14:val="none"/>
        </w:rPr>
        <w:t xml:space="preserve"> </w:t>
      </w:r>
      <w:r w:rsidRPr="007F4DFC">
        <w:rPr>
          <w:rFonts w:ascii="Times New Roman" w:eastAsia="Times New Roman" w:hAnsi="Times New Roman" w:cs="Times New Roman"/>
          <w:i/>
          <w:color w:val="231F20"/>
          <w:kern w:val="0"/>
          <w:sz w:val="26"/>
          <w14:ligatures w14:val="none"/>
        </w:rPr>
        <w:t>Rules</w:t>
      </w:r>
      <w:r w:rsidRPr="007F4DFC">
        <w:rPr>
          <w:rFonts w:ascii="Times New Roman" w:eastAsia="Times New Roman" w:hAnsi="Times New Roman" w:cs="Times New Roman"/>
          <w:i/>
          <w:color w:val="231F20"/>
          <w:spacing w:val="-5"/>
          <w:kern w:val="0"/>
          <w:sz w:val="26"/>
          <w14:ligatures w14:val="none"/>
        </w:rPr>
        <w:t xml:space="preserve"> </w:t>
      </w:r>
      <w:r w:rsidRPr="007F4DFC">
        <w:rPr>
          <w:rFonts w:ascii="Times New Roman" w:eastAsia="Times New Roman" w:hAnsi="Times New Roman" w:cs="Times New Roman"/>
          <w:i/>
          <w:color w:val="231F20"/>
          <w:kern w:val="0"/>
          <w:sz w:val="26"/>
          <w14:ligatures w14:val="none"/>
        </w:rPr>
        <w:t>Concerning</w:t>
      </w:r>
      <w:r w:rsidRPr="007F4DFC">
        <w:rPr>
          <w:rFonts w:ascii="Times New Roman" w:eastAsia="Times New Roman" w:hAnsi="Times New Roman" w:cs="Times New Roman"/>
          <w:i/>
          <w:color w:val="231F20"/>
          <w:spacing w:val="-5"/>
          <w:kern w:val="0"/>
          <w:sz w:val="26"/>
          <w14:ligatures w14:val="none"/>
        </w:rPr>
        <w:t xml:space="preserve"> </w:t>
      </w:r>
      <w:r w:rsidRPr="007F4DFC">
        <w:rPr>
          <w:rFonts w:ascii="Times New Roman" w:eastAsia="Times New Roman" w:hAnsi="Times New Roman" w:cs="Times New Roman"/>
          <w:i/>
          <w:color w:val="231F20"/>
          <w:kern w:val="0"/>
          <w:sz w:val="26"/>
          <w14:ligatures w14:val="none"/>
        </w:rPr>
        <w:t>University</w:t>
      </w:r>
      <w:r w:rsidRPr="007F4DFC">
        <w:rPr>
          <w:rFonts w:ascii="Times New Roman" w:eastAsia="Times New Roman" w:hAnsi="Times New Roman" w:cs="Times New Roman"/>
          <w:i/>
          <w:color w:val="231F20"/>
          <w:spacing w:val="-5"/>
          <w:kern w:val="0"/>
          <w:sz w:val="26"/>
          <w14:ligatures w14:val="none"/>
        </w:rPr>
        <w:t xml:space="preserve"> </w:t>
      </w:r>
      <w:r w:rsidRPr="007F4DFC">
        <w:rPr>
          <w:rFonts w:ascii="Times New Roman" w:eastAsia="Times New Roman" w:hAnsi="Times New Roman" w:cs="Times New Roman"/>
          <w:i/>
          <w:color w:val="231F20"/>
          <w:kern w:val="0"/>
          <w:sz w:val="26"/>
          <w14:ligatures w14:val="none"/>
        </w:rPr>
        <w:t>Organization</w:t>
      </w:r>
      <w:r w:rsidRPr="007F4DFC">
        <w:rPr>
          <w:rFonts w:ascii="Times New Roman" w:eastAsia="Times New Roman" w:hAnsi="Times New Roman" w:cs="Times New Roman"/>
          <w:i/>
          <w:color w:val="231F20"/>
          <w:spacing w:val="-5"/>
          <w:kern w:val="0"/>
          <w:sz w:val="26"/>
          <w14:ligatures w14:val="none"/>
        </w:rPr>
        <w:t xml:space="preserve"> </w:t>
      </w:r>
      <w:r w:rsidRPr="007F4DFC">
        <w:rPr>
          <w:rFonts w:ascii="Times New Roman" w:eastAsia="Times New Roman" w:hAnsi="Times New Roman" w:cs="Times New Roman"/>
          <w:i/>
          <w:color w:val="231F20"/>
          <w:kern w:val="0"/>
          <w:sz w:val="26"/>
          <w14:ligatures w14:val="none"/>
        </w:rPr>
        <w:t>and</w:t>
      </w:r>
      <w:r w:rsidRPr="007F4DFC">
        <w:rPr>
          <w:rFonts w:ascii="Times New Roman" w:eastAsia="Times New Roman" w:hAnsi="Times New Roman" w:cs="Times New Roman"/>
          <w:i/>
          <w:color w:val="231F20"/>
          <w:spacing w:val="-5"/>
          <w:kern w:val="0"/>
          <w:sz w:val="26"/>
          <w14:ligatures w14:val="none"/>
        </w:rPr>
        <w:t xml:space="preserve"> </w:t>
      </w:r>
      <w:r w:rsidRPr="007F4DFC">
        <w:rPr>
          <w:rFonts w:ascii="Times New Roman" w:eastAsia="Times New Roman" w:hAnsi="Times New Roman" w:cs="Times New Roman"/>
          <w:i/>
          <w:color w:val="231F20"/>
          <w:kern w:val="0"/>
          <w:sz w:val="26"/>
          <w14:ligatures w14:val="none"/>
        </w:rPr>
        <w:t>Procedure</w:t>
      </w:r>
      <w:r w:rsidRPr="007F4DFC">
        <w:rPr>
          <w:rFonts w:ascii="Times New Roman" w:eastAsia="Times New Roman" w:hAnsi="Times New Roman" w:cs="Times New Roman"/>
          <w:color w:val="231F20"/>
          <w:kern w:val="0"/>
          <w:sz w:val="26"/>
          <w14:ligatures w14:val="none"/>
        </w:rPr>
        <w:t>, Article II (Business Organization and Policies), Section 4 (Award and Execution of System Contracts), subsection (e), provides that:</w:t>
      </w:r>
    </w:p>
    <w:p w14:paraId="6BC98652" w14:textId="77777777" w:rsidR="007F4DFC" w:rsidRPr="007F4DFC" w:rsidRDefault="007F4DFC" w:rsidP="00FF63C7">
      <w:pPr>
        <w:widowControl w:val="0"/>
        <w:tabs>
          <w:tab w:val="left" w:pos="7740"/>
        </w:tabs>
        <w:autoSpaceDE w:val="0"/>
        <w:autoSpaceDN w:val="0"/>
        <w:spacing w:after="0" w:line="240" w:lineRule="auto"/>
        <w:ind w:left="1440" w:right="1613"/>
        <w:rPr>
          <w:rFonts w:ascii="Times New Roman" w:eastAsia="Times New Roman" w:hAnsi="Times New Roman" w:cs="Times New Roman"/>
          <w:color w:val="231F20"/>
          <w:kern w:val="0"/>
          <w:sz w:val="26"/>
          <w:szCs w:val="26"/>
          <w14:ligatures w14:val="none"/>
        </w:rPr>
      </w:pPr>
      <w:r w:rsidRPr="007F4DFC">
        <w:rPr>
          <w:rFonts w:ascii="Times New Roman" w:eastAsia="Times New Roman" w:hAnsi="Times New Roman" w:cs="Times New Roman"/>
          <w:color w:val="231F20"/>
          <w:kern w:val="0"/>
          <w:sz w:val="26"/>
          <w:szCs w:val="26"/>
          <w14:ligatures w14:val="none"/>
        </w:rPr>
        <w:t>The Board of Trustees shall specifically authorize procurement contracts (excluding change orders) and leases involving payments</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by</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the</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system</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in</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one</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fiscal</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year</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in</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excess</w:t>
      </w:r>
      <w:r w:rsidRPr="007F4DFC">
        <w:rPr>
          <w:rFonts w:ascii="Times New Roman" w:eastAsia="Times New Roman" w:hAnsi="Times New Roman" w:cs="Times New Roman"/>
          <w:color w:val="231F20"/>
          <w:spacing w:val="-4"/>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of such</w:t>
      </w:r>
      <w:r w:rsidRPr="007F4DFC">
        <w:rPr>
          <w:rFonts w:ascii="Times New Roman" w:eastAsia="Times New Roman" w:hAnsi="Times New Roman" w:cs="Times New Roman"/>
          <w:color w:val="231F20"/>
          <w:spacing w:val="-5"/>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dollar</w:t>
      </w:r>
      <w:r w:rsidRPr="007F4DFC">
        <w:rPr>
          <w:rFonts w:ascii="Times New Roman" w:eastAsia="Times New Roman" w:hAnsi="Times New Roman" w:cs="Times New Roman"/>
          <w:color w:val="231F20"/>
          <w:spacing w:val="-5"/>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amounts</w:t>
      </w:r>
      <w:r w:rsidRPr="007F4DFC">
        <w:rPr>
          <w:rFonts w:ascii="Times New Roman" w:eastAsia="Times New Roman" w:hAnsi="Times New Roman" w:cs="Times New Roman"/>
          <w:color w:val="231F20"/>
          <w:spacing w:val="-5"/>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as</w:t>
      </w:r>
      <w:r w:rsidRPr="007F4DFC">
        <w:rPr>
          <w:rFonts w:ascii="Times New Roman" w:eastAsia="Times New Roman" w:hAnsi="Times New Roman" w:cs="Times New Roman"/>
          <w:color w:val="231F20"/>
          <w:spacing w:val="-5"/>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the</w:t>
      </w:r>
      <w:r w:rsidRPr="007F4DFC">
        <w:rPr>
          <w:rFonts w:ascii="Times New Roman" w:eastAsia="Times New Roman" w:hAnsi="Times New Roman" w:cs="Times New Roman"/>
          <w:color w:val="231F20"/>
          <w:spacing w:val="-5"/>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Board</w:t>
      </w:r>
      <w:r w:rsidRPr="007F4DFC">
        <w:rPr>
          <w:rFonts w:ascii="Times New Roman" w:eastAsia="Times New Roman" w:hAnsi="Times New Roman" w:cs="Times New Roman"/>
          <w:color w:val="231F20"/>
          <w:spacing w:val="-5"/>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of</w:t>
      </w:r>
      <w:r w:rsidRPr="007F4DFC">
        <w:rPr>
          <w:rFonts w:ascii="Times New Roman" w:eastAsia="Times New Roman" w:hAnsi="Times New Roman" w:cs="Times New Roman"/>
          <w:color w:val="231F20"/>
          <w:spacing w:val="-5"/>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Trustees</w:t>
      </w:r>
      <w:r w:rsidRPr="007F4DFC">
        <w:rPr>
          <w:rFonts w:ascii="Times New Roman" w:eastAsia="Times New Roman" w:hAnsi="Times New Roman" w:cs="Times New Roman"/>
          <w:color w:val="231F20"/>
          <w:spacing w:val="-5"/>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may</w:t>
      </w:r>
      <w:r w:rsidRPr="007F4DFC">
        <w:rPr>
          <w:rFonts w:ascii="Times New Roman" w:eastAsia="Times New Roman" w:hAnsi="Times New Roman" w:cs="Times New Roman"/>
          <w:color w:val="231F20"/>
          <w:spacing w:val="-5"/>
          <w:kern w:val="0"/>
          <w:sz w:val="26"/>
          <w:szCs w:val="26"/>
          <w14:ligatures w14:val="none"/>
        </w:rPr>
        <w:t xml:space="preserve"> </w:t>
      </w:r>
      <w:r w:rsidRPr="007F4DFC">
        <w:rPr>
          <w:rFonts w:ascii="Times New Roman" w:eastAsia="Times New Roman" w:hAnsi="Times New Roman" w:cs="Times New Roman"/>
          <w:color w:val="231F20"/>
          <w:kern w:val="0"/>
          <w:sz w:val="26"/>
          <w:szCs w:val="26"/>
          <w14:ligatures w14:val="none"/>
        </w:rPr>
        <w:t>specify from time to time (the Board limit)…</w:t>
      </w:r>
    </w:p>
    <w:p w14:paraId="2D32EB8E" w14:textId="77777777" w:rsidR="007F4DFC" w:rsidRPr="007F4DFC" w:rsidRDefault="007F4DFC" w:rsidP="007F4DFC">
      <w:pPr>
        <w:widowControl w:val="0"/>
        <w:autoSpaceDE w:val="0"/>
        <w:autoSpaceDN w:val="0"/>
        <w:spacing w:after="0" w:line="240" w:lineRule="auto"/>
        <w:ind w:right="1613"/>
        <w:rPr>
          <w:rFonts w:ascii="Times New Roman" w:eastAsia="Times New Roman" w:hAnsi="Times New Roman" w:cs="Times New Roman"/>
          <w:kern w:val="0"/>
          <w:sz w:val="26"/>
          <w:szCs w:val="26"/>
          <w14:ligatures w14:val="none"/>
        </w:rPr>
      </w:pPr>
    </w:p>
    <w:p w14:paraId="3AFA2616" w14:textId="259B66F6" w:rsidR="00B00ED7" w:rsidRPr="001B6E01" w:rsidRDefault="007F4DFC" w:rsidP="001B6E01">
      <w:pPr>
        <w:widowControl w:val="0"/>
        <w:autoSpaceDE w:val="0"/>
        <w:autoSpaceDN w:val="0"/>
        <w:spacing w:after="0" w:line="480" w:lineRule="auto"/>
        <w:ind w:firstLine="1440"/>
        <w:rPr>
          <w:rFonts w:ascii="Times New Roman" w:eastAsia="Times New Roman" w:hAnsi="Times New Roman" w:cs="Times New Roman"/>
          <w:color w:val="231F20"/>
          <w:kern w:val="0"/>
          <w:sz w:val="26"/>
          <w:szCs w:val="26"/>
          <w14:ligatures w14:val="none"/>
        </w:rPr>
      </w:pPr>
      <w:r w:rsidRPr="007F4DFC">
        <w:rPr>
          <w:rFonts w:ascii="Times New Roman" w:eastAsia="Times New Roman" w:hAnsi="Times New Roman" w:cs="Times New Roman"/>
          <w:color w:val="231F20"/>
          <w:kern w:val="0"/>
          <w:sz w:val="26"/>
          <w:szCs w:val="26"/>
          <w14:ligatures w14:val="none"/>
        </w:rPr>
        <w:t xml:space="preserve">At its meeting on January 21, 2010, the Board approved actions revising delegated authority and dollar limits for purchases, leases, contracts, and other transactions. This approval encompassed dollar limits pertaining to Board transaction approval levels associated with capital project actions. On September 23, 2010, the Board </w:t>
      </w:r>
      <w:r w:rsidRPr="007F4DFC">
        <w:rPr>
          <w:rFonts w:ascii="Times New Roman" w:eastAsia="Times New Roman" w:hAnsi="Times New Roman" w:cs="Times New Roman"/>
          <w:color w:val="231F20"/>
          <w:kern w:val="0"/>
          <w:sz w:val="26"/>
          <w:szCs w:val="26"/>
          <w14:ligatures w14:val="none"/>
        </w:rPr>
        <w:lastRenderedPageBreak/>
        <w:t xml:space="preserve">clarified the dollar limit aspects related to leases. </w:t>
      </w:r>
      <w:r>
        <w:rPr>
          <w:rFonts w:ascii="Times New Roman" w:eastAsia="Times New Roman" w:hAnsi="Times New Roman" w:cs="Times New Roman"/>
          <w:color w:val="231F20"/>
          <w:kern w:val="0"/>
          <w:sz w:val="26"/>
          <w:szCs w:val="26"/>
          <w14:ligatures w14:val="none"/>
        </w:rPr>
        <w:t xml:space="preserve">On March 28, 2024, the Board revised and restated its dollar limits </w:t>
      </w:r>
      <w:r w:rsidR="002D5853">
        <w:rPr>
          <w:rFonts w:ascii="Times New Roman" w:eastAsia="Times New Roman" w:hAnsi="Times New Roman" w:cs="Times New Roman"/>
          <w:color w:val="231F20"/>
          <w:kern w:val="0"/>
          <w:sz w:val="26"/>
          <w:szCs w:val="26"/>
          <w14:ligatures w14:val="none"/>
        </w:rPr>
        <w:t>requiring prior authorization</w:t>
      </w:r>
      <w:r>
        <w:rPr>
          <w:rFonts w:ascii="Times New Roman" w:eastAsia="Times New Roman" w:hAnsi="Times New Roman" w:cs="Times New Roman"/>
          <w:color w:val="231F20"/>
          <w:kern w:val="0"/>
          <w:sz w:val="26"/>
          <w:szCs w:val="26"/>
          <w14:ligatures w14:val="none"/>
        </w:rPr>
        <w:t>.</w:t>
      </w:r>
      <w:r w:rsidR="001B6E01">
        <w:rPr>
          <w:rFonts w:ascii="Times New Roman" w:eastAsia="Times New Roman" w:hAnsi="Times New Roman" w:cs="Times New Roman"/>
          <w:color w:val="231F20"/>
          <w:kern w:val="0"/>
          <w:sz w:val="26"/>
          <w:szCs w:val="26"/>
          <w14:ligatures w14:val="none"/>
        </w:rPr>
        <w:t xml:space="preserve"> This policy requires prior authorization of the Board of Trustees for “</w:t>
      </w:r>
      <w:r w:rsidR="001B6E01" w:rsidRPr="001B6E01">
        <w:rPr>
          <w:rFonts w:ascii="Times New Roman" w:eastAsia="Times New Roman" w:hAnsi="Times New Roman" w:cs="Times New Roman"/>
          <w:color w:val="231F20"/>
          <w:kern w:val="0"/>
          <w:sz w:val="26"/>
          <w:szCs w:val="26"/>
          <w14:ligatures w14:val="none"/>
        </w:rPr>
        <w:t>Purchases of supplies, equipment, and non-professional services requiring payment by the University in one fiscal year of $1,000,000 or more.</w:t>
      </w:r>
      <w:r w:rsidR="001B6E01">
        <w:rPr>
          <w:rFonts w:ascii="Times New Roman" w:eastAsia="Times New Roman" w:hAnsi="Times New Roman" w:cs="Times New Roman"/>
          <w:color w:val="231F20"/>
          <w:kern w:val="0"/>
          <w:sz w:val="26"/>
          <w:szCs w:val="26"/>
          <w14:ligatures w14:val="none"/>
        </w:rPr>
        <w:t xml:space="preserve">” </w:t>
      </w:r>
      <w:r w:rsidR="002D5853">
        <w:rPr>
          <w:rFonts w:ascii="Times New Roman" w:hAnsi="Times New Roman" w:cs="Times New Roman"/>
          <w:kern w:val="0"/>
          <w:sz w:val="26"/>
          <w:szCs w:val="26"/>
        </w:rPr>
        <w:t xml:space="preserve">Therefore, </w:t>
      </w:r>
      <w:r w:rsidR="001B6E01">
        <w:rPr>
          <w:rFonts w:ascii="Times New Roman" w:hAnsi="Times New Roman" w:cs="Times New Roman"/>
          <w:kern w:val="0"/>
          <w:sz w:val="26"/>
          <w:szCs w:val="26"/>
        </w:rPr>
        <w:t xml:space="preserve">the </w:t>
      </w:r>
      <w:r w:rsidR="001B6E01" w:rsidRPr="009C228C">
        <w:rPr>
          <w:rFonts w:ascii="Times New Roman" w:hAnsi="Times New Roman" w:cs="Times New Roman"/>
          <w:kern w:val="0"/>
          <w:sz w:val="26"/>
          <w:szCs w:val="26"/>
        </w:rPr>
        <w:t>vice president/chief financial officer and comptroller</w:t>
      </w:r>
      <w:r w:rsidR="001B6E01">
        <w:rPr>
          <w:rFonts w:ascii="Times New Roman" w:hAnsi="Times New Roman" w:cs="Times New Roman"/>
          <w:kern w:val="0"/>
          <w:sz w:val="26"/>
          <w:szCs w:val="26"/>
        </w:rPr>
        <w:t xml:space="preserve"> recommends approval of </w:t>
      </w:r>
      <w:r w:rsidR="00A62D1D">
        <w:rPr>
          <w:rFonts w:ascii="Times New Roman" w:hAnsi="Times New Roman" w:cs="Times New Roman"/>
          <w:kern w:val="0"/>
          <w:sz w:val="26"/>
          <w:szCs w:val="26"/>
        </w:rPr>
        <w:t>a modification of the Board of Trustees</w:t>
      </w:r>
      <w:r w:rsidR="001E378E">
        <w:rPr>
          <w:rFonts w:ascii="Times New Roman" w:hAnsi="Times New Roman" w:cs="Times New Roman"/>
          <w:kern w:val="0"/>
          <w:sz w:val="26"/>
          <w:szCs w:val="26"/>
        </w:rPr>
        <w:t xml:space="preserve"> Purchase</w:t>
      </w:r>
      <w:r w:rsidR="00A62D1D">
        <w:rPr>
          <w:rFonts w:ascii="Times New Roman" w:hAnsi="Times New Roman" w:cs="Times New Roman"/>
          <w:kern w:val="0"/>
          <w:sz w:val="26"/>
          <w:szCs w:val="26"/>
        </w:rPr>
        <w:t xml:space="preserve"> Approval Threshold</w:t>
      </w:r>
      <w:r w:rsidR="009C228C">
        <w:rPr>
          <w:rFonts w:ascii="Times New Roman" w:hAnsi="Times New Roman" w:cs="Times New Roman"/>
          <w:kern w:val="0"/>
          <w:sz w:val="26"/>
          <w:szCs w:val="26"/>
        </w:rPr>
        <w:t xml:space="preserve"> to allow purchases below $3,000,000 related to IQMP</w:t>
      </w:r>
      <w:r w:rsidR="004E1414">
        <w:rPr>
          <w:rFonts w:ascii="Times New Roman" w:hAnsi="Times New Roman" w:cs="Times New Roman"/>
          <w:kern w:val="0"/>
          <w:sz w:val="26"/>
          <w:szCs w:val="26"/>
        </w:rPr>
        <w:t>, LLC</w:t>
      </w:r>
      <w:r w:rsidR="009C228C">
        <w:rPr>
          <w:rFonts w:ascii="Times New Roman" w:hAnsi="Times New Roman" w:cs="Times New Roman"/>
          <w:kern w:val="0"/>
          <w:sz w:val="26"/>
          <w:szCs w:val="26"/>
        </w:rPr>
        <w:t xml:space="preserve"> to proceed without </w:t>
      </w:r>
      <w:r w:rsidR="00C41C7E">
        <w:rPr>
          <w:rFonts w:ascii="Times New Roman" w:hAnsi="Times New Roman" w:cs="Times New Roman"/>
          <w:kern w:val="0"/>
          <w:sz w:val="26"/>
          <w:szCs w:val="26"/>
        </w:rPr>
        <w:t>authorization</w:t>
      </w:r>
      <w:r w:rsidR="009C228C">
        <w:rPr>
          <w:rFonts w:ascii="Times New Roman" w:hAnsi="Times New Roman" w:cs="Times New Roman"/>
          <w:kern w:val="0"/>
          <w:sz w:val="26"/>
          <w:szCs w:val="26"/>
        </w:rPr>
        <w:t xml:space="preserve"> of the Board of Trustees.</w:t>
      </w:r>
      <w:r w:rsidR="001D19DA">
        <w:rPr>
          <w:rFonts w:ascii="Times New Roman" w:hAnsi="Times New Roman" w:cs="Times New Roman"/>
          <w:kern w:val="0"/>
          <w:sz w:val="26"/>
          <w:szCs w:val="26"/>
        </w:rPr>
        <w:t xml:space="preserve"> </w:t>
      </w:r>
    </w:p>
    <w:p w14:paraId="112572C1" w14:textId="77777777" w:rsidR="00AB6BB2" w:rsidRPr="00AB6BB2" w:rsidRDefault="00AB6BB2" w:rsidP="006D7BC3">
      <w:pPr>
        <w:pStyle w:val="bdstyle2"/>
        <w:tabs>
          <w:tab w:val="clear" w:pos="720"/>
          <w:tab w:val="clear" w:pos="1440"/>
        </w:tabs>
      </w:pPr>
      <w:r w:rsidRPr="00AB6BB2">
        <w:t xml:space="preserve">The Board action recommended in this item complies in all material respects with applicable State and federal laws, University of Illinois </w:t>
      </w:r>
      <w:r w:rsidRPr="00AB6BB2">
        <w:rPr>
          <w:i/>
          <w:iCs/>
        </w:rPr>
        <w:t>Statutes</w:t>
      </w:r>
      <w:r w:rsidRPr="00FF63C7">
        <w:t xml:space="preserve">, </w:t>
      </w:r>
      <w:r w:rsidRPr="00AB6BB2">
        <w:rPr>
          <w:i/>
          <w:iCs/>
        </w:rPr>
        <w:t>The General Rules Concerning University Organization and Procedure</w:t>
      </w:r>
      <w:r w:rsidRPr="00AB6BB2">
        <w:t>, and Board of Trustees policies and directives.</w:t>
      </w:r>
    </w:p>
    <w:p w14:paraId="64B00D69" w14:textId="480296A6" w:rsidR="00AB6BB2" w:rsidRPr="00AB6BB2" w:rsidRDefault="00756E81" w:rsidP="00AB6BB2">
      <w:pPr>
        <w:pStyle w:val="bdstyle2"/>
        <w:tabs>
          <w:tab w:val="clear" w:pos="720"/>
        </w:tabs>
        <w:rPr>
          <w:szCs w:val="26"/>
        </w:rPr>
      </w:pPr>
      <w:bookmarkStart w:id="2" w:name="_Hlk173827084"/>
      <w:r>
        <w:rPr>
          <w:szCs w:val="26"/>
        </w:rPr>
        <w:t>T</w:t>
      </w:r>
      <w:r w:rsidR="00410EF5">
        <w:rPr>
          <w:szCs w:val="26"/>
        </w:rPr>
        <w:t>he</w:t>
      </w:r>
      <w:r w:rsidR="00410EF5" w:rsidRPr="00410EF5">
        <w:rPr>
          <w:szCs w:val="26"/>
        </w:rPr>
        <w:t xml:space="preserve"> </w:t>
      </w:r>
      <w:r w:rsidR="00410EF5" w:rsidRPr="00AB6BB2">
        <w:rPr>
          <w:szCs w:val="26"/>
        </w:rPr>
        <w:t>president of the University of Illinois System</w:t>
      </w:r>
      <w:r w:rsidR="00410EF5">
        <w:rPr>
          <w:szCs w:val="26"/>
        </w:rPr>
        <w:t xml:space="preserve"> concurs</w:t>
      </w:r>
      <w:bookmarkEnd w:id="2"/>
      <w:r w:rsidR="00410EF5">
        <w:rPr>
          <w:szCs w:val="26"/>
        </w:rPr>
        <w:t>.</w:t>
      </w:r>
    </w:p>
    <w:sectPr w:rsidR="00AB6BB2" w:rsidRPr="00AB6BB2" w:rsidSect="007E59B2">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B1A78" w14:textId="77777777" w:rsidR="00950185" w:rsidRDefault="00950185" w:rsidP="005E1CD9">
      <w:pPr>
        <w:spacing w:after="0" w:line="240" w:lineRule="auto"/>
      </w:pPr>
      <w:r>
        <w:separator/>
      </w:r>
    </w:p>
  </w:endnote>
  <w:endnote w:type="continuationSeparator" w:id="0">
    <w:p w14:paraId="17211486" w14:textId="77777777" w:rsidR="00950185" w:rsidRDefault="00950185" w:rsidP="005E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F229" w14:textId="77777777" w:rsidR="00BC57CA" w:rsidRDefault="00BC5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445050"/>
      <w:docPartObj>
        <w:docPartGallery w:val="Page Numbers (Bottom of Page)"/>
        <w:docPartUnique/>
      </w:docPartObj>
    </w:sdtPr>
    <w:sdtEndPr>
      <w:rPr>
        <w:noProof/>
      </w:rPr>
    </w:sdtEndPr>
    <w:sdtContent>
      <w:p w14:paraId="3B1D9F87" w14:textId="6F2255D4" w:rsidR="00E16724" w:rsidRDefault="00000000" w:rsidP="00BC57CA">
        <w:pPr>
          <w:pStyle w:val="Footer"/>
        </w:pPr>
      </w:p>
    </w:sdtContent>
  </w:sdt>
  <w:p w14:paraId="64A9FC8E" w14:textId="77777777" w:rsidR="00E16724" w:rsidRDefault="00E1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A0A2" w14:textId="77777777" w:rsidR="00BC57CA" w:rsidRDefault="00BC5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99A73" w14:textId="77777777" w:rsidR="00950185" w:rsidRDefault="00950185" w:rsidP="005E1CD9">
      <w:pPr>
        <w:spacing w:after="0" w:line="240" w:lineRule="auto"/>
      </w:pPr>
      <w:r>
        <w:separator/>
      </w:r>
    </w:p>
  </w:footnote>
  <w:footnote w:type="continuationSeparator" w:id="0">
    <w:p w14:paraId="61E775D7" w14:textId="77777777" w:rsidR="00950185" w:rsidRDefault="00950185" w:rsidP="005E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CE76B" w14:textId="77777777" w:rsidR="00BC57CA" w:rsidRDefault="00BC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877423"/>
      <w:docPartObj>
        <w:docPartGallery w:val="Page Numbers (Top of Page)"/>
        <w:docPartUnique/>
      </w:docPartObj>
    </w:sdtPr>
    <w:sdtEndPr>
      <w:rPr>
        <w:rFonts w:ascii="Times New Roman" w:hAnsi="Times New Roman" w:cs="Times New Roman"/>
        <w:noProof/>
        <w:sz w:val="26"/>
        <w:szCs w:val="26"/>
      </w:rPr>
    </w:sdtEndPr>
    <w:sdtContent>
      <w:p w14:paraId="40390B54" w14:textId="0354A485" w:rsidR="00756E81" w:rsidRPr="00756E81" w:rsidRDefault="00756E81">
        <w:pPr>
          <w:pStyle w:val="Header"/>
          <w:jc w:val="center"/>
          <w:rPr>
            <w:rFonts w:ascii="Times New Roman" w:hAnsi="Times New Roman" w:cs="Times New Roman"/>
            <w:sz w:val="26"/>
            <w:szCs w:val="26"/>
          </w:rPr>
        </w:pPr>
        <w:r w:rsidRPr="00756E81">
          <w:rPr>
            <w:rFonts w:ascii="Times New Roman" w:hAnsi="Times New Roman" w:cs="Times New Roman"/>
            <w:sz w:val="26"/>
            <w:szCs w:val="26"/>
          </w:rPr>
          <w:fldChar w:fldCharType="begin"/>
        </w:r>
        <w:r w:rsidRPr="00756E81">
          <w:rPr>
            <w:rFonts w:ascii="Times New Roman" w:hAnsi="Times New Roman" w:cs="Times New Roman"/>
            <w:sz w:val="26"/>
            <w:szCs w:val="26"/>
          </w:rPr>
          <w:instrText xml:space="preserve"> PAGE   \* MERGEFORMAT </w:instrText>
        </w:r>
        <w:r w:rsidRPr="00756E81">
          <w:rPr>
            <w:rFonts w:ascii="Times New Roman" w:hAnsi="Times New Roman" w:cs="Times New Roman"/>
            <w:sz w:val="26"/>
            <w:szCs w:val="26"/>
          </w:rPr>
          <w:fldChar w:fldCharType="separate"/>
        </w:r>
        <w:r w:rsidRPr="00756E81">
          <w:rPr>
            <w:rFonts w:ascii="Times New Roman" w:hAnsi="Times New Roman" w:cs="Times New Roman"/>
            <w:noProof/>
            <w:sz w:val="26"/>
            <w:szCs w:val="26"/>
          </w:rPr>
          <w:t>2</w:t>
        </w:r>
        <w:r w:rsidRPr="00756E81">
          <w:rPr>
            <w:rFonts w:ascii="Times New Roman" w:hAnsi="Times New Roman" w:cs="Times New Roman"/>
            <w:noProof/>
            <w:sz w:val="26"/>
            <w:szCs w:val="26"/>
          </w:rPr>
          <w:fldChar w:fldCharType="end"/>
        </w:r>
      </w:p>
    </w:sdtContent>
  </w:sdt>
  <w:p w14:paraId="7D14F667" w14:textId="2F456EB9" w:rsidR="005E1CD9" w:rsidRPr="00756E81" w:rsidRDefault="005E1CD9">
    <w:pPr>
      <w:pStyle w:val="Header"/>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9BD8" w14:textId="77777777" w:rsidR="00BC57CA" w:rsidRDefault="00BC5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E421F"/>
    <w:multiLevelType w:val="hybridMultilevel"/>
    <w:tmpl w:val="AAC25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5E2772"/>
    <w:multiLevelType w:val="hybridMultilevel"/>
    <w:tmpl w:val="AAC25D1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27269BE"/>
    <w:multiLevelType w:val="hybridMultilevel"/>
    <w:tmpl w:val="15781242"/>
    <w:lvl w:ilvl="0" w:tplc="74C06B00">
      <w:start w:val="1"/>
      <w:numFmt w:val="decimal"/>
      <w:lvlText w:val="(%1)"/>
      <w:lvlJc w:val="left"/>
      <w:pPr>
        <w:ind w:left="1080" w:hanging="360"/>
      </w:pPr>
      <w:rPr>
        <w:rFonts w:hint="default"/>
      </w:rPr>
    </w:lvl>
    <w:lvl w:ilvl="1" w:tplc="7786B98C" w:tentative="1">
      <w:start w:val="1"/>
      <w:numFmt w:val="lowerLetter"/>
      <w:lvlText w:val="%2."/>
      <w:lvlJc w:val="left"/>
      <w:pPr>
        <w:ind w:left="1800" w:hanging="360"/>
      </w:pPr>
    </w:lvl>
    <w:lvl w:ilvl="2" w:tplc="BB0EBB20" w:tentative="1">
      <w:start w:val="1"/>
      <w:numFmt w:val="lowerRoman"/>
      <w:lvlText w:val="%3."/>
      <w:lvlJc w:val="right"/>
      <w:pPr>
        <w:ind w:left="2520" w:hanging="180"/>
      </w:pPr>
    </w:lvl>
    <w:lvl w:ilvl="3" w:tplc="2B2204FE" w:tentative="1">
      <w:start w:val="1"/>
      <w:numFmt w:val="decimal"/>
      <w:lvlText w:val="%4."/>
      <w:lvlJc w:val="left"/>
      <w:pPr>
        <w:ind w:left="3240" w:hanging="360"/>
      </w:pPr>
    </w:lvl>
    <w:lvl w:ilvl="4" w:tplc="F7262514" w:tentative="1">
      <w:start w:val="1"/>
      <w:numFmt w:val="lowerLetter"/>
      <w:lvlText w:val="%5."/>
      <w:lvlJc w:val="left"/>
      <w:pPr>
        <w:ind w:left="3960" w:hanging="360"/>
      </w:pPr>
    </w:lvl>
    <w:lvl w:ilvl="5" w:tplc="B32C489E" w:tentative="1">
      <w:start w:val="1"/>
      <w:numFmt w:val="lowerRoman"/>
      <w:lvlText w:val="%6."/>
      <w:lvlJc w:val="right"/>
      <w:pPr>
        <w:ind w:left="4680" w:hanging="180"/>
      </w:pPr>
    </w:lvl>
    <w:lvl w:ilvl="6" w:tplc="26EEEFEC" w:tentative="1">
      <w:start w:val="1"/>
      <w:numFmt w:val="decimal"/>
      <w:lvlText w:val="%7."/>
      <w:lvlJc w:val="left"/>
      <w:pPr>
        <w:ind w:left="5400" w:hanging="360"/>
      </w:pPr>
    </w:lvl>
    <w:lvl w:ilvl="7" w:tplc="C0D09790" w:tentative="1">
      <w:start w:val="1"/>
      <w:numFmt w:val="lowerLetter"/>
      <w:lvlText w:val="%8."/>
      <w:lvlJc w:val="left"/>
      <w:pPr>
        <w:ind w:left="6120" w:hanging="360"/>
      </w:pPr>
    </w:lvl>
    <w:lvl w:ilvl="8" w:tplc="1292C0BE" w:tentative="1">
      <w:start w:val="1"/>
      <w:numFmt w:val="lowerRoman"/>
      <w:lvlText w:val="%9."/>
      <w:lvlJc w:val="right"/>
      <w:pPr>
        <w:ind w:left="6840" w:hanging="180"/>
      </w:pPr>
    </w:lvl>
  </w:abstractNum>
  <w:abstractNum w:abstractNumId="3" w15:restartNumberingAfterBreak="0">
    <w:nsid w:val="5BC6020C"/>
    <w:multiLevelType w:val="hybridMultilevel"/>
    <w:tmpl w:val="09EC23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66788"/>
    <w:multiLevelType w:val="hybridMultilevel"/>
    <w:tmpl w:val="AAC25D1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2575E31"/>
    <w:multiLevelType w:val="hybridMultilevel"/>
    <w:tmpl w:val="CFF80BA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569108">
    <w:abstractNumId w:val="0"/>
  </w:num>
  <w:num w:numId="2" w16cid:durableId="152766472">
    <w:abstractNumId w:val="1"/>
  </w:num>
  <w:num w:numId="3" w16cid:durableId="246350158">
    <w:abstractNumId w:val="4"/>
  </w:num>
  <w:num w:numId="4" w16cid:durableId="580797642">
    <w:abstractNumId w:val="2"/>
  </w:num>
  <w:num w:numId="5" w16cid:durableId="2067412293">
    <w:abstractNumId w:val="5"/>
  </w:num>
  <w:num w:numId="6" w16cid:durableId="1743025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05"/>
    <w:rsid w:val="0001252D"/>
    <w:rsid w:val="00032B8A"/>
    <w:rsid w:val="00054AEC"/>
    <w:rsid w:val="000557ED"/>
    <w:rsid w:val="00064347"/>
    <w:rsid w:val="00076B33"/>
    <w:rsid w:val="00097FFC"/>
    <w:rsid w:val="000A2402"/>
    <w:rsid w:val="000A32C4"/>
    <w:rsid w:val="000A3391"/>
    <w:rsid w:val="000B3AB2"/>
    <w:rsid w:val="000B5263"/>
    <w:rsid w:val="000D5342"/>
    <w:rsid w:val="000E310D"/>
    <w:rsid w:val="000E7F4D"/>
    <w:rsid w:val="000F126E"/>
    <w:rsid w:val="0013008A"/>
    <w:rsid w:val="001362F6"/>
    <w:rsid w:val="0014641D"/>
    <w:rsid w:val="00150BF8"/>
    <w:rsid w:val="00175D23"/>
    <w:rsid w:val="0017604A"/>
    <w:rsid w:val="00182388"/>
    <w:rsid w:val="00182F2E"/>
    <w:rsid w:val="00185935"/>
    <w:rsid w:val="00192050"/>
    <w:rsid w:val="00192D49"/>
    <w:rsid w:val="001A0BDC"/>
    <w:rsid w:val="001A6156"/>
    <w:rsid w:val="001B6827"/>
    <w:rsid w:val="001B6E01"/>
    <w:rsid w:val="001C6F47"/>
    <w:rsid w:val="001D19DA"/>
    <w:rsid w:val="001D3BAC"/>
    <w:rsid w:val="001D4504"/>
    <w:rsid w:val="001E378E"/>
    <w:rsid w:val="001E59DC"/>
    <w:rsid w:val="001E7E24"/>
    <w:rsid w:val="001F0ACE"/>
    <w:rsid w:val="001F15A4"/>
    <w:rsid w:val="00207BAF"/>
    <w:rsid w:val="002208E1"/>
    <w:rsid w:val="00274099"/>
    <w:rsid w:val="002761D4"/>
    <w:rsid w:val="00285D21"/>
    <w:rsid w:val="00296A05"/>
    <w:rsid w:val="002C3E73"/>
    <w:rsid w:val="002D5853"/>
    <w:rsid w:val="002D67C3"/>
    <w:rsid w:val="002F28EB"/>
    <w:rsid w:val="00311B56"/>
    <w:rsid w:val="00313F46"/>
    <w:rsid w:val="00321150"/>
    <w:rsid w:val="00333648"/>
    <w:rsid w:val="00354064"/>
    <w:rsid w:val="00373054"/>
    <w:rsid w:val="00396CE7"/>
    <w:rsid w:val="003A26D5"/>
    <w:rsid w:val="003A6FD1"/>
    <w:rsid w:val="003A77D3"/>
    <w:rsid w:val="003B1FD0"/>
    <w:rsid w:val="003B2C74"/>
    <w:rsid w:val="003B3C59"/>
    <w:rsid w:val="003B5322"/>
    <w:rsid w:val="003D4A8E"/>
    <w:rsid w:val="003D64E5"/>
    <w:rsid w:val="003E3D34"/>
    <w:rsid w:val="003E6869"/>
    <w:rsid w:val="00410EF5"/>
    <w:rsid w:val="00425674"/>
    <w:rsid w:val="004503BD"/>
    <w:rsid w:val="00453858"/>
    <w:rsid w:val="00463297"/>
    <w:rsid w:val="00483CC2"/>
    <w:rsid w:val="0048679E"/>
    <w:rsid w:val="00490A21"/>
    <w:rsid w:val="004A0336"/>
    <w:rsid w:val="004A2906"/>
    <w:rsid w:val="004A7F74"/>
    <w:rsid w:val="004D78D7"/>
    <w:rsid w:val="004E1414"/>
    <w:rsid w:val="004F09FD"/>
    <w:rsid w:val="004F6035"/>
    <w:rsid w:val="00500DEA"/>
    <w:rsid w:val="00532EEB"/>
    <w:rsid w:val="0053780D"/>
    <w:rsid w:val="00550E2F"/>
    <w:rsid w:val="00552A05"/>
    <w:rsid w:val="00585160"/>
    <w:rsid w:val="0058577A"/>
    <w:rsid w:val="00594037"/>
    <w:rsid w:val="00597609"/>
    <w:rsid w:val="005D3C5F"/>
    <w:rsid w:val="005D546F"/>
    <w:rsid w:val="005D67F1"/>
    <w:rsid w:val="005E1CD9"/>
    <w:rsid w:val="005E305D"/>
    <w:rsid w:val="005E75EF"/>
    <w:rsid w:val="005F22CB"/>
    <w:rsid w:val="005F6FB7"/>
    <w:rsid w:val="005F78A2"/>
    <w:rsid w:val="005F7BFA"/>
    <w:rsid w:val="0060068B"/>
    <w:rsid w:val="0060415A"/>
    <w:rsid w:val="00617546"/>
    <w:rsid w:val="006246C3"/>
    <w:rsid w:val="00627EF0"/>
    <w:rsid w:val="006300CB"/>
    <w:rsid w:val="006430FB"/>
    <w:rsid w:val="00653C82"/>
    <w:rsid w:val="00662BB1"/>
    <w:rsid w:val="00686A00"/>
    <w:rsid w:val="006A62E0"/>
    <w:rsid w:val="006B4474"/>
    <w:rsid w:val="006C3709"/>
    <w:rsid w:val="006C7361"/>
    <w:rsid w:val="006D7BC3"/>
    <w:rsid w:val="006E1248"/>
    <w:rsid w:val="006E2B7E"/>
    <w:rsid w:val="006E5128"/>
    <w:rsid w:val="006F3ECD"/>
    <w:rsid w:val="0071187B"/>
    <w:rsid w:val="007200E5"/>
    <w:rsid w:val="007301DB"/>
    <w:rsid w:val="0073369E"/>
    <w:rsid w:val="007336F8"/>
    <w:rsid w:val="00733725"/>
    <w:rsid w:val="00745BA7"/>
    <w:rsid w:val="00756E81"/>
    <w:rsid w:val="00757E57"/>
    <w:rsid w:val="00763519"/>
    <w:rsid w:val="00764F63"/>
    <w:rsid w:val="00770954"/>
    <w:rsid w:val="0078017A"/>
    <w:rsid w:val="007B6D46"/>
    <w:rsid w:val="007C6AF2"/>
    <w:rsid w:val="007E2800"/>
    <w:rsid w:val="007E3894"/>
    <w:rsid w:val="007E59B2"/>
    <w:rsid w:val="007E72DA"/>
    <w:rsid w:val="007F4DFC"/>
    <w:rsid w:val="00816CD0"/>
    <w:rsid w:val="00854C54"/>
    <w:rsid w:val="00885CF9"/>
    <w:rsid w:val="0088645F"/>
    <w:rsid w:val="00887E63"/>
    <w:rsid w:val="0089078B"/>
    <w:rsid w:val="008B1AAB"/>
    <w:rsid w:val="008B6C55"/>
    <w:rsid w:val="008C092F"/>
    <w:rsid w:val="008C3334"/>
    <w:rsid w:val="008E3729"/>
    <w:rsid w:val="008E6A35"/>
    <w:rsid w:val="008F5389"/>
    <w:rsid w:val="009136AD"/>
    <w:rsid w:val="00915544"/>
    <w:rsid w:val="00921349"/>
    <w:rsid w:val="0093083A"/>
    <w:rsid w:val="00942FDC"/>
    <w:rsid w:val="00945456"/>
    <w:rsid w:val="009456A5"/>
    <w:rsid w:val="00946B73"/>
    <w:rsid w:val="00950185"/>
    <w:rsid w:val="00952BF3"/>
    <w:rsid w:val="00965DF7"/>
    <w:rsid w:val="00975540"/>
    <w:rsid w:val="009839AD"/>
    <w:rsid w:val="00987F43"/>
    <w:rsid w:val="00996305"/>
    <w:rsid w:val="009B38E1"/>
    <w:rsid w:val="009C228C"/>
    <w:rsid w:val="009C2559"/>
    <w:rsid w:val="009D0DD5"/>
    <w:rsid w:val="009E7DF8"/>
    <w:rsid w:val="00A01FCE"/>
    <w:rsid w:val="00A36606"/>
    <w:rsid w:val="00A43793"/>
    <w:rsid w:val="00A44E7B"/>
    <w:rsid w:val="00A451E1"/>
    <w:rsid w:val="00A52153"/>
    <w:rsid w:val="00A62D1D"/>
    <w:rsid w:val="00A70AED"/>
    <w:rsid w:val="00A71939"/>
    <w:rsid w:val="00A73FCA"/>
    <w:rsid w:val="00A85DE9"/>
    <w:rsid w:val="00A91F3D"/>
    <w:rsid w:val="00AB6BB2"/>
    <w:rsid w:val="00AC7135"/>
    <w:rsid w:val="00AD7D36"/>
    <w:rsid w:val="00AE2EA3"/>
    <w:rsid w:val="00AF28EF"/>
    <w:rsid w:val="00AF32A9"/>
    <w:rsid w:val="00B00ED7"/>
    <w:rsid w:val="00B01DDD"/>
    <w:rsid w:val="00B22B7E"/>
    <w:rsid w:val="00B307C5"/>
    <w:rsid w:val="00B33A02"/>
    <w:rsid w:val="00B33E73"/>
    <w:rsid w:val="00B37102"/>
    <w:rsid w:val="00B47317"/>
    <w:rsid w:val="00B77740"/>
    <w:rsid w:val="00B87FF0"/>
    <w:rsid w:val="00BA43CE"/>
    <w:rsid w:val="00BB6120"/>
    <w:rsid w:val="00BC1C6E"/>
    <w:rsid w:val="00BC57CA"/>
    <w:rsid w:val="00BC6259"/>
    <w:rsid w:val="00BD0B62"/>
    <w:rsid w:val="00BF0626"/>
    <w:rsid w:val="00C06A2B"/>
    <w:rsid w:val="00C105F6"/>
    <w:rsid w:val="00C212BA"/>
    <w:rsid w:val="00C234A4"/>
    <w:rsid w:val="00C2567C"/>
    <w:rsid w:val="00C41C7E"/>
    <w:rsid w:val="00C51261"/>
    <w:rsid w:val="00C645A3"/>
    <w:rsid w:val="00C828F9"/>
    <w:rsid w:val="00C843F5"/>
    <w:rsid w:val="00C90E37"/>
    <w:rsid w:val="00C97A15"/>
    <w:rsid w:val="00CE0686"/>
    <w:rsid w:val="00D06DDD"/>
    <w:rsid w:val="00D13C9E"/>
    <w:rsid w:val="00D15209"/>
    <w:rsid w:val="00D21E45"/>
    <w:rsid w:val="00D27A63"/>
    <w:rsid w:val="00D331FE"/>
    <w:rsid w:val="00D434A2"/>
    <w:rsid w:val="00D459B9"/>
    <w:rsid w:val="00D64420"/>
    <w:rsid w:val="00D92F6E"/>
    <w:rsid w:val="00DA5627"/>
    <w:rsid w:val="00DC5D2B"/>
    <w:rsid w:val="00DC7F16"/>
    <w:rsid w:val="00DD3617"/>
    <w:rsid w:val="00DE25E3"/>
    <w:rsid w:val="00E03925"/>
    <w:rsid w:val="00E16724"/>
    <w:rsid w:val="00E25621"/>
    <w:rsid w:val="00E2758E"/>
    <w:rsid w:val="00E30959"/>
    <w:rsid w:val="00E45F79"/>
    <w:rsid w:val="00E735D3"/>
    <w:rsid w:val="00E73EF4"/>
    <w:rsid w:val="00E8523C"/>
    <w:rsid w:val="00E910E5"/>
    <w:rsid w:val="00EA2F69"/>
    <w:rsid w:val="00EC10E5"/>
    <w:rsid w:val="00EC47A8"/>
    <w:rsid w:val="00ED1983"/>
    <w:rsid w:val="00EE366F"/>
    <w:rsid w:val="00EF0317"/>
    <w:rsid w:val="00EF5B22"/>
    <w:rsid w:val="00F331B3"/>
    <w:rsid w:val="00F33945"/>
    <w:rsid w:val="00F6364D"/>
    <w:rsid w:val="00FA0A9D"/>
    <w:rsid w:val="00FA1C39"/>
    <w:rsid w:val="00FB0BE1"/>
    <w:rsid w:val="00FC517F"/>
    <w:rsid w:val="00FD0C7B"/>
    <w:rsid w:val="00FD2DF7"/>
    <w:rsid w:val="00FD553F"/>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D065"/>
  <w15:chartTrackingRefBased/>
  <w15:docId w15:val="{0BE0F095-82A6-4A8F-B754-4931CD06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A05"/>
    <w:rPr>
      <w:rFonts w:eastAsiaTheme="majorEastAsia" w:cstheme="majorBidi"/>
      <w:color w:val="272727" w:themeColor="text1" w:themeTint="D8"/>
    </w:rPr>
  </w:style>
  <w:style w:type="paragraph" w:styleId="Title">
    <w:name w:val="Title"/>
    <w:basedOn w:val="Normal"/>
    <w:next w:val="Normal"/>
    <w:link w:val="TitleChar"/>
    <w:uiPriority w:val="10"/>
    <w:qFormat/>
    <w:rsid w:val="00296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A05"/>
    <w:pPr>
      <w:spacing w:before="160"/>
      <w:jc w:val="center"/>
    </w:pPr>
    <w:rPr>
      <w:i/>
      <w:iCs/>
      <w:color w:val="404040" w:themeColor="text1" w:themeTint="BF"/>
    </w:rPr>
  </w:style>
  <w:style w:type="character" w:customStyle="1" w:styleId="QuoteChar">
    <w:name w:val="Quote Char"/>
    <w:basedOn w:val="DefaultParagraphFont"/>
    <w:link w:val="Quote"/>
    <w:uiPriority w:val="29"/>
    <w:rsid w:val="00296A05"/>
    <w:rPr>
      <w:i/>
      <w:iCs/>
      <w:color w:val="404040" w:themeColor="text1" w:themeTint="BF"/>
    </w:rPr>
  </w:style>
  <w:style w:type="paragraph" w:styleId="ListParagraph">
    <w:name w:val="List Paragraph"/>
    <w:basedOn w:val="Normal"/>
    <w:uiPriority w:val="34"/>
    <w:qFormat/>
    <w:rsid w:val="00296A05"/>
    <w:pPr>
      <w:ind w:left="720"/>
      <w:contextualSpacing/>
    </w:pPr>
  </w:style>
  <w:style w:type="character" w:styleId="IntenseEmphasis">
    <w:name w:val="Intense Emphasis"/>
    <w:basedOn w:val="DefaultParagraphFont"/>
    <w:uiPriority w:val="21"/>
    <w:qFormat/>
    <w:rsid w:val="00296A05"/>
    <w:rPr>
      <w:i/>
      <w:iCs/>
      <w:color w:val="0F4761" w:themeColor="accent1" w:themeShade="BF"/>
    </w:rPr>
  </w:style>
  <w:style w:type="paragraph" w:styleId="IntenseQuote">
    <w:name w:val="Intense Quote"/>
    <w:basedOn w:val="Normal"/>
    <w:next w:val="Normal"/>
    <w:link w:val="IntenseQuoteChar"/>
    <w:uiPriority w:val="30"/>
    <w:qFormat/>
    <w:rsid w:val="00296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A05"/>
    <w:rPr>
      <w:i/>
      <w:iCs/>
      <w:color w:val="0F4761" w:themeColor="accent1" w:themeShade="BF"/>
    </w:rPr>
  </w:style>
  <w:style w:type="character" w:styleId="IntenseReference">
    <w:name w:val="Intense Reference"/>
    <w:basedOn w:val="DefaultParagraphFont"/>
    <w:uiPriority w:val="32"/>
    <w:qFormat/>
    <w:rsid w:val="00296A05"/>
    <w:rPr>
      <w:b/>
      <w:bCs/>
      <w:smallCaps/>
      <w:color w:val="0F4761" w:themeColor="accent1" w:themeShade="BF"/>
      <w:spacing w:val="5"/>
    </w:rPr>
  </w:style>
  <w:style w:type="paragraph" w:styleId="Header">
    <w:name w:val="header"/>
    <w:basedOn w:val="Normal"/>
    <w:link w:val="HeaderChar"/>
    <w:uiPriority w:val="99"/>
    <w:unhideWhenUsed/>
    <w:rsid w:val="005E1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CD9"/>
  </w:style>
  <w:style w:type="paragraph" w:styleId="Footer">
    <w:name w:val="footer"/>
    <w:basedOn w:val="Normal"/>
    <w:link w:val="FooterChar"/>
    <w:uiPriority w:val="99"/>
    <w:unhideWhenUsed/>
    <w:rsid w:val="005E1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CD9"/>
  </w:style>
  <w:style w:type="paragraph" w:customStyle="1" w:styleId="bdheading2">
    <w:name w:val="bdheading2"/>
    <w:basedOn w:val="Normal"/>
    <w:rsid w:val="00AB6BB2"/>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AB6BB2"/>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AB6BB2"/>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AB6BB2"/>
    <w:rPr>
      <w:sz w:val="16"/>
      <w:szCs w:val="16"/>
    </w:rPr>
  </w:style>
  <w:style w:type="paragraph" w:styleId="CommentText">
    <w:name w:val="annotation text"/>
    <w:basedOn w:val="Normal"/>
    <w:link w:val="CommentTextChar"/>
    <w:uiPriority w:val="99"/>
    <w:unhideWhenUsed/>
    <w:rsid w:val="00AB6BB2"/>
    <w:pPr>
      <w:spacing w:line="240" w:lineRule="auto"/>
    </w:pPr>
    <w:rPr>
      <w:sz w:val="20"/>
      <w:szCs w:val="20"/>
    </w:rPr>
  </w:style>
  <w:style w:type="character" w:customStyle="1" w:styleId="CommentTextChar">
    <w:name w:val="Comment Text Char"/>
    <w:basedOn w:val="DefaultParagraphFont"/>
    <w:link w:val="CommentText"/>
    <w:uiPriority w:val="99"/>
    <w:rsid w:val="00AB6BB2"/>
    <w:rPr>
      <w:sz w:val="20"/>
      <w:szCs w:val="20"/>
    </w:rPr>
  </w:style>
  <w:style w:type="paragraph" w:styleId="Revision">
    <w:name w:val="Revision"/>
    <w:hidden/>
    <w:uiPriority w:val="99"/>
    <w:semiHidden/>
    <w:rsid w:val="006F3ECD"/>
    <w:pPr>
      <w:spacing w:after="0" w:line="240" w:lineRule="auto"/>
    </w:pPr>
  </w:style>
  <w:style w:type="paragraph" w:styleId="CommentSubject">
    <w:name w:val="annotation subject"/>
    <w:basedOn w:val="CommentText"/>
    <w:next w:val="CommentText"/>
    <w:link w:val="CommentSubjectChar"/>
    <w:uiPriority w:val="99"/>
    <w:semiHidden/>
    <w:unhideWhenUsed/>
    <w:rsid w:val="00054AEC"/>
    <w:rPr>
      <w:b/>
      <w:bCs/>
    </w:rPr>
  </w:style>
  <w:style w:type="character" w:customStyle="1" w:styleId="CommentSubjectChar">
    <w:name w:val="Comment Subject Char"/>
    <w:basedOn w:val="CommentTextChar"/>
    <w:link w:val="CommentSubject"/>
    <w:uiPriority w:val="99"/>
    <w:semiHidden/>
    <w:rsid w:val="00054AEC"/>
    <w:rPr>
      <w:b/>
      <w:bCs/>
      <w:sz w:val="20"/>
      <w:szCs w:val="20"/>
    </w:rPr>
  </w:style>
  <w:style w:type="paragraph" w:styleId="FootnoteText">
    <w:name w:val="footnote text"/>
    <w:basedOn w:val="Normal"/>
    <w:link w:val="FootnoteTextChar"/>
    <w:uiPriority w:val="99"/>
    <w:semiHidden/>
    <w:unhideWhenUsed/>
    <w:rsid w:val="005D6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7F1"/>
    <w:rPr>
      <w:sz w:val="20"/>
      <w:szCs w:val="20"/>
    </w:rPr>
  </w:style>
  <w:style w:type="character" w:styleId="FootnoteReference">
    <w:name w:val="footnote reference"/>
    <w:basedOn w:val="DefaultParagraphFont"/>
    <w:uiPriority w:val="99"/>
    <w:semiHidden/>
    <w:unhideWhenUsed/>
    <w:rsid w:val="005D6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34021">
      <w:bodyDiv w:val="1"/>
      <w:marLeft w:val="0"/>
      <w:marRight w:val="0"/>
      <w:marTop w:val="0"/>
      <w:marBottom w:val="0"/>
      <w:divBdr>
        <w:top w:val="none" w:sz="0" w:space="0" w:color="auto"/>
        <w:left w:val="none" w:sz="0" w:space="0" w:color="auto"/>
        <w:bottom w:val="none" w:sz="0" w:space="0" w:color="auto"/>
        <w:right w:val="none" w:sz="0" w:space="0" w:color="auto"/>
      </w:divBdr>
    </w:div>
    <w:div w:id="1539972380">
      <w:bodyDiv w:val="1"/>
      <w:marLeft w:val="0"/>
      <w:marRight w:val="0"/>
      <w:marTop w:val="0"/>
      <w:marBottom w:val="0"/>
      <w:divBdr>
        <w:top w:val="none" w:sz="0" w:space="0" w:color="auto"/>
        <w:left w:val="none" w:sz="0" w:space="0" w:color="auto"/>
        <w:bottom w:val="none" w:sz="0" w:space="0" w:color="auto"/>
        <w:right w:val="none" w:sz="0" w:space="0" w:color="auto"/>
      </w:divBdr>
    </w:div>
    <w:div w:id="1740401086">
      <w:bodyDiv w:val="1"/>
      <w:marLeft w:val="0"/>
      <w:marRight w:val="0"/>
      <w:marTop w:val="0"/>
      <w:marBottom w:val="0"/>
      <w:divBdr>
        <w:top w:val="none" w:sz="0" w:space="0" w:color="auto"/>
        <w:left w:val="none" w:sz="0" w:space="0" w:color="auto"/>
        <w:bottom w:val="none" w:sz="0" w:space="0" w:color="auto"/>
        <w:right w:val="none" w:sz="0" w:space="0" w:color="auto"/>
      </w:divBdr>
    </w:div>
    <w:div w:id="20473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B48FA394B3534B9BE562F7B8BC2C06" ma:contentTypeVersion="4" ma:contentTypeDescription="Create a new document." ma:contentTypeScope="" ma:versionID="463f9418d155e0c2a77d8dad707778fd">
  <xsd:schema xmlns:xsd="http://www.w3.org/2001/XMLSchema" xmlns:xs="http://www.w3.org/2001/XMLSchema" xmlns:p="http://schemas.microsoft.com/office/2006/metadata/properties" xmlns:ns3="a1d44e63-005e-4378-84ab-417bfafed06e" targetNamespace="http://schemas.microsoft.com/office/2006/metadata/properties" ma:root="true" ma:fieldsID="1491623159157e66c852f5ac6ab33d79" ns3:_="">
    <xsd:import namespace="a1d44e63-005e-4378-84ab-417bfafed0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44e63-005e-4378-84ab-417bfafed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3D42-D984-475E-88C1-ECDF11686D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4BA01E-34BC-4139-88DF-2A787BA7A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44e63-005e-4378-84ab-417bfafed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7DEA5-29BC-45FD-8641-8AFA36D2465C}">
  <ds:schemaRefs>
    <ds:schemaRef ds:uri="http://schemas.microsoft.com/sharepoint/v3/contenttype/forms"/>
  </ds:schemaRefs>
</ds:datastoreItem>
</file>

<file path=customXml/itemProps4.xml><?xml version="1.0" encoding="utf-8"?>
<ds:datastoreItem xmlns:ds="http://schemas.openxmlformats.org/officeDocument/2006/customXml" ds:itemID="{EFF861AB-0494-4913-96FA-6EE44999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Andrea</dc:creator>
  <cp:keywords/>
  <dc:description/>
  <cp:lastModifiedBy>Williams, Aubrie</cp:lastModifiedBy>
  <cp:revision>8</cp:revision>
  <cp:lastPrinted>2024-07-01T19:19:00Z</cp:lastPrinted>
  <dcterms:created xsi:type="dcterms:W3CDTF">2024-10-31T14:22:00Z</dcterms:created>
  <dcterms:modified xsi:type="dcterms:W3CDTF">2024-11-14T17:45:00Z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0x0101001AB48FA394B3534B9BE562F7B8BC2C06</vt:lpwstr>
  </property>
</Properties>
</file>