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3CDE" w14:textId="77777777" w:rsidR="00167B68" w:rsidRPr="00167B68" w:rsidRDefault="00167B68" w:rsidP="00167B68">
      <w:pPr>
        <w:pBdr>
          <w:top w:val="single" w:sz="4" w:space="1" w:color="auto"/>
          <w:left w:val="single" w:sz="4" w:space="4" w:color="auto"/>
          <w:bottom w:val="single" w:sz="4" w:space="1" w:color="auto"/>
          <w:right w:val="single" w:sz="4" w:space="4" w:color="auto"/>
        </w:pBdr>
        <w:ind w:right="5670"/>
        <w:rPr>
          <w:color w:val="FF0000"/>
          <w:szCs w:val="26"/>
        </w:rPr>
      </w:pPr>
      <w:bookmarkStart w:id="0" w:name="_Hlk77839959"/>
      <w:bookmarkStart w:id="1" w:name="_Hlk93577479"/>
      <w:r w:rsidRPr="00167B68">
        <w:rPr>
          <w:color w:val="FF0000"/>
          <w:szCs w:val="26"/>
        </w:rPr>
        <w:t>Approved by the Board of Trustees</w:t>
      </w:r>
    </w:p>
    <w:bookmarkEnd w:id="0"/>
    <w:bookmarkEnd w:id="1"/>
    <w:p w14:paraId="1B51EFE3" w14:textId="77777777" w:rsidR="00167B68" w:rsidRPr="00167B68" w:rsidRDefault="00167B68" w:rsidP="00167B68">
      <w:pPr>
        <w:pBdr>
          <w:top w:val="single" w:sz="4" w:space="1" w:color="auto"/>
          <w:left w:val="single" w:sz="4" w:space="4" w:color="auto"/>
          <w:bottom w:val="single" w:sz="4" w:space="1" w:color="auto"/>
          <w:right w:val="single" w:sz="4" w:space="4" w:color="auto"/>
        </w:pBdr>
        <w:ind w:right="5670"/>
        <w:rPr>
          <w:color w:val="FF0000"/>
          <w:szCs w:val="26"/>
        </w:rPr>
      </w:pPr>
      <w:r w:rsidRPr="00167B68">
        <w:rPr>
          <w:color w:val="FF0000"/>
          <w:szCs w:val="26"/>
        </w:rPr>
        <w:t>November 14, 2024</w:t>
      </w:r>
    </w:p>
    <w:p w14:paraId="3D148B02" w14:textId="6027D545" w:rsidR="00CF4AA4" w:rsidRPr="007032CF" w:rsidRDefault="004E5BCE" w:rsidP="00652AB3">
      <w:pPr>
        <w:pStyle w:val="bdheading1"/>
      </w:pPr>
      <w:r>
        <w:t>21</w:t>
      </w:r>
    </w:p>
    <w:p w14:paraId="58259BAD" w14:textId="77777777" w:rsidR="00AC7F9D" w:rsidRDefault="00AC7F9D" w:rsidP="00652AB3">
      <w:pPr>
        <w:pStyle w:val="bdheading2"/>
        <w:rPr>
          <w:color w:val="FF0000"/>
        </w:rPr>
      </w:pPr>
    </w:p>
    <w:p w14:paraId="35D20E6B" w14:textId="77777777" w:rsidR="00AC7F9D" w:rsidRDefault="00AC7F9D" w:rsidP="00652AB3">
      <w:pPr>
        <w:pStyle w:val="bdheading2"/>
        <w:rPr>
          <w:color w:val="FF0000"/>
        </w:rPr>
      </w:pPr>
    </w:p>
    <w:p w14:paraId="567FFF27" w14:textId="08BD339F" w:rsidR="009B6A47" w:rsidRPr="007032CF" w:rsidRDefault="00C570B7" w:rsidP="00652AB3">
      <w:pPr>
        <w:pStyle w:val="bdheading2"/>
        <w:jc w:val="both"/>
      </w:pPr>
      <w:r>
        <w:tab/>
      </w:r>
      <w:r w:rsidR="009B6A47" w:rsidRPr="007032CF">
        <w:t>Board Meeting</w:t>
      </w:r>
    </w:p>
    <w:p w14:paraId="076C64AC" w14:textId="0ADE2EFC" w:rsidR="009B6A47" w:rsidRPr="007032CF" w:rsidRDefault="009B6A47" w:rsidP="00652AB3">
      <w:pPr>
        <w:pStyle w:val="bdheading2"/>
        <w:tabs>
          <w:tab w:val="left" w:pos="6660"/>
        </w:tabs>
      </w:pPr>
      <w:r w:rsidRPr="007032CF">
        <w:tab/>
      </w:r>
      <w:r w:rsidR="00D50B3C">
        <w:tab/>
      </w:r>
      <w:r w:rsidR="00884709">
        <w:t>November 14</w:t>
      </w:r>
      <w:r w:rsidR="00CF54B4">
        <w:t>, 20</w:t>
      </w:r>
      <w:r w:rsidR="00CF7976">
        <w:t>2</w:t>
      </w:r>
      <w:r w:rsidR="00CF54B4">
        <w:t>4</w:t>
      </w:r>
    </w:p>
    <w:p w14:paraId="645EC45E" w14:textId="77777777" w:rsidR="009B6A47" w:rsidRDefault="009B6A47" w:rsidP="00652AB3">
      <w:pPr>
        <w:pStyle w:val="bdheading2"/>
      </w:pPr>
    </w:p>
    <w:p w14:paraId="22A03898" w14:textId="77777777" w:rsidR="00AC7F9D" w:rsidRPr="007032CF" w:rsidRDefault="00AC7F9D" w:rsidP="00652AB3">
      <w:pPr>
        <w:pStyle w:val="bdheading2"/>
      </w:pPr>
    </w:p>
    <w:p w14:paraId="77A7EF04" w14:textId="77777777" w:rsidR="009B6A47" w:rsidRPr="007032CF" w:rsidRDefault="009B6A47" w:rsidP="00652AB3">
      <w:pPr>
        <w:jc w:val="center"/>
      </w:pPr>
      <w:r w:rsidRPr="007032CF">
        <w:t>ROLL CALL</w:t>
      </w:r>
    </w:p>
    <w:p w14:paraId="00895774" w14:textId="77777777" w:rsidR="009B6A47" w:rsidRPr="007032CF" w:rsidRDefault="009B6A47" w:rsidP="00652AB3">
      <w:pPr>
        <w:jc w:val="center"/>
      </w:pPr>
    </w:p>
    <w:p w14:paraId="2FECBF4E" w14:textId="77777777" w:rsidR="00A364CB" w:rsidRPr="00D315B5" w:rsidRDefault="00DD1425" w:rsidP="00D315B5">
      <w:pPr>
        <w:pStyle w:val="Heading1"/>
      </w:pPr>
      <w:r w:rsidRPr="00D315B5">
        <w:t>APPROVE</w:t>
      </w:r>
      <w:r w:rsidR="009541CF" w:rsidRPr="00D315B5">
        <w:t xml:space="preserve"> PROFESSIONAL S</w:t>
      </w:r>
      <w:r w:rsidR="009D6064" w:rsidRPr="00D315B5">
        <w:t xml:space="preserve">ERVICES AWARD, </w:t>
      </w:r>
    </w:p>
    <w:p w14:paraId="2873D5BA" w14:textId="77777777" w:rsidR="009B6A47" w:rsidRPr="00D315B5" w:rsidRDefault="00CF54B4" w:rsidP="00D315B5">
      <w:pPr>
        <w:pStyle w:val="Heading1"/>
      </w:pPr>
      <w:r w:rsidRPr="00D315B5">
        <w:t xml:space="preserve">COLLEGE OF </w:t>
      </w:r>
      <w:r w:rsidR="00CF7976" w:rsidRPr="00D315B5">
        <w:t xml:space="preserve">ACES </w:t>
      </w:r>
      <w:r w:rsidRPr="00D315B5">
        <w:t>BUILDINGS, URBANA</w:t>
      </w:r>
    </w:p>
    <w:p w14:paraId="5F8E1817" w14:textId="77777777" w:rsidR="00C570B7" w:rsidRPr="007032CF" w:rsidRDefault="00C570B7" w:rsidP="00652AB3">
      <w:pPr>
        <w:jc w:val="center"/>
      </w:pPr>
    </w:p>
    <w:p w14:paraId="7EDAFCFF" w14:textId="77777777" w:rsidR="009B6A47" w:rsidRPr="007032CF" w:rsidRDefault="009B6A47" w:rsidP="00652AB3">
      <w:pPr>
        <w:jc w:val="center"/>
      </w:pPr>
    </w:p>
    <w:p w14:paraId="3228C294" w14:textId="77777777" w:rsidR="009B6A47" w:rsidRDefault="009B6A47" w:rsidP="00652AB3">
      <w:pPr>
        <w:pStyle w:val="bdstyle1"/>
        <w:ind w:left="0" w:firstLine="0"/>
      </w:pPr>
      <w:r w:rsidRPr="007032CF">
        <w:rPr>
          <w:b/>
        </w:rPr>
        <w:t>Action:</w:t>
      </w:r>
      <w:r w:rsidRPr="007032CF">
        <w:tab/>
      </w:r>
      <w:r w:rsidR="00DD1425">
        <w:t xml:space="preserve">Approve </w:t>
      </w:r>
      <w:r w:rsidR="009541CF">
        <w:t xml:space="preserve">Professional Services Award, </w:t>
      </w:r>
      <w:r w:rsidR="00CF54B4">
        <w:t xml:space="preserve">College of </w:t>
      </w:r>
      <w:r w:rsidR="00CF7976">
        <w:t>ACES</w:t>
      </w:r>
      <w:r w:rsidR="009D6064">
        <w:t xml:space="preserve"> </w:t>
      </w:r>
      <w:r w:rsidR="00CF54B4">
        <w:t>Buildings</w:t>
      </w:r>
    </w:p>
    <w:p w14:paraId="60BD7444" w14:textId="77777777" w:rsidR="00A364CB" w:rsidRPr="007032CF" w:rsidRDefault="00A364CB" w:rsidP="00652AB3">
      <w:pPr>
        <w:pStyle w:val="bdstyle1"/>
        <w:ind w:left="0" w:firstLine="0"/>
      </w:pPr>
    </w:p>
    <w:p w14:paraId="3FFE1E09" w14:textId="77777777" w:rsidR="004B6D99" w:rsidRPr="007032CF" w:rsidRDefault="005D221A" w:rsidP="00652AB3">
      <w:pPr>
        <w:pStyle w:val="bdstyle1"/>
        <w:ind w:left="0" w:firstLine="0"/>
        <w:rPr>
          <w:bCs/>
          <w:szCs w:val="26"/>
        </w:rPr>
      </w:pPr>
      <w:r w:rsidRPr="007032CF">
        <w:rPr>
          <w:b/>
        </w:rPr>
        <w:t>Funding:</w:t>
      </w:r>
      <w:r w:rsidRPr="007032CF">
        <w:tab/>
      </w:r>
      <w:r w:rsidR="009541CF" w:rsidRPr="00FD7AEB">
        <w:t>Instit</w:t>
      </w:r>
      <w:r w:rsidR="00CF54B4" w:rsidRPr="00FD7AEB">
        <w:t>utional Funds Operating Budget</w:t>
      </w:r>
    </w:p>
    <w:p w14:paraId="12D3178A" w14:textId="77777777" w:rsidR="004B6D99" w:rsidRDefault="004B6D99" w:rsidP="00652AB3">
      <w:pPr>
        <w:pStyle w:val="bdstyle2"/>
        <w:spacing w:line="240" w:lineRule="auto"/>
        <w:ind w:firstLine="0"/>
        <w:rPr>
          <w:szCs w:val="26"/>
        </w:rPr>
      </w:pPr>
    </w:p>
    <w:p w14:paraId="313F0AC7" w14:textId="77777777" w:rsidR="00D50B3C" w:rsidRPr="007032CF" w:rsidRDefault="00D50B3C" w:rsidP="00652AB3">
      <w:pPr>
        <w:pStyle w:val="bdstyle2"/>
        <w:spacing w:line="240" w:lineRule="auto"/>
        <w:ind w:firstLine="0"/>
        <w:rPr>
          <w:szCs w:val="26"/>
        </w:rPr>
      </w:pPr>
    </w:p>
    <w:p w14:paraId="473ABB8F" w14:textId="3D89BE71" w:rsidR="009541CF" w:rsidRPr="00652AB3" w:rsidRDefault="002141AF" w:rsidP="00652AB3">
      <w:pPr>
        <w:tabs>
          <w:tab w:val="left" w:pos="1440"/>
        </w:tabs>
        <w:overflowPunct/>
        <w:spacing w:line="480" w:lineRule="auto"/>
        <w:ind w:right="43"/>
        <w:textAlignment w:val="auto"/>
        <w:rPr>
          <w:szCs w:val="26"/>
        </w:rPr>
      </w:pPr>
      <w:r w:rsidRPr="00652AB3">
        <w:rPr>
          <w:szCs w:val="26"/>
        </w:rPr>
        <w:tab/>
      </w:r>
      <w:r w:rsidR="009541CF" w:rsidRPr="00652AB3">
        <w:rPr>
          <w:szCs w:val="26"/>
        </w:rPr>
        <w:t>The Public University Energy Conservation Act (110 ILCS 62/1 et se</w:t>
      </w:r>
      <w:r w:rsidR="000C7572" w:rsidRPr="00652AB3">
        <w:rPr>
          <w:szCs w:val="26"/>
        </w:rPr>
        <w:t xml:space="preserve">q.) </w:t>
      </w:r>
      <w:r w:rsidR="009541CF" w:rsidRPr="00652AB3">
        <w:rPr>
          <w:szCs w:val="26"/>
        </w:rPr>
        <w:t>allows the University to undertake “energy conservation measures” (ECMs) by engaging energy service companies</w:t>
      </w:r>
      <w:r w:rsidR="002F4032" w:rsidRPr="00652AB3">
        <w:rPr>
          <w:szCs w:val="26"/>
        </w:rPr>
        <w:t>.</w:t>
      </w:r>
      <w:r w:rsidR="00652AB3" w:rsidRPr="00652AB3">
        <w:rPr>
          <w:szCs w:val="26"/>
        </w:rPr>
        <w:t xml:space="preserve"> T</w:t>
      </w:r>
      <w:r w:rsidR="009541CF" w:rsidRPr="00652AB3">
        <w:rPr>
          <w:szCs w:val="26"/>
        </w:rPr>
        <w:t>he guaranteed energy savings agreement shall include a written guarantee from the energy service company (ESCO) that either the energy or operational costs savings, or both, will meet or exceed within 20 years the costs of the energy conservation measures</w:t>
      </w:r>
      <w:r w:rsidR="00652AB3" w:rsidRPr="00652AB3">
        <w:rPr>
          <w:szCs w:val="26"/>
        </w:rPr>
        <w:t xml:space="preserve">. </w:t>
      </w:r>
      <w:r w:rsidR="009541CF" w:rsidRPr="00652AB3">
        <w:rPr>
          <w:szCs w:val="26"/>
        </w:rPr>
        <w:t>The ESCO shall reimburse the public university for any shortfall of guaranteed energy savings projected in the contract.</w:t>
      </w:r>
    </w:p>
    <w:p w14:paraId="5CBC04E3" w14:textId="68427E5E" w:rsidR="009D6064" w:rsidRPr="00652AB3" w:rsidRDefault="00AC7F9D" w:rsidP="00652AB3">
      <w:pPr>
        <w:tabs>
          <w:tab w:val="left" w:pos="1440"/>
        </w:tabs>
        <w:overflowPunct/>
        <w:spacing w:line="480" w:lineRule="auto"/>
        <w:ind w:right="43"/>
        <w:textAlignment w:val="auto"/>
        <w:rPr>
          <w:szCs w:val="26"/>
        </w:rPr>
      </w:pPr>
      <w:r w:rsidRPr="00652AB3">
        <w:rPr>
          <w:szCs w:val="26"/>
        </w:rPr>
        <w:tab/>
      </w:r>
      <w:r w:rsidR="000C7572" w:rsidRPr="00652AB3">
        <w:rPr>
          <w:szCs w:val="26"/>
        </w:rPr>
        <w:t>The University has identified</w:t>
      </w:r>
      <w:r w:rsidR="00BD0495" w:rsidRPr="00652AB3">
        <w:rPr>
          <w:szCs w:val="26"/>
        </w:rPr>
        <w:t xml:space="preserve"> six </w:t>
      </w:r>
      <w:r w:rsidR="00CF54B4" w:rsidRPr="00652AB3">
        <w:rPr>
          <w:szCs w:val="26"/>
        </w:rPr>
        <w:t xml:space="preserve">College of </w:t>
      </w:r>
      <w:r w:rsidR="00FD7AEB" w:rsidRPr="00652AB3">
        <w:rPr>
          <w:szCs w:val="26"/>
        </w:rPr>
        <w:t>A</w:t>
      </w:r>
      <w:r w:rsidR="00652AB3" w:rsidRPr="00652AB3">
        <w:rPr>
          <w:szCs w:val="26"/>
        </w:rPr>
        <w:t>gricultural, Consumer and Environmental Sciences b</w:t>
      </w:r>
      <w:r w:rsidR="00CF54B4" w:rsidRPr="00652AB3">
        <w:rPr>
          <w:szCs w:val="26"/>
        </w:rPr>
        <w:t>uildings</w:t>
      </w:r>
      <w:r w:rsidR="009D6064" w:rsidRPr="00652AB3">
        <w:rPr>
          <w:szCs w:val="26"/>
        </w:rPr>
        <w:t xml:space="preserve"> </w:t>
      </w:r>
      <w:r w:rsidR="000C7572" w:rsidRPr="00652AB3">
        <w:rPr>
          <w:szCs w:val="26"/>
        </w:rPr>
        <w:t>as candidate</w:t>
      </w:r>
      <w:r w:rsidR="00C570B7" w:rsidRPr="00652AB3">
        <w:rPr>
          <w:szCs w:val="26"/>
        </w:rPr>
        <w:t>s</w:t>
      </w:r>
      <w:r w:rsidR="000C7572" w:rsidRPr="00652AB3">
        <w:rPr>
          <w:szCs w:val="26"/>
        </w:rPr>
        <w:t xml:space="preserve"> for this program</w:t>
      </w:r>
      <w:r w:rsidR="002F4032" w:rsidRPr="00652AB3">
        <w:rPr>
          <w:szCs w:val="26"/>
        </w:rPr>
        <w:t xml:space="preserve">. </w:t>
      </w:r>
      <w:r w:rsidR="000C7572" w:rsidRPr="00652AB3">
        <w:rPr>
          <w:szCs w:val="26"/>
        </w:rPr>
        <w:t>An energy audit</w:t>
      </w:r>
      <w:r w:rsidR="00F71A6E" w:rsidRPr="00652AB3">
        <w:rPr>
          <w:szCs w:val="26"/>
        </w:rPr>
        <w:t xml:space="preserve"> </w:t>
      </w:r>
      <w:r w:rsidR="006466C0" w:rsidRPr="00652AB3">
        <w:rPr>
          <w:szCs w:val="26"/>
        </w:rPr>
        <w:t xml:space="preserve">will be performed on </w:t>
      </w:r>
      <w:r w:rsidR="000C7572" w:rsidRPr="00652AB3">
        <w:rPr>
          <w:szCs w:val="26"/>
        </w:rPr>
        <w:t xml:space="preserve">these buildings to identify </w:t>
      </w:r>
      <w:r w:rsidR="00F71A6E" w:rsidRPr="00652AB3">
        <w:rPr>
          <w:szCs w:val="26"/>
        </w:rPr>
        <w:t xml:space="preserve">ECMs and design these ECMs </w:t>
      </w:r>
      <w:r w:rsidR="000C7572" w:rsidRPr="00652AB3">
        <w:rPr>
          <w:szCs w:val="26"/>
        </w:rPr>
        <w:t>to be implemented</w:t>
      </w:r>
      <w:r w:rsidR="00F71A6E" w:rsidRPr="00652AB3">
        <w:rPr>
          <w:szCs w:val="26"/>
        </w:rPr>
        <w:t xml:space="preserve"> in a subsequent Energy Services Agreement</w:t>
      </w:r>
      <w:r w:rsidR="000C7572" w:rsidRPr="00652AB3">
        <w:rPr>
          <w:szCs w:val="26"/>
        </w:rPr>
        <w:t xml:space="preserve"> through energy savings</w:t>
      </w:r>
      <w:r w:rsidR="009A61C1" w:rsidRPr="00652AB3">
        <w:rPr>
          <w:szCs w:val="26"/>
        </w:rPr>
        <w:t>,</w:t>
      </w:r>
      <w:r w:rsidR="000C7572" w:rsidRPr="00652AB3">
        <w:rPr>
          <w:szCs w:val="26"/>
        </w:rPr>
        <w:t xml:space="preserve"> which </w:t>
      </w:r>
      <w:r w:rsidR="000C7572" w:rsidRPr="00652AB3">
        <w:rPr>
          <w:szCs w:val="26"/>
        </w:rPr>
        <w:lastRenderedPageBreak/>
        <w:t>will fund or repay design and construction costs in accordance with the Public University Energy Conservation Act.</w:t>
      </w:r>
    </w:p>
    <w:p w14:paraId="341467CF" w14:textId="202FF21E" w:rsidR="000C7572" w:rsidRPr="00652AB3" w:rsidRDefault="00AC7F9D" w:rsidP="00652AB3">
      <w:pPr>
        <w:tabs>
          <w:tab w:val="left" w:pos="1440"/>
        </w:tabs>
        <w:overflowPunct/>
        <w:spacing w:line="480" w:lineRule="auto"/>
        <w:ind w:right="43"/>
        <w:textAlignment w:val="auto"/>
        <w:rPr>
          <w:szCs w:val="26"/>
        </w:rPr>
      </w:pPr>
      <w:r w:rsidRPr="00652AB3">
        <w:rPr>
          <w:color w:val="000000"/>
          <w:szCs w:val="26"/>
        </w:rPr>
        <w:tab/>
      </w:r>
      <w:r w:rsidR="000C7572" w:rsidRPr="00652AB3">
        <w:rPr>
          <w:color w:val="000000"/>
          <w:szCs w:val="26"/>
        </w:rPr>
        <w:t xml:space="preserve">The </w:t>
      </w:r>
      <w:r w:rsidR="000C7572" w:rsidRPr="00652AB3">
        <w:rPr>
          <w:szCs w:val="26"/>
        </w:rPr>
        <w:t>ECM</w:t>
      </w:r>
      <w:r w:rsidR="00500EDD" w:rsidRPr="00652AB3">
        <w:rPr>
          <w:szCs w:val="26"/>
        </w:rPr>
        <w:t>s</w:t>
      </w:r>
      <w:r w:rsidR="006B4723" w:rsidRPr="00652AB3">
        <w:rPr>
          <w:szCs w:val="26"/>
        </w:rPr>
        <w:t xml:space="preserve"> </w:t>
      </w:r>
      <w:r w:rsidR="00F71A6E" w:rsidRPr="00652AB3">
        <w:rPr>
          <w:color w:val="231F20"/>
          <w:szCs w:val="26"/>
        </w:rPr>
        <w:t xml:space="preserve">(also referred to herein as the “project”) </w:t>
      </w:r>
      <w:r w:rsidR="006B4723" w:rsidRPr="00652AB3">
        <w:rPr>
          <w:szCs w:val="26"/>
        </w:rPr>
        <w:t xml:space="preserve">for inclusion in the final project </w:t>
      </w:r>
      <w:r w:rsidR="000C7572" w:rsidRPr="00652AB3">
        <w:rPr>
          <w:szCs w:val="26"/>
        </w:rPr>
        <w:t xml:space="preserve">will </w:t>
      </w:r>
      <w:r w:rsidR="006B4723" w:rsidRPr="00652AB3">
        <w:rPr>
          <w:szCs w:val="26"/>
        </w:rPr>
        <w:t xml:space="preserve">be evaluated in this energy audit and may </w:t>
      </w:r>
      <w:r w:rsidR="000C7572" w:rsidRPr="00652AB3">
        <w:rPr>
          <w:szCs w:val="26"/>
        </w:rPr>
        <w:t xml:space="preserve">include, but are not limited to, the </w:t>
      </w:r>
      <w:r w:rsidR="000C7572" w:rsidRPr="00652AB3">
        <w:rPr>
          <w:color w:val="231F20"/>
          <w:szCs w:val="26"/>
        </w:rPr>
        <w:t>installation of items such as lighting retrofits</w:t>
      </w:r>
      <w:r w:rsidR="00E57BF6" w:rsidRPr="00652AB3">
        <w:rPr>
          <w:color w:val="231F20"/>
          <w:szCs w:val="26"/>
        </w:rPr>
        <w:t xml:space="preserve"> and upgrades</w:t>
      </w:r>
      <w:r w:rsidR="000C7572" w:rsidRPr="00652AB3">
        <w:rPr>
          <w:color w:val="231F20"/>
          <w:szCs w:val="26"/>
        </w:rPr>
        <w:t xml:space="preserve">, </w:t>
      </w:r>
      <w:r w:rsidR="000D2102" w:rsidRPr="00652AB3">
        <w:rPr>
          <w:color w:val="231F20"/>
          <w:szCs w:val="26"/>
        </w:rPr>
        <w:t xml:space="preserve">building envelope improvements, water conservation, demand control ventilation, and control system upgrades. </w:t>
      </w:r>
      <w:r w:rsidR="004E0908" w:rsidRPr="00652AB3">
        <w:rPr>
          <w:color w:val="231F20"/>
          <w:szCs w:val="26"/>
        </w:rPr>
        <w:t>ECM</w:t>
      </w:r>
      <w:r w:rsidR="00500EDD" w:rsidRPr="00652AB3">
        <w:rPr>
          <w:color w:val="231F20"/>
          <w:szCs w:val="26"/>
        </w:rPr>
        <w:t>s</w:t>
      </w:r>
      <w:r w:rsidR="004E0908" w:rsidRPr="00652AB3">
        <w:rPr>
          <w:color w:val="231F20"/>
          <w:szCs w:val="26"/>
        </w:rPr>
        <w:t xml:space="preserve"> </w:t>
      </w:r>
      <w:r w:rsidR="00C00EC1" w:rsidRPr="00652AB3">
        <w:rPr>
          <w:color w:val="231F20"/>
          <w:szCs w:val="26"/>
        </w:rPr>
        <w:t xml:space="preserve">may also include </w:t>
      </w:r>
      <w:r w:rsidR="000D2102" w:rsidRPr="00652AB3">
        <w:rPr>
          <w:color w:val="231F20"/>
          <w:szCs w:val="26"/>
        </w:rPr>
        <w:t>retrofitting</w:t>
      </w:r>
      <w:r w:rsidR="000C7572" w:rsidRPr="00652AB3">
        <w:rPr>
          <w:color w:val="231F20"/>
          <w:szCs w:val="26"/>
        </w:rPr>
        <w:t xml:space="preserve"> or replacing</w:t>
      </w:r>
      <w:r w:rsidR="000D2102" w:rsidRPr="00652AB3">
        <w:rPr>
          <w:color w:val="231F20"/>
          <w:szCs w:val="26"/>
        </w:rPr>
        <w:t xml:space="preserve"> fume hoods</w:t>
      </w:r>
      <w:r w:rsidR="000C7572" w:rsidRPr="00652AB3">
        <w:rPr>
          <w:color w:val="231F20"/>
          <w:szCs w:val="26"/>
        </w:rPr>
        <w:t xml:space="preserve">, </w:t>
      </w:r>
      <w:r w:rsidR="000D2102" w:rsidRPr="00652AB3">
        <w:rPr>
          <w:color w:val="231F20"/>
          <w:szCs w:val="26"/>
        </w:rPr>
        <w:t xml:space="preserve">new exhaust fans, a new heat recovery chiller plant, new </w:t>
      </w:r>
      <w:r w:rsidR="000C7572" w:rsidRPr="00652AB3">
        <w:rPr>
          <w:color w:val="231F20"/>
          <w:szCs w:val="26"/>
        </w:rPr>
        <w:t>air handling units</w:t>
      </w:r>
      <w:r w:rsidR="000D2102" w:rsidRPr="00652AB3">
        <w:rPr>
          <w:color w:val="231F20"/>
          <w:szCs w:val="26"/>
        </w:rPr>
        <w:t>, steam trap replacement, and cooling tower repair or replacement</w:t>
      </w:r>
      <w:r w:rsidR="000C7572" w:rsidRPr="00652AB3">
        <w:rPr>
          <w:color w:val="231F20"/>
          <w:szCs w:val="26"/>
        </w:rPr>
        <w:t>.</w:t>
      </w:r>
    </w:p>
    <w:p w14:paraId="0DDF46E5" w14:textId="77777777" w:rsidR="000C7572" w:rsidRPr="00652AB3" w:rsidRDefault="00AC7F9D" w:rsidP="00652AB3">
      <w:pPr>
        <w:tabs>
          <w:tab w:val="left" w:pos="1440"/>
        </w:tabs>
        <w:overflowPunct/>
        <w:spacing w:line="480" w:lineRule="auto"/>
        <w:ind w:right="43"/>
        <w:textAlignment w:val="auto"/>
        <w:rPr>
          <w:color w:val="000000"/>
          <w:szCs w:val="26"/>
        </w:rPr>
      </w:pPr>
      <w:r w:rsidRPr="00652AB3">
        <w:rPr>
          <w:color w:val="000000"/>
          <w:szCs w:val="26"/>
        </w:rPr>
        <w:tab/>
      </w:r>
      <w:proofErr w:type="gramStart"/>
      <w:r w:rsidR="000C7572" w:rsidRPr="00652AB3">
        <w:rPr>
          <w:color w:val="000000"/>
          <w:szCs w:val="26"/>
        </w:rPr>
        <w:t>In order for</w:t>
      </w:r>
      <w:proofErr w:type="gramEnd"/>
      <w:r w:rsidR="000C7572" w:rsidRPr="00652AB3">
        <w:rPr>
          <w:color w:val="000000"/>
          <w:szCs w:val="26"/>
        </w:rPr>
        <w:t xml:space="preserve"> the project to proceed, it is necessary to employ an ESCO for the required professional services. The selection of the ESCO for this project was in accordance with the requirements and provisions of the Public University Energy Conservation Act</w:t>
      </w:r>
      <w:r w:rsidR="004C0A9B" w:rsidRPr="00652AB3">
        <w:rPr>
          <w:color w:val="000000"/>
          <w:szCs w:val="26"/>
        </w:rPr>
        <w:t>.</w:t>
      </w:r>
      <w:r w:rsidR="004C0A9B" w:rsidRPr="00652AB3">
        <w:rPr>
          <w:rStyle w:val="FootnoteReference"/>
          <w:color w:val="000000"/>
          <w:szCs w:val="26"/>
        </w:rPr>
        <w:footnoteReference w:id="1"/>
      </w:r>
    </w:p>
    <w:p w14:paraId="49AF78BC" w14:textId="1E6B4325" w:rsidR="000C7572" w:rsidRPr="00652AB3" w:rsidRDefault="00AC7F9D" w:rsidP="00652AB3">
      <w:pPr>
        <w:tabs>
          <w:tab w:val="left" w:pos="1440"/>
        </w:tabs>
        <w:overflowPunct/>
        <w:spacing w:line="480" w:lineRule="auto"/>
        <w:ind w:right="43"/>
        <w:textAlignment w:val="auto"/>
        <w:rPr>
          <w:color w:val="000000"/>
          <w:szCs w:val="26"/>
        </w:rPr>
      </w:pPr>
      <w:r w:rsidRPr="00652AB3">
        <w:rPr>
          <w:szCs w:val="26"/>
        </w:rPr>
        <w:tab/>
      </w:r>
      <w:r w:rsidR="000C7572" w:rsidRPr="00652AB3">
        <w:rPr>
          <w:szCs w:val="26"/>
        </w:rPr>
        <w:t xml:space="preserve">It is recommended that </w:t>
      </w:r>
      <w:r w:rsidR="006E2F7B" w:rsidRPr="00652AB3">
        <w:rPr>
          <w:szCs w:val="26"/>
        </w:rPr>
        <w:t>Veregy Central</w:t>
      </w:r>
      <w:r w:rsidR="000305AF" w:rsidRPr="00652AB3">
        <w:rPr>
          <w:szCs w:val="26"/>
        </w:rPr>
        <w:t>, LLC</w:t>
      </w:r>
      <w:r w:rsidR="00996DAD" w:rsidRPr="00652AB3">
        <w:rPr>
          <w:szCs w:val="26"/>
        </w:rPr>
        <w:t xml:space="preserve">, </w:t>
      </w:r>
      <w:r w:rsidR="000C7572" w:rsidRPr="00652AB3">
        <w:rPr>
          <w:szCs w:val="26"/>
        </w:rPr>
        <w:t xml:space="preserve">of </w:t>
      </w:r>
      <w:r w:rsidR="006E2F7B" w:rsidRPr="00652AB3">
        <w:rPr>
          <w:szCs w:val="26"/>
        </w:rPr>
        <w:t>Chesterfield</w:t>
      </w:r>
      <w:r w:rsidR="00BB38AD" w:rsidRPr="00652AB3">
        <w:rPr>
          <w:szCs w:val="26"/>
        </w:rPr>
        <w:t xml:space="preserve">, </w:t>
      </w:r>
      <w:r w:rsidR="006E2F7B" w:rsidRPr="00652AB3">
        <w:rPr>
          <w:szCs w:val="26"/>
        </w:rPr>
        <w:t>Missouri</w:t>
      </w:r>
      <w:r w:rsidR="000C7572" w:rsidRPr="00652AB3">
        <w:rPr>
          <w:color w:val="000000"/>
          <w:szCs w:val="26"/>
        </w:rPr>
        <w:t>, be employed for the professional and construction services required through the completion of the project</w:t>
      </w:r>
      <w:r w:rsidR="002F4032" w:rsidRPr="00652AB3">
        <w:rPr>
          <w:color w:val="000000"/>
          <w:szCs w:val="26"/>
        </w:rPr>
        <w:t xml:space="preserve">. </w:t>
      </w:r>
      <w:r w:rsidR="000C7572" w:rsidRPr="00652AB3">
        <w:rPr>
          <w:color w:val="000000"/>
          <w:szCs w:val="26"/>
        </w:rPr>
        <w:t xml:space="preserve">The ESCO’s fee will </w:t>
      </w:r>
      <w:r w:rsidR="00FD7AEB" w:rsidRPr="00652AB3">
        <w:rPr>
          <w:color w:val="000000"/>
          <w:szCs w:val="26"/>
        </w:rPr>
        <w:t xml:space="preserve">not exceed </w:t>
      </w:r>
      <w:r w:rsidR="000C7572" w:rsidRPr="00652AB3">
        <w:rPr>
          <w:color w:val="000000"/>
          <w:szCs w:val="26"/>
        </w:rPr>
        <w:t>$</w:t>
      </w:r>
      <w:r w:rsidR="00DF06A4" w:rsidRPr="00652AB3">
        <w:rPr>
          <w:color w:val="000000"/>
          <w:szCs w:val="26"/>
        </w:rPr>
        <w:t xml:space="preserve">1.5 </w:t>
      </w:r>
      <w:r w:rsidR="00B9033F" w:rsidRPr="00652AB3">
        <w:rPr>
          <w:color w:val="000000"/>
          <w:szCs w:val="26"/>
        </w:rPr>
        <w:t>million</w:t>
      </w:r>
      <w:r w:rsidR="000C7572" w:rsidRPr="00652AB3">
        <w:rPr>
          <w:color w:val="000000"/>
          <w:szCs w:val="26"/>
        </w:rPr>
        <w:t>.</w:t>
      </w:r>
    </w:p>
    <w:p w14:paraId="011A5549" w14:textId="0A6E4401" w:rsidR="00197B2C" w:rsidRPr="00652AB3" w:rsidRDefault="00197B2C" w:rsidP="00652AB3">
      <w:pPr>
        <w:overflowPunct/>
        <w:spacing w:line="480" w:lineRule="auto"/>
        <w:ind w:right="43" w:firstLine="1440"/>
        <w:textAlignment w:val="auto"/>
        <w:rPr>
          <w:szCs w:val="26"/>
        </w:rPr>
      </w:pPr>
      <w:r w:rsidRPr="00652AB3">
        <w:rPr>
          <w:szCs w:val="26"/>
        </w:rPr>
        <w:lastRenderedPageBreak/>
        <w:t xml:space="preserve">Accordingly, the </w:t>
      </w:r>
      <w:r w:rsidR="00C570B7" w:rsidRPr="00652AB3">
        <w:rPr>
          <w:szCs w:val="26"/>
        </w:rPr>
        <w:t>chancellor</w:t>
      </w:r>
      <w:r w:rsidR="003409B1" w:rsidRPr="00652AB3">
        <w:rPr>
          <w:szCs w:val="26"/>
        </w:rPr>
        <w:t>,</w:t>
      </w:r>
      <w:r w:rsidRPr="00652AB3">
        <w:rPr>
          <w:szCs w:val="26"/>
        </w:rPr>
        <w:t xml:space="preserve"> </w:t>
      </w:r>
      <w:r w:rsidR="0021348E" w:rsidRPr="00652AB3">
        <w:rPr>
          <w:szCs w:val="26"/>
        </w:rPr>
        <w:t>U</w:t>
      </w:r>
      <w:r w:rsidR="008D51FB" w:rsidRPr="00652AB3">
        <w:rPr>
          <w:szCs w:val="26"/>
        </w:rPr>
        <w:t>niversity of Illinois Urbana</w:t>
      </w:r>
      <w:r w:rsidR="00C570B7" w:rsidRPr="00652AB3">
        <w:rPr>
          <w:szCs w:val="26"/>
        </w:rPr>
        <w:t>-Champaign</w:t>
      </w:r>
      <w:r w:rsidR="0021348E" w:rsidRPr="00652AB3">
        <w:rPr>
          <w:szCs w:val="26"/>
        </w:rPr>
        <w:t xml:space="preserve">, </w:t>
      </w:r>
      <w:r w:rsidR="009D6064" w:rsidRPr="00652AB3">
        <w:rPr>
          <w:szCs w:val="26"/>
        </w:rPr>
        <w:t xml:space="preserve">and </w:t>
      </w:r>
      <w:r w:rsidR="00C570B7" w:rsidRPr="00652AB3">
        <w:rPr>
          <w:szCs w:val="26"/>
        </w:rPr>
        <w:t>vice president</w:t>
      </w:r>
      <w:r w:rsidR="00D22623" w:rsidRPr="00652AB3">
        <w:rPr>
          <w:szCs w:val="26"/>
        </w:rPr>
        <w:t>,</w:t>
      </w:r>
      <w:r w:rsidR="009D6064" w:rsidRPr="00652AB3">
        <w:rPr>
          <w:szCs w:val="26"/>
        </w:rPr>
        <w:t xml:space="preserve"> </w:t>
      </w:r>
      <w:r w:rsidR="0021348E" w:rsidRPr="00652AB3">
        <w:rPr>
          <w:szCs w:val="26"/>
        </w:rPr>
        <w:t>University of Illinois</w:t>
      </w:r>
      <w:r w:rsidRPr="00652AB3">
        <w:rPr>
          <w:szCs w:val="26"/>
        </w:rPr>
        <w:t xml:space="preserve"> </w:t>
      </w:r>
      <w:r w:rsidR="00D50B3C" w:rsidRPr="00652AB3">
        <w:rPr>
          <w:szCs w:val="26"/>
        </w:rPr>
        <w:t xml:space="preserve">System, </w:t>
      </w:r>
      <w:r w:rsidRPr="00652AB3">
        <w:rPr>
          <w:szCs w:val="26"/>
        </w:rPr>
        <w:t>with the concurrence of the appropriate administrative officers</w:t>
      </w:r>
      <w:r w:rsidR="00580DDA">
        <w:rPr>
          <w:szCs w:val="26"/>
        </w:rPr>
        <w:t>,</w:t>
      </w:r>
      <w:r w:rsidRPr="00652AB3">
        <w:rPr>
          <w:szCs w:val="26"/>
        </w:rPr>
        <w:t xml:space="preserve"> recommends that the professional services award</w:t>
      </w:r>
      <w:r w:rsidR="008D51FB" w:rsidRPr="00652AB3">
        <w:rPr>
          <w:szCs w:val="26"/>
        </w:rPr>
        <w:t xml:space="preserve"> </w:t>
      </w:r>
      <w:r w:rsidRPr="00652AB3">
        <w:rPr>
          <w:szCs w:val="26"/>
        </w:rPr>
        <w:t xml:space="preserve">for Energy Performance Contracting on the </w:t>
      </w:r>
      <w:r w:rsidR="008D51FB" w:rsidRPr="00652AB3">
        <w:rPr>
          <w:szCs w:val="26"/>
        </w:rPr>
        <w:t xml:space="preserve">College of </w:t>
      </w:r>
      <w:r w:rsidR="00B9033F" w:rsidRPr="00652AB3">
        <w:rPr>
          <w:szCs w:val="26"/>
        </w:rPr>
        <w:t>ACES</w:t>
      </w:r>
      <w:r w:rsidR="008D51FB" w:rsidRPr="00652AB3">
        <w:rPr>
          <w:szCs w:val="26"/>
        </w:rPr>
        <w:t xml:space="preserve"> EPC Project </w:t>
      </w:r>
      <w:r w:rsidR="00B9033F" w:rsidRPr="00652AB3">
        <w:rPr>
          <w:szCs w:val="26"/>
        </w:rPr>
        <w:t>007</w:t>
      </w:r>
      <w:r w:rsidR="008D51FB" w:rsidRPr="00652AB3">
        <w:rPr>
          <w:szCs w:val="26"/>
        </w:rPr>
        <w:t xml:space="preserve"> at Urbana</w:t>
      </w:r>
      <w:r w:rsidRPr="00652AB3">
        <w:rPr>
          <w:szCs w:val="26"/>
        </w:rPr>
        <w:t xml:space="preserve"> be approved.</w:t>
      </w:r>
    </w:p>
    <w:p w14:paraId="6A467183" w14:textId="77777777" w:rsidR="00197B2C" w:rsidRPr="00652AB3" w:rsidRDefault="00197B2C" w:rsidP="00652AB3">
      <w:pPr>
        <w:overflowPunct/>
        <w:spacing w:line="480" w:lineRule="auto"/>
        <w:ind w:right="43" w:firstLine="1440"/>
        <w:textAlignment w:val="auto"/>
        <w:rPr>
          <w:szCs w:val="26"/>
        </w:rPr>
      </w:pPr>
      <w:r w:rsidRPr="00652AB3">
        <w:rPr>
          <w:szCs w:val="26"/>
        </w:rPr>
        <w:t xml:space="preserve">The Board action recommended in this item complies in all material respects with applicable State and federal laws, University of Illinois </w:t>
      </w:r>
      <w:r w:rsidRPr="00652AB3">
        <w:rPr>
          <w:i/>
          <w:iCs/>
          <w:szCs w:val="26"/>
        </w:rPr>
        <w:t>Statutes</w:t>
      </w:r>
      <w:r w:rsidRPr="00652AB3">
        <w:rPr>
          <w:szCs w:val="26"/>
        </w:rPr>
        <w:t xml:space="preserve">, </w:t>
      </w:r>
      <w:r w:rsidRPr="00652AB3">
        <w:rPr>
          <w:i/>
          <w:iCs/>
          <w:szCs w:val="26"/>
        </w:rPr>
        <w:t>The General Rules Concerning University Organization and</w:t>
      </w:r>
      <w:r w:rsidR="00752091" w:rsidRPr="00652AB3">
        <w:rPr>
          <w:i/>
          <w:iCs/>
          <w:szCs w:val="26"/>
        </w:rPr>
        <w:t xml:space="preserve"> </w:t>
      </w:r>
      <w:r w:rsidRPr="00652AB3">
        <w:rPr>
          <w:i/>
          <w:iCs/>
          <w:szCs w:val="26"/>
        </w:rPr>
        <w:t>Procedure</w:t>
      </w:r>
      <w:r w:rsidRPr="00652AB3">
        <w:rPr>
          <w:szCs w:val="26"/>
        </w:rPr>
        <w:t>, and Board of Trustees policies and directives.</w:t>
      </w:r>
    </w:p>
    <w:p w14:paraId="332C4DC7" w14:textId="7741DCAC" w:rsidR="00C570B7" w:rsidRPr="00652AB3" w:rsidRDefault="00C570B7" w:rsidP="00652AB3">
      <w:pPr>
        <w:overflowPunct/>
        <w:spacing w:line="480" w:lineRule="auto"/>
        <w:ind w:right="43" w:firstLine="1440"/>
        <w:textAlignment w:val="auto"/>
        <w:rPr>
          <w:szCs w:val="26"/>
        </w:rPr>
      </w:pPr>
      <w:r w:rsidRPr="00652AB3">
        <w:rPr>
          <w:szCs w:val="26"/>
        </w:rPr>
        <w:t>Funds for this project will be available from the institutional funds operating budget of the University of Illinois Urbana-Champaign with an anticipated resulting account that will be reimbursed through guaranteed energy cost savings.</w:t>
      </w:r>
    </w:p>
    <w:p w14:paraId="2B7D9DF0" w14:textId="2C880E82" w:rsidR="00197B2C" w:rsidRPr="00652AB3" w:rsidRDefault="00197B2C" w:rsidP="00580DDA">
      <w:pPr>
        <w:overflowPunct/>
        <w:spacing w:line="480" w:lineRule="auto"/>
        <w:ind w:left="720" w:right="43" w:firstLine="720"/>
        <w:textAlignment w:val="auto"/>
        <w:rPr>
          <w:szCs w:val="26"/>
        </w:rPr>
      </w:pPr>
      <w:r w:rsidRPr="00652AB3">
        <w:rPr>
          <w:szCs w:val="26"/>
        </w:rPr>
        <w:t xml:space="preserve">The </w:t>
      </w:r>
      <w:r w:rsidR="00C570B7" w:rsidRPr="00652AB3">
        <w:rPr>
          <w:szCs w:val="26"/>
        </w:rPr>
        <w:t xml:space="preserve">president </w:t>
      </w:r>
      <w:r w:rsidRPr="00652AB3">
        <w:rPr>
          <w:szCs w:val="26"/>
        </w:rPr>
        <w:t>of the University</w:t>
      </w:r>
      <w:r w:rsidR="00580DDA">
        <w:rPr>
          <w:szCs w:val="26"/>
        </w:rPr>
        <w:t xml:space="preserve"> of Illinois System</w:t>
      </w:r>
      <w:r w:rsidRPr="00652AB3">
        <w:rPr>
          <w:szCs w:val="26"/>
        </w:rPr>
        <w:t xml:space="preserve"> concurs.</w:t>
      </w:r>
    </w:p>
    <w:p w14:paraId="5A50C4D0" w14:textId="77777777" w:rsidR="00D50B3C" w:rsidRPr="00580DDA" w:rsidRDefault="00D50B3C" w:rsidP="00D50B3C">
      <w:pPr>
        <w:overflowPunct/>
        <w:spacing w:line="480" w:lineRule="auto"/>
        <w:ind w:left="1560" w:right="43"/>
        <w:textAlignment w:val="auto"/>
        <w:rPr>
          <w:szCs w:val="26"/>
        </w:rPr>
      </w:pPr>
    </w:p>
    <w:p w14:paraId="407290D3" w14:textId="399D0B3E" w:rsidR="00C570B7" w:rsidRPr="00580DDA" w:rsidRDefault="000B5DE5" w:rsidP="000B5DE5">
      <w:pPr>
        <w:pStyle w:val="bdstyle2"/>
        <w:ind w:firstLine="0"/>
        <w:rPr>
          <w:szCs w:val="26"/>
        </w:rPr>
      </w:pPr>
      <w:r w:rsidRPr="00580DDA">
        <w:rPr>
          <w:szCs w:val="26"/>
        </w:rPr>
        <w:t>Table 1: Diverse Vendor Utilization</w:t>
      </w:r>
    </w:p>
    <w:tbl>
      <w:tblPr>
        <w:tblW w:w="9460" w:type="dxa"/>
        <w:tblLook w:val="04A0" w:firstRow="1" w:lastRow="0" w:firstColumn="1" w:lastColumn="0" w:noHBand="0" w:noVBand="1"/>
      </w:tblPr>
      <w:tblGrid>
        <w:gridCol w:w="3705"/>
        <w:gridCol w:w="2115"/>
        <w:gridCol w:w="1820"/>
        <w:gridCol w:w="1820"/>
      </w:tblGrid>
      <w:tr w:rsidR="000B5DE5" w:rsidRPr="00580DDA" w14:paraId="7EC38D2E" w14:textId="77777777" w:rsidTr="000B5DE5">
        <w:trPr>
          <w:trHeight w:val="1275"/>
        </w:trPr>
        <w:tc>
          <w:tcPr>
            <w:tcW w:w="4190"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54E75332"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Awarded Vendor</w:t>
            </w:r>
          </w:p>
        </w:tc>
        <w:tc>
          <w:tcPr>
            <w:tcW w:w="2184" w:type="dxa"/>
            <w:tcBorders>
              <w:top w:val="single" w:sz="8" w:space="0" w:color="auto"/>
              <w:left w:val="nil"/>
              <w:bottom w:val="single" w:sz="8" w:space="0" w:color="auto"/>
              <w:right w:val="single" w:sz="4" w:space="0" w:color="auto"/>
            </w:tcBorders>
            <w:shd w:val="clear" w:color="000000" w:fill="DDEBF7"/>
            <w:vAlign w:val="bottom"/>
            <w:hideMark/>
          </w:tcPr>
          <w:p w14:paraId="496F788F"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Prime Contract $ / Diverse Subcontractor Certification</w:t>
            </w:r>
          </w:p>
        </w:tc>
        <w:tc>
          <w:tcPr>
            <w:tcW w:w="1576" w:type="dxa"/>
            <w:tcBorders>
              <w:top w:val="single" w:sz="8" w:space="0" w:color="auto"/>
              <w:left w:val="nil"/>
              <w:bottom w:val="single" w:sz="8" w:space="0" w:color="auto"/>
              <w:right w:val="single" w:sz="4" w:space="0" w:color="auto"/>
            </w:tcBorders>
            <w:shd w:val="clear" w:color="000000" w:fill="DDEBF7"/>
            <w:vAlign w:val="bottom"/>
            <w:hideMark/>
          </w:tcPr>
          <w:p w14:paraId="5470E628"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Diverse Subcontractor Value</w:t>
            </w:r>
          </w:p>
        </w:tc>
        <w:tc>
          <w:tcPr>
            <w:tcW w:w="1510" w:type="dxa"/>
            <w:tcBorders>
              <w:top w:val="single" w:sz="8" w:space="0" w:color="auto"/>
              <w:left w:val="nil"/>
              <w:bottom w:val="single" w:sz="8" w:space="0" w:color="auto"/>
              <w:right w:val="single" w:sz="8" w:space="0" w:color="auto"/>
            </w:tcBorders>
            <w:shd w:val="clear" w:color="000000" w:fill="DDEBF7"/>
            <w:vAlign w:val="bottom"/>
            <w:hideMark/>
          </w:tcPr>
          <w:p w14:paraId="0A3A6F11"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Subcontractor % of Work</w:t>
            </w:r>
          </w:p>
        </w:tc>
      </w:tr>
      <w:tr w:rsidR="000B5DE5" w:rsidRPr="00580DDA" w14:paraId="4AC299A4" w14:textId="77777777" w:rsidTr="000B5DE5">
        <w:trPr>
          <w:trHeight w:val="315"/>
        </w:trPr>
        <w:tc>
          <w:tcPr>
            <w:tcW w:w="4190" w:type="dxa"/>
            <w:tcBorders>
              <w:top w:val="nil"/>
              <w:left w:val="single" w:sz="8" w:space="0" w:color="auto"/>
              <w:bottom w:val="nil"/>
              <w:right w:val="single" w:sz="4" w:space="0" w:color="auto"/>
            </w:tcBorders>
            <w:shd w:val="clear" w:color="auto" w:fill="auto"/>
            <w:hideMark/>
          </w:tcPr>
          <w:p w14:paraId="2F0C0BC8" w14:textId="603C567E" w:rsidR="00580DDA" w:rsidRPr="00580DDA" w:rsidRDefault="000B5DE5" w:rsidP="00580DDA">
            <w:pPr>
              <w:overflowPunct/>
              <w:autoSpaceDE/>
              <w:autoSpaceDN/>
              <w:adjustRightInd/>
              <w:jc w:val="center"/>
              <w:textAlignment w:val="auto"/>
              <w:rPr>
                <w:color w:val="000000"/>
                <w:szCs w:val="26"/>
              </w:rPr>
            </w:pPr>
            <w:proofErr w:type="spellStart"/>
            <w:r w:rsidRPr="00580DDA">
              <w:rPr>
                <w:color w:val="000000"/>
                <w:szCs w:val="26"/>
              </w:rPr>
              <w:t>Veregy</w:t>
            </w:r>
            <w:proofErr w:type="spellEnd"/>
            <w:r w:rsidRPr="00580DDA">
              <w:rPr>
                <w:color w:val="000000"/>
                <w:szCs w:val="26"/>
              </w:rPr>
              <w:t xml:space="preserve"> Central, LLC</w:t>
            </w:r>
          </w:p>
        </w:tc>
        <w:tc>
          <w:tcPr>
            <w:tcW w:w="2184" w:type="dxa"/>
            <w:tcBorders>
              <w:top w:val="nil"/>
              <w:left w:val="nil"/>
              <w:bottom w:val="single" w:sz="4" w:space="0" w:color="auto"/>
              <w:right w:val="single" w:sz="4" w:space="0" w:color="auto"/>
            </w:tcBorders>
            <w:shd w:val="clear" w:color="auto" w:fill="auto"/>
            <w:hideMark/>
          </w:tcPr>
          <w:p w14:paraId="7C2CCB0C"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xml:space="preserve">$1,500,000 </w:t>
            </w:r>
          </w:p>
        </w:tc>
        <w:tc>
          <w:tcPr>
            <w:tcW w:w="1576" w:type="dxa"/>
            <w:tcBorders>
              <w:top w:val="nil"/>
              <w:left w:val="nil"/>
              <w:bottom w:val="single" w:sz="4" w:space="0" w:color="auto"/>
              <w:right w:val="single" w:sz="4" w:space="0" w:color="auto"/>
            </w:tcBorders>
            <w:shd w:val="clear" w:color="auto" w:fill="auto"/>
            <w:hideMark/>
          </w:tcPr>
          <w:p w14:paraId="5D7691EE"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1510" w:type="dxa"/>
            <w:tcBorders>
              <w:top w:val="nil"/>
              <w:left w:val="nil"/>
              <w:bottom w:val="single" w:sz="4" w:space="0" w:color="auto"/>
              <w:right w:val="single" w:sz="8" w:space="0" w:color="auto"/>
            </w:tcBorders>
            <w:shd w:val="clear" w:color="auto" w:fill="auto"/>
            <w:noWrap/>
            <w:hideMark/>
          </w:tcPr>
          <w:p w14:paraId="28C939FE"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r>
      <w:tr w:rsidR="000B5DE5" w:rsidRPr="00580DDA" w14:paraId="5DEF7AAE" w14:textId="77777777" w:rsidTr="000B5DE5">
        <w:trPr>
          <w:trHeight w:val="315"/>
        </w:trPr>
        <w:tc>
          <w:tcPr>
            <w:tcW w:w="4190" w:type="dxa"/>
            <w:tcBorders>
              <w:top w:val="nil"/>
              <w:left w:val="single" w:sz="8" w:space="0" w:color="auto"/>
              <w:bottom w:val="nil"/>
              <w:right w:val="single" w:sz="4" w:space="0" w:color="auto"/>
            </w:tcBorders>
            <w:shd w:val="clear" w:color="auto" w:fill="auto"/>
            <w:hideMark/>
          </w:tcPr>
          <w:p w14:paraId="268D16A6" w14:textId="26258272"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r w:rsidR="00580DDA" w:rsidRPr="00580DDA">
              <w:rPr>
                <w:color w:val="000000"/>
                <w:szCs w:val="26"/>
              </w:rPr>
              <w:t>Chesterfield, MO</w:t>
            </w:r>
          </w:p>
        </w:tc>
        <w:tc>
          <w:tcPr>
            <w:tcW w:w="2184" w:type="dxa"/>
            <w:tcBorders>
              <w:top w:val="nil"/>
              <w:left w:val="nil"/>
              <w:bottom w:val="single" w:sz="4" w:space="0" w:color="auto"/>
              <w:right w:val="single" w:sz="4" w:space="0" w:color="auto"/>
            </w:tcBorders>
            <w:shd w:val="clear" w:color="auto" w:fill="auto"/>
            <w:hideMark/>
          </w:tcPr>
          <w:p w14:paraId="0DAAB1A1"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1576" w:type="dxa"/>
            <w:tcBorders>
              <w:top w:val="nil"/>
              <w:left w:val="nil"/>
              <w:bottom w:val="nil"/>
              <w:right w:val="single" w:sz="4" w:space="0" w:color="auto"/>
            </w:tcBorders>
            <w:shd w:val="clear" w:color="auto" w:fill="auto"/>
            <w:hideMark/>
          </w:tcPr>
          <w:p w14:paraId="686D205D"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1510" w:type="dxa"/>
            <w:tcBorders>
              <w:top w:val="nil"/>
              <w:left w:val="nil"/>
              <w:bottom w:val="nil"/>
              <w:right w:val="single" w:sz="8" w:space="0" w:color="auto"/>
            </w:tcBorders>
            <w:shd w:val="clear" w:color="auto" w:fill="auto"/>
            <w:noWrap/>
            <w:hideMark/>
          </w:tcPr>
          <w:p w14:paraId="3D7F7670"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r>
      <w:tr w:rsidR="000B5DE5" w:rsidRPr="00580DDA" w14:paraId="4A12B348" w14:textId="77777777" w:rsidTr="000B5DE5">
        <w:trPr>
          <w:trHeight w:val="315"/>
        </w:trPr>
        <w:tc>
          <w:tcPr>
            <w:tcW w:w="4190" w:type="dxa"/>
            <w:tcBorders>
              <w:top w:val="nil"/>
              <w:left w:val="single" w:sz="8" w:space="0" w:color="auto"/>
              <w:bottom w:val="nil"/>
              <w:right w:val="single" w:sz="4" w:space="0" w:color="auto"/>
            </w:tcBorders>
            <w:shd w:val="clear" w:color="auto" w:fill="auto"/>
            <w:hideMark/>
          </w:tcPr>
          <w:p w14:paraId="474256CD"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2184" w:type="dxa"/>
            <w:tcBorders>
              <w:top w:val="nil"/>
              <w:left w:val="nil"/>
              <w:bottom w:val="single" w:sz="4" w:space="0" w:color="auto"/>
              <w:right w:val="single" w:sz="4" w:space="0" w:color="auto"/>
            </w:tcBorders>
            <w:shd w:val="clear" w:color="auto" w:fill="auto"/>
            <w:hideMark/>
          </w:tcPr>
          <w:p w14:paraId="5708DE66"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MBE (AFA)</w:t>
            </w:r>
          </w:p>
        </w:tc>
        <w:tc>
          <w:tcPr>
            <w:tcW w:w="1576" w:type="dxa"/>
            <w:tcBorders>
              <w:top w:val="single" w:sz="4" w:space="0" w:color="auto"/>
              <w:left w:val="nil"/>
              <w:bottom w:val="nil"/>
              <w:right w:val="single" w:sz="4" w:space="0" w:color="auto"/>
            </w:tcBorders>
            <w:shd w:val="clear" w:color="auto" w:fill="auto"/>
            <w:hideMark/>
          </w:tcPr>
          <w:p w14:paraId="0A48C66D"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$0</w:t>
            </w:r>
          </w:p>
        </w:tc>
        <w:tc>
          <w:tcPr>
            <w:tcW w:w="1510" w:type="dxa"/>
            <w:tcBorders>
              <w:top w:val="single" w:sz="4" w:space="0" w:color="auto"/>
              <w:left w:val="nil"/>
              <w:bottom w:val="nil"/>
              <w:right w:val="single" w:sz="8" w:space="0" w:color="auto"/>
            </w:tcBorders>
            <w:shd w:val="clear" w:color="auto" w:fill="auto"/>
            <w:noWrap/>
            <w:hideMark/>
          </w:tcPr>
          <w:p w14:paraId="24F0EF22"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0%</w:t>
            </w:r>
          </w:p>
        </w:tc>
      </w:tr>
      <w:tr w:rsidR="000B5DE5" w:rsidRPr="00580DDA" w14:paraId="1A64E89A" w14:textId="77777777" w:rsidTr="000B5DE5">
        <w:trPr>
          <w:trHeight w:val="330"/>
        </w:trPr>
        <w:tc>
          <w:tcPr>
            <w:tcW w:w="4190" w:type="dxa"/>
            <w:tcBorders>
              <w:top w:val="nil"/>
              <w:left w:val="single" w:sz="8" w:space="0" w:color="auto"/>
              <w:bottom w:val="nil"/>
              <w:right w:val="single" w:sz="4" w:space="0" w:color="auto"/>
            </w:tcBorders>
            <w:shd w:val="clear" w:color="auto" w:fill="auto"/>
            <w:hideMark/>
          </w:tcPr>
          <w:p w14:paraId="4A74B962"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2184" w:type="dxa"/>
            <w:tcBorders>
              <w:top w:val="nil"/>
              <w:left w:val="nil"/>
              <w:bottom w:val="single" w:sz="4" w:space="0" w:color="auto"/>
              <w:right w:val="single" w:sz="4" w:space="0" w:color="auto"/>
            </w:tcBorders>
            <w:shd w:val="clear" w:color="auto" w:fill="auto"/>
            <w:hideMark/>
          </w:tcPr>
          <w:p w14:paraId="7AF8B17A"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MBE (HA)</w:t>
            </w:r>
          </w:p>
        </w:tc>
        <w:tc>
          <w:tcPr>
            <w:tcW w:w="1576" w:type="dxa"/>
            <w:tcBorders>
              <w:top w:val="single" w:sz="4" w:space="0" w:color="auto"/>
              <w:left w:val="nil"/>
              <w:bottom w:val="single" w:sz="4" w:space="0" w:color="auto"/>
              <w:right w:val="single" w:sz="4" w:space="0" w:color="auto"/>
            </w:tcBorders>
            <w:shd w:val="clear" w:color="auto" w:fill="auto"/>
            <w:hideMark/>
          </w:tcPr>
          <w:p w14:paraId="31BD7D19"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$399,000</w:t>
            </w:r>
          </w:p>
        </w:tc>
        <w:tc>
          <w:tcPr>
            <w:tcW w:w="1510" w:type="dxa"/>
            <w:tcBorders>
              <w:top w:val="single" w:sz="4" w:space="0" w:color="auto"/>
              <w:left w:val="nil"/>
              <w:bottom w:val="single" w:sz="4" w:space="0" w:color="auto"/>
              <w:right w:val="single" w:sz="8" w:space="0" w:color="auto"/>
            </w:tcBorders>
            <w:shd w:val="clear" w:color="auto" w:fill="auto"/>
            <w:noWrap/>
            <w:hideMark/>
          </w:tcPr>
          <w:p w14:paraId="4D74F196"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27%</w:t>
            </w:r>
          </w:p>
        </w:tc>
      </w:tr>
      <w:tr w:rsidR="000B5DE5" w:rsidRPr="00580DDA" w14:paraId="0DC056A0" w14:textId="77777777" w:rsidTr="000B5DE5">
        <w:trPr>
          <w:trHeight w:val="315"/>
        </w:trPr>
        <w:tc>
          <w:tcPr>
            <w:tcW w:w="4190" w:type="dxa"/>
            <w:tcBorders>
              <w:top w:val="nil"/>
              <w:left w:val="single" w:sz="8" w:space="0" w:color="auto"/>
              <w:bottom w:val="nil"/>
              <w:right w:val="single" w:sz="4" w:space="0" w:color="auto"/>
            </w:tcBorders>
            <w:shd w:val="clear" w:color="auto" w:fill="auto"/>
            <w:hideMark/>
          </w:tcPr>
          <w:p w14:paraId="2C3C1F02"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2184" w:type="dxa"/>
            <w:tcBorders>
              <w:top w:val="nil"/>
              <w:left w:val="nil"/>
              <w:bottom w:val="nil"/>
              <w:right w:val="single" w:sz="4" w:space="0" w:color="auto"/>
            </w:tcBorders>
            <w:shd w:val="clear" w:color="auto" w:fill="auto"/>
            <w:hideMark/>
          </w:tcPr>
          <w:p w14:paraId="197E5902"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VOSB</w:t>
            </w:r>
          </w:p>
        </w:tc>
        <w:tc>
          <w:tcPr>
            <w:tcW w:w="1576" w:type="dxa"/>
            <w:tcBorders>
              <w:top w:val="nil"/>
              <w:left w:val="nil"/>
              <w:bottom w:val="nil"/>
              <w:right w:val="single" w:sz="4" w:space="0" w:color="auto"/>
            </w:tcBorders>
            <w:shd w:val="clear" w:color="auto" w:fill="auto"/>
            <w:hideMark/>
          </w:tcPr>
          <w:p w14:paraId="1F296DEE"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$45,000</w:t>
            </w:r>
          </w:p>
        </w:tc>
        <w:tc>
          <w:tcPr>
            <w:tcW w:w="1510" w:type="dxa"/>
            <w:tcBorders>
              <w:top w:val="nil"/>
              <w:left w:val="nil"/>
              <w:bottom w:val="single" w:sz="4" w:space="0" w:color="auto"/>
              <w:right w:val="single" w:sz="8" w:space="0" w:color="auto"/>
            </w:tcBorders>
            <w:shd w:val="clear" w:color="auto" w:fill="auto"/>
            <w:noWrap/>
            <w:hideMark/>
          </w:tcPr>
          <w:p w14:paraId="136B12E3"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3%</w:t>
            </w:r>
          </w:p>
        </w:tc>
      </w:tr>
      <w:tr w:rsidR="000B5DE5" w:rsidRPr="00580DDA" w14:paraId="59D41F4C" w14:textId="77777777" w:rsidTr="000B5DE5">
        <w:trPr>
          <w:trHeight w:val="315"/>
        </w:trPr>
        <w:tc>
          <w:tcPr>
            <w:tcW w:w="4190" w:type="dxa"/>
            <w:tcBorders>
              <w:top w:val="nil"/>
              <w:left w:val="single" w:sz="8" w:space="0" w:color="auto"/>
              <w:bottom w:val="nil"/>
              <w:right w:val="single" w:sz="4" w:space="0" w:color="auto"/>
            </w:tcBorders>
            <w:shd w:val="clear" w:color="auto" w:fill="auto"/>
            <w:hideMark/>
          </w:tcPr>
          <w:p w14:paraId="26C7E888"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2184" w:type="dxa"/>
            <w:tcBorders>
              <w:top w:val="single" w:sz="4" w:space="0" w:color="auto"/>
              <w:left w:val="nil"/>
              <w:bottom w:val="nil"/>
              <w:right w:val="single" w:sz="4" w:space="0" w:color="auto"/>
            </w:tcBorders>
            <w:shd w:val="clear" w:color="auto" w:fill="auto"/>
            <w:hideMark/>
          </w:tcPr>
          <w:p w14:paraId="5E3069EB"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WBE</w:t>
            </w:r>
          </w:p>
        </w:tc>
        <w:tc>
          <w:tcPr>
            <w:tcW w:w="1576" w:type="dxa"/>
            <w:tcBorders>
              <w:top w:val="single" w:sz="4" w:space="0" w:color="auto"/>
              <w:left w:val="nil"/>
              <w:bottom w:val="nil"/>
              <w:right w:val="single" w:sz="4" w:space="0" w:color="auto"/>
            </w:tcBorders>
            <w:shd w:val="clear" w:color="auto" w:fill="auto"/>
            <w:hideMark/>
          </w:tcPr>
          <w:p w14:paraId="025C4546"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$51,900</w:t>
            </w:r>
          </w:p>
        </w:tc>
        <w:tc>
          <w:tcPr>
            <w:tcW w:w="1510" w:type="dxa"/>
            <w:tcBorders>
              <w:top w:val="nil"/>
              <w:left w:val="nil"/>
              <w:bottom w:val="single" w:sz="4" w:space="0" w:color="auto"/>
              <w:right w:val="single" w:sz="8" w:space="0" w:color="auto"/>
            </w:tcBorders>
            <w:shd w:val="clear" w:color="auto" w:fill="auto"/>
            <w:noWrap/>
            <w:hideMark/>
          </w:tcPr>
          <w:p w14:paraId="28DA4D4C"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3%</w:t>
            </w:r>
          </w:p>
        </w:tc>
      </w:tr>
      <w:tr w:rsidR="000B5DE5" w:rsidRPr="00580DDA" w14:paraId="236C55AA" w14:textId="77777777" w:rsidTr="000B5DE5">
        <w:trPr>
          <w:trHeight w:val="330"/>
        </w:trPr>
        <w:tc>
          <w:tcPr>
            <w:tcW w:w="4190" w:type="dxa"/>
            <w:tcBorders>
              <w:top w:val="nil"/>
              <w:left w:val="single" w:sz="8" w:space="0" w:color="auto"/>
              <w:bottom w:val="single" w:sz="8" w:space="0" w:color="auto"/>
              <w:right w:val="single" w:sz="4" w:space="0" w:color="auto"/>
            </w:tcBorders>
            <w:shd w:val="clear" w:color="auto" w:fill="auto"/>
            <w:hideMark/>
          </w:tcPr>
          <w:p w14:paraId="39C18A6A" w14:textId="77777777" w:rsidR="000B5DE5" w:rsidRPr="00580DDA" w:rsidRDefault="000B5DE5" w:rsidP="000B5DE5">
            <w:pPr>
              <w:overflowPunct/>
              <w:autoSpaceDE/>
              <w:autoSpaceDN/>
              <w:adjustRightInd/>
              <w:jc w:val="center"/>
              <w:textAlignment w:val="auto"/>
              <w:rPr>
                <w:color w:val="000000"/>
                <w:szCs w:val="26"/>
              </w:rPr>
            </w:pPr>
            <w:r w:rsidRPr="00580DDA">
              <w:rPr>
                <w:color w:val="000000"/>
                <w:szCs w:val="26"/>
              </w:rPr>
              <w:t> </w:t>
            </w:r>
          </w:p>
        </w:tc>
        <w:tc>
          <w:tcPr>
            <w:tcW w:w="2184" w:type="dxa"/>
            <w:tcBorders>
              <w:top w:val="single" w:sz="4" w:space="0" w:color="auto"/>
              <w:left w:val="nil"/>
              <w:bottom w:val="single" w:sz="8" w:space="0" w:color="auto"/>
              <w:right w:val="single" w:sz="4" w:space="0" w:color="auto"/>
            </w:tcBorders>
            <w:shd w:val="clear" w:color="auto" w:fill="auto"/>
            <w:hideMark/>
          </w:tcPr>
          <w:p w14:paraId="50E7DC40"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 </w:t>
            </w:r>
          </w:p>
        </w:tc>
        <w:tc>
          <w:tcPr>
            <w:tcW w:w="1576" w:type="dxa"/>
            <w:tcBorders>
              <w:top w:val="single" w:sz="4" w:space="0" w:color="auto"/>
              <w:left w:val="nil"/>
              <w:bottom w:val="single" w:sz="8" w:space="0" w:color="auto"/>
              <w:right w:val="single" w:sz="4" w:space="0" w:color="auto"/>
            </w:tcBorders>
            <w:shd w:val="clear" w:color="auto" w:fill="auto"/>
            <w:hideMark/>
          </w:tcPr>
          <w:p w14:paraId="69F9519F"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$495,900</w:t>
            </w:r>
          </w:p>
        </w:tc>
        <w:tc>
          <w:tcPr>
            <w:tcW w:w="1510" w:type="dxa"/>
            <w:tcBorders>
              <w:top w:val="nil"/>
              <w:left w:val="nil"/>
              <w:bottom w:val="single" w:sz="8" w:space="0" w:color="auto"/>
              <w:right w:val="single" w:sz="8" w:space="0" w:color="auto"/>
            </w:tcBorders>
            <w:shd w:val="clear" w:color="auto" w:fill="auto"/>
            <w:noWrap/>
            <w:hideMark/>
          </w:tcPr>
          <w:p w14:paraId="1CBD40D1" w14:textId="77777777" w:rsidR="000B5DE5" w:rsidRPr="00580DDA" w:rsidRDefault="000B5DE5" w:rsidP="000B5DE5">
            <w:pPr>
              <w:overflowPunct/>
              <w:autoSpaceDE/>
              <w:autoSpaceDN/>
              <w:adjustRightInd/>
              <w:jc w:val="center"/>
              <w:textAlignment w:val="auto"/>
              <w:rPr>
                <w:b/>
                <w:bCs/>
                <w:color w:val="000000"/>
                <w:szCs w:val="26"/>
              </w:rPr>
            </w:pPr>
            <w:r w:rsidRPr="00580DDA">
              <w:rPr>
                <w:b/>
                <w:bCs/>
                <w:color w:val="000000"/>
                <w:szCs w:val="26"/>
              </w:rPr>
              <w:t>33%</w:t>
            </w:r>
          </w:p>
        </w:tc>
      </w:tr>
    </w:tbl>
    <w:p w14:paraId="50519D41" w14:textId="77777777" w:rsidR="000B5DE5" w:rsidRPr="00580DDA" w:rsidRDefault="000B5DE5" w:rsidP="009A61C1">
      <w:pPr>
        <w:pStyle w:val="bdstyle2"/>
        <w:ind w:firstLine="0"/>
        <w:rPr>
          <w:szCs w:val="26"/>
        </w:rPr>
      </w:pPr>
    </w:p>
    <w:sectPr w:rsidR="000B5DE5" w:rsidRPr="00580DDA" w:rsidSect="000B5DE5">
      <w:headerReference w:type="default" r:id="rId8"/>
      <w:pgSz w:w="12240" w:h="15840" w:code="1"/>
      <w:pgMar w:top="720" w:right="1440" w:bottom="1440" w:left="1440" w:header="720" w:footer="720" w:gutter="0"/>
      <w:paperSrc w:first="7" w:other="7"/>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A4C0" w14:textId="77777777" w:rsidR="00DA23C7" w:rsidRDefault="00DA23C7">
      <w:r>
        <w:separator/>
      </w:r>
    </w:p>
  </w:endnote>
  <w:endnote w:type="continuationSeparator" w:id="0">
    <w:p w14:paraId="298F72CE" w14:textId="77777777" w:rsidR="00DA23C7" w:rsidRDefault="00DA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111C" w14:textId="77777777" w:rsidR="00DA23C7" w:rsidRDefault="00DA23C7">
      <w:r>
        <w:separator/>
      </w:r>
    </w:p>
  </w:footnote>
  <w:footnote w:type="continuationSeparator" w:id="0">
    <w:p w14:paraId="39522B7B" w14:textId="77777777" w:rsidR="00DA23C7" w:rsidRDefault="00DA23C7">
      <w:r>
        <w:continuationSeparator/>
      </w:r>
    </w:p>
  </w:footnote>
  <w:footnote w:id="1">
    <w:p w14:paraId="6C13590B" w14:textId="653618D3" w:rsidR="004C0A9B" w:rsidRPr="00652AB3" w:rsidRDefault="004C0A9B" w:rsidP="00FB2D20">
      <w:pPr>
        <w:overflowPunct/>
        <w:ind w:left="84" w:right="-20"/>
        <w:textAlignment w:val="auto"/>
        <w:rPr>
          <w:szCs w:val="26"/>
        </w:rPr>
      </w:pPr>
      <w:r w:rsidRPr="00652AB3">
        <w:rPr>
          <w:rStyle w:val="FootnoteReference"/>
          <w:szCs w:val="26"/>
        </w:rPr>
        <w:footnoteRef/>
      </w:r>
      <w:r w:rsidRPr="00652AB3">
        <w:rPr>
          <w:szCs w:val="26"/>
        </w:rPr>
        <w:t xml:space="preserve"> </w:t>
      </w:r>
      <w:r w:rsidRPr="00652AB3">
        <w:rPr>
          <w:position w:val="1"/>
          <w:szCs w:val="26"/>
        </w:rPr>
        <w:t>A</w:t>
      </w:r>
      <w:r w:rsidRPr="00652AB3">
        <w:rPr>
          <w:spacing w:val="-2"/>
          <w:position w:val="1"/>
          <w:szCs w:val="26"/>
        </w:rPr>
        <w:t xml:space="preserve"> </w:t>
      </w:r>
      <w:r w:rsidRPr="00652AB3">
        <w:rPr>
          <w:position w:val="1"/>
          <w:szCs w:val="26"/>
        </w:rPr>
        <w:t>selection</w:t>
      </w:r>
      <w:r w:rsidRPr="00652AB3">
        <w:rPr>
          <w:spacing w:val="-7"/>
          <w:position w:val="1"/>
          <w:szCs w:val="26"/>
        </w:rPr>
        <w:t xml:space="preserve"> </w:t>
      </w:r>
      <w:r w:rsidRPr="00652AB3">
        <w:rPr>
          <w:position w:val="1"/>
          <w:szCs w:val="26"/>
        </w:rPr>
        <w:t>c</w:t>
      </w:r>
      <w:r w:rsidRPr="00652AB3">
        <w:rPr>
          <w:spacing w:val="2"/>
          <w:position w:val="1"/>
          <w:szCs w:val="26"/>
        </w:rPr>
        <w:t>o</w:t>
      </w:r>
      <w:r w:rsidRPr="00652AB3">
        <w:rPr>
          <w:position w:val="1"/>
          <w:szCs w:val="26"/>
        </w:rPr>
        <w:t>m</w:t>
      </w:r>
      <w:r w:rsidRPr="00652AB3">
        <w:rPr>
          <w:spacing w:val="-3"/>
          <w:position w:val="1"/>
          <w:szCs w:val="26"/>
        </w:rPr>
        <w:t>m</w:t>
      </w:r>
      <w:r w:rsidRPr="00652AB3">
        <w:rPr>
          <w:spacing w:val="2"/>
          <w:position w:val="1"/>
          <w:szCs w:val="26"/>
        </w:rPr>
        <w:t>i</w:t>
      </w:r>
      <w:r w:rsidRPr="00652AB3">
        <w:rPr>
          <w:position w:val="1"/>
          <w:szCs w:val="26"/>
        </w:rPr>
        <w:t>ttee</w:t>
      </w:r>
      <w:r w:rsidRPr="00652AB3">
        <w:rPr>
          <w:spacing w:val="-9"/>
          <w:position w:val="1"/>
          <w:szCs w:val="26"/>
        </w:rPr>
        <w:t xml:space="preserve"> </w:t>
      </w:r>
      <w:r w:rsidRPr="00652AB3">
        <w:rPr>
          <w:position w:val="1"/>
          <w:szCs w:val="26"/>
        </w:rPr>
        <w:t>consisting</w:t>
      </w:r>
      <w:r w:rsidRPr="00652AB3">
        <w:rPr>
          <w:spacing w:val="-9"/>
          <w:position w:val="1"/>
          <w:szCs w:val="26"/>
        </w:rPr>
        <w:t xml:space="preserve"> </w:t>
      </w:r>
      <w:r w:rsidRPr="00652AB3">
        <w:rPr>
          <w:position w:val="1"/>
          <w:szCs w:val="26"/>
        </w:rPr>
        <w:t xml:space="preserve">of </w:t>
      </w:r>
      <w:r w:rsidR="006E2F7B" w:rsidRPr="00652AB3">
        <w:rPr>
          <w:position w:val="1"/>
          <w:szCs w:val="26"/>
        </w:rPr>
        <w:t>Matt Edmonson</w:t>
      </w:r>
      <w:r w:rsidR="002F311C" w:rsidRPr="00652AB3">
        <w:rPr>
          <w:position w:val="1"/>
          <w:szCs w:val="26"/>
        </w:rPr>
        <w:t xml:space="preserve"> (</w:t>
      </w:r>
      <w:r w:rsidR="00D50B3C" w:rsidRPr="00652AB3">
        <w:rPr>
          <w:position w:val="1"/>
          <w:szCs w:val="26"/>
        </w:rPr>
        <w:t>c</w:t>
      </w:r>
      <w:r w:rsidR="002F311C" w:rsidRPr="00652AB3">
        <w:rPr>
          <w:position w:val="1"/>
          <w:szCs w:val="26"/>
        </w:rPr>
        <w:t xml:space="preserve">hair, </w:t>
      </w:r>
      <w:r w:rsidR="00D50B3C" w:rsidRPr="00652AB3">
        <w:rPr>
          <w:position w:val="1"/>
          <w:szCs w:val="26"/>
        </w:rPr>
        <w:t>a</w:t>
      </w:r>
      <w:r w:rsidR="002F311C" w:rsidRPr="00652AB3">
        <w:rPr>
          <w:position w:val="1"/>
          <w:szCs w:val="26"/>
        </w:rPr>
        <w:t xml:space="preserve">ssistant </w:t>
      </w:r>
      <w:r w:rsidR="00D50B3C" w:rsidRPr="00652AB3">
        <w:rPr>
          <w:position w:val="1"/>
          <w:szCs w:val="26"/>
        </w:rPr>
        <w:t>d</w:t>
      </w:r>
      <w:r w:rsidR="002F311C" w:rsidRPr="00652AB3">
        <w:rPr>
          <w:position w:val="1"/>
          <w:szCs w:val="26"/>
        </w:rPr>
        <w:t xml:space="preserve">irector, </w:t>
      </w:r>
      <w:r w:rsidR="002F311C" w:rsidRPr="00652AB3">
        <w:rPr>
          <w:spacing w:val="2"/>
          <w:position w:val="1"/>
          <w:szCs w:val="26"/>
        </w:rPr>
        <w:t>U</w:t>
      </w:r>
      <w:r w:rsidR="002F311C" w:rsidRPr="00652AB3">
        <w:rPr>
          <w:position w:val="1"/>
          <w:szCs w:val="26"/>
        </w:rPr>
        <w:t>n</w:t>
      </w:r>
      <w:r w:rsidR="002F311C" w:rsidRPr="00652AB3">
        <w:rPr>
          <w:spacing w:val="2"/>
          <w:position w:val="1"/>
          <w:szCs w:val="26"/>
        </w:rPr>
        <w:t>i</w:t>
      </w:r>
      <w:r w:rsidR="002F311C" w:rsidRPr="00652AB3">
        <w:rPr>
          <w:position w:val="1"/>
          <w:szCs w:val="26"/>
        </w:rPr>
        <w:t>versi</w:t>
      </w:r>
      <w:r w:rsidR="002F311C" w:rsidRPr="00652AB3">
        <w:rPr>
          <w:spacing w:val="5"/>
          <w:position w:val="1"/>
          <w:szCs w:val="26"/>
        </w:rPr>
        <w:t>t</w:t>
      </w:r>
      <w:r w:rsidR="002F311C" w:rsidRPr="00652AB3">
        <w:rPr>
          <w:position w:val="1"/>
          <w:szCs w:val="26"/>
        </w:rPr>
        <w:t>y</w:t>
      </w:r>
      <w:r w:rsidR="002F311C" w:rsidRPr="00652AB3">
        <w:rPr>
          <w:spacing w:val="-17"/>
          <w:position w:val="1"/>
          <w:szCs w:val="26"/>
        </w:rPr>
        <w:t xml:space="preserve"> </w:t>
      </w:r>
      <w:r w:rsidR="002F311C" w:rsidRPr="00652AB3">
        <w:rPr>
          <w:position w:val="1"/>
          <w:szCs w:val="26"/>
        </w:rPr>
        <w:t>O</w:t>
      </w:r>
      <w:r w:rsidR="002F311C" w:rsidRPr="00652AB3">
        <w:rPr>
          <w:spacing w:val="3"/>
          <w:position w:val="1"/>
          <w:szCs w:val="26"/>
        </w:rPr>
        <w:t>ff</w:t>
      </w:r>
      <w:r w:rsidR="002F311C" w:rsidRPr="00652AB3">
        <w:rPr>
          <w:position w:val="1"/>
          <w:szCs w:val="26"/>
        </w:rPr>
        <w:t>ice</w:t>
      </w:r>
      <w:r w:rsidR="002F311C" w:rsidRPr="00652AB3">
        <w:rPr>
          <w:spacing w:val="-7"/>
          <w:position w:val="1"/>
          <w:szCs w:val="26"/>
        </w:rPr>
        <w:t xml:space="preserve"> </w:t>
      </w:r>
      <w:r w:rsidR="002F311C" w:rsidRPr="00652AB3">
        <w:rPr>
          <w:position w:val="1"/>
          <w:szCs w:val="26"/>
        </w:rPr>
        <w:t>of</w:t>
      </w:r>
      <w:r w:rsidR="002F311C" w:rsidRPr="00652AB3">
        <w:rPr>
          <w:szCs w:val="26"/>
        </w:rPr>
        <w:t xml:space="preserve"> Capital</w:t>
      </w:r>
      <w:r w:rsidR="002F311C" w:rsidRPr="00652AB3">
        <w:rPr>
          <w:spacing w:val="-8"/>
          <w:szCs w:val="26"/>
        </w:rPr>
        <w:t xml:space="preserve"> </w:t>
      </w:r>
      <w:r w:rsidR="002F311C" w:rsidRPr="00652AB3">
        <w:rPr>
          <w:szCs w:val="26"/>
        </w:rPr>
        <w:t>P</w:t>
      </w:r>
      <w:r w:rsidR="002F311C" w:rsidRPr="00652AB3">
        <w:rPr>
          <w:spacing w:val="3"/>
          <w:szCs w:val="26"/>
        </w:rPr>
        <w:t>r</w:t>
      </w:r>
      <w:r w:rsidR="002F311C" w:rsidRPr="00652AB3">
        <w:rPr>
          <w:szCs w:val="26"/>
        </w:rPr>
        <w:t>ogr</w:t>
      </w:r>
      <w:r w:rsidR="002F311C" w:rsidRPr="00652AB3">
        <w:rPr>
          <w:spacing w:val="3"/>
          <w:szCs w:val="26"/>
        </w:rPr>
        <w:t>a</w:t>
      </w:r>
      <w:r w:rsidR="002F311C" w:rsidRPr="00652AB3">
        <w:rPr>
          <w:spacing w:val="-3"/>
          <w:szCs w:val="26"/>
        </w:rPr>
        <w:t>m</w:t>
      </w:r>
      <w:r w:rsidR="002F311C" w:rsidRPr="00652AB3">
        <w:rPr>
          <w:szCs w:val="26"/>
        </w:rPr>
        <w:t xml:space="preserve">s and Real Estate Services); </w:t>
      </w:r>
      <w:r w:rsidR="00A735F9" w:rsidRPr="00652AB3">
        <w:rPr>
          <w:position w:val="1"/>
          <w:szCs w:val="26"/>
        </w:rPr>
        <w:t>Frank Colacicco (</w:t>
      </w:r>
      <w:r w:rsidR="00D50B3C" w:rsidRPr="00652AB3">
        <w:rPr>
          <w:position w:val="1"/>
          <w:szCs w:val="26"/>
        </w:rPr>
        <w:t>a</w:t>
      </w:r>
      <w:r w:rsidR="00A735F9" w:rsidRPr="00652AB3">
        <w:rPr>
          <w:position w:val="1"/>
          <w:szCs w:val="26"/>
        </w:rPr>
        <w:t xml:space="preserve">ssociate </w:t>
      </w:r>
      <w:r w:rsidR="00D50B3C" w:rsidRPr="00652AB3">
        <w:rPr>
          <w:position w:val="1"/>
          <w:szCs w:val="26"/>
        </w:rPr>
        <w:t>d</w:t>
      </w:r>
      <w:r w:rsidR="00A735F9" w:rsidRPr="00652AB3">
        <w:rPr>
          <w:position w:val="1"/>
          <w:szCs w:val="26"/>
        </w:rPr>
        <w:t>irector, Utilities Distribution); David Hardin (</w:t>
      </w:r>
      <w:r w:rsidR="00D50B3C" w:rsidRPr="00652AB3">
        <w:rPr>
          <w:position w:val="1"/>
          <w:szCs w:val="26"/>
        </w:rPr>
        <w:t>a</w:t>
      </w:r>
      <w:r w:rsidR="00A735F9" w:rsidRPr="00652AB3">
        <w:rPr>
          <w:position w:val="1"/>
          <w:szCs w:val="26"/>
        </w:rPr>
        <w:t xml:space="preserve">ssociate </w:t>
      </w:r>
      <w:r w:rsidR="00D50B3C" w:rsidRPr="00652AB3">
        <w:rPr>
          <w:position w:val="1"/>
          <w:szCs w:val="26"/>
        </w:rPr>
        <w:t>d</w:t>
      </w:r>
      <w:r w:rsidR="00A735F9" w:rsidRPr="00652AB3">
        <w:rPr>
          <w:position w:val="1"/>
          <w:szCs w:val="26"/>
        </w:rPr>
        <w:t xml:space="preserve">irector, Energy Management Systems &amp; Controls); </w:t>
      </w:r>
      <w:r w:rsidR="00A20872" w:rsidRPr="00652AB3">
        <w:rPr>
          <w:position w:val="1"/>
          <w:szCs w:val="26"/>
        </w:rPr>
        <w:t>Sylvia McIvor</w:t>
      </w:r>
      <w:r w:rsidR="00252F94" w:rsidRPr="00652AB3">
        <w:rPr>
          <w:position w:val="1"/>
          <w:szCs w:val="26"/>
        </w:rPr>
        <w:t xml:space="preserve"> (</w:t>
      </w:r>
      <w:r w:rsidR="00D50B3C" w:rsidRPr="00652AB3">
        <w:rPr>
          <w:position w:val="1"/>
          <w:szCs w:val="26"/>
        </w:rPr>
        <w:t>a</w:t>
      </w:r>
      <w:r w:rsidR="00A20872" w:rsidRPr="00652AB3">
        <w:rPr>
          <w:position w:val="1"/>
          <w:szCs w:val="26"/>
        </w:rPr>
        <w:t xml:space="preserve">ssociate </w:t>
      </w:r>
      <w:r w:rsidR="00D50B3C" w:rsidRPr="00652AB3">
        <w:rPr>
          <w:position w:val="1"/>
          <w:szCs w:val="26"/>
        </w:rPr>
        <w:t>d</w:t>
      </w:r>
      <w:r w:rsidR="002F311C" w:rsidRPr="00652AB3">
        <w:rPr>
          <w:position w:val="1"/>
          <w:szCs w:val="26"/>
        </w:rPr>
        <w:t xml:space="preserve">irector, </w:t>
      </w:r>
      <w:r w:rsidR="00A20872" w:rsidRPr="00652AB3">
        <w:rPr>
          <w:position w:val="1"/>
          <w:szCs w:val="26"/>
        </w:rPr>
        <w:t>Energy Performance Contracting</w:t>
      </w:r>
      <w:r w:rsidR="00252F94" w:rsidRPr="00652AB3">
        <w:rPr>
          <w:position w:val="1"/>
          <w:szCs w:val="26"/>
        </w:rPr>
        <w:t xml:space="preserve">); </w:t>
      </w:r>
      <w:r w:rsidR="00A735F9" w:rsidRPr="00652AB3">
        <w:rPr>
          <w:position w:val="1"/>
          <w:szCs w:val="26"/>
        </w:rPr>
        <w:t>Dale Morrison (</w:t>
      </w:r>
      <w:r w:rsidR="00D50B3C" w:rsidRPr="00652AB3">
        <w:rPr>
          <w:position w:val="1"/>
          <w:szCs w:val="26"/>
        </w:rPr>
        <w:t>a</w:t>
      </w:r>
      <w:r w:rsidR="00A735F9" w:rsidRPr="00652AB3">
        <w:rPr>
          <w:position w:val="1"/>
          <w:szCs w:val="26"/>
        </w:rPr>
        <w:t xml:space="preserve">ssociate </w:t>
      </w:r>
      <w:r w:rsidR="00D50B3C" w:rsidRPr="00652AB3">
        <w:rPr>
          <w:position w:val="1"/>
          <w:szCs w:val="26"/>
        </w:rPr>
        <w:t>d</w:t>
      </w:r>
      <w:r w:rsidR="00A735F9" w:rsidRPr="00652AB3">
        <w:rPr>
          <w:position w:val="1"/>
          <w:szCs w:val="26"/>
        </w:rPr>
        <w:t xml:space="preserve">irector, Procurement Diversity); </w:t>
      </w:r>
      <w:r w:rsidR="00D50B3C" w:rsidRPr="00652AB3">
        <w:rPr>
          <w:position w:val="1"/>
          <w:szCs w:val="26"/>
        </w:rPr>
        <w:t xml:space="preserve">and </w:t>
      </w:r>
      <w:r w:rsidR="00A735F9" w:rsidRPr="00652AB3">
        <w:rPr>
          <w:position w:val="1"/>
          <w:szCs w:val="26"/>
        </w:rPr>
        <w:t>Doug Wolters (</w:t>
      </w:r>
      <w:r w:rsidR="00D50B3C" w:rsidRPr="00652AB3">
        <w:rPr>
          <w:position w:val="1"/>
          <w:szCs w:val="26"/>
        </w:rPr>
        <w:t>s</w:t>
      </w:r>
      <w:r w:rsidR="00A735F9" w:rsidRPr="00652AB3">
        <w:rPr>
          <w:position w:val="1"/>
          <w:szCs w:val="26"/>
        </w:rPr>
        <w:t xml:space="preserve">enior </w:t>
      </w:r>
      <w:r w:rsidR="00D50B3C" w:rsidRPr="00652AB3">
        <w:rPr>
          <w:position w:val="1"/>
          <w:szCs w:val="26"/>
        </w:rPr>
        <w:t>d</w:t>
      </w:r>
      <w:r w:rsidR="00A735F9" w:rsidRPr="00652AB3">
        <w:rPr>
          <w:position w:val="1"/>
          <w:szCs w:val="26"/>
        </w:rPr>
        <w:t xml:space="preserve">irector of </w:t>
      </w:r>
      <w:r w:rsidR="00D50B3C" w:rsidRPr="00652AB3">
        <w:rPr>
          <w:position w:val="1"/>
          <w:szCs w:val="26"/>
        </w:rPr>
        <w:t>o</w:t>
      </w:r>
      <w:r w:rsidR="00A735F9" w:rsidRPr="00652AB3">
        <w:rPr>
          <w:position w:val="1"/>
          <w:szCs w:val="26"/>
        </w:rPr>
        <w:t>perations, College of ACES)</w:t>
      </w:r>
      <w:r w:rsidR="00252F94" w:rsidRPr="00652AB3">
        <w:rPr>
          <w:position w:val="1"/>
          <w:szCs w:val="26"/>
        </w:rPr>
        <w:t xml:space="preserve"> </w:t>
      </w:r>
      <w:r w:rsidRPr="00652AB3">
        <w:rPr>
          <w:szCs w:val="26"/>
        </w:rPr>
        <w:t>interviewed</w:t>
      </w:r>
      <w:r w:rsidRPr="00652AB3">
        <w:rPr>
          <w:spacing w:val="-10"/>
          <w:szCs w:val="26"/>
        </w:rPr>
        <w:t xml:space="preserve"> </w:t>
      </w:r>
      <w:r w:rsidRPr="00652AB3">
        <w:rPr>
          <w:szCs w:val="26"/>
        </w:rPr>
        <w:t>and</w:t>
      </w:r>
      <w:r w:rsidRPr="00652AB3">
        <w:rPr>
          <w:spacing w:val="-4"/>
          <w:szCs w:val="26"/>
        </w:rPr>
        <w:t xml:space="preserve"> </w:t>
      </w:r>
      <w:r w:rsidRPr="00652AB3">
        <w:rPr>
          <w:szCs w:val="26"/>
        </w:rPr>
        <w:t>ra</w:t>
      </w:r>
      <w:r w:rsidRPr="00652AB3">
        <w:rPr>
          <w:spacing w:val="2"/>
          <w:szCs w:val="26"/>
        </w:rPr>
        <w:t>n</w:t>
      </w:r>
      <w:r w:rsidRPr="00652AB3">
        <w:rPr>
          <w:szCs w:val="26"/>
        </w:rPr>
        <w:t>ked</w:t>
      </w:r>
      <w:r w:rsidRPr="00652AB3">
        <w:rPr>
          <w:spacing w:val="-5"/>
          <w:szCs w:val="26"/>
        </w:rPr>
        <w:t xml:space="preserve"> </w:t>
      </w:r>
      <w:r w:rsidRPr="00652AB3">
        <w:rPr>
          <w:szCs w:val="26"/>
        </w:rPr>
        <w:t xml:space="preserve">as </w:t>
      </w:r>
      <w:r w:rsidRPr="00652AB3">
        <w:rPr>
          <w:spacing w:val="-3"/>
          <w:szCs w:val="26"/>
        </w:rPr>
        <w:t>m</w:t>
      </w:r>
      <w:r w:rsidRPr="00652AB3">
        <w:rPr>
          <w:szCs w:val="26"/>
        </w:rPr>
        <w:t>ost</w:t>
      </w:r>
      <w:r w:rsidRPr="00652AB3">
        <w:rPr>
          <w:spacing w:val="-5"/>
          <w:szCs w:val="26"/>
        </w:rPr>
        <w:t xml:space="preserve"> </w:t>
      </w:r>
      <w:r w:rsidRPr="00652AB3">
        <w:rPr>
          <w:spacing w:val="2"/>
          <w:szCs w:val="26"/>
        </w:rPr>
        <w:t>q</w:t>
      </w:r>
      <w:r w:rsidRPr="00652AB3">
        <w:rPr>
          <w:szCs w:val="26"/>
        </w:rPr>
        <w:t>uali</w:t>
      </w:r>
      <w:r w:rsidRPr="00652AB3">
        <w:rPr>
          <w:spacing w:val="3"/>
          <w:szCs w:val="26"/>
        </w:rPr>
        <w:t>f</w:t>
      </w:r>
      <w:r w:rsidRPr="00652AB3">
        <w:rPr>
          <w:szCs w:val="26"/>
        </w:rPr>
        <w:t>ied the</w:t>
      </w:r>
      <w:r w:rsidRPr="00652AB3">
        <w:rPr>
          <w:spacing w:val="-3"/>
          <w:szCs w:val="26"/>
        </w:rPr>
        <w:t xml:space="preserve"> </w:t>
      </w:r>
      <w:r w:rsidRPr="00652AB3">
        <w:rPr>
          <w:spacing w:val="3"/>
          <w:szCs w:val="26"/>
        </w:rPr>
        <w:t>f</w:t>
      </w:r>
      <w:r w:rsidRPr="00652AB3">
        <w:rPr>
          <w:szCs w:val="26"/>
        </w:rPr>
        <w:t>ollowing</w:t>
      </w:r>
      <w:r w:rsidRPr="00652AB3">
        <w:rPr>
          <w:spacing w:val="-10"/>
          <w:szCs w:val="26"/>
        </w:rPr>
        <w:t xml:space="preserve"> </w:t>
      </w:r>
      <w:r w:rsidRPr="00652AB3">
        <w:rPr>
          <w:spacing w:val="3"/>
          <w:szCs w:val="26"/>
        </w:rPr>
        <w:t>f</w:t>
      </w:r>
      <w:r w:rsidRPr="00652AB3">
        <w:rPr>
          <w:szCs w:val="26"/>
        </w:rPr>
        <w:t>irms:</w:t>
      </w:r>
      <w:r w:rsidR="00D50B3C" w:rsidRPr="00652AB3">
        <w:rPr>
          <w:szCs w:val="26"/>
        </w:rPr>
        <w:t xml:space="preserve"> </w:t>
      </w:r>
      <w:r w:rsidR="00A20872" w:rsidRPr="00652AB3">
        <w:rPr>
          <w:spacing w:val="2"/>
          <w:szCs w:val="26"/>
        </w:rPr>
        <w:t>ENGIE</w:t>
      </w:r>
      <w:r w:rsidR="00B9033F" w:rsidRPr="00652AB3">
        <w:rPr>
          <w:spacing w:val="2"/>
          <w:szCs w:val="26"/>
        </w:rPr>
        <w:t xml:space="preserve"> Services U.S. Inc.</w:t>
      </w:r>
      <w:r w:rsidR="00197B2C" w:rsidRPr="00652AB3">
        <w:rPr>
          <w:spacing w:val="2"/>
          <w:szCs w:val="26"/>
        </w:rPr>
        <w:t xml:space="preserve">, </w:t>
      </w:r>
      <w:r w:rsidR="000B2B35" w:rsidRPr="00652AB3">
        <w:rPr>
          <w:spacing w:val="2"/>
          <w:szCs w:val="26"/>
        </w:rPr>
        <w:t>Oakland</w:t>
      </w:r>
      <w:r w:rsidR="00197B2C" w:rsidRPr="00652AB3">
        <w:rPr>
          <w:spacing w:val="2"/>
          <w:szCs w:val="26"/>
        </w:rPr>
        <w:t xml:space="preserve">, </w:t>
      </w:r>
      <w:r w:rsidR="000B2B35" w:rsidRPr="00652AB3">
        <w:rPr>
          <w:spacing w:val="2"/>
          <w:szCs w:val="26"/>
        </w:rPr>
        <w:t>CA</w:t>
      </w:r>
      <w:r w:rsidR="00197B2C" w:rsidRPr="00652AB3">
        <w:rPr>
          <w:spacing w:val="2"/>
          <w:szCs w:val="26"/>
        </w:rPr>
        <w:t>; NORESCO</w:t>
      </w:r>
      <w:r w:rsidR="007058F9" w:rsidRPr="00652AB3">
        <w:rPr>
          <w:spacing w:val="2"/>
          <w:szCs w:val="26"/>
        </w:rPr>
        <w:t xml:space="preserve">, LLC, </w:t>
      </w:r>
      <w:r w:rsidR="004A22D8" w:rsidRPr="00652AB3">
        <w:rPr>
          <w:spacing w:val="2"/>
          <w:szCs w:val="26"/>
        </w:rPr>
        <w:t>Des Plaines</w:t>
      </w:r>
      <w:r w:rsidR="007058F9" w:rsidRPr="00652AB3">
        <w:rPr>
          <w:spacing w:val="2"/>
          <w:szCs w:val="26"/>
        </w:rPr>
        <w:t xml:space="preserve">, </w:t>
      </w:r>
      <w:r w:rsidR="004A22D8" w:rsidRPr="00652AB3">
        <w:rPr>
          <w:spacing w:val="2"/>
          <w:szCs w:val="26"/>
        </w:rPr>
        <w:t>IL</w:t>
      </w:r>
      <w:r w:rsidR="006658C9" w:rsidRPr="00652AB3">
        <w:rPr>
          <w:spacing w:val="2"/>
          <w:szCs w:val="26"/>
        </w:rPr>
        <w:t xml:space="preserve">; </w:t>
      </w:r>
      <w:r w:rsidR="00A20872" w:rsidRPr="00652AB3">
        <w:rPr>
          <w:spacing w:val="2"/>
          <w:szCs w:val="26"/>
        </w:rPr>
        <w:t>Performance Services</w:t>
      </w:r>
      <w:r w:rsidR="00B9033F" w:rsidRPr="00652AB3">
        <w:rPr>
          <w:spacing w:val="2"/>
          <w:szCs w:val="26"/>
        </w:rPr>
        <w:t>,</w:t>
      </w:r>
      <w:r w:rsidR="00A20872" w:rsidRPr="00652AB3">
        <w:rPr>
          <w:spacing w:val="2"/>
          <w:szCs w:val="26"/>
        </w:rPr>
        <w:t xml:space="preserve"> Inc</w:t>
      </w:r>
      <w:r w:rsidR="00B9033F" w:rsidRPr="00652AB3">
        <w:rPr>
          <w:spacing w:val="2"/>
          <w:szCs w:val="26"/>
        </w:rPr>
        <w:t>., Indianapolis, I</w:t>
      </w:r>
      <w:r w:rsidR="004A22D8" w:rsidRPr="00652AB3">
        <w:rPr>
          <w:spacing w:val="2"/>
          <w:szCs w:val="26"/>
        </w:rPr>
        <w:t>N</w:t>
      </w:r>
      <w:r w:rsidR="00580DDA">
        <w:rPr>
          <w:spacing w:val="2"/>
          <w:szCs w:val="26"/>
        </w:rPr>
        <w:t>;</w:t>
      </w:r>
      <w:r w:rsidR="00A20872" w:rsidRPr="00652AB3">
        <w:rPr>
          <w:spacing w:val="2"/>
          <w:szCs w:val="26"/>
        </w:rPr>
        <w:t xml:space="preserve"> </w:t>
      </w:r>
      <w:r w:rsidR="006658C9" w:rsidRPr="00652AB3">
        <w:rPr>
          <w:spacing w:val="2"/>
          <w:szCs w:val="26"/>
        </w:rPr>
        <w:t xml:space="preserve">and </w:t>
      </w:r>
      <w:proofErr w:type="spellStart"/>
      <w:r w:rsidR="00A20872" w:rsidRPr="00652AB3">
        <w:rPr>
          <w:spacing w:val="2"/>
          <w:szCs w:val="26"/>
        </w:rPr>
        <w:t>Veregy</w:t>
      </w:r>
      <w:proofErr w:type="spellEnd"/>
      <w:r w:rsidR="00A20872" w:rsidRPr="00652AB3">
        <w:rPr>
          <w:spacing w:val="2"/>
          <w:szCs w:val="26"/>
        </w:rPr>
        <w:t xml:space="preserve"> Central, LLC, Chesterfield, </w:t>
      </w:r>
      <w:r w:rsidR="004A22D8" w:rsidRPr="00652AB3">
        <w:rPr>
          <w:spacing w:val="2"/>
          <w:szCs w:val="26"/>
        </w:rPr>
        <w:t>MO</w:t>
      </w:r>
      <w:r w:rsidR="00D50B3C" w:rsidRPr="00652AB3">
        <w:rPr>
          <w:szCs w:val="26"/>
        </w:rPr>
        <w:t xml:space="preserve">. </w:t>
      </w:r>
      <w:r w:rsidRPr="00652AB3">
        <w:rPr>
          <w:szCs w:val="26"/>
        </w:rPr>
        <w:t>The</w:t>
      </w:r>
      <w:r w:rsidRPr="00652AB3">
        <w:rPr>
          <w:spacing w:val="-2"/>
          <w:szCs w:val="26"/>
        </w:rPr>
        <w:t xml:space="preserve"> </w:t>
      </w:r>
      <w:r w:rsidRPr="00652AB3">
        <w:rPr>
          <w:szCs w:val="26"/>
        </w:rPr>
        <w:t>c</w:t>
      </w:r>
      <w:r w:rsidRPr="00652AB3">
        <w:rPr>
          <w:spacing w:val="2"/>
          <w:szCs w:val="26"/>
        </w:rPr>
        <w:t>o</w:t>
      </w:r>
      <w:r w:rsidRPr="00652AB3">
        <w:rPr>
          <w:szCs w:val="26"/>
        </w:rPr>
        <w:t>m</w:t>
      </w:r>
      <w:r w:rsidRPr="00652AB3">
        <w:rPr>
          <w:spacing w:val="-3"/>
          <w:szCs w:val="26"/>
        </w:rPr>
        <w:t>m</w:t>
      </w:r>
      <w:r w:rsidRPr="00652AB3">
        <w:rPr>
          <w:szCs w:val="26"/>
        </w:rPr>
        <w:t>i</w:t>
      </w:r>
      <w:r w:rsidRPr="00652AB3">
        <w:rPr>
          <w:spacing w:val="2"/>
          <w:szCs w:val="26"/>
        </w:rPr>
        <w:t>t</w:t>
      </w:r>
      <w:r w:rsidRPr="00652AB3">
        <w:rPr>
          <w:szCs w:val="26"/>
        </w:rPr>
        <w:t>tee</w:t>
      </w:r>
      <w:r w:rsidRPr="00652AB3">
        <w:rPr>
          <w:spacing w:val="-9"/>
          <w:szCs w:val="26"/>
        </w:rPr>
        <w:t xml:space="preserve"> </w:t>
      </w:r>
      <w:r w:rsidRPr="00652AB3">
        <w:rPr>
          <w:szCs w:val="26"/>
        </w:rPr>
        <w:t>rec</w:t>
      </w:r>
      <w:r w:rsidRPr="00652AB3">
        <w:rPr>
          <w:spacing w:val="2"/>
          <w:szCs w:val="26"/>
        </w:rPr>
        <w:t>o</w:t>
      </w:r>
      <w:r w:rsidRPr="00652AB3">
        <w:rPr>
          <w:szCs w:val="26"/>
        </w:rPr>
        <w:t>m</w:t>
      </w:r>
      <w:r w:rsidRPr="00652AB3">
        <w:rPr>
          <w:spacing w:val="-3"/>
          <w:szCs w:val="26"/>
        </w:rPr>
        <w:t>m</w:t>
      </w:r>
      <w:r w:rsidRPr="00652AB3">
        <w:rPr>
          <w:szCs w:val="26"/>
        </w:rPr>
        <w:t>en</w:t>
      </w:r>
      <w:r w:rsidRPr="00652AB3">
        <w:rPr>
          <w:spacing w:val="2"/>
          <w:szCs w:val="26"/>
        </w:rPr>
        <w:t>d</w:t>
      </w:r>
      <w:r w:rsidR="00A735F9" w:rsidRPr="00652AB3">
        <w:rPr>
          <w:spacing w:val="2"/>
          <w:szCs w:val="26"/>
        </w:rPr>
        <w:t xml:space="preserve">s </w:t>
      </w:r>
      <w:proofErr w:type="spellStart"/>
      <w:r w:rsidR="00A735F9" w:rsidRPr="00652AB3">
        <w:rPr>
          <w:spacing w:val="2"/>
          <w:szCs w:val="26"/>
        </w:rPr>
        <w:t>Veregy</w:t>
      </w:r>
      <w:proofErr w:type="spellEnd"/>
      <w:r w:rsidR="00A735F9" w:rsidRPr="00652AB3">
        <w:rPr>
          <w:spacing w:val="2"/>
          <w:szCs w:val="26"/>
        </w:rPr>
        <w:t xml:space="preserve"> Central, LLC, Chesterfield, MO, </w:t>
      </w:r>
      <w:r w:rsidRPr="00652AB3">
        <w:rPr>
          <w:szCs w:val="26"/>
        </w:rPr>
        <w:t>as</w:t>
      </w:r>
      <w:r w:rsidRPr="00652AB3">
        <w:rPr>
          <w:spacing w:val="-2"/>
          <w:szCs w:val="26"/>
        </w:rPr>
        <w:t xml:space="preserve"> </w:t>
      </w:r>
      <w:r w:rsidRPr="00652AB3">
        <w:rPr>
          <w:spacing w:val="2"/>
          <w:szCs w:val="26"/>
        </w:rPr>
        <w:t>b</w:t>
      </w:r>
      <w:r w:rsidRPr="00652AB3">
        <w:rPr>
          <w:szCs w:val="26"/>
        </w:rPr>
        <w:t>est</w:t>
      </w:r>
      <w:r w:rsidRPr="00652AB3">
        <w:rPr>
          <w:spacing w:val="-2"/>
          <w:szCs w:val="26"/>
        </w:rPr>
        <w:t xml:space="preserve"> </w:t>
      </w:r>
      <w:r w:rsidRPr="00652AB3">
        <w:rPr>
          <w:spacing w:val="-3"/>
          <w:szCs w:val="26"/>
        </w:rPr>
        <w:t>m</w:t>
      </w:r>
      <w:r w:rsidRPr="00652AB3">
        <w:rPr>
          <w:szCs w:val="26"/>
        </w:rPr>
        <w:t>e</w:t>
      </w:r>
      <w:r w:rsidRPr="00652AB3">
        <w:rPr>
          <w:spacing w:val="3"/>
          <w:szCs w:val="26"/>
        </w:rPr>
        <w:t>e</w:t>
      </w:r>
      <w:r w:rsidRPr="00652AB3">
        <w:rPr>
          <w:szCs w:val="26"/>
        </w:rPr>
        <w:t>ting</w:t>
      </w:r>
      <w:r w:rsidRPr="00652AB3">
        <w:rPr>
          <w:spacing w:val="-8"/>
          <w:szCs w:val="26"/>
        </w:rPr>
        <w:t xml:space="preserve"> </w:t>
      </w:r>
      <w:r w:rsidRPr="00652AB3">
        <w:rPr>
          <w:szCs w:val="26"/>
        </w:rPr>
        <w:t>the</w:t>
      </w:r>
      <w:r w:rsidRPr="00652AB3">
        <w:rPr>
          <w:spacing w:val="-1"/>
          <w:szCs w:val="26"/>
        </w:rPr>
        <w:t xml:space="preserve"> </w:t>
      </w:r>
      <w:r w:rsidRPr="00652AB3">
        <w:rPr>
          <w:szCs w:val="26"/>
        </w:rPr>
        <w:t>criteria</w:t>
      </w:r>
      <w:r w:rsidRPr="00652AB3">
        <w:rPr>
          <w:spacing w:val="-7"/>
          <w:szCs w:val="26"/>
        </w:rPr>
        <w:t xml:space="preserve"> </w:t>
      </w:r>
      <w:r w:rsidRPr="00652AB3">
        <w:rPr>
          <w:spacing w:val="3"/>
          <w:szCs w:val="26"/>
        </w:rPr>
        <w:t>f</w:t>
      </w:r>
      <w:r w:rsidRPr="00652AB3">
        <w:rPr>
          <w:szCs w:val="26"/>
        </w:rPr>
        <w:t>or</w:t>
      </w:r>
      <w:r w:rsidRPr="00652AB3">
        <w:rPr>
          <w:spacing w:val="-1"/>
          <w:szCs w:val="26"/>
        </w:rPr>
        <w:t xml:space="preserve"> </w:t>
      </w:r>
      <w:r w:rsidRPr="00652AB3">
        <w:rPr>
          <w:szCs w:val="26"/>
        </w:rPr>
        <w:t>the</w:t>
      </w:r>
      <w:r w:rsidRPr="00652AB3">
        <w:rPr>
          <w:spacing w:val="-3"/>
          <w:szCs w:val="26"/>
        </w:rPr>
        <w:t xml:space="preserve"> </w:t>
      </w:r>
      <w:r w:rsidRPr="00652AB3">
        <w:rPr>
          <w:szCs w:val="26"/>
        </w:rPr>
        <w:t>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B165" w14:textId="77777777" w:rsidR="00AC7F9D" w:rsidRDefault="00AC7F9D">
    <w:pPr>
      <w:pStyle w:val="Header"/>
      <w:jc w:val="center"/>
    </w:pPr>
    <w:r>
      <w:fldChar w:fldCharType="begin"/>
    </w:r>
    <w:r>
      <w:instrText xml:space="preserve"> PAGE   \* MERGEFORMAT </w:instrText>
    </w:r>
    <w:r>
      <w:fldChar w:fldCharType="separate"/>
    </w:r>
    <w:r w:rsidR="00AC2420">
      <w:rPr>
        <w:noProof/>
      </w:rPr>
      <w:t>3</w:t>
    </w:r>
    <w:r>
      <w:rPr>
        <w:noProof/>
      </w:rPr>
      <w:fldChar w:fldCharType="end"/>
    </w:r>
  </w:p>
  <w:p w14:paraId="7EA5780F" w14:textId="77777777" w:rsidR="00AC7F9D" w:rsidRDefault="00AC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0199E"/>
    <w:multiLevelType w:val="hybridMultilevel"/>
    <w:tmpl w:val="06E6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A22D5B"/>
    <w:multiLevelType w:val="hybridMultilevel"/>
    <w:tmpl w:val="5B3EC6D6"/>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16cid:durableId="331300567">
    <w:abstractNumId w:val="1"/>
  </w:num>
  <w:num w:numId="2" w16cid:durableId="15808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1NDYyMjczM7cwMLdQ0lEKTi0uzszPAykwrAUAf4/KCCwAAAA="/>
  </w:docVars>
  <w:rsids>
    <w:rsidRoot w:val="00B327B4"/>
    <w:rsid w:val="0001226A"/>
    <w:rsid w:val="00026001"/>
    <w:rsid w:val="000305AF"/>
    <w:rsid w:val="00032098"/>
    <w:rsid w:val="00033D56"/>
    <w:rsid w:val="00034183"/>
    <w:rsid w:val="00035908"/>
    <w:rsid w:val="00037E84"/>
    <w:rsid w:val="00040C8F"/>
    <w:rsid w:val="00051091"/>
    <w:rsid w:val="00051E01"/>
    <w:rsid w:val="0005376C"/>
    <w:rsid w:val="00056D8E"/>
    <w:rsid w:val="00083935"/>
    <w:rsid w:val="00086C5F"/>
    <w:rsid w:val="00091DCB"/>
    <w:rsid w:val="000921A1"/>
    <w:rsid w:val="000B2B35"/>
    <w:rsid w:val="000B5DE5"/>
    <w:rsid w:val="000C00B1"/>
    <w:rsid w:val="000C3EB4"/>
    <w:rsid w:val="000C7572"/>
    <w:rsid w:val="000D2102"/>
    <w:rsid w:val="000D5BD7"/>
    <w:rsid w:val="000E153F"/>
    <w:rsid w:val="000E47FE"/>
    <w:rsid w:val="000F7CA3"/>
    <w:rsid w:val="00104D64"/>
    <w:rsid w:val="00112DD4"/>
    <w:rsid w:val="00113C63"/>
    <w:rsid w:val="00113CFB"/>
    <w:rsid w:val="00121A5C"/>
    <w:rsid w:val="00130961"/>
    <w:rsid w:val="00133743"/>
    <w:rsid w:val="00137562"/>
    <w:rsid w:val="00137717"/>
    <w:rsid w:val="00142478"/>
    <w:rsid w:val="00144FD5"/>
    <w:rsid w:val="00155D95"/>
    <w:rsid w:val="00167B68"/>
    <w:rsid w:val="00177CE4"/>
    <w:rsid w:val="00182B0D"/>
    <w:rsid w:val="00186240"/>
    <w:rsid w:val="00186378"/>
    <w:rsid w:val="00187732"/>
    <w:rsid w:val="00191CD7"/>
    <w:rsid w:val="00194F09"/>
    <w:rsid w:val="00197B2C"/>
    <w:rsid w:val="00197FE5"/>
    <w:rsid w:val="001B140F"/>
    <w:rsid w:val="001C2436"/>
    <w:rsid w:val="001C2824"/>
    <w:rsid w:val="001C4349"/>
    <w:rsid w:val="001D053A"/>
    <w:rsid w:val="001D3F46"/>
    <w:rsid w:val="001E1C5F"/>
    <w:rsid w:val="001E548F"/>
    <w:rsid w:val="001F74A7"/>
    <w:rsid w:val="00202C09"/>
    <w:rsid w:val="00203DA3"/>
    <w:rsid w:val="00204221"/>
    <w:rsid w:val="00206273"/>
    <w:rsid w:val="0021286B"/>
    <w:rsid w:val="0021348E"/>
    <w:rsid w:val="002141AF"/>
    <w:rsid w:val="002208E1"/>
    <w:rsid w:val="00221C46"/>
    <w:rsid w:val="00222128"/>
    <w:rsid w:val="00222C9A"/>
    <w:rsid w:val="00227D5A"/>
    <w:rsid w:val="00247CB9"/>
    <w:rsid w:val="00252F94"/>
    <w:rsid w:val="00264D1B"/>
    <w:rsid w:val="00287376"/>
    <w:rsid w:val="0029619D"/>
    <w:rsid w:val="002A22F9"/>
    <w:rsid w:val="002A433D"/>
    <w:rsid w:val="002B0329"/>
    <w:rsid w:val="002B07D6"/>
    <w:rsid w:val="002B52E6"/>
    <w:rsid w:val="002B6B9C"/>
    <w:rsid w:val="002B6C17"/>
    <w:rsid w:val="002D38A4"/>
    <w:rsid w:val="002D403E"/>
    <w:rsid w:val="002D4098"/>
    <w:rsid w:val="002E6F49"/>
    <w:rsid w:val="002F311C"/>
    <w:rsid w:val="002F4032"/>
    <w:rsid w:val="002F7619"/>
    <w:rsid w:val="0030531B"/>
    <w:rsid w:val="003055A9"/>
    <w:rsid w:val="00312BE7"/>
    <w:rsid w:val="003162AD"/>
    <w:rsid w:val="00325C66"/>
    <w:rsid w:val="003409B1"/>
    <w:rsid w:val="00340F3A"/>
    <w:rsid w:val="00342167"/>
    <w:rsid w:val="00370A7F"/>
    <w:rsid w:val="003732AF"/>
    <w:rsid w:val="00373567"/>
    <w:rsid w:val="00375450"/>
    <w:rsid w:val="00380A58"/>
    <w:rsid w:val="003907B2"/>
    <w:rsid w:val="003940C7"/>
    <w:rsid w:val="0039552C"/>
    <w:rsid w:val="003A0F1B"/>
    <w:rsid w:val="003A23E9"/>
    <w:rsid w:val="003A45B7"/>
    <w:rsid w:val="003A5324"/>
    <w:rsid w:val="003B2FAF"/>
    <w:rsid w:val="003D36DA"/>
    <w:rsid w:val="003D4A7A"/>
    <w:rsid w:val="003E0120"/>
    <w:rsid w:val="003E51C0"/>
    <w:rsid w:val="003F27AE"/>
    <w:rsid w:val="00402D14"/>
    <w:rsid w:val="00404E1E"/>
    <w:rsid w:val="00410732"/>
    <w:rsid w:val="00416385"/>
    <w:rsid w:val="00420E19"/>
    <w:rsid w:val="00460B4D"/>
    <w:rsid w:val="0046227C"/>
    <w:rsid w:val="004643C7"/>
    <w:rsid w:val="004653A5"/>
    <w:rsid w:val="00466CB7"/>
    <w:rsid w:val="00474CBD"/>
    <w:rsid w:val="0048738B"/>
    <w:rsid w:val="00491D92"/>
    <w:rsid w:val="00492406"/>
    <w:rsid w:val="004A22D8"/>
    <w:rsid w:val="004A367E"/>
    <w:rsid w:val="004B157E"/>
    <w:rsid w:val="004B2411"/>
    <w:rsid w:val="004B4A94"/>
    <w:rsid w:val="004B6D99"/>
    <w:rsid w:val="004C0A9B"/>
    <w:rsid w:val="004C1E32"/>
    <w:rsid w:val="004C5EC5"/>
    <w:rsid w:val="004D0AAF"/>
    <w:rsid w:val="004D2463"/>
    <w:rsid w:val="004D70D6"/>
    <w:rsid w:val="004E0908"/>
    <w:rsid w:val="004E588F"/>
    <w:rsid w:val="004E5BCE"/>
    <w:rsid w:val="004F7A15"/>
    <w:rsid w:val="00500EDD"/>
    <w:rsid w:val="0051224A"/>
    <w:rsid w:val="005152A7"/>
    <w:rsid w:val="0051678F"/>
    <w:rsid w:val="005245D9"/>
    <w:rsid w:val="00526C84"/>
    <w:rsid w:val="00536CA1"/>
    <w:rsid w:val="0054048B"/>
    <w:rsid w:val="00543AE4"/>
    <w:rsid w:val="00551502"/>
    <w:rsid w:val="005516F6"/>
    <w:rsid w:val="005542A1"/>
    <w:rsid w:val="0056378F"/>
    <w:rsid w:val="00580DDA"/>
    <w:rsid w:val="00583059"/>
    <w:rsid w:val="005837E0"/>
    <w:rsid w:val="005859BC"/>
    <w:rsid w:val="00595BA3"/>
    <w:rsid w:val="00597243"/>
    <w:rsid w:val="005A3F44"/>
    <w:rsid w:val="005A5395"/>
    <w:rsid w:val="005B0CBB"/>
    <w:rsid w:val="005C0EF5"/>
    <w:rsid w:val="005C0FD1"/>
    <w:rsid w:val="005D221A"/>
    <w:rsid w:val="005E3EBD"/>
    <w:rsid w:val="005E4DF9"/>
    <w:rsid w:val="005E60C5"/>
    <w:rsid w:val="005E7315"/>
    <w:rsid w:val="005E79CC"/>
    <w:rsid w:val="005F05A3"/>
    <w:rsid w:val="005F42F4"/>
    <w:rsid w:val="00604448"/>
    <w:rsid w:val="00604661"/>
    <w:rsid w:val="0060637A"/>
    <w:rsid w:val="00607F01"/>
    <w:rsid w:val="00612F50"/>
    <w:rsid w:val="00614AFB"/>
    <w:rsid w:val="006359D6"/>
    <w:rsid w:val="00640C38"/>
    <w:rsid w:val="00640FFA"/>
    <w:rsid w:val="00642B97"/>
    <w:rsid w:val="0064524B"/>
    <w:rsid w:val="006466C0"/>
    <w:rsid w:val="00651268"/>
    <w:rsid w:val="006521C6"/>
    <w:rsid w:val="00652AB3"/>
    <w:rsid w:val="006629DE"/>
    <w:rsid w:val="006658C9"/>
    <w:rsid w:val="006663C2"/>
    <w:rsid w:val="006670BD"/>
    <w:rsid w:val="00667730"/>
    <w:rsid w:val="00667C97"/>
    <w:rsid w:val="0067137C"/>
    <w:rsid w:val="00683527"/>
    <w:rsid w:val="00683960"/>
    <w:rsid w:val="00687397"/>
    <w:rsid w:val="006878AF"/>
    <w:rsid w:val="00696775"/>
    <w:rsid w:val="006A30AF"/>
    <w:rsid w:val="006A7821"/>
    <w:rsid w:val="006A7AA8"/>
    <w:rsid w:val="006B4723"/>
    <w:rsid w:val="006B4E00"/>
    <w:rsid w:val="006C0F48"/>
    <w:rsid w:val="006C1840"/>
    <w:rsid w:val="006C7623"/>
    <w:rsid w:val="006D5D18"/>
    <w:rsid w:val="006E2605"/>
    <w:rsid w:val="006E2F7B"/>
    <w:rsid w:val="006F1223"/>
    <w:rsid w:val="006F4C6F"/>
    <w:rsid w:val="007032CF"/>
    <w:rsid w:val="00704451"/>
    <w:rsid w:val="007058F9"/>
    <w:rsid w:val="007124C8"/>
    <w:rsid w:val="007142D8"/>
    <w:rsid w:val="007151BF"/>
    <w:rsid w:val="00717239"/>
    <w:rsid w:val="007200A9"/>
    <w:rsid w:val="00721FFC"/>
    <w:rsid w:val="00722FAD"/>
    <w:rsid w:val="00750C45"/>
    <w:rsid w:val="00752091"/>
    <w:rsid w:val="00767FA1"/>
    <w:rsid w:val="00772CCA"/>
    <w:rsid w:val="00790CB9"/>
    <w:rsid w:val="007B1D6A"/>
    <w:rsid w:val="007B6B59"/>
    <w:rsid w:val="007E0EED"/>
    <w:rsid w:val="007E107A"/>
    <w:rsid w:val="00806233"/>
    <w:rsid w:val="00806E1F"/>
    <w:rsid w:val="00816D8D"/>
    <w:rsid w:val="00823D89"/>
    <w:rsid w:val="008372DA"/>
    <w:rsid w:val="008428C3"/>
    <w:rsid w:val="008479D4"/>
    <w:rsid w:val="00847CA6"/>
    <w:rsid w:val="008552F6"/>
    <w:rsid w:val="00870053"/>
    <w:rsid w:val="0087043B"/>
    <w:rsid w:val="00873CB4"/>
    <w:rsid w:val="00877A4A"/>
    <w:rsid w:val="00884709"/>
    <w:rsid w:val="00885D26"/>
    <w:rsid w:val="00887E84"/>
    <w:rsid w:val="00894241"/>
    <w:rsid w:val="008A7820"/>
    <w:rsid w:val="008B5827"/>
    <w:rsid w:val="008B7865"/>
    <w:rsid w:val="008C31B9"/>
    <w:rsid w:val="008C5DE2"/>
    <w:rsid w:val="008D51FB"/>
    <w:rsid w:val="008E7196"/>
    <w:rsid w:val="008F5501"/>
    <w:rsid w:val="008F78D1"/>
    <w:rsid w:val="009013A2"/>
    <w:rsid w:val="009142FA"/>
    <w:rsid w:val="00924FAA"/>
    <w:rsid w:val="00925C5F"/>
    <w:rsid w:val="00925F92"/>
    <w:rsid w:val="00930A96"/>
    <w:rsid w:val="00934462"/>
    <w:rsid w:val="00935EE6"/>
    <w:rsid w:val="00936EE8"/>
    <w:rsid w:val="00940C11"/>
    <w:rsid w:val="009420BF"/>
    <w:rsid w:val="009541CF"/>
    <w:rsid w:val="00955272"/>
    <w:rsid w:val="009642BB"/>
    <w:rsid w:val="009745E1"/>
    <w:rsid w:val="00990598"/>
    <w:rsid w:val="0099076F"/>
    <w:rsid w:val="0099156F"/>
    <w:rsid w:val="00991666"/>
    <w:rsid w:val="0099201D"/>
    <w:rsid w:val="00996DAD"/>
    <w:rsid w:val="009977B9"/>
    <w:rsid w:val="009A61C1"/>
    <w:rsid w:val="009A6B4F"/>
    <w:rsid w:val="009B0614"/>
    <w:rsid w:val="009B1566"/>
    <w:rsid w:val="009B6A47"/>
    <w:rsid w:val="009B7E1C"/>
    <w:rsid w:val="009D6064"/>
    <w:rsid w:val="009D7650"/>
    <w:rsid w:val="009E1958"/>
    <w:rsid w:val="009E19D2"/>
    <w:rsid w:val="00A04E10"/>
    <w:rsid w:val="00A121C6"/>
    <w:rsid w:val="00A20872"/>
    <w:rsid w:val="00A2694E"/>
    <w:rsid w:val="00A33953"/>
    <w:rsid w:val="00A35D5D"/>
    <w:rsid w:val="00A364CB"/>
    <w:rsid w:val="00A41966"/>
    <w:rsid w:val="00A45B3F"/>
    <w:rsid w:val="00A45BB3"/>
    <w:rsid w:val="00A4653C"/>
    <w:rsid w:val="00A52CE1"/>
    <w:rsid w:val="00A579CE"/>
    <w:rsid w:val="00A6454E"/>
    <w:rsid w:val="00A735F9"/>
    <w:rsid w:val="00A81563"/>
    <w:rsid w:val="00A825D0"/>
    <w:rsid w:val="00A853B6"/>
    <w:rsid w:val="00A85962"/>
    <w:rsid w:val="00A939BB"/>
    <w:rsid w:val="00A966B5"/>
    <w:rsid w:val="00AA416E"/>
    <w:rsid w:val="00AA4A50"/>
    <w:rsid w:val="00AB0359"/>
    <w:rsid w:val="00AB7AB3"/>
    <w:rsid w:val="00AC2420"/>
    <w:rsid w:val="00AC5ECB"/>
    <w:rsid w:val="00AC7F9D"/>
    <w:rsid w:val="00AD3E02"/>
    <w:rsid w:val="00AD6388"/>
    <w:rsid w:val="00AE53CC"/>
    <w:rsid w:val="00AE6FA0"/>
    <w:rsid w:val="00AF1C4B"/>
    <w:rsid w:val="00AF2389"/>
    <w:rsid w:val="00AF27AD"/>
    <w:rsid w:val="00AF5F3E"/>
    <w:rsid w:val="00AF6BA7"/>
    <w:rsid w:val="00B0205F"/>
    <w:rsid w:val="00B13426"/>
    <w:rsid w:val="00B13FD4"/>
    <w:rsid w:val="00B168FF"/>
    <w:rsid w:val="00B17965"/>
    <w:rsid w:val="00B20B6C"/>
    <w:rsid w:val="00B224E8"/>
    <w:rsid w:val="00B23502"/>
    <w:rsid w:val="00B24ACE"/>
    <w:rsid w:val="00B25FEE"/>
    <w:rsid w:val="00B31DDF"/>
    <w:rsid w:val="00B327B4"/>
    <w:rsid w:val="00B508F4"/>
    <w:rsid w:val="00B54019"/>
    <w:rsid w:val="00B55EF7"/>
    <w:rsid w:val="00B654CC"/>
    <w:rsid w:val="00B6694E"/>
    <w:rsid w:val="00B70D1C"/>
    <w:rsid w:val="00B71972"/>
    <w:rsid w:val="00B8050F"/>
    <w:rsid w:val="00B9033F"/>
    <w:rsid w:val="00B97F35"/>
    <w:rsid w:val="00BA43CE"/>
    <w:rsid w:val="00BA72B8"/>
    <w:rsid w:val="00BB38AD"/>
    <w:rsid w:val="00BB64F8"/>
    <w:rsid w:val="00BC1D17"/>
    <w:rsid w:val="00BC5BEC"/>
    <w:rsid w:val="00BD0495"/>
    <w:rsid w:val="00BE648F"/>
    <w:rsid w:val="00BF28FE"/>
    <w:rsid w:val="00BF2DB7"/>
    <w:rsid w:val="00BF7FC0"/>
    <w:rsid w:val="00C00EC1"/>
    <w:rsid w:val="00C06104"/>
    <w:rsid w:val="00C06609"/>
    <w:rsid w:val="00C2004A"/>
    <w:rsid w:val="00C27372"/>
    <w:rsid w:val="00C35D69"/>
    <w:rsid w:val="00C3689B"/>
    <w:rsid w:val="00C51BBB"/>
    <w:rsid w:val="00C570B7"/>
    <w:rsid w:val="00C80575"/>
    <w:rsid w:val="00C80A5C"/>
    <w:rsid w:val="00C8442C"/>
    <w:rsid w:val="00C87469"/>
    <w:rsid w:val="00C87F19"/>
    <w:rsid w:val="00C94A15"/>
    <w:rsid w:val="00C96AB9"/>
    <w:rsid w:val="00C97D03"/>
    <w:rsid w:val="00CA3DB0"/>
    <w:rsid w:val="00CC06E4"/>
    <w:rsid w:val="00CD236A"/>
    <w:rsid w:val="00CF4AA4"/>
    <w:rsid w:val="00CF54B4"/>
    <w:rsid w:val="00CF7976"/>
    <w:rsid w:val="00D10220"/>
    <w:rsid w:val="00D12732"/>
    <w:rsid w:val="00D12C13"/>
    <w:rsid w:val="00D22623"/>
    <w:rsid w:val="00D315B5"/>
    <w:rsid w:val="00D3236D"/>
    <w:rsid w:val="00D326EF"/>
    <w:rsid w:val="00D348F4"/>
    <w:rsid w:val="00D413B1"/>
    <w:rsid w:val="00D4260B"/>
    <w:rsid w:val="00D42F13"/>
    <w:rsid w:val="00D45194"/>
    <w:rsid w:val="00D46319"/>
    <w:rsid w:val="00D5041B"/>
    <w:rsid w:val="00D50B3C"/>
    <w:rsid w:val="00D5104D"/>
    <w:rsid w:val="00D61D77"/>
    <w:rsid w:val="00D91F70"/>
    <w:rsid w:val="00D96CA7"/>
    <w:rsid w:val="00DA0C3F"/>
    <w:rsid w:val="00DA23C7"/>
    <w:rsid w:val="00DA581C"/>
    <w:rsid w:val="00DB2D85"/>
    <w:rsid w:val="00DB7110"/>
    <w:rsid w:val="00DC07D9"/>
    <w:rsid w:val="00DC0B48"/>
    <w:rsid w:val="00DC60B5"/>
    <w:rsid w:val="00DD1425"/>
    <w:rsid w:val="00DD1A2D"/>
    <w:rsid w:val="00DD5D2E"/>
    <w:rsid w:val="00DD7489"/>
    <w:rsid w:val="00DD7D84"/>
    <w:rsid w:val="00DD7FD1"/>
    <w:rsid w:val="00DE092C"/>
    <w:rsid w:val="00DE3822"/>
    <w:rsid w:val="00DF03E9"/>
    <w:rsid w:val="00DF06A4"/>
    <w:rsid w:val="00DF1D88"/>
    <w:rsid w:val="00DF5B50"/>
    <w:rsid w:val="00DF77D1"/>
    <w:rsid w:val="00E0624E"/>
    <w:rsid w:val="00E11801"/>
    <w:rsid w:val="00E1649A"/>
    <w:rsid w:val="00E264F8"/>
    <w:rsid w:val="00E35F8D"/>
    <w:rsid w:val="00E402B1"/>
    <w:rsid w:val="00E40B49"/>
    <w:rsid w:val="00E427AD"/>
    <w:rsid w:val="00E4306B"/>
    <w:rsid w:val="00E444A4"/>
    <w:rsid w:val="00E57BF6"/>
    <w:rsid w:val="00E710CA"/>
    <w:rsid w:val="00E735D3"/>
    <w:rsid w:val="00E82D0C"/>
    <w:rsid w:val="00E86B06"/>
    <w:rsid w:val="00E9161B"/>
    <w:rsid w:val="00E96949"/>
    <w:rsid w:val="00EA661A"/>
    <w:rsid w:val="00EB57B1"/>
    <w:rsid w:val="00EC3411"/>
    <w:rsid w:val="00EC747F"/>
    <w:rsid w:val="00ED45F0"/>
    <w:rsid w:val="00EE08E8"/>
    <w:rsid w:val="00EE1810"/>
    <w:rsid w:val="00EE401A"/>
    <w:rsid w:val="00EF3693"/>
    <w:rsid w:val="00EF4DDF"/>
    <w:rsid w:val="00F040EC"/>
    <w:rsid w:val="00F050E4"/>
    <w:rsid w:val="00F11A32"/>
    <w:rsid w:val="00F16F69"/>
    <w:rsid w:val="00F20E2C"/>
    <w:rsid w:val="00F275B7"/>
    <w:rsid w:val="00F3006C"/>
    <w:rsid w:val="00F319B9"/>
    <w:rsid w:val="00F33945"/>
    <w:rsid w:val="00F46104"/>
    <w:rsid w:val="00F4757A"/>
    <w:rsid w:val="00F638DC"/>
    <w:rsid w:val="00F63F6D"/>
    <w:rsid w:val="00F71A6E"/>
    <w:rsid w:val="00F71C42"/>
    <w:rsid w:val="00F75CE1"/>
    <w:rsid w:val="00F81899"/>
    <w:rsid w:val="00F977B2"/>
    <w:rsid w:val="00FA5A27"/>
    <w:rsid w:val="00FB2D20"/>
    <w:rsid w:val="00FD3C65"/>
    <w:rsid w:val="00FD3EF0"/>
    <w:rsid w:val="00FD7990"/>
    <w:rsid w:val="00FD7AEB"/>
    <w:rsid w:val="00FE77A8"/>
    <w:rsid w:val="00FF2A38"/>
    <w:rsid w:val="00FF3D63"/>
    <w:rsid w:val="00FF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78DB0"/>
  <w15:chartTrackingRefBased/>
  <w15:docId w15:val="{D443865C-EE8D-460D-B7F1-FE4B0CD7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qFormat/>
    <w:rsid w:val="00D315B5"/>
    <w:pPr>
      <w:jc w:val="center"/>
      <w:outlineLvl w:val="0"/>
    </w:p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uiPriority w:val="99"/>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customStyle="1" w:styleId="questionhd">
    <w:name w:val="questionhd"/>
    <w:basedOn w:val="Normal"/>
    <w:pPr>
      <w:overflowPunct/>
      <w:autoSpaceDE/>
      <w:autoSpaceDN/>
      <w:adjustRightInd/>
      <w:ind w:left="153" w:right="153"/>
      <w:textAlignment w:val="auto"/>
    </w:pPr>
    <w:rPr>
      <w:rFonts w:ascii="Courier" w:hAnsi="Courier"/>
      <w:b/>
      <w:sz w:val="20"/>
    </w:rPr>
  </w:style>
  <w:style w:type="paragraph" w:customStyle="1" w:styleId="questionname">
    <w:name w:val="questionname"/>
    <w:basedOn w:val="Normal"/>
    <w:pPr>
      <w:overflowPunct/>
      <w:autoSpaceDE/>
      <w:autoSpaceDN/>
      <w:adjustRightInd/>
      <w:ind w:left="153" w:right="153"/>
      <w:textAlignment w:val="auto"/>
    </w:pPr>
    <w:rPr>
      <w:rFonts w:ascii="Tahoma" w:hAnsi="Tahoma"/>
      <w:b/>
      <w:sz w:val="24"/>
    </w:rPr>
  </w:style>
  <w:style w:type="paragraph" w:styleId="BalloonText">
    <w:name w:val="Balloon Text"/>
    <w:basedOn w:val="Normal"/>
    <w:semiHidden/>
    <w:rsid w:val="00287376"/>
    <w:rPr>
      <w:rFonts w:ascii="Tahoma" w:hAnsi="Tahoma" w:cs="Tahoma"/>
      <w:sz w:val="16"/>
      <w:szCs w:val="16"/>
    </w:rPr>
  </w:style>
  <w:style w:type="paragraph" w:styleId="FootnoteText">
    <w:name w:val="footnote text"/>
    <w:basedOn w:val="Normal"/>
    <w:semiHidden/>
    <w:rsid w:val="00AE53CC"/>
    <w:rPr>
      <w:sz w:val="20"/>
    </w:rPr>
  </w:style>
  <w:style w:type="character" w:styleId="FootnoteReference">
    <w:name w:val="footnote reference"/>
    <w:uiPriority w:val="99"/>
    <w:semiHidden/>
    <w:rsid w:val="00AE53CC"/>
    <w:rPr>
      <w:vertAlign w:val="superscript"/>
    </w:rPr>
  </w:style>
  <w:style w:type="paragraph" w:customStyle="1" w:styleId="Default">
    <w:name w:val="Default"/>
    <w:rsid w:val="004B6D99"/>
    <w:pPr>
      <w:autoSpaceDE w:val="0"/>
      <w:autoSpaceDN w:val="0"/>
      <w:adjustRightInd w:val="0"/>
    </w:pPr>
    <w:rPr>
      <w:rFonts w:ascii="Comic Sans MS" w:hAnsi="Comic Sans MS"/>
      <w:color w:val="000000"/>
      <w:sz w:val="24"/>
      <w:szCs w:val="24"/>
    </w:rPr>
  </w:style>
  <w:style w:type="paragraph" w:styleId="Header">
    <w:name w:val="header"/>
    <w:basedOn w:val="Normal"/>
    <w:link w:val="HeaderChar"/>
    <w:uiPriority w:val="99"/>
    <w:rsid w:val="007B6B59"/>
    <w:pPr>
      <w:tabs>
        <w:tab w:val="center" w:pos="4680"/>
        <w:tab w:val="right" w:pos="9360"/>
      </w:tabs>
    </w:pPr>
    <w:rPr>
      <w:lang w:val="x-none" w:eastAsia="x-none"/>
    </w:rPr>
  </w:style>
  <w:style w:type="character" w:customStyle="1" w:styleId="HeaderChar">
    <w:name w:val="Header Char"/>
    <w:link w:val="Header"/>
    <w:uiPriority w:val="99"/>
    <w:rsid w:val="007B6B59"/>
    <w:rPr>
      <w:sz w:val="26"/>
    </w:rPr>
  </w:style>
  <w:style w:type="paragraph" w:styleId="Footer">
    <w:name w:val="footer"/>
    <w:basedOn w:val="Normal"/>
    <w:link w:val="FooterChar"/>
    <w:rsid w:val="007B6B59"/>
    <w:pPr>
      <w:tabs>
        <w:tab w:val="center" w:pos="4680"/>
        <w:tab w:val="right" w:pos="9360"/>
      </w:tabs>
    </w:pPr>
    <w:rPr>
      <w:lang w:val="x-none" w:eastAsia="x-none"/>
    </w:rPr>
  </w:style>
  <w:style w:type="character" w:customStyle="1" w:styleId="FooterChar">
    <w:name w:val="Footer Char"/>
    <w:link w:val="Footer"/>
    <w:rsid w:val="007B6B59"/>
    <w:rPr>
      <w:sz w:val="26"/>
    </w:rPr>
  </w:style>
  <w:style w:type="paragraph" w:styleId="EndnoteText">
    <w:name w:val="endnote text"/>
    <w:basedOn w:val="Normal"/>
    <w:link w:val="EndnoteTextChar"/>
    <w:rsid w:val="004C0A9B"/>
    <w:rPr>
      <w:sz w:val="20"/>
    </w:rPr>
  </w:style>
  <w:style w:type="character" w:customStyle="1" w:styleId="EndnoteTextChar">
    <w:name w:val="Endnote Text Char"/>
    <w:basedOn w:val="DefaultParagraphFont"/>
    <w:link w:val="EndnoteText"/>
    <w:rsid w:val="004C0A9B"/>
  </w:style>
  <w:style w:type="character" w:styleId="EndnoteReference">
    <w:name w:val="endnote reference"/>
    <w:rsid w:val="004C0A9B"/>
    <w:rPr>
      <w:vertAlign w:val="superscript"/>
    </w:rPr>
  </w:style>
  <w:style w:type="paragraph" w:styleId="ListParagraph">
    <w:name w:val="List Paragraph"/>
    <w:basedOn w:val="Normal"/>
    <w:uiPriority w:val="34"/>
    <w:qFormat/>
    <w:rsid w:val="009D6064"/>
    <w:pPr>
      <w:ind w:left="720"/>
    </w:pPr>
  </w:style>
  <w:style w:type="paragraph" w:styleId="Revision">
    <w:name w:val="Revision"/>
    <w:hidden/>
    <w:uiPriority w:val="99"/>
    <w:semiHidden/>
    <w:rsid w:val="00C570B7"/>
    <w:rPr>
      <w:sz w:val="26"/>
    </w:rPr>
  </w:style>
  <w:style w:type="character" w:styleId="CommentReference">
    <w:name w:val="annotation reference"/>
    <w:basedOn w:val="DefaultParagraphFont"/>
    <w:rsid w:val="00C570B7"/>
    <w:rPr>
      <w:sz w:val="16"/>
      <w:szCs w:val="16"/>
    </w:rPr>
  </w:style>
  <w:style w:type="paragraph" w:styleId="CommentText">
    <w:name w:val="annotation text"/>
    <w:basedOn w:val="Normal"/>
    <w:link w:val="CommentTextChar"/>
    <w:rsid w:val="00C570B7"/>
    <w:rPr>
      <w:sz w:val="20"/>
    </w:rPr>
  </w:style>
  <w:style w:type="character" w:customStyle="1" w:styleId="CommentTextChar">
    <w:name w:val="Comment Text Char"/>
    <w:basedOn w:val="DefaultParagraphFont"/>
    <w:link w:val="CommentText"/>
    <w:rsid w:val="00C570B7"/>
  </w:style>
  <w:style w:type="paragraph" w:styleId="CommentSubject">
    <w:name w:val="annotation subject"/>
    <w:basedOn w:val="CommentText"/>
    <w:next w:val="CommentText"/>
    <w:link w:val="CommentSubjectChar"/>
    <w:rsid w:val="00C570B7"/>
    <w:rPr>
      <w:b/>
      <w:bCs/>
    </w:rPr>
  </w:style>
  <w:style w:type="character" w:customStyle="1" w:styleId="CommentSubjectChar">
    <w:name w:val="Comment Subject Char"/>
    <w:basedOn w:val="CommentTextChar"/>
    <w:link w:val="CommentSubject"/>
    <w:rsid w:val="00C570B7"/>
    <w:rPr>
      <w:b/>
      <w:bCs/>
    </w:rPr>
  </w:style>
  <w:style w:type="character" w:customStyle="1" w:styleId="Heading1Char">
    <w:name w:val="Heading 1 Char"/>
    <w:basedOn w:val="DefaultParagraphFont"/>
    <w:link w:val="Heading1"/>
    <w:rsid w:val="00D315B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0508">
      <w:bodyDiv w:val="1"/>
      <w:marLeft w:val="0"/>
      <w:marRight w:val="0"/>
      <w:marTop w:val="0"/>
      <w:marBottom w:val="0"/>
      <w:divBdr>
        <w:top w:val="none" w:sz="0" w:space="0" w:color="auto"/>
        <w:left w:val="none" w:sz="0" w:space="0" w:color="auto"/>
        <w:bottom w:val="none" w:sz="0" w:space="0" w:color="auto"/>
        <w:right w:val="none" w:sz="0" w:space="0" w:color="auto"/>
      </w:divBdr>
    </w:div>
    <w:div w:id="250434177">
      <w:bodyDiv w:val="1"/>
      <w:marLeft w:val="0"/>
      <w:marRight w:val="0"/>
      <w:marTop w:val="0"/>
      <w:marBottom w:val="0"/>
      <w:divBdr>
        <w:top w:val="none" w:sz="0" w:space="0" w:color="auto"/>
        <w:left w:val="none" w:sz="0" w:space="0" w:color="auto"/>
        <w:bottom w:val="none" w:sz="0" w:space="0" w:color="auto"/>
        <w:right w:val="none" w:sz="0" w:space="0" w:color="auto"/>
      </w:divBdr>
    </w:div>
    <w:div w:id="346912335">
      <w:bodyDiv w:val="1"/>
      <w:marLeft w:val="0"/>
      <w:marRight w:val="0"/>
      <w:marTop w:val="0"/>
      <w:marBottom w:val="0"/>
      <w:divBdr>
        <w:top w:val="none" w:sz="0" w:space="0" w:color="auto"/>
        <w:left w:val="none" w:sz="0" w:space="0" w:color="auto"/>
        <w:bottom w:val="none" w:sz="0" w:space="0" w:color="auto"/>
        <w:right w:val="none" w:sz="0" w:space="0" w:color="auto"/>
      </w:divBdr>
    </w:div>
    <w:div w:id="1412774946">
      <w:bodyDiv w:val="1"/>
      <w:marLeft w:val="0"/>
      <w:marRight w:val="0"/>
      <w:marTop w:val="0"/>
      <w:marBottom w:val="0"/>
      <w:divBdr>
        <w:top w:val="none" w:sz="0" w:space="0" w:color="auto"/>
        <w:left w:val="none" w:sz="0" w:space="0" w:color="auto"/>
        <w:bottom w:val="none" w:sz="0" w:space="0" w:color="auto"/>
        <w:right w:val="none" w:sz="0" w:space="0" w:color="auto"/>
      </w:divBdr>
    </w:div>
    <w:div w:id="1689017363">
      <w:bodyDiv w:val="1"/>
      <w:marLeft w:val="0"/>
      <w:marRight w:val="0"/>
      <w:marTop w:val="0"/>
      <w:marBottom w:val="0"/>
      <w:divBdr>
        <w:top w:val="none" w:sz="0" w:space="0" w:color="auto"/>
        <w:left w:val="none" w:sz="0" w:space="0" w:color="auto"/>
        <w:bottom w:val="none" w:sz="0" w:space="0" w:color="auto"/>
        <w:right w:val="none" w:sz="0" w:space="0" w:color="auto"/>
      </w:divBdr>
    </w:div>
    <w:div w:id="1901398957">
      <w:bodyDiv w:val="1"/>
      <w:marLeft w:val="0"/>
      <w:marRight w:val="0"/>
      <w:marTop w:val="0"/>
      <w:marBottom w:val="0"/>
      <w:divBdr>
        <w:top w:val="none" w:sz="0" w:space="0" w:color="auto"/>
        <w:left w:val="none" w:sz="0" w:space="0" w:color="auto"/>
        <w:bottom w:val="none" w:sz="0" w:space="0" w:color="auto"/>
        <w:right w:val="none" w:sz="0" w:space="0" w:color="auto"/>
      </w:divBdr>
    </w:div>
    <w:div w:id="2058160835">
      <w:bodyDiv w:val="1"/>
      <w:marLeft w:val="0"/>
      <w:marRight w:val="0"/>
      <w:marTop w:val="0"/>
      <w:marBottom w:val="0"/>
      <w:divBdr>
        <w:top w:val="none" w:sz="0" w:space="0" w:color="auto"/>
        <w:left w:val="none" w:sz="0" w:space="0" w:color="auto"/>
        <w:bottom w:val="none" w:sz="0" w:space="0" w:color="auto"/>
        <w:right w:val="none" w:sz="0" w:space="0" w:color="auto"/>
      </w:divBdr>
    </w:div>
    <w:div w:id="21370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5B83-1D0F-4E18-B005-2E25E06B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cshade</dc:creator>
  <cp:keywords/>
  <cp:lastModifiedBy>Williams, Aubrie</cp:lastModifiedBy>
  <cp:revision>7</cp:revision>
  <cp:lastPrinted>2014-06-05T15:45:00Z</cp:lastPrinted>
  <dcterms:created xsi:type="dcterms:W3CDTF">2024-10-18T13:42:00Z</dcterms:created>
  <dcterms:modified xsi:type="dcterms:W3CDTF">2024-11-14T17:46:00Z</dcterms:modified>
</cp:coreProperties>
</file>