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60B4E" w14:textId="77777777" w:rsidR="00637642" w:rsidRPr="00637642" w:rsidRDefault="00637642" w:rsidP="00637642">
      <w:pPr>
        <w:pBdr>
          <w:top w:val="single" w:sz="4" w:space="1" w:color="auto"/>
          <w:left w:val="single" w:sz="4" w:space="4" w:color="auto"/>
          <w:bottom w:val="single" w:sz="4" w:space="1" w:color="auto"/>
          <w:right w:val="single" w:sz="4" w:space="4" w:color="auto"/>
        </w:pBdr>
        <w:ind w:right="5670"/>
        <w:textAlignment w:val="baseline"/>
        <w:rPr>
          <w:color w:val="FF0000"/>
          <w:szCs w:val="26"/>
        </w:rPr>
      </w:pPr>
      <w:bookmarkStart w:id="0" w:name="_Hlk77839959"/>
      <w:bookmarkStart w:id="1" w:name="_Hlk93577479"/>
      <w:r w:rsidRPr="00637642">
        <w:rPr>
          <w:color w:val="FF0000"/>
          <w:szCs w:val="26"/>
        </w:rPr>
        <w:t>Approved by the Board of Trustees</w:t>
      </w:r>
    </w:p>
    <w:bookmarkEnd w:id="0"/>
    <w:bookmarkEnd w:id="1"/>
    <w:p w14:paraId="3DDC7445" w14:textId="77777777" w:rsidR="00637642" w:rsidRPr="00637642" w:rsidRDefault="00637642" w:rsidP="00637642">
      <w:pPr>
        <w:pBdr>
          <w:top w:val="single" w:sz="4" w:space="1" w:color="auto"/>
          <w:left w:val="single" w:sz="4" w:space="4" w:color="auto"/>
          <w:bottom w:val="single" w:sz="4" w:space="1" w:color="auto"/>
          <w:right w:val="single" w:sz="4" w:space="4" w:color="auto"/>
        </w:pBdr>
        <w:ind w:right="5670"/>
        <w:textAlignment w:val="baseline"/>
        <w:rPr>
          <w:color w:val="FF0000"/>
          <w:szCs w:val="26"/>
        </w:rPr>
      </w:pPr>
      <w:r w:rsidRPr="00637642">
        <w:rPr>
          <w:color w:val="FF0000"/>
          <w:szCs w:val="26"/>
        </w:rPr>
        <w:t>November 14, 2024</w:t>
      </w:r>
    </w:p>
    <w:p w14:paraId="51B11DB6" w14:textId="155F6A4B" w:rsidR="0070389C" w:rsidRPr="0070389C" w:rsidRDefault="001F5FE6" w:rsidP="0070389C">
      <w:pPr>
        <w:pStyle w:val="Default"/>
        <w:tabs>
          <w:tab w:val="left" w:pos="7200"/>
        </w:tabs>
        <w:jc w:val="right"/>
        <w:rPr>
          <w:rFonts w:ascii="Times New Roman" w:hAnsi="Times New Roman" w:cs="Times New Roman"/>
          <w:b/>
          <w:bCs/>
          <w:color w:val="auto"/>
          <w:sz w:val="60"/>
          <w:szCs w:val="60"/>
        </w:rPr>
      </w:pPr>
      <w:r>
        <w:rPr>
          <w:rFonts w:ascii="Times New Roman" w:hAnsi="Times New Roman" w:cs="Times New Roman"/>
          <w:b/>
          <w:bCs/>
          <w:color w:val="auto"/>
          <w:sz w:val="60"/>
          <w:szCs w:val="60"/>
        </w:rPr>
        <w:t>22</w:t>
      </w:r>
    </w:p>
    <w:p w14:paraId="71E8C2BB" w14:textId="26BC55D1" w:rsidR="0070389C" w:rsidRPr="00AA17A4" w:rsidRDefault="0070389C" w:rsidP="0021251D">
      <w:pPr>
        <w:pStyle w:val="Default"/>
        <w:tabs>
          <w:tab w:val="left" w:pos="7200"/>
        </w:tabs>
        <w:rPr>
          <w:rFonts w:ascii="Times New Roman" w:hAnsi="Times New Roman" w:cs="Times New Roman"/>
          <w:color w:val="auto"/>
          <w:sz w:val="52"/>
          <w:szCs w:val="52"/>
        </w:rPr>
      </w:pPr>
    </w:p>
    <w:p w14:paraId="325A480F" w14:textId="4EF9C4E6" w:rsidR="00C474C6" w:rsidRPr="00521958" w:rsidRDefault="0070389C" w:rsidP="0021251D">
      <w:pPr>
        <w:pStyle w:val="Default"/>
        <w:tabs>
          <w:tab w:val="left" w:pos="7200"/>
        </w:tabs>
        <w:rPr>
          <w:rFonts w:ascii="Times New Roman" w:hAnsi="Times New Roman" w:cs="Times New Roman"/>
          <w:color w:val="auto"/>
          <w:sz w:val="26"/>
          <w:szCs w:val="26"/>
        </w:rPr>
      </w:pPr>
      <w:r>
        <w:rPr>
          <w:rFonts w:ascii="Times New Roman" w:hAnsi="Times New Roman" w:cs="Times New Roman"/>
          <w:color w:val="auto"/>
          <w:sz w:val="26"/>
          <w:szCs w:val="26"/>
        </w:rPr>
        <w:tab/>
      </w:r>
      <w:r w:rsidR="00C474C6" w:rsidRPr="00521958">
        <w:rPr>
          <w:rFonts w:ascii="Times New Roman" w:hAnsi="Times New Roman" w:cs="Times New Roman"/>
          <w:color w:val="auto"/>
          <w:sz w:val="26"/>
          <w:szCs w:val="26"/>
        </w:rPr>
        <w:t>Board Meeting</w:t>
      </w:r>
    </w:p>
    <w:p w14:paraId="1590E2D7" w14:textId="50388586" w:rsidR="00C474C6" w:rsidRPr="00521958" w:rsidRDefault="00F00B41" w:rsidP="00F00B41">
      <w:pPr>
        <w:pStyle w:val="Default"/>
        <w:tabs>
          <w:tab w:val="left" w:pos="7200"/>
        </w:tabs>
        <w:rPr>
          <w:rFonts w:ascii="Times New Roman" w:hAnsi="Times New Roman" w:cs="Times New Roman"/>
          <w:color w:val="auto"/>
          <w:sz w:val="26"/>
          <w:szCs w:val="26"/>
        </w:rPr>
      </w:pPr>
      <w:r w:rsidRPr="00521958">
        <w:rPr>
          <w:rFonts w:ascii="Times New Roman" w:hAnsi="Times New Roman" w:cs="Times New Roman"/>
          <w:color w:val="auto"/>
          <w:sz w:val="26"/>
          <w:szCs w:val="26"/>
        </w:rPr>
        <w:tab/>
      </w:r>
      <w:r w:rsidR="000B2209">
        <w:rPr>
          <w:rFonts w:ascii="Times New Roman" w:hAnsi="Times New Roman" w:cs="Times New Roman"/>
          <w:color w:val="auto"/>
          <w:sz w:val="26"/>
          <w:szCs w:val="26"/>
        </w:rPr>
        <w:t>November</w:t>
      </w:r>
      <w:r w:rsidR="001B2A59" w:rsidRPr="00521958">
        <w:rPr>
          <w:rFonts w:ascii="Times New Roman" w:hAnsi="Times New Roman" w:cs="Times New Roman"/>
          <w:color w:val="auto"/>
          <w:sz w:val="26"/>
          <w:szCs w:val="26"/>
        </w:rPr>
        <w:t xml:space="preserve"> </w:t>
      </w:r>
      <w:r w:rsidR="000B2209">
        <w:rPr>
          <w:rFonts w:ascii="Times New Roman" w:hAnsi="Times New Roman" w:cs="Times New Roman"/>
          <w:color w:val="auto"/>
          <w:sz w:val="26"/>
          <w:szCs w:val="26"/>
        </w:rPr>
        <w:t>14</w:t>
      </w:r>
      <w:r w:rsidR="009504D2" w:rsidRPr="00521958">
        <w:rPr>
          <w:rFonts w:ascii="Times New Roman" w:hAnsi="Times New Roman" w:cs="Times New Roman"/>
          <w:color w:val="auto"/>
          <w:sz w:val="26"/>
          <w:szCs w:val="26"/>
        </w:rPr>
        <w:t>, 202</w:t>
      </w:r>
      <w:r w:rsidR="000B2209">
        <w:rPr>
          <w:rFonts w:ascii="Times New Roman" w:hAnsi="Times New Roman" w:cs="Times New Roman"/>
          <w:color w:val="auto"/>
          <w:sz w:val="26"/>
          <w:szCs w:val="26"/>
        </w:rPr>
        <w:t>4</w:t>
      </w:r>
    </w:p>
    <w:p w14:paraId="61E102F4" w14:textId="77777777" w:rsidR="00AA17A4" w:rsidRPr="00AA17A4" w:rsidRDefault="00AA17A4" w:rsidP="00AA17A4">
      <w:pPr>
        <w:pStyle w:val="Default"/>
        <w:tabs>
          <w:tab w:val="left" w:pos="7200"/>
        </w:tabs>
        <w:rPr>
          <w:rFonts w:ascii="Times New Roman" w:hAnsi="Times New Roman" w:cs="Times New Roman"/>
          <w:color w:val="auto"/>
          <w:sz w:val="52"/>
          <w:szCs w:val="52"/>
        </w:rPr>
      </w:pPr>
    </w:p>
    <w:p w14:paraId="6EBB0CEF" w14:textId="23674EE2" w:rsidR="00C474C6" w:rsidRPr="00521958" w:rsidRDefault="00C474C6" w:rsidP="00FF7A5D">
      <w:pPr>
        <w:pStyle w:val="Default"/>
        <w:jc w:val="center"/>
        <w:rPr>
          <w:rFonts w:ascii="Times New Roman" w:hAnsi="Times New Roman" w:cs="Times New Roman"/>
          <w:color w:val="auto"/>
          <w:sz w:val="26"/>
          <w:szCs w:val="26"/>
        </w:rPr>
      </w:pPr>
      <w:r w:rsidRPr="00521958">
        <w:rPr>
          <w:rFonts w:ascii="Times New Roman" w:hAnsi="Times New Roman" w:cs="Times New Roman"/>
          <w:color w:val="auto"/>
          <w:sz w:val="26"/>
          <w:szCs w:val="26"/>
        </w:rPr>
        <w:t>ROLL CALL</w:t>
      </w:r>
    </w:p>
    <w:p w14:paraId="18EC1B6C" w14:textId="77777777" w:rsidR="00C474C6" w:rsidRPr="00521958" w:rsidRDefault="00C474C6" w:rsidP="00FF7A5D">
      <w:pPr>
        <w:pStyle w:val="Default"/>
        <w:jc w:val="center"/>
        <w:rPr>
          <w:rFonts w:ascii="Times New Roman" w:hAnsi="Times New Roman" w:cs="Times New Roman"/>
          <w:color w:val="auto"/>
          <w:sz w:val="26"/>
          <w:szCs w:val="26"/>
        </w:rPr>
      </w:pPr>
    </w:p>
    <w:p w14:paraId="34E4B59B" w14:textId="71F4C966" w:rsidR="00C474C6" w:rsidRPr="00350B89" w:rsidRDefault="006D31EF" w:rsidP="00BC3987">
      <w:pPr>
        <w:pStyle w:val="Heading1"/>
      </w:pPr>
      <w:r w:rsidRPr="00350B89">
        <w:t xml:space="preserve">APPROVE </w:t>
      </w:r>
      <w:r w:rsidR="001A7766" w:rsidRPr="00350B89">
        <w:t>PROJECT</w:t>
      </w:r>
      <w:r w:rsidR="00EB2E41">
        <w:t xml:space="preserve"> </w:t>
      </w:r>
      <w:r w:rsidR="00343A32" w:rsidRPr="00350B89">
        <w:t xml:space="preserve">AND </w:t>
      </w:r>
      <w:r w:rsidRPr="00350B89">
        <w:t xml:space="preserve">AMEND </w:t>
      </w:r>
      <w:r w:rsidR="00343A32" w:rsidRPr="00350B89">
        <w:t xml:space="preserve">PROFESSIONAL SERVICES </w:t>
      </w:r>
      <w:r w:rsidRPr="00350B89">
        <w:t xml:space="preserve">CONSULTANT CONTRACT </w:t>
      </w:r>
      <w:r w:rsidR="00C474C6" w:rsidRPr="00350B89">
        <w:t>FOR</w:t>
      </w:r>
      <w:r w:rsidR="000D4B8B" w:rsidRPr="00350B89">
        <w:t xml:space="preserve"> </w:t>
      </w:r>
      <w:r w:rsidR="000D4B8B" w:rsidRPr="000D4B8B">
        <w:t>CLARK, BARTON, AND LUNDGREN HALLS - HEATING PIPING REPLACEMENT</w:t>
      </w:r>
      <w:r w:rsidR="00165D8C" w:rsidRPr="00350B89">
        <w:t>,</w:t>
      </w:r>
      <w:r w:rsidR="00903509" w:rsidRPr="00350B89">
        <w:t xml:space="preserve"> </w:t>
      </w:r>
      <w:r w:rsidR="00E575DB" w:rsidRPr="00350B89">
        <w:t>URBANA</w:t>
      </w:r>
    </w:p>
    <w:p w14:paraId="103B2BE7" w14:textId="77777777" w:rsidR="00AA17A4" w:rsidRPr="00AA17A4" w:rsidRDefault="00AA17A4" w:rsidP="00AA17A4">
      <w:pPr>
        <w:pStyle w:val="Default"/>
        <w:tabs>
          <w:tab w:val="left" w:pos="7200"/>
        </w:tabs>
        <w:rPr>
          <w:rFonts w:ascii="Times New Roman" w:hAnsi="Times New Roman" w:cs="Times New Roman"/>
          <w:color w:val="auto"/>
          <w:sz w:val="52"/>
          <w:szCs w:val="52"/>
        </w:rPr>
      </w:pPr>
    </w:p>
    <w:p w14:paraId="35FD2EB3" w14:textId="1965F479" w:rsidR="00C474C6" w:rsidRPr="00521958" w:rsidRDefault="00C474C6" w:rsidP="00FF7A5D">
      <w:pPr>
        <w:pStyle w:val="Default"/>
        <w:tabs>
          <w:tab w:val="left" w:pos="1440"/>
        </w:tabs>
        <w:ind w:left="1440" w:hanging="1440"/>
        <w:rPr>
          <w:rFonts w:ascii="Times New Roman" w:hAnsi="Times New Roman" w:cs="Times New Roman"/>
          <w:color w:val="auto"/>
          <w:sz w:val="26"/>
          <w:szCs w:val="26"/>
        </w:rPr>
      </w:pPr>
      <w:r w:rsidRPr="00521958">
        <w:rPr>
          <w:rFonts w:ascii="Times New Roman" w:hAnsi="Times New Roman" w:cs="Times New Roman"/>
          <w:b/>
          <w:bCs/>
          <w:color w:val="auto"/>
          <w:sz w:val="26"/>
          <w:szCs w:val="26"/>
        </w:rPr>
        <w:t xml:space="preserve">Action: </w:t>
      </w:r>
      <w:r w:rsidR="00FF7A5D" w:rsidRPr="00521958">
        <w:rPr>
          <w:rFonts w:ascii="Times New Roman" w:hAnsi="Times New Roman" w:cs="Times New Roman"/>
          <w:b/>
          <w:bCs/>
          <w:color w:val="auto"/>
          <w:sz w:val="26"/>
          <w:szCs w:val="26"/>
        </w:rPr>
        <w:tab/>
      </w:r>
      <w:r w:rsidR="006D31EF" w:rsidRPr="00521958">
        <w:rPr>
          <w:rFonts w:ascii="Times New Roman" w:hAnsi="Times New Roman" w:cs="Times New Roman"/>
          <w:color w:val="auto"/>
          <w:sz w:val="26"/>
          <w:szCs w:val="26"/>
        </w:rPr>
        <w:t>Approve</w:t>
      </w:r>
      <w:r w:rsidR="00FC0242" w:rsidRPr="00521958">
        <w:rPr>
          <w:rFonts w:ascii="Times New Roman" w:hAnsi="Times New Roman" w:cs="Times New Roman"/>
          <w:color w:val="auto"/>
          <w:sz w:val="26"/>
          <w:szCs w:val="26"/>
        </w:rPr>
        <w:t xml:space="preserve"> </w:t>
      </w:r>
      <w:r w:rsidR="001A7766" w:rsidRPr="00521958">
        <w:rPr>
          <w:rFonts w:ascii="Times New Roman" w:hAnsi="Times New Roman" w:cs="Times New Roman"/>
          <w:color w:val="auto"/>
          <w:sz w:val="26"/>
          <w:szCs w:val="26"/>
        </w:rPr>
        <w:t>Project</w:t>
      </w:r>
      <w:r w:rsidR="00EB2E41">
        <w:rPr>
          <w:rFonts w:ascii="Times New Roman" w:hAnsi="Times New Roman" w:cs="Times New Roman"/>
          <w:color w:val="auto"/>
          <w:sz w:val="26"/>
          <w:szCs w:val="26"/>
        </w:rPr>
        <w:t xml:space="preserve"> </w:t>
      </w:r>
      <w:r w:rsidR="00343A32" w:rsidRPr="00521958">
        <w:rPr>
          <w:rFonts w:ascii="Times New Roman" w:hAnsi="Times New Roman" w:cs="Times New Roman"/>
          <w:color w:val="auto"/>
          <w:sz w:val="26"/>
          <w:szCs w:val="26"/>
        </w:rPr>
        <w:t xml:space="preserve">and </w:t>
      </w:r>
      <w:r w:rsidR="006D31EF" w:rsidRPr="00521958">
        <w:rPr>
          <w:rFonts w:ascii="Times New Roman" w:hAnsi="Times New Roman" w:cs="Times New Roman"/>
          <w:color w:val="auto"/>
          <w:sz w:val="26"/>
          <w:szCs w:val="26"/>
        </w:rPr>
        <w:t xml:space="preserve">Amend </w:t>
      </w:r>
      <w:r w:rsidR="00343A32" w:rsidRPr="00521958">
        <w:rPr>
          <w:rFonts w:ascii="Times New Roman" w:hAnsi="Times New Roman" w:cs="Times New Roman"/>
          <w:color w:val="auto"/>
          <w:sz w:val="26"/>
          <w:szCs w:val="26"/>
        </w:rPr>
        <w:t xml:space="preserve">Professional Services </w:t>
      </w:r>
      <w:r w:rsidR="006D31EF" w:rsidRPr="00521958">
        <w:rPr>
          <w:rFonts w:ascii="Times New Roman" w:hAnsi="Times New Roman" w:cs="Times New Roman"/>
          <w:color w:val="auto"/>
          <w:sz w:val="26"/>
          <w:szCs w:val="26"/>
        </w:rPr>
        <w:t xml:space="preserve">Consultant Contract </w:t>
      </w:r>
      <w:r w:rsidRPr="00521958">
        <w:rPr>
          <w:rFonts w:ascii="Times New Roman" w:hAnsi="Times New Roman" w:cs="Times New Roman"/>
          <w:color w:val="auto"/>
          <w:sz w:val="26"/>
          <w:szCs w:val="26"/>
        </w:rPr>
        <w:t>for</w:t>
      </w:r>
      <w:r w:rsidR="000D4B8B">
        <w:rPr>
          <w:rFonts w:ascii="Times New Roman" w:hAnsi="Times New Roman" w:cs="Times New Roman"/>
          <w:color w:val="auto"/>
          <w:sz w:val="26"/>
          <w:szCs w:val="26"/>
        </w:rPr>
        <w:t xml:space="preserve"> </w:t>
      </w:r>
      <w:r w:rsidR="000D4B8B" w:rsidRPr="000D4B8B">
        <w:rPr>
          <w:rFonts w:ascii="Times New Roman" w:hAnsi="Times New Roman" w:cs="Times New Roman"/>
          <w:color w:val="auto"/>
          <w:sz w:val="26"/>
          <w:szCs w:val="26"/>
        </w:rPr>
        <w:t xml:space="preserve">Clark, Barton, </w:t>
      </w:r>
      <w:r w:rsidR="00C34729">
        <w:rPr>
          <w:rFonts w:ascii="Times New Roman" w:hAnsi="Times New Roman" w:cs="Times New Roman"/>
          <w:color w:val="auto"/>
          <w:sz w:val="26"/>
          <w:szCs w:val="26"/>
        </w:rPr>
        <w:t>a</w:t>
      </w:r>
      <w:r w:rsidR="000D4B8B" w:rsidRPr="000D4B8B">
        <w:rPr>
          <w:rFonts w:ascii="Times New Roman" w:hAnsi="Times New Roman" w:cs="Times New Roman"/>
          <w:color w:val="auto"/>
          <w:sz w:val="26"/>
          <w:szCs w:val="26"/>
        </w:rPr>
        <w:t>nd Lundgren Halls - Heating Piping Replacement</w:t>
      </w:r>
    </w:p>
    <w:p w14:paraId="4CF55D79" w14:textId="7F00956A" w:rsidR="00C474C6" w:rsidRPr="00521958" w:rsidRDefault="00C474C6" w:rsidP="00FF7A5D">
      <w:pPr>
        <w:pStyle w:val="Default"/>
        <w:tabs>
          <w:tab w:val="left" w:pos="1440"/>
        </w:tabs>
        <w:ind w:left="1440" w:hanging="1440"/>
        <w:rPr>
          <w:rFonts w:ascii="Times New Roman" w:hAnsi="Times New Roman" w:cs="Times New Roman"/>
          <w:color w:val="auto"/>
          <w:sz w:val="26"/>
          <w:szCs w:val="26"/>
        </w:rPr>
      </w:pPr>
    </w:p>
    <w:p w14:paraId="7C0FB9A1" w14:textId="73A76B11" w:rsidR="002168D6" w:rsidRPr="00521958" w:rsidRDefault="00C474C6" w:rsidP="007E2A18">
      <w:pPr>
        <w:pStyle w:val="bdstyle1"/>
        <w:tabs>
          <w:tab w:val="clear" w:pos="720"/>
        </w:tabs>
        <w:rPr>
          <w:szCs w:val="26"/>
        </w:rPr>
      </w:pPr>
      <w:r w:rsidRPr="00521958">
        <w:rPr>
          <w:b/>
          <w:bCs/>
          <w:szCs w:val="26"/>
        </w:rPr>
        <w:t xml:space="preserve">Funding: </w:t>
      </w:r>
      <w:r w:rsidR="002168D6" w:rsidRPr="00521958">
        <w:rPr>
          <w:szCs w:val="26"/>
        </w:rPr>
        <w:tab/>
      </w:r>
      <w:r w:rsidR="0021251D">
        <w:rPr>
          <w:szCs w:val="26"/>
        </w:rPr>
        <w:t>Auxiliary Facility System Repair and Replacement Reserve Funds and Institutional Funds Operating Budget</w:t>
      </w:r>
    </w:p>
    <w:p w14:paraId="490FE78D" w14:textId="77777777" w:rsidR="00AA17A4" w:rsidRPr="00AA17A4" w:rsidRDefault="00AA17A4" w:rsidP="00AA17A4">
      <w:pPr>
        <w:pStyle w:val="Default"/>
        <w:tabs>
          <w:tab w:val="left" w:pos="7200"/>
        </w:tabs>
        <w:rPr>
          <w:rFonts w:ascii="Times New Roman" w:hAnsi="Times New Roman" w:cs="Times New Roman"/>
          <w:color w:val="auto"/>
          <w:sz w:val="52"/>
          <w:szCs w:val="52"/>
        </w:rPr>
      </w:pPr>
    </w:p>
    <w:p w14:paraId="7739DDB7" w14:textId="1CE8EB1E" w:rsidR="00E62EDD" w:rsidRDefault="000B38EC" w:rsidP="000D441E">
      <w:pPr>
        <w:tabs>
          <w:tab w:val="left" w:pos="1440"/>
        </w:tabs>
        <w:spacing w:line="480" w:lineRule="auto"/>
        <w:rPr>
          <w:szCs w:val="26"/>
        </w:rPr>
      </w:pPr>
      <w:r w:rsidRPr="00521958">
        <w:rPr>
          <w:szCs w:val="26"/>
        </w:rPr>
        <w:tab/>
      </w:r>
      <w:r w:rsidR="0021251D">
        <w:rPr>
          <w:szCs w:val="26"/>
        </w:rPr>
        <w:t xml:space="preserve">University Housing has identified the need to replace heating and piping elements at three buildings: Clark Hall, Barton Hall, and Lundgren Hall. The current </w:t>
      </w:r>
      <w:r w:rsidR="00417079" w:rsidRPr="00417079">
        <w:rPr>
          <w:szCs w:val="26"/>
        </w:rPr>
        <w:t xml:space="preserve">heating water risers in these three buildings </w:t>
      </w:r>
      <w:r w:rsidR="000D17F3">
        <w:rPr>
          <w:szCs w:val="26"/>
        </w:rPr>
        <w:t>are</w:t>
      </w:r>
      <w:r w:rsidR="000D17F3" w:rsidRPr="00417079">
        <w:rPr>
          <w:szCs w:val="26"/>
        </w:rPr>
        <w:t xml:space="preserve"> </w:t>
      </w:r>
      <w:r w:rsidR="00417079" w:rsidRPr="00417079">
        <w:rPr>
          <w:szCs w:val="26"/>
        </w:rPr>
        <w:t>from the original 1940 construction.</w:t>
      </w:r>
      <w:r w:rsidR="0070389C">
        <w:rPr>
          <w:szCs w:val="26"/>
        </w:rPr>
        <w:t xml:space="preserve"> </w:t>
      </w:r>
      <w:r w:rsidR="00417079" w:rsidRPr="00417079">
        <w:rPr>
          <w:szCs w:val="26"/>
        </w:rPr>
        <w:t xml:space="preserve">System failures have occurred on numerous occasions </w:t>
      </w:r>
      <w:r w:rsidR="000D441E">
        <w:rPr>
          <w:szCs w:val="26"/>
        </w:rPr>
        <w:t>due to severe corrosion,</w:t>
      </w:r>
      <w:r w:rsidR="00417079" w:rsidRPr="00417079">
        <w:rPr>
          <w:szCs w:val="26"/>
        </w:rPr>
        <w:t xml:space="preserve"> resulting in sediment blocking water flow or broken pipes.</w:t>
      </w:r>
      <w:r w:rsidR="0070389C">
        <w:rPr>
          <w:szCs w:val="26"/>
        </w:rPr>
        <w:t xml:space="preserve"> </w:t>
      </w:r>
      <w:r w:rsidR="00417079" w:rsidRPr="00417079">
        <w:rPr>
          <w:szCs w:val="26"/>
        </w:rPr>
        <w:t xml:space="preserve">In system failure, </w:t>
      </w:r>
      <w:r w:rsidR="000D441E">
        <w:rPr>
          <w:szCs w:val="26"/>
        </w:rPr>
        <w:t>heat loss occurs</w:t>
      </w:r>
      <w:r w:rsidR="00FC3D39">
        <w:rPr>
          <w:szCs w:val="26"/>
        </w:rPr>
        <w:t>,</w:t>
      </w:r>
      <w:r w:rsidR="000D441E">
        <w:rPr>
          <w:szCs w:val="26"/>
        </w:rPr>
        <w:t xml:space="preserve"> impacting the </w:t>
      </w:r>
      <w:r w:rsidR="00C34729">
        <w:rPr>
          <w:szCs w:val="26"/>
        </w:rPr>
        <w:t xml:space="preserve">more than </w:t>
      </w:r>
      <w:r w:rsidR="000D441E">
        <w:rPr>
          <w:szCs w:val="26"/>
        </w:rPr>
        <w:t>280 residents of Barton and Lundgren Halls and</w:t>
      </w:r>
      <w:r w:rsidR="00417079" w:rsidRPr="00417079">
        <w:rPr>
          <w:szCs w:val="26"/>
        </w:rPr>
        <w:t xml:space="preserve"> the 80</w:t>
      </w:r>
      <w:r w:rsidR="00C34729">
        <w:rPr>
          <w:szCs w:val="26"/>
        </w:rPr>
        <w:t>-plus</w:t>
      </w:r>
      <w:r w:rsidR="00417079" w:rsidRPr="00417079">
        <w:rPr>
          <w:szCs w:val="26"/>
        </w:rPr>
        <w:t xml:space="preserve"> staff working in Clark Hall.</w:t>
      </w:r>
      <w:r w:rsidR="0070389C">
        <w:rPr>
          <w:szCs w:val="26"/>
        </w:rPr>
        <w:t xml:space="preserve"> </w:t>
      </w:r>
      <w:r w:rsidR="00417079" w:rsidRPr="00417079">
        <w:rPr>
          <w:szCs w:val="26"/>
        </w:rPr>
        <w:t>As a result</w:t>
      </w:r>
      <w:r w:rsidR="000D441E">
        <w:rPr>
          <w:szCs w:val="26"/>
        </w:rPr>
        <w:t>, the shared piping network, including returns and a common header corrosion, blockage, or other failures in one building,</w:t>
      </w:r>
      <w:r w:rsidR="00417079" w:rsidRPr="00417079">
        <w:rPr>
          <w:szCs w:val="26"/>
        </w:rPr>
        <w:t xml:space="preserve"> often impacts the entire system</w:t>
      </w:r>
      <w:r w:rsidRPr="00521958">
        <w:rPr>
          <w:szCs w:val="26"/>
        </w:rPr>
        <w:t xml:space="preserve">. </w:t>
      </w:r>
    </w:p>
    <w:p w14:paraId="4AFE3389" w14:textId="405796EE" w:rsidR="000D17F3" w:rsidRPr="00521958" w:rsidRDefault="000D17F3" w:rsidP="000D441E">
      <w:pPr>
        <w:tabs>
          <w:tab w:val="left" w:pos="1440"/>
        </w:tabs>
        <w:spacing w:line="480" w:lineRule="auto"/>
        <w:rPr>
          <w:szCs w:val="26"/>
        </w:rPr>
      </w:pPr>
      <w:r>
        <w:rPr>
          <w:szCs w:val="26"/>
        </w:rPr>
        <w:tab/>
      </w:r>
      <w:r w:rsidRPr="002E7A8A">
        <w:rPr>
          <w:szCs w:val="26"/>
        </w:rPr>
        <w:t>The project consists of a heating system renovation in Clark, Barton</w:t>
      </w:r>
      <w:r>
        <w:rPr>
          <w:szCs w:val="26"/>
        </w:rPr>
        <w:t>,</w:t>
      </w:r>
      <w:r w:rsidRPr="002E7A8A">
        <w:rPr>
          <w:szCs w:val="26"/>
        </w:rPr>
        <w:t xml:space="preserve"> and Lundgren Halls</w:t>
      </w:r>
      <w:r w:rsidR="003D3B64">
        <w:rPr>
          <w:szCs w:val="26"/>
        </w:rPr>
        <w:t>,</w:t>
      </w:r>
      <w:r w:rsidRPr="002E7A8A">
        <w:rPr>
          <w:szCs w:val="26"/>
        </w:rPr>
        <w:t xml:space="preserve"> including selective demolition of existing heating systems and </w:t>
      </w:r>
      <w:r w:rsidRPr="002E7A8A">
        <w:rPr>
          <w:szCs w:val="26"/>
        </w:rPr>
        <w:lastRenderedPageBreak/>
        <w:t>installation of new four-pipe fan coil unit systems in the buildings.</w:t>
      </w:r>
      <w:r w:rsidR="0070389C">
        <w:rPr>
          <w:szCs w:val="26"/>
        </w:rPr>
        <w:t xml:space="preserve"> </w:t>
      </w:r>
      <w:r w:rsidRPr="002E7A8A">
        <w:rPr>
          <w:szCs w:val="26"/>
        </w:rPr>
        <w:t xml:space="preserve">The project includes </w:t>
      </w:r>
      <w:r w:rsidR="000D441E">
        <w:rPr>
          <w:szCs w:val="26"/>
        </w:rPr>
        <w:t>removing and replacing</w:t>
      </w:r>
      <w:r w:rsidRPr="002E7A8A">
        <w:rPr>
          <w:szCs w:val="26"/>
        </w:rPr>
        <w:t xml:space="preserve"> existing steam-to-water heat exchangers and pumps and </w:t>
      </w:r>
      <w:r>
        <w:rPr>
          <w:szCs w:val="26"/>
        </w:rPr>
        <w:t xml:space="preserve">the </w:t>
      </w:r>
      <w:r w:rsidRPr="002E7A8A">
        <w:rPr>
          <w:szCs w:val="26"/>
        </w:rPr>
        <w:t xml:space="preserve">installation of new chilled water service entrances into Barton and Lundgren </w:t>
      </w:r>
      <w:r w:rsidR="00C34729">
        <w:rPr>
          <w:szCs w:val="26"/>
        </w:rPr>
        <w:t>H</w:t>
      </w:r>
      <w:r w:rsidRPr="002E7A8A">
        <w:rPr>
          <w:szCs w:val="26"/>
        </w:rPr>
        <w:t>alls.</w:t>
      </w:r>
      <w:r w:rsidR="0070389C">
        <w:rPr>
          <w:szCs w:val="26"/>
        </w:rPr>
        <w:t xml:space="preserve"> </w:t>
      </w:r>
      <w:r w:rsidRPr="002E7A8A">
        <w:rPr>
          <w:szCs w:val="26"/>
        </w:rPr>
        <w:t xml:space="preserve">The new fan coil units in Barton and Lundgren </w:t>
      </w:r>
      <w:r w:rsidR="00C34729">
        <w:rPr>
          <w:szCs w:val="26"/>
        </w:rPr>
        <w:t>H</w:t>
      </w:r>
      <w:r w:rsidRPr="002E7A8A">
        <w:rPr>
          <w:szCs w:val="26"/>
        </w:rPr>
        <w:t>alls will be served by new piping risers originating from reverse-return loops at the basement ceiling.</w:t>
      </w:r>
      <w:r w:rsidR="0070389C">
        <w:rPr>
          <w:szCs w:val="26"/>
        </w:rPr>
        <w:t xml:space="preserve"> </w:t>
      </w:r>
      <w:r w:rsidRPr="002E7A8A">
        <w:rPr>
          <w:szCs w:val="26"/>
        </w:rPr>
        <w:t>The new fan coil units in Clark Hall will be served by new piping risers originating from reverse-return loops at the second-floor ceiling.</w:t>
      </w:r>
      <w:r w:rsidR="0070389C">
        <w:rPr>
          <w:szCs w:val="26"/>
        </w:rPr>
        <w:t xml:space="preserve"> </w:t>
      </w:r>
      <w:r w:rsidRPr="002E7A8A">
        <w:rPr>
          <w:szCs w:val="26"/>
        </w:rPr>
        <w:t>The new horizontal piping will be concealed in fabricated metal pipe chases along the walls.</w:t>
      </w:r>
      <w:r w:rsidR="0070389C">
        <w:rPr>
          <w:szCs w:val="26"/>
        </w:rPr>
        <w:t xml:space="preserve"> </w:t>
      </w:r>
      <w:r w:rsidRPr="002E7A8A">
        <w:rPr>
          <w:szCs w:val="26"/>
        </w:rPr>
        <w:t>The project includes new electrical distribution and new building automation systems to serve the new fan coil units and mechanical room equipment.</w:t>
      </w:r>
      <w:r w:rsidR="0070389C">
        <w:rPr>
          <w:szCs w:val="26"/>
        </w:rPr>
        <w:t xml:space="preserve"> </w:t>
      </w:r>
      <w:r w:rsidRPr="002E7A8A">
        <w:rPr>
          <w:szCs w:val="26"/>
        </w:rPr>
        <w:t>The project also includes incidental work related to the HVAC installation, including asbestos and lead paint abatement, ceiling removal and replacement, lighting replacement, patching of existing surfaces, and limited fire suppression work.</w:t>
      </w:r>
      <w:r w:rsidR="0070389C">
        <w:rPr>
          <w:szCs w:val="26"/>
        </w:rPr>
        <w:t xml:space="preserve"> </w:t>
      </w:r>
      <w:r w:rsidR="0079702C">
        <w:rPr>
          <w:szCs w:val="26"/>
        </w:rPr>
        <w:t>Preliminary design work estimates an expected $20</w:t>
      </w:r>
      <w:r w:rsidR="00C34729">
        <w:rPr>
          <w:szCs w:val="26"/>
        </w:rPr>
        <w:t>.0</w:t>
      </w:r>
      <w:r w:rsidR="0079702C">
        <w:rPr>
          <w:szCs w:val="26"/>
        </w:rPr>
        <w:t xml:space="preserve"> million project budget is required to cover all </w:t>
      </w:r>
      <w:r w:rsidR="00E3708B">
        <w:rPr>
          <w:szCs w:val="26"/>
        </w:rPr>
        <w:t>design, construction, and owner’s expenses cost</w:t>
      </w:r>
      <w:r w:rsidR="0079702C">
        <w:rPr>
          <w:szCs w:val="26"/>
        </w:rPr>
        <w:t>s.</w:t>
      </w:r>
    </w:p>
    <w:p w14:paraId="38FED8BF" w14:textId="2F90B281" w:rsidR="00614D17" w:rsidRPr="00521958" w:rsidRDefault="00C34729" w:rsidP="000D441E">
      <w:pPr>
        <w:pStyle w:val="Default"/>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4E12E3" w:rsidRPr="00521958">
        <w:rPr>
          <w:rFonts w:ascii="Times New Roman" w:hAnsi="Times New Roman" w:cs="Times New Roman"/>
          <w:sz w:val="26"/>
          <w:szCs w:val="26"/>
        </w:rPr>
        <w:t xml:space="preserve">For the project to proceed, it is necessary to </w:t>
      </w:r>
      <w:r w:rsidR="004E12E3">
        <w:rPr>
          <w:rFonts w:ascii="Times New Roman" w:hAnsi="Times New Roman" w:cs="Times New Roman"/>
          <w:sz w:val="26"/>
          <w:szCs w:val="26"/>
        </w:rPr>
        <w:t>a</w:t>
      </w:r>
      <w:r w:rsidR="004E12E3" w:rsidRPr="00521958">
        <w:rPr>
          <w:rFonts w:ascii="Times New Roman" w:hAnsi="Times New Roman" w:cs="Times New Roman"/>
          <w:sz w:val="26"/>
          <w:szCs w:val="26"/>
        </w:rPr>
        <w:t xml:space="preserve">mend the </w:t>
      </w:r>
      <w:r w:rsidR="004E12E3">
        <w:rPr>
          <w:rFonts w:ascii="Times New Roman" w:hAnsi="Times New Roman" w:cs="Times New Roman"/>
          <w:sz w:val="26"/>
          <w:szCs w:val="26"/>
        </w:rPr>
        <w:t>p</w:t>
      </w:r>
      <w:r w:rsidR="004E12E3" w:rsidRPr="00521958">
        <w:rPr>
          <w:rFonts w:ascii="Times New Roman" w:hAnsi="Times New Roman" w:cs="Times New Roman"/>
          <w:sz w:val="26"/>
          <w:szCs w:val="26"/>
        </w:rPr>
        <w:t xml:space="preserve">rofessional </w:t>
      </w:r>
      <w:r w:rsidR="004E12E3">
        <w:rPr>
          <w:rFonts w:ascii="Times New Roman" w:hAnsi="Times New Roman" w:cs="Times New Roman"/>
          <w:sz w:val="26"/>
          <w:szCs w:val="26"/>
        </w:rPr>
        <w:t>s</w:t>
      </w:r>
      <w:r w:rsidR="004E12E3" w:rsidRPr="00521958">
        <w:rPr>
          <w:rFonts w:ascii="Times New Roman" w:hAnsi="Times New Roman" w:cs="Times New Roman"/>
          <w:sz w:val="26"/>
          <w:szCs w:val="26"/>
        </w:rPr>
        <w:t xml:space="preserve">ervices </w:t>
      </w:r>
      <w:r w:rsidR="004E12E3">
        <w:rPr>
          <w:rFonts w:ascii="Times New Roman" w:hAnsi="Times New Roman" w:cs="Times New Roman"/>
          <w:sz w:val="26"/>
          <w:szCs w:val="26"/>
        </w:rPr>
        <w:t>c</w:t>
      </w:r>
      <w:r w:rsidR="004E12E3" w:rsidRPr="00521958">
        <w:rPr>
          <w:rFonts w:ascii="Times New Roman" w:hAnsi="Times New Roman" w:cs="Times New Roman"/>
          <w:sz w:val="26"/>
          <w:szCs w:val="26"/>
        </w:rPr>
        <w:t>onsultant contract for the re</w:t>
      </w:r>
      <w:r w:rsidR="00830B51">
        <w:rPr>
          <w:rFonts w:ascii="Times New Roman" w:hAnsi="Times New Roman" w:cs="Times New Roman"/>
          <w:sz w:val="26"/>
          <w:szCs w:val="26"/>
        </w:rPr>
        <w:t>maining required</w:t>
      </w:r>
      <w:r w:rsidR="004E12E3" w:rsidRPr="00521958">
        <w:rPr>
          <w:rFonts w:ascii="Times New Roman" w:hAnsi="Times New Roman" w:cs="Times New Roman"/>
          <w:sz w:val="26"/>
          <w:szCs w:val="26"/>
        </w:rPr>
        <w:t xml:space="preserve"> reimbursable and professional services.</w:t>
      </w:r>
      <w:r w:rsidR="0070389C">
        <w:rPr>
          <w:rFonts w:ascii="Times New Roman" w:hAnsi="Times New Roman" w:cs="Times New Roman"/>
          <w:sz w:val="26"/>
          <w:szCs w:val="26"/>
        </w:rPr>
        <w:t xml:space="preserve"> </w:t>
      </w:r>
      <w:r w:rsidR="00B27DB8" w:rsidRPr="00521958">
        <w:rPr>
          <w:rFonts w:ascii="Times New Roman" w:hAnsi="Times New Roman" w:cs="Times New Roman"/>
          <w:sz w:val="26"/>
          <w:szCs w:val="26"/>
        </w:rPr>
        <w:t xml:space="preserve">The selection of the </w:t>
      </w:r>
      <w:r w:rsidR="00D053D7">
        <w:rPr>
          <w:rFonts w:ascii="Times New Roman" w:hAnsi="Times New Roman" w:cs="Times New Roman"/>
          <w:sz w:val="26"/>
          <w:szCs w:val="26"/>
        </w:rPr>
        <w:t>p</w:t>
      </w:r>
      <w:r w:rsidR="00B27DB8" w:rsidRPr="00521958">
        <w:rPr>
          <w:rFonts w:ascii="Times New Roman" w:hAnsi="Times New Roman" w:cs="Times New Roman"/>
          <w:sz w:val="26"/>
          <w:szCs w:val="26"/>
        </w:rPr>
        <w:t xml:space="preserve">rofessional </w:t>
      </w:r>
      <w:r w:rsidR="00D053D7">
        <w:rPr>
          <w:rFonts w:ascii="Times New Roman" w:hAnsi="Times New Roman" w:cs="Times New Roman"/>
          <w:sz w:val="26"/>
          <w:szCs w:val="26"/>
        </w:rPr>
        <w:t>s</w:t>
      </w:r>
      <w:r w:rsidR="00B27DB8" w:rsidRPr="00521958">
        <w:rPr>
          <w:rFonts w:ascii="Times New Roman" w:hAnsi="Times New Roman" w:cs="Times New Roman"/>
          <w:sz w:val="26"/>
          <w:szCs w:val="26"/>
        </w:rPr>
        <w:t xml:space="preserve">ervices </w:t>
      </w:r>
      <w:r w:rsidR="00D053D7">
        <w:rPr>
          <w:rFonts w:ascii="Times New Roman" w:hAnsi="Times New Roman" w:cs="Times New Roman"/>
          <w:sz w:val="26"/>
          <w:szCs w:val="26"/>
        </w:rPr>
        <w:t>c</w:t>
      </w:r>
      <w:r w:rsidR="00B27DB8" w:rsidRPr="00521958">
        <w:rPr>
          <w:rFonts w:ascii="Times New Roman" w:hAnsi="Times New Roman" w:cs="Times New Roman"/>
          <w:sz w:val="26"/>
          <w:szCs w:val="26"/>
        </w:rPr>
        <w:t>onsultant for this project was in accordance with the requirements and provisions of Public Act 87-673 (Architectural, Engineering, and Land Surveying Qualifications-Based Selection Act)</w:t>
      </w:r>
      <w:r w:rsidR="00D053D7">
        <w:rPr>
          <w:rFonts w:ascii="Times New Roman" w:hAnsi="Times New Roman" w:cs="Times New Roman"/>
          <w:sz w:val="26"/>
          <w:szCs w:val="26"/>
        </w:rPr>
        <w:t>.</w:t>
      </w:r>
      <w:r w:rsidR="009B32D4" w:rsidRPr="00521958">
        <w:rPr>
          <w:rStyle w:val="FootnoteReference"/>
          <w:rFonts w:ascii="Times New Roman" w:hAnsi="Times New Roman" w:cs="Times New Roman"/>
          <w:sz w:val="26"/>
          <w:szCs w:val="26"/>
        </w:rPr>
        <w:footnoteReference w:id="1"/>
      </w:r>
    </w:p>
    <w:p w14:paraId="738B3425" w14:textId="18A5D522" w:rsidR="00C474C6" w:rsidRPr="00521958" w:rsidRDefault="00614D17" w:rsidP="000D441E">
      <w:pPr>
        <w:pStyle w:val="Default"/>
        <w:tabs>
          <w:tab w:val="left" w:pos="1440"/>
        </w:tabs>
        <w:spacing w:line="480" w:lineRule="auto"/>
        <w:rPr>
          <w:rFonts w:ascii="Times New Roman" w:hAnsi="Times New Roman" w:cs="Times New Roman"/>
          <w:color w:val="auto"/>
          <w:sz w:val="26"/>
          <w:szCs w:val="26"/>
        </w:rPr>
      </w:pPr>
      <w:r w:rsidRPr="00521958">
        <w:rPr>
          <w:rFonts w:ascii="Times New Roman" w:hAnsi="Times New Roman" w:cs="Times New Roman"/>
          <w:sz w:val="26"/>
          <w:szCs w:val="26"/>
        </w:rPr>
        <w:lastRenderedPageBreak/>
        <w:tab/>
      </w:r>
      <w:r w:rsidR="000E5CA6" w:rsidRPr="00521958">
        <w:rPr>
          <w:rFonts w:ascii="Times New Roman" w:hAnsi="Times New Roman" w:cs="Times New Roman"/>
          <w:color w:val="auto"/>
          <w:sz w:val="26"/>
          <w:szCs w:val="26"/>
        </w:rPr>
        <w:t xml:space="preserve">Accordingly, the </w:t>
      </w:r>
      <w:r w:rsidR="0021251D">
        <w:rPr>
          <w:rFonts w:ascii="Times New Roman" w:hAnsi="Times New Roman" w:cs="Times New Roman"/>
          <w:color w:val="auto"/>
          <w:sz w:val="26"/>
          <w:szCs w:val="26"/>
        </w:rPr>
        <w:t>c</w:t>
      </w:r>
      <w:r w:rsidR="0021251D" w:rsidRPr="00521958">
        <w:rPr>
          <w:rFonts w:ascii="Times New Roman" w:hAnsi="Times New Roman" w:cs="Times New Roman"/>
          <w:color w:val="auto"/>
          <w:sz w:val="26"/>
          <w:szCs w:val="26"/>
        </w:rPr>
        <w:t>hancellor</w:t>
      </w:r>
      <w:r w:rsidR="000E5CA6" w:rsidRPr="00521958">
        <w:rPr>
          <w:rFonts w:ascii="Times New Roman" w:hAnsi="Times New Roman" w:cs="Times New Roman"/>
          <w:color w:val="auto"/>
          <w:sz w:val="26"/>
          <w:szCs w:val="26"/>
        </w:rPr>
        <w:t>, University of Illinois Urbana-Champaign</w:t>
      </w:r>
      <w:r w:rsidR="001A7766" w:rsidRPr="00521958">
        <w:rPr>
          <w:rFonts w:ascii="Times New Roman" w:hAnsi="Times New Roman" w:cs="Times New Roman"/>
          <w:color w:val="auto"/>
          <w:sz w:val="26"/>
          <w:szCs w:val="26"/>
        </w:rPr>
        <w:t>,</w:t>
      </w:r>
      <w:r w:rsidR="000E5CA6" w:rsidRPr="00521958">
        <w:rPr>
          <w:rFonts w:ascii="Times New Roman" w:hAnsi="Times New Roman" w:cs="Times New Roman"/>
          <w:color w:val="auto"/>
          <w:sz w:val="26"/>
          <w:szCs w:val="26"/>
        </w:rPr>
        <w:t xml:space="preserve"> and </w:t>
      </w:r>
      <w:r w:rsidR="0021251D">
        <w:rPr>
          <w:rFonts w:ascii="Times New Roman" w:hAnsi="Times New Roman" w:cs="Times New Roman"/>
          <w:color w:val="auto"/>
          <w:sz w:val="26"/>
          <w:szCs w:val="26"/>
        </w:rPr>
        <w:t>v</w:t>
      </w:r>
      <w:r w:rsidR="0021251D" w:rsidRPr="00521958">
        <w:rPr>
          <w:rFonts w:ascii="Times New Roman" w:hAnsi="Times New Roman" w:cs="Times New Roman"/>
          <w:color w:val="auto"/>
          <w:sz w:val="26"/>
          <w:szCs w:val="26"/>
        </w:rPr>
        <w:t xml:space="preserve">ice </w:t>
      </w:r>
      <w:r w:rsidR="0021251D">
        <w:rPr>
          <w:rFonts w:ascii="Times New Roman" w:hAnsi="Times New Roman" w:cs="Times New Roman"/>
          <w:color w:val="auto"/>
          <w:sz w:val="26"/>
          <w:szCs w:val="26"/>
        </w:rPr>
        <w:t>p</w:t>
      </w:r>
      <w:r w:rsidR="0021251D" w:rsidRPr="00521958">
        <w:rPr>
          <w:rFonts w:ascii="Times New Roman" w:hAnsi="Times New Roman" w:cs="Times New Roman"/>
          <w:color w:val="auto"/>
          <w:sz w:val="26"/>
          <w:szCs w:val="26"/>
        </w:rPr>
        <w:t>resident</w:t>
      </w:r>
      <w:r w:rsidR="000E5CA6" w:rsidRPr="00521958">
        <w:rPr>
          <w:rFonts w:ascii="Times New Roman" w:hAnsi="Times New Roman" w:cs="Times New Roman"/>
          <w:color w:val="auto"/>
          <w:sz w:val="26"/>
          <w:szCs w:val="26"/>
        </w:rPr>
        <w:t>, University of Illinois</w:t>
      </w:r>
      <w:r w:rsidR="00491635">
        <w:rPr>
          <w:rFonts w:ascii="Times New Roman" w:hAnsi="Times New Roman" w:cs="Times New Roman"/>
          <w:color w:val="auto"/>
          <w:sz w:val="26"/>
          <w:szCs w:val="26"/>
        </w:rPr>
        <w:t xml:space="preserve"> System</w:t>
      </w:r>
      <w:r w:rsidR="001A7766" w:rsidRPr="00521958">
        <w:rPr>
          <w:rFonts w:ascii="Times New Roman" w:hAnsi="Times New Roman" w:cs="Times New Roman"/>
          <w:color w:val="auto"/>
          <w:sz w:val="26"/>
          <w:szCs w:val="26"/>
        </w:rPr>
        <w:t>,</w:t>
      </w:r>
      <w:r w:rsidR="000E5CA6" w:rsidRPr="00521958">
        <w:rPr>
          <w:rFonts w:ascii="Times New Roman" w:hAnsi="Times New Roman" w:cs="Times New Roman"/>
          <w:color w:val="auto"/>
          <w:sz w:val="26"/>
          <w:szCs w:val="26"/>
        </w:rPr>
        <w:t xml:space="preserve"> with the concurrence of the appropriate administrative officers</w:t>
      </w:r>
      <w:r w:rsidR="001A7766" w:rsidRPr="00521958">
        <w:rPr>
          <w:rFonts w:ascii="Times New Roman" w:hAnsi="Times New Roman" w:cs="Times New Roman"/>
          <w:color w:val="auto"/>
          <w:sz w:val="26"/>
          <w:szCs w:val="26"/>
        </w:rPr>
        <w:t>,</w:t>
      </w:r>
      <w:r w:rsidR="005979AA">
        <w:rPr>
          <w:rFonts w:ascii="Times New Roman" w:hAnsi="Times New Roman" w:cs="Times New Roman"/>
          <w:color w:val="auto"/>
          <w:sz w:val="26"/>
          <w:szCs w:val="26"/>
        </w:rPr>
        <w:t xml:space="preserve"> </w:t>
      </w:r>
      <w:r w:rsidR="007011F8">
        <w:rPr>
          <w:rFonts w:ascii="Times New Roman" w:hAnsi="Times New Roman" w:cs="Times New Roman"/>
          <w:color w:val="auto"/>
          <w:sz w:val="26"/>
          <w:szCs w:val="26"/>
        </w:rPr>
        <w:t xml:space="preserve">recommends the </w:t>
      </w:r>
      <w:r w:rsidR="007011F8" w:rsidRPr="000D4B8B">
        <w:rPr>
          <w:rFonts w:ascii="Times New Roman" w:hAnsi="Times New Roman" w:cs="Times New Roman"/>
          <w:color w:val="auto"/>
          <w:sz w:val="26"/>
          <w:szCs w:val="26"/>
        </w:rPr>
        <w:t xml:space="preserve">Clark, Barton, </w:t>
      </w:r>
      <w:r w:rsidR="000B0155">
        <w:rPr>
          <w:rFonts w:ascii="Times New Roman" w:hAnsi="Times New Roman" w:cs="Times New Roman"/>
          <w:color w:val="auto"/>
          <w:sz w:val="26"/>
          <w:szCs w:val="26"/>
        </w:rPr>
        <w:t>a</w:t>
      </w:r>
      <w:r w:rsidR="007011F8" w:rsidRPr="000D4B8B">
        <w:rPr>
          <w:rFonts w:ascii="Times New Roman" w:hAnsi="Times New Roman" w:cs="Times New Roman"/>
          <w:color w:val="auto"/>
          <w:sz w:val="26"/>
          <w:szCs w:val="26"/>
        </w:rPr>
        <w:t>nd Lundgren Halls - Heating Piping Replacement</w:t>
      </w:r>
      <w:r w:rsidR="007011F8">
        <w:rPr>
          <w:rFonts w:ascii="Times New Roman" w:hAnsi="Times New Roman" w:cs="Times New Roman"/>
          <w:color w:val="auto"/>
          <w:sz w:val="26"/>
          <w:szCs w:val="26"/>
        </w:rPr>
        <w:t xml:space="preserve"> </w:t>
      </w:r>
      <w:r w:rsidR="005979AA">
        <w:rPr>
          <w:rFonts w:ascii="Times New Roman" w:hAnsi="Times New Roman" w:cs="Times New Roman"/>
          <w:color w:val="auto"/>
          <w:sz w:val="26"/>
          <w:szCs w:val="26"/>
        </w:rPr>
        <w:t xml:space="preserve">project </w:t>
      </w:r>
      <w:r w:rsidR="007011F8">
        <w:rPr>
          <w:rFonts w:ascii="Times New Roman" w:hAnsi="Times New Roman" w:cs="Times New Roman"/>
          <w:color w:val="auto"/>
          <w:sz w:val="26"/>
          <w:szCs w:val="26"/>
        </w:rPr>
        <w:t xml:space="preserve">be approved and that </w:t>
      </w:r>
      <w:r w:rsidR="001D7533">
        <w:rPr>
          <w:rFonts w:ascii="Times New Roman" w:hAnsi="Times New Roman" w:cs="Times New Roman"/>
          <w:sz w:val="26"/>
          <w:szCs w:val="26"/>
        </w:rPr>
        <w:t>Clark Dietz</w:t>
      </w:r>
      <w:r w:rsidR="001A7766" w:rsidRPr="00521958">
        <w:rPr>
          <w:rFonts w:ascii="Times New Roman" w:hAnsi="Times New Roman" w:cs="Times New Roman"/>
          <w:sz w:val="26"/>
          <w:szCs w:val="26"/>
        </w:rPr>
        <w:t>, Inc.</w:t>
      </w:r>
      <w:r w:rsidR="004E12E3">
        <w:rPr>
          <w:rFonts w:ascii="Times New Roman" w:hAnsi="Times New Roman" w:cs="Times New Roman"/>
          <w:sz w:val="26"/>
          <w:szCs w:val="26"/>
        </w:rPr>
        <w:t xml:space="preserve"> of Champaign, Illinois</w:t>
      </w:r>
      <w:r w:rsidR="00361B21">
        <w:rPr>
          <w:rFonts w:ascii="Times New Roman" w:hAnsi="Times New Roman" w:cs="Times New Roman"/>
          <w:sz w:val="26"/>
          <w:szCs w:val="26"/>
        </w:rPr>
        <w:t>,</w:t>
      </w:r>
      <w:r w:rsidR="001A7766" w:rsidRPr="00521958">
        <w:rPr>
          <w:rFonts w:ascii="Times New Roman" w:hAnsi="Times New Roman" w:cs="Times New Roman"/>
          <w:sz w:val="26"/>
          <w:szCs w:val="26"/>
        </w:rPr>
        <w:t xml:space="preserve"> continue to be employed and their contract be amended for the professional services required for the construction document, bidding, and construction administration phases of the project</w:t>
      </w:r>
      <w:r w:rsidR="00E935AB">
        <w:rPr>
          <w:rFonts w:ascii="Times New Roman" w:hAnsi="Times New Roman" w:cs="Times New Roman"/>
          <w:sz w:val="26"/>
          <w:szCs w:val="26"/>
        </w:rPr>
        <w:t>.</w:t>
      </w:r>
      <w:r w:rsidR="0070389C">
        <w:rPr>
          <w:rFonts w:ascii="Times New Roman" w:hAnsi="Times New Roman" w:cs="Times New Roman"/>
          <w:sz w:val="26"/>
          <w:szCs w:val="26"/>
        </w:rPr>
        <w:t xml:space="preserve"> </w:t>
      </w:r>
      <w:r w:rsidR="005979AA">
        <w:rPr>
          <w:rFonts w:ascii="Times New Roman" w:hAnsi="Times New Roman" w:cs="Times New Roman"/>
          <w:sz w:val="26"/>
          <w:szCs w:val="26"/>
        </w:rPr>
        <w:t>The firm’s fees for this project will not exceed</w:t>
      </w:r>
      <w:r w:rsidRPr="00BC3987">
        <w:rPr>
          <w:rFonts w:ascii="Times New Roman" w:hAnsi="Times New Roman" w:cs="Times New Roman"/>
          <w:color w:val="auto"/>
          <w:sz w:val="26"/>
          <w:szCs w:val="26"/>
        </w:rPr>
        <w:t xml:space="preserve"> $</w:t>
      </w:r>
      <w:r w:rsidR="002E67E6" w:rsidRPr="00BC3987">
        <w:rPr>
          <w:rFonts w:ascii="Times New Roman" w:hAnsi="Times New Roman" w:cs="Times New Roman"/>
          <w:color w:val="auto"/>
          <w:sz w:val="26"/>
          <w:szCs w:val="26"/>
        </w:rPr>
        <w:t>1,1</w:t>
      </w:r>
      <w:r w:rsidR="003B72F2" w:rsidRPr="00BC3987">
        <w:rPr>
          <w:rFonts w:ascii="Times New Roman" w:hAnsi="Times New Roman" w:cs="Times New Roman"/>
          <w:color w:val="auto"/>
          <w:sz w:val="26"/>
          <w:szCs w:val="26"/>
        </w:rPr>
        <w:t>8</w:t>
      </w:r>
      <w:r w:rsidR="00DE1EB0">
        <w:rPr>
          <w:rFonts w:ascii="Times New Roman" w:hAnsi="Times New Roman" w:cs="Times New Roman"/>
          <w:color w:val="auto"/>
          <w:sz w:val="26"/>
          <w:szCs w:val="26"/>
        </w:rPr>
        <w:t>0</w:t>
      </w:r>
      <w:r w:rsidR="002E67E6" w:rsidRPr="00BC3987">
        <w:rPr>
          <w:rFonts w:ascii="Times New Roman" w:hAnsi="Times New Roman" w:cs="Times New Roman"/>
          <w:color w:val="auto"/>
          <w:sz w:val="26"/>
          <w:szCs w:val="26"/>
        </w:rPr>
        <w:t>,</w:t>
      </w:r>
      <w:r w:rsidR="003B72F2" w:rsidRPr="00BC3987">
        <w:rPr>
          <w:rFonts w:ascii="Times New Roman" w:hAnsi="Times New Roman" w:cs="Times New Roman"/>
          <w:color w:val="auto"/>
          <w:sz w:val="26"/>
          <w:szCs w:val="26"/>
        </w:rPr>
        <w:t>0</w:t>
      </w:r>
      <w:r w:rsidR="000220B4" w:rsidRPr="00BC3987">
        <w:rPr>
          <w:rFonts w:ascii="Times New Roman" w:hAnsi="Times New Roman" w:cs="Times New Roman"/>
          <w:color w:val="auto"/>
          <w:sz w:val="26"/>
          <w:szCs w:val="26"/>
        </w:rPr>
        <w:t>00</w:t>
      </w:r>
      <w:r w:rsidR="00CF017B" w:rsidRPr="00BC3987">
        <w:rPr>
          <w:rFonts w:ascii="Times New Roman" w:hAnsi="Times New Roman" w:cs="Times New Roman"/>
          <w:color w:val="auto"/>
          <w:sz w:val="26"/>
          <w:szCs w:val="26"/>
        </w:rPr>
        <w:t>.</w:t>
      </w:r>
      <w:r w:rsidR="0070389C">
        <w:rPr>
          <w:rFonts w:ascii="Times New Roman" w:hAnsi="Times New Roman" w:cs="Times New Roman"/>
          <w:color w:val="auto"/>
          <w:sz w:val="26"/>
          <w:szCs w:val="26"/>
        </w:rPr>
        <w:t xml:space="preserve"> </w:t>
      </w:r>
    </w:p>
    <w:p w14:paraId="310A9B2A" w14:textId="4D42E685" w:rsidR="000E5CA6" w:rsidRPr="00521958" w:rsidRDefault="00FF7A5D" w:rsidP="000D441E">
      <w:pPr>
        <w:pStyle w:val="Default"/>
        <w:tabs>
          <w:tab w:val="left" w:pos="1440"/>
        </w:tabs>
        <w:spacing w:line="480" w:lineRule="auto"/>
        <w:rPr>
          <w:rFonts w:ascii="Times New Roman" w:hAnsi="Times New Roman" w:cs="Times New Roman"/>
          <w:color w:val="auto"/>
          <w:sz w:val="26"/>
          <w:szCs w:val="26"/>
        </w:rPr>
      </w:pPr>
      <w:r w:rsidRPr="00521958">
        <w:rPr>
          <w:rFonts w:ascii="Times New Roman" w:hAnsi="Times New Roman" w:cs="Times New Roman"/>
          <w:color w:val="auto"/>
          <w:sz w:val="26"/>
          <w:szCs w:val="26"/>
        </w:rPr>
        <w:tab/>
      </w:r>
      <w:r w:rsidR="000E5CA6" w:rsidRPr="00521958">
        <w:rPr>
          <w:rFonts w:ascii="Times New Roman" w:hAnsi="Times New Roman" w:cs="Times New Roman"/>
          <w:color w:val="auto"/>
          <w:sz w:val="26"/>
          <w:szCs w:val="26"/>
        </w:rPr>
        <w:t xml:space="preserve">The Board action recommended in this item complies in all material respects with applicable State and federal laws, University of Illinois </w:t>
      </w:r>
      <w:r w:rsidR="000E5CA6" w:rsidRPr="00521958">
        <w:rPr>
          <w:rFonts w:ascii="Times New Roman" w:hAnsi="Times New Roman" w:cs="Times New Roman"/>
          <w:i/>
          <w:iCs/>
          <w:color w:val="auto"/>
          <w:sz w:val="26"/>
          <w:szCs w:val="26"/>
        </w:rPr>
        <w:t>Statutes</w:t>
      </w:r>
      <w:r w:rsidR="000E5CA6" w:rsidRPr="00521958">
        <w:rPr>
          <w:rFonts w:ascii="Times New Roman" w:hAnsi="Times New Roman" w:cs="Times New Roman"/>
          <w:color w:val="auto"/>
          <w:sz w:val="26"/>
          <w:szCs w:val="26"/>
        </w:rPr>
        <w:t xml:space="preserve">, </w:t>
      </w:r>
      <w:r w:rsidR="000E5CA6" w:rsidRPr="00521958">
        <w:rPr>
          <w:rFonts w:ascii="Times New Roman" w:hAnsi="Times New Roman" w:cs="Times New Roman"/>
          <w:i/>
          <w:iCs/>
          <w:color w:val="auto"/>
          <w:sz w:val="26"/>
          <w:szCs w:val="26"/>
        </w:rPr>
        <w:t>The General Rules Concerning University Organization and Procedure</w:t>
      </w:r>
      <w:r w:rsidR="000E5CA6" w:rsidRPr="00521958">
        <w:rPr>
          <w:rFonts w:ascii="Times New Roman" w:hAnsi="Times New Roman" w:cs="Times New Roman"/>
          <w:color w:val="auto"/>
          <w:sz w:val="26"/>
          <w:szCs w:val="26"/>
        </w:rPr>
        <w:t xml:space="preserve">, and Board of Trustees policies and directives. </w:t>
      </w:r>
    </w:p>
    <w:p w14:paraId="344B924C" w14:textId="1B2B328C" w:rsidR="000B38EC" w:rsidRPr="00521958" w:rsidRDefault="000B38EC" w:rsidP="000D441E">
      <w:pPr>
        <w:pStyle w:val="Default"/>
        <w:tabs>
          <w:tab w:val="left" w:pos="1530"/>
        </w:tabs>
        <w:spacing w:line="480" w:lineRule="auto"/>
        <w:ind w:hanging="720"/>
        <w:rPr>
          <w:rFonts w:ascii="Times New Roman" w:hAnsi="Times New Roman" w:cs="Times New Roman"/>
          <w:color w:val="auto"/>
          <w:sz w:val="26"/>
          <w:szCs w:val="26"/>
        </w:rPr>
      </w:pPr>
      <w:r w:rsidRPr="00521958">
        <w:rPr>
          <w:rFonts w:ascii="Times New Roman" w:hAnsi="Times New Roman" w:cs="Times New Roman"/>
          <w:color w:val="auto"/>
          <w:sz w:val="26"/>
          <w:szCs w:val="26"/>
        </w:rPr>
        <w:tab/>
      </w:r>
      <w:r w:rsidR="00BC3987">
        <w:rPr>
          <w:rFonts w:ascii="Times New Roman" w:hAnsi="Times New Roman" w:cs="Times New Roman"/>
          <w:color w:val="auto"/>
          <w:sz w:val="26"/>
          <w:szCs w:val="26"/>
        </w:rPr>
        <w:tab/>
      </w:r>
      <w:r w:rsidRPr="00521958">
        <w:rPr>
          <w:rFonts w:ascii="Times New Roman" w:hAnsi="Times New Roman" w:cs="Times New Roman"/>
          <w:color w:val="auto"/>
          <w:sz w:val="26"/>
          <w:szCs w:val="26"/>
        </w:rPr>
        <w:t>Funds for this project are available from the</w:t>
      </w:r>
      <w:r w:rsidR="001D7533">
        <w:rPr>
          <w:rFonts w:ascii="Times New Roman" w:hAnsi="Times New Roman" w:cs="Times New Roman"/>
          <w:sz w:val="26"/>
          <w:szCs w:val="26"/>
        </w:rPr>
        <w:t xml:space="preserve"> </w:t>
      </w:r>
      <w:r w:rsidR="00EB2E41">
        <w:rPr>
          <w:rFonts w:ascii="Times New Roman" w:hAnsi="Times New Roman" w:cs="Times New Roman"/>
          <w:sz w:val="26"/>
          <w:szCs w:val="26"/>
        </w:rPr>
        <w:t>i</w:t>
      </w:r>
      <w:r w:rsidR="00EB2E41" w:rsidRPr="00D845B3">
        <w:rPr>
          <w:rFonts w:ascii="Times New Roman" w:hAnsi="Times New Roman" w:cs="Times New Roman"/>
          <w:sz w:val="26"/>
          <w:szCs w:val="26"/>
        </w:rPr>
        <w:t xml:space="preserve">nstitutional </w:t>
      </w:r>
      <w:r w:rsidR="00EB2E41">
        <w:rPr>
          <w:rFonts w:ascii="Times New Roman" w:hAnsi="Times New Roman" w:cs="Times New Roman"/>
          <w:sz w:val="26"/>
          <w:szCs w:val="26"/>
        </w:rPr>
        <w:t>f</w:t>
      </w:r>
      <w:r w:rsidR="00EB2E41" w:rsidRPr="00D845B3">
        <w:rPr>
          <w:rFonts w:ascii="Times New Roman" w:hAnsi="Times New Roman" w:cs="Times New Roman"/>
          <w:sz w:val="26"/>
          <w:szCs w:val="26"/>
        </w:rPr>
        <w:t xml:space="preserve">unds </w:t>
      </w:r>
      <w:r w:rsidR="00EB2E41">
        <w:rPr>
          <w:rFonts w:ascii="Times New Roman" w:hAnsi="Times New Roman" w:cs="Times New Roman"/>
          <w:sz w:val="26"/>
          <w:szCs w:val="26"/>
        </w:rPr>
        <w:t>o</w:t>
      </w:r>
      <w:r w:rsidR="00EB2E41" w:rsidRPr="00D845B3">
        <w:rPr>
          <w:rFonts w:ascii="Times New Roman" w:hAnsi="Times New Roman" w:cs="Times New Roman"/>
          <w:sz w:val="26"/>
          <w:szCs w:val="26"/>
        </w:rPr>
        <w:t xml:space="preserve">perating </w:t>
      </w:r>
      <w:r w:rsidR="00EB2E41">
        <w:rPr>
          <w:rFonts w:ascii="Times New Roman" w:hAnsi="Times New Roman" w:cs="Times New Roman"/>
          <w:sz w:val="26"/>
          <w:szCs w:val="26"/>
        </w:rPr>
        <w:t>b</w:t>
      </w:r>
      <w:r w:rsidR="00EB2E41" w:rsidRPr="00D845B3">
        <w:rPr>
          <w:rFonts w:ascii="Times New Roman" w:hAnsi="Times New Roman" w:cs="Times New Roman"/>
          <w:sz w:val="26"/>
          <w:szCs w:val="26"/>
        </w:rPr>
        <w:t>udget</w:t>
      </w:r>
      <w:r w:rsidR="00EB2E41">
        <w:rPr>
          <w:rFonts w:ascii="Times New Roman" w:hAnsi="Times New Roman" w:cs="Times New Roman"/>
          <w:sz w:val="26"/>
          <w:szCs w:val="26"/>
        </w:rPr>
        <w:t xml:space="preserve"> of the University of Illinois Urbana-Champaign and </w:t>
      </w:r>
      <w:r w:rsidR="00EB2E41" w:rsidRPr="00A426D3">
        <w:rPr>
          <w:rFonts w:ascii="Times New Roman" w:hAnsi="Times New Roman" w:cs="Times New Roman"/>
          <w:sz w:val="26"/>
          <w:szCs w:val="26"/>
        </w:rPr>
        <w:t>Auxiliary Facility System Repair and Replacement Reserve Funds</w:t>
      </w:r>
      <w:r w:rsidR="00EB2E41">
        <w:rPr>
          <w:rFonts w:ascii="Times New Roman" w:hAnsi="Times New Roman" w:cs="Times New Roman"/>
          <w:sz w:val="26"/>
          <w:szCs w:val="26"/>
        </w:rPr>
        <w:t>.</w:t>
      </w:r>
    </w:p>
    <w:p w14:paraId="668CD3AB" w14:textId="1596517F" w:rsidR="00C474C6" w:rsidRPr="00521958" w:rsidRDefault="000B38EC" w:rsidP="000D441E">
      <w:pPr>
        <w:pStyle w:val="Default"/>
        <w:tabs>
          <w:tab w:val="left" w:pos="1440"/>
        </w:tabs>
        <w:spacing w:line="480" w:lineRule="auto"/>
        <w:rPr>
          <w:rFonts w:ascii="Times New Roman" w:hAnsi="Times New Roman" w:cs="Times New Roman"/>
          <w:color w:val="auto"/>
          <w:sz w:val="26"/>
          <w:szCs w:val="26"/>
        </w:rPr>
      </w:pPr>
      <w:r w:rsidRPr="00521958">
        <w:rPr>
          <w:rFonts w:ascii="Times New Roman" w:hAnsi="Times New Roman" w:cs="Times New Roman"/>
          <w:color w:val="auto"/>
          <w:sz w:val="26"/>
          <w:szCs w:val="26"/>
        </w:rPr>
        <w:tab/>
        <w:t xml:space="preserve">The </w:t>
      </w:r>
      <w:r w:rsidR="00EB2E41">
        <w:rPr>
          <w:rFonts w:ascii="Times New Roman" w:hAnsi="Times New Roman" w:cs="Times New Roman"/>
          <w:color w:val="auto"/>
          <w:sz w:val="26"/>
          <w:szCs w:val="26"/>
        </w:rPr>
        <w:t>p</w:t>
      </w:r>
      <w:r w:rsidR="00EB2E41" w:rsidRPr="00521958">
        <w:rPr>
          <w:rFonts w:ascii="Times New Roman" w:hAnsi="Times New Roman" w:cs="Times New Roman"/>
          <w:color w:val="auto"/>
          <w:sz w:val="26"/>
          <w:szCs w:val="26"/>
        </w:rPr>
        <w:t xml:space="preserve">resident </w:t>
      </w:r>
      <w:r w:rsidRPr="00521958">
        <w:rPr>
          <w:rFonts w:ascii="Times New Roman" w:hAnsi="Times New Roman" w:cs="Times New Roman"/>
          <w:color w:val="auto"/>
          <w:sz w:val="26"/>
          <w:szCs w:val="26"/>
        </w:rPr>
        <w:t>of the University</w:t>
      </w:r>
      <w:r w:rsidR="006D31EF" w:rsidRPr="00521958">
        <w:rPr>
          <w:rFonts w:ascii="Times New Roman" w:hAnsi="Times New Roman" w:cs="Times New Roman"/>
          <w:color w:val="auto"/>
          <w:sz w:val="26"/>
          <w:szCs w:val="26"/>
        </w:rPr>
        <w:t xml:space="preserve"> of Illinois System</w:t>
      </w:r>
      <w:r w:rsidRPr="00521958">
        <w:rPr>
          <w:rFonts w:ascii="Times New Roman" w:hAnsi="Times New Roman" w:cs="Times New Roman"/>
          <w:color w:val="auto"/>
          <w:sz w:val="26"/>
          <w:szCs w:val="26"/>
        </w:rPr>
        <w:t xml:space="preserve"> concurs.</w:t>
      </w:r>
      <w:r w:rsidR="00C474C6" w:rsidRPr="00521958">
        <w:rPr>
          <w:rFonts w:ascii="Times New Roman" w:hAnsi="Times New Roman" w:cs="Times New Roman"/>
          <w:color w:val="auto"/>
          <w:sz w:val="26"/>
          <w:szCs w:val="26"/>
        </w:rPr>
        <w:t xml:space="preserve"> </w:t>
      </w:r>
    </w:p>
    <w:p w14:paraId="46AC8FC1" w14:textId="77777777" w:rsidR="00AA17A4" w:rsidRPr="00AA17A4" w:rsidRDefault="00AA17A4" w:rsidP="00AA17A4">
      <w:pPr>
        <w:pStyle w:val="Default"/>
        <w:tabs>
          <w:tab w:val="left" w:pos="1440"/>
        </w:tabs>
        <w:spacing w:line="480" w:lineRule="auto"/>
        <w:rPr>
          <w:rFonts w:ascii="Times New Roman" w:hAnsi="Times New Roman" w:cs="Times New Roman"/>
          <w:color w:val="auto"/>
          <w:sz w:val="52"/>
          <w:szCs w:val="52"/>
        </w:rPr>
      </w:pPr>
    </w:p>
    <w:p w14:paraId="0D1ACD05" w14:textId="68327627" w:rsidR="00607C5E" w:rsidRPr="00521958" w:rsidRDefault="00607C5E" w:rsidP="000D441E">
      <w:pPr>
        <w:pStyle w:val="Default"/>
        <w:tabs>
          <w:tab w:val="left" w:pos="1440"/>
        </w:tabs>
        <w:spacing w:line="480" w:lineRule="auto"/>
        <w:rPr>
          <w:rFonts w:ascii="Times New Roman" w:hAnsi="Times New Roman" w:cs="Times New Roman"/>
          <w:color w:val="auto"/>
          <w:sz w:val="26"/>
          <w:szCs w:val="26"/>
        </w:rPr>
      </w:pPr>
    </w:p>
    <w:p w14:paraId="10707EC0" w14:textId="77777777" w:rsidR="00607C5E" w:rsidRPr="00521958" w:rsidRDefault="00607C5E" w:rsidP="000D441E">
      <w:pPr>
        <w:overflowPunct/>
        <w:autoSpaceDE/>
        <w:autoSpaceDN/>
        <w:adjustRightInd/>
        <w:spacing w:after="200" w:line="276" w:lineRule="auto"/>
        <w:sectPr w:rsidR="00607C5E" w:rsidRPr="00521958" w:rsidSect="00C911E0">
          <w:headerReference w:type="default" r:id="rId6"/>
          <w:type w:val="continuous"/>
          <w:pgSz w:w="12240" w:h="15840"/>
          <w:pgMar w:top="720" w:right="1440" w:bottom="1440" w:left="1440" w:header="720" w:footer="720" w:gutter="0"/>
          <w:cols w:space="720"/>
          <w:noEndnote/>
          <w:titlePg/>
          <w:docGrid w:linePitch="354"/>
        </w:sectPr>
      </w:pPr>
    </w:p>
    <w:p w14:paraId="2070ECC5" w14:textId="6F0D3C80" w:rsidR="00607C5E" w:rsidRPr="00521958" w:rsidRDefault="00607C5E" w:rsidP="000D441E">
      <w:pPr>
        <w:pStyle w:val="Default"/>
        <w:tabs>
          <w:tab w:val="left" w:pos="1440"/>
        </w:tabs>
        <w:spacing w:line="480" w:lineRule="auto"/>
        <w:rPr>
          <w:rFonts w:ascii="Times New Roman" w:hAnsi="Times New Roman" w:cs="Times New Roman"/>
          <w:color w:val="auto"/>
          <w:sz w:val="26"/>
          <w:szCs w:val="26"/>
        </w:rPr>
      </w:pPr>
      <w:r w:rsidRPr="00521958">
        <w:rPr>
          <w:rFonts w:ascii="Times New Roman" w:hAnsi="Times New Roman" w:cs="Times New Roman"/>
          <w:color w:val="auto"/>
          <w:sz w:val="26"/>
          <w:szCs w:val="26"/>
        </w:rPr>
        <w:t>Table 1: Diverse Business Utilization</w:t>
      </w:r>
    </w:p>
    <w:tbl>
      <w:tblPr>
        <w:tblW w:w="9460" w:type="dxa"/>
        <w:tblLook w:val="04A0" w:firstRow="1" w:lastRow="0" w:firstColumn="1" w:lastColumn="0" w:noHBand="0" w:noVBand="1"/>
      </w:tblPr>
      <w:tblGrid>
        <w:gridCol w:w="4190"/>
        <w:gridCol w:w="2184"/>
        <w:gridCol w:w="1576"/>
        <w:gridCol w:w="1510"/>
      </w:tblGrid>
      <w:tr w:rsidR="000640F2" w:rsidRPr="000640F2" w14:paraId="509C4034" w14:textId="77777777" w:rsidTr="000640F2">
        <w:trPr>
          <w:trHeight w:val="1275"/>
        </w:trPr>
        <w:tc>
          <w:tcPr>
            <w:tcW w:w="4190"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0D5A3157" w14:textId="77777777" w:rsidR="000640F2" w:rsidRPr="000640F2" w:rsidRDefault="000640F2" w:rsidP="000D441E">
            <w:pPr>
              <w:overflowPunct/>
              <w:autoSpaceDE/>
              <w:autoSpaceDN/>
              <w:adjustRightInd/>
              <w:rPr>
                <w:b/>
                <w:bCs/>
                <w:color w:val="000000"/>
                <w:sz w:val="24"/>
                <w:szCs w:val="24"/>
              </w:rPr>
            </w:pPr>
            <w:r w:rsidRPr="000640F2">
              <w:rPr>
                <w:b/>
                <w:bCs/>
                <w:color w:val="000000"/>
                <w:sz w:val="24"/>
                <w:szCs w:val="24"/>
              </w:rPr>
              <w:t>Awarded Vendor</w:t>
            </w:r>
          </w:p>
        </w:tc>
        <w:tc>
          <w:tcPr>
            <w:tcW w:w="2184" w:type="dxa"/>
            <w:tcBorders>
              <w:top w:val="single" w:sz="8" w:space="0" w:color="auto"/>
              <w:left w:val="nil"/>
              <w:bottom w:val="single" w:sz="8" w:space="0" w:color="auto"/>
              <w:right w:val="single" w:sz="4" w:space="0" w:color="auto"/>
            </w:tcBorders>
            <w:shd w:val="clear" w:color="000000" w:fill="DDEBF7"/>
            <w:vAlign w:val="bottom"/>
            <w:hideMark/>
          </w:tcPr>
          <w:p w14:paraId="58239F96" w14:textId="69EA1954" w:rsidR="000640F2" w:rsidRPr="000640F2" w:rsidRDefault="000640F2" w:rsidP="000D441E">
            <w:pPr>
              <w:overflowPunct/>
              <w:autoSpaceDE/>
              <w:autoSpaceDN/>
              <w:adjustRightInd/>
              <w:rPr>
                <w:b/>
                <w:bCs/>
                <w:color w:val="000000"/>
                <w:sz w:val="24"/>
                <w:szCs w:val="24"/>
              </w:rPr>
            </w:pPr>
            <w:r w:rsidRPr="000640F2">
              <w:rPr>
                <w:b/>
                <w:bCs/>
                <w:color w:val="000000"/>
                <w:sz w:val="24"/>
                <w:szCs w:val="24"/>
              </w:rPr>
              <w:t>Prime Contract $ / Diverse Sub</w:t>
            </w:r>
            <w:r>
              <w:rPr>
                <w:b/>
                <w:bCs/>
                <w:color w:val="000000"/>
                <w:sz w:val="24"/>
                <w:szCs w:val="24"/>
              </w:rPr>
              <w:t>vendor</w:t>
            </w:r>
            <w:r w:rsidRPr="000640F2">
              <w:rPr>
                <w:b/>
                <w:bCs/>
                <w:color w:val="000000"/>
                <w:sz w:val="24"/>
                <w:szCs w:val="24"/>
              </w:rPr>
              <w:t xml:space="preserve"> Certification</w:t>
            </w:r>
          </w:p>
        </w:tc>
        <w:tc>
          <w:tcPr>
            <w:tcW w:w="1576" w:type="dxa"/>
            <w:tcBorders>
              <w:top w:val="single" w:sz="8" w:space="0" w:color="auto"/>
              <w:left w:val="nil"/>
              <w:bottom w:val="single" w:sz="8" w:space="0" w:color="auto"/>
              <w:right w:val="single" w:sz="4" w:space="0" w:color="auto"/>
            </w:tcBorders>
            <w:shd w:val="clear" w:color="000000" w:fill="DDEBF7"/>
            <w:vAlign w:val="bottom"/>
            <w:hideMark/>
          </w:tcPr>
          <w:p w14:paraId="69AE142F" w14:textId="37E3DA90" w:rsidR="000640F2" w:rsidRPr="000640F2" w:rsidRDefault="000640F2" w:rsidP="000D441E">
            <w:pPr>
              <w:overflowPunct/>
              <w:autoSpaceDE/>
              <w:autoSpaceDN/>
              <w:adjustRightInd/>
              <w:rPr>
                <w:b/>
                <w:bCs/>
                <w:color w:val="000000"/>
                <w:sz w:val="24"/>
                <w:szCs w:val="24"/>
              </w:rPr>
            </w:pPr>
            <w:r w:rsidRPr="000640F2">
              <w:rPr>
                <w:b/>
                <w:bCs/>
                <w:color w:val="000000"/>
                <w:sz w:val="24"/>
                <w:szCs w:val="24"/>
              </w:rPr>
              <w:t>Diverse Sub</w:t>
            </w:r>
            <w:r>
              <w:rPr>
                <w:b/>
                <w:bCs/>
                <w:color w:val="000000"/>
                <w:sz w:val="24"/>
                <w:szCs w:val="24"/>
              </w:rPr>
              <w:t xml:space="preserve">vendor </w:t>
            </w:r>
            <w:r w:rsidRPr="000640F2">
              <w:rPr>
                <w:b/>
                <w:bCs/>
                <w:color w:val="000000"/>
                <w:sz w:val="24"/>
                <w:szCs w:val="24"/>
              </w:rPr>
              <w:t>Value</w:t>
            </w:r>
          </w:p>
        </w:tc>
        <w:tc>
          <w:tcPr>
            <w:tcW w:w="1510" w:type="dxa"/>
            <w:tcBorders>
              <w:top w:val="single" w:sz="8" w:space="0" w:color="auto"/>
              <w:left w:val="nil"/>
              <w:bottom w:val="single" w:sz="8" w:space="0" w:color="auto"/>
              <w:right w:val="single" w:sz="8" w:space="0" w:color="auto"/>
            </w:tcBorders>
            <w:shd w:val="clear" w:color="000000" w:fill="DDEBF7"/>
            <w:vAlign w:val="bottom"/>
            <w:hideMark/>
          </w:tcPr>
          <w:p w14:paraId="56492EFB" w14:textId="29DCD777" w:rsidR="000640F2" w:rsidRPr="000640F2" w:rsidRDefault="000640F2" w:rsidP="000D441E">
            <w:pPr>
              <w:overflowPunct/>
              <w:autoSpaceDE/>
              <w:autoSpaceDN/>
              <w:adjustRightInd/>
              <w:rPr>
                <w:b/>
                <w:bCs/>
                <w:color w:val="000000"/>
                <w:sz w:val="24"/>
                <w:szCs w:val="24"/>
              </w:rPr>
            </w:pPr>
            <w:r w:rsidRPr="000640F2">
              <w:rPr>
                <w:b/>
                <w:bCs/>
                <w:color w:val="000000"/>
                <w:sz w:val="24"/>
                <w:szCs w:val="24"/>
              </w:rPr>
              <w:t>Sub</w:t>
            </w:r>
            <w:r>
              <w:rPr>
                <w:b/>
                <w:bCs/>
                <w:color w:val="000000"/>
                <w:sz w:val="24"/>
                <w:szCs w:val="24"/>
              </w:rPr>
              <w:t>vendor</w:t>
            </w:r>
            <w:r w:rsidRPr="000640F2">
              <w:rPr>
                <w:b/>
                <w:bCs/>
                <w:color w:val="000000"/>
                <w:sz w:val="24"/>
                <w:szCs w:val="24"/>
              </w:rPr>
              <w:t xml:space="preserve"> % of Work</w:t>
            </w:r>
          </w:p>
        </w:tc>
      </w:tr>
      <w:tr w:rsidR="000640F2" w:rsidRPr="000640F2" w14:paraId="420E5819" w14:textId="77777777" w:rsidTr="000640F2">
        <w:trPr>
          <w:trHeight w:val="315"/>
        </w:trPr>
        <w:tc>
          <w:tcPr>
            <w:tcW w:w="4190" w:type="dxa"/>
            <w:tcBorders>
              <w:top w:val="nil"/>
              <w:left w:val="single" w:sz="8" w:space="0" w:color="auto"/>
              <w:bottom w:val="nil"/>
              <w:right w:val="single" w:sz="4" w:space="0" w:color="auto"/>
            </w:tcBorders>
            <w:shd w:val="clear" w:color="auto" w:fill="auto"/>
            <w:hideMark/>
          </w:tcPr>
          <w:p w14:paraId="1557EFBF" w14:textId="07C6D18D" w:rsidR="000640F2" w:rsidRPr="000640F2" w:rsidRDefault="000640F2" w:rsidP="000D441E">
            <w:pPr>
              <w:overflowPunct/>
              <w:autoSpaceDE/>
              <w:autoSpaceDN/>
              <w:adjustRightInd/>
              <w:rPr>
                <w:color w:val="000000"/>
                <w:sz w:val="24"/>
                <w:szCs w:val="24"/>
              </w:rPr>
            </w:pPr>
            <w:r w:rsidRPr="000640F2">
              <w:rPr>
                <w:color w:val="000000"/>
                <w:sz w:val="24"/>
                <w:szCs w:val="24"/>
              </w:rPr>
              <w:t xml:space="preserve">Clark Dietz, Inc., </w:t>
            </w:r>
            <w:r w:rsidR="00361B21">
              <w:rPr>
                <w:color w:val="000000"/>
                <w:sz w:val="24"/>
                <w:szCs w:val="24"/>
              </w:rPr>
              <w:t>Champaign</w:t>
            </w:r>
            <w:r w:rsidRPr="000640F2">
              <w:rPr>
                <w:color w:val="000000"/>
                <w:sz w:val="24"/>
                <w:szCs w:val="24"/>
              </w:rPr>
              <w:t xml:space="preserve"> IL</w:t>
            </w:r>
          </w:p>
        </w:tc>
        <w:tc>
          <w:tcPr>
            <w:tcW w:w="2184" w:type="dxa"/>
            <w:tcBorders>
              <w:top w:val="nil"/>
              <w:left w:val="nil"/>
              <w:bottom w:val="single" w:sz="4" w:space="0" w:color="auto"/>
              <w:right w:val="single" w:sz="4" w:space="0" w:color="auto"/>
            </w:tcBorders>
            <w:shd w:val="clear" w:color="auto" w:fill="auto"/>
            <w:hideMark/>
          </w:tcPr>
          <w:p w14:paraId="69953898" w14:textId="5B2AC2C5" w:rsidR="000640F2" w:rsidRPr="000640F2" w:rsidRDefault="000640F2" w:rsidP="000D441E">
            <w:pPr>
              <w:overflowPunct/>
              <w:autoSpaceDE/>
              <w:autoSpaceDN/>
              <w:adjustRightInd/>
              <w:rPr>
                <w:color w:val="000000"/>
                <w:sz w:val="24"/>
                <w:szCs w:val="24"/>
              </w:rPr>
            </w:pPr>
            <w:r w:rsidRPr="000640F2">
              <w:rPr>
                <w:color w:val="000000"/>
                <w:sz w:val="24"/>
                <w:szCs w:val="24"/>
              </w:rPr>
              <w:t>$1,18</w:t>
            </w:r>
            <w:r w:rsidR="00DE1EB0">
              <w:rPr>
                <w:color w:val="000000"/>
                <w:sz w:val="24"/>
                <w:szCs w:val="24"/>
              </w:rPr>
              <w:t>0</w:t>
            </w:r>
            <w:r w:rsidRPr="000640F2">
              <w:rPr>
                <w:color w:val="000000"/>
                <w:sz w:val="24"/>
                <w:szCs w:val="24"/>
              </w:rPr>
              <w:t xml:space="preserve">,000 </w:t>
            </w:r>
          </w:p>
        </w:tc>
        <w:tc>
          <w:tcPr>
            <w:tcW w:w="1576" w:type="dxa"/>
            <w:tcBorders>
              <w:top w:val="nil"/>
              <w:left w:val="nil"/>
              <w:bottom w:val="single" w:sz="4" w:space="0" w:color="auto"/>
              <w:right w:val="single" w:sz="4" w:space="0" w:color="auto"/>
            </w:tcBorders>
            <w:shd w:val="clear" w:color="auto" w:fill="auto"/>
            <w:hideMark/>
          </w:tcPr>
          <w:p w14:paraId="1CA900A1"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1510" w:type="dxa"/>
            <w:tcBorders>
              <w:top w:val="nil"/>
              <w:left w:val="nil"/>
              <w:bottom w:val="single" w:sz="4" w:space="0" w:color="auto"/>
              <w:right w:val="single" w:sz="8" w:space="0" w:color="auto"/>
            </w:tcBorders>
            <w:shd w:val="clear" w:color="auto" w:fill="auto"/>
            <w:noWrap/>
            <w:hideMark/>
          </w:tcPr>
          <w:p w14:paraId="1A89D910"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r>
      <w:tr w:rsidR="000640F2" w:rsidRPr="000640F2" w14:paraId="27820D83" w14:textId="77777777" w:rsidTr="000640F2">
        <w:trPr>
          <w:trHeight w:val="315"/>
        </w:trPr>
        <w:tc>
          <w:tcPr>
            <w:tcW w:w="4190" w:type="dxa"/>
            <w:tcBorders>
              <w:top w:val="nil"/>
              <w:left w:val="single" w:sz="8" w:space="0" w:color="auto"/>
              <w:bottom w:val="nil"/>
              <w:right w:val="single" w:sz="4" w:space="0" w:color="auto"/>
            </w:tcBorders>
            <w:shd w:val="clear" w:color="auto" w:fill="auto"/>
            <w:hideMark/>
          </w:tcPr>
          <w:p w14:paraId="30867560"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2184" w:type="dxa"/>
            <w:tcBorders>
              <w:top w:val="nil"/>
              <w:left w:val="nil"/>
              <w:bottom w:val="single" w:sz="4" w:space="0" w:color="auto"/>
              <w:right w:val="single" w:sz="4" w:space="0" w:color="auto"/>
            </w:tcBorders>
            <w:shd w:val="clear" w:color="auto" w:fill="auto"/>
            <w:hideMark/>
          </w:tcPr>
          <w:p w14:paraId="3151A537"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1576" w:type="dxa"/>
            <w:tcBorders>
              <w:top w:val="nil"/>
              <w:left w:val="nil"/>
              <w:bottom w:val="nil"/>
              <w:right w:val="single" w:sz="4" w:space="0" w:color="auto"/>
            </w:tcBorders>
            <w:shd w:val="clear" w:color="auto" w:fill="auto"/>
            <w:hideMark/>
          </w:tcPr>
          <w:p w14:paraId="243BF172"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1510" w:type="dxa"/>
            <w:tcBorders>
              <w:top w:val="nil"/>
              <w:left w:val="nil"/>
              <w:bottom w:val="nil"/>
              <w:right w:val="single" w:sz="8" w:space="0" w:color="auto"/>
            </w:tcBorders>
            <w:shd w:val="clear" w:color="auto" w:fill="auto"/>
            <w:noWrap/>
            <w:hideMark/>
          </w:tcPr>
          <w:p w14:paraId="2AAA5A50"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r>
      <w:tr w:rsidR="000640F2" w:rsidRPr="000640F2" w14:paraId="6C172FE5" w14:textId="77777777" w:rsidTr="000640F2">
        <w:trPr>
          <w:trHeight w:val="315"/>
        </w:trPr>
        <w:tc>
          <w:tcPr>
            <w:tcW w:w="4190" w:type="dxa"/>
            <w:tcBorders>
              <w:top w:val="nil"/>
              <w:left w:val="single" w:sz="8" w:space="0" w:color="auto"/>
              <w:bottom w:val="nil"/>
              <w:right w:val="single" w:sz="4" w:space="0" w:color="auto"/>
            </w:tcBorders>
            <w:shd w:val="clear" w:color="auto" w:fill="auto"/>
            <w:hideMark/>
          </w:tcPr>
          <w:p w14:paraId="0A51B871"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2184" w:type="dxa"/>
            <w:tcBorders>
              <w:top w:val="nil"/>
              <w:left w:val="nil"/>
              <w:bottom w:val="single" w:sz="4" w:space="0" w:color="auto"/>
              <w:right w:val="single" w:sz="4" w:space="0" w:color="auto"/>
            </w:tcBorders>
            <w:shd w:val="clear" w:color="auto" w:fill="auto"/>
            <w:hideMark/>
          </w:tcPr>
          <w:p w14:paraId="7C1D8503"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1576" w:type="dxa"/>
            <w:tcBorders>
              <w:top w:val="single" w:sz="4" w:space="0" w:color="auto"/>
              <w:left w:val="nil"/>
              <w:bottom w:val="nil"/>
              <w:right w:val="single" w:sz="4" w:space="0" w:color="auto"/>
            </w:tcBorders>
            <w:shd w:val="clear" w:color="auto" w:fill="auto"/>
            <w:hideMark/>
          </w:tcPr>
          <w:p w14:paraId="1384CC9D"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1510" w:type="dxa"/>
            <w:tcBorders>
              <w:top w:val="single" w:sz="4" w:space="0" w:color="auto"/>
              <w:left w:val="nil"/>
              <w:bottom w:val="nil"/>
              <w:right w:val="single" w:sz="8" w:space="0" w:color="auto"/>
            </w:tcBorders>
            <w:shd w:val="clear" w:color="auto" w:fill="auto"/>
            <w:noWrap/>
            <w:hideMark/>
          </w:tcPr>
          <w:p w14:paraId="68AA54B6"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r>
      <w:tr w:rsidR="000640F2" w:rsidRPr="000640F2" w14:paraId="18C7F78C" w14:textId="77777777" w:rsidTr="000640F2">
        <w:trPr>
          <w:trHeight w:val="330"/>
        </w:trPr>
        <w:tc>
          <w:tcPr>
            <w:tcW w:w="4190" w:type="dxa"/>
            <w:tcBorders>
              <w:top w:val="nil"/>
              <w:left w:val="single" w:sz="8" w:space="0" w:color="auto"/>
              <w:bottom w:val="nil"/>
              <w:right w:val="single" w:sz="4" w:space="0" w:color="auto"/>
            </w:tcBorders>
            <w:shd w:val="clear" w:color="auto" w:fill="auto"/>
            <w:hideMark/>
          </w:tcPr>
          <w:p w14:paraId="0994435B"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2184" w:type="dxa"/>
            <w:tcBorders>
              <w:top w:val="nil"/>
              <w:left w:val="nil"/>
              <w:bottom w:val="single" w:sz="4" w:space="0" w:color="auto"/>
              <w:right w:val="single" w:sz="4" w:space="0" w:color="auto"/>
            </w:tcBorders>
            <w:shd w:val="clear" w:color="auto" w:fill="auto"/>
            <w:hideMark/>
          </w:tcPr>
          <w:p w14:paraId="17E8BF4C"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MBE (ASA)</w:t>
            </w:r>
          </w:p>
        </w:tc>
        <w:tc>
          <w:tcPr>
            <w:tcW w:w="1576" w:type="dxa"/>
            <w:tcBorders>
              <w:top w:val="single" w:sz="4" w:space="0" w:color="auto"/>
              <w:left w:val="nil"/>
              <w:bottom w:val="single" w:sz="4" w:space="0" w:color="auto"/>
              <w:right w:val="single" w:sz="4" w:space="0" w:color="auto"/>
            </w:tcBorders>
            <w:shd w:val="clear" w:color="auto" w:fill="auto"/>
            <w:hideMark/>
          </w:tcPr>
          <w:p w14:paraId="56FF73CA" w14:textId="2C5F6D98" w:rsidR="000640F2" w:rsidRPr="000640F2" w:rsidRDefault="000640F2" w:rsidP="000D441E">
            <w:pPr>
              <w:overflowPunct/>
              <w:autoSpaceDE/>
              <w:autoSpaceDN/>
              <w:adjustRightInd/>
              <w:rPr>
                <w:color w:val="000000"/>
                <w:sz w:val="24"/>
                <w:szCs w:val="24"/>
              </w:rPr>
            </w:pPr>
            <w:r w:rsidRPr="000640F2">
              <w:rPr>
                <w:color w:val="000000"/>
                <w:sz w:val="24"/>
                <w:szCs w:val="24"/>
              </w:rPr>
              <w:t>$</w:t>
            </w:r>
            <w:r w:rsidR="00951FBD">
              <w:rPr>
                <w:color w:val="000000"/>
                <w:sz w:val="24"/>
                <w:szCs w:val="24"/>
              </w:rPr>
              <w:t>12</w:t>
            </w:r>
            <w:r w:rsidR="00B751F2">
              <w:rPr>
                <w:color w:val="000000"/>
                <w:sz w:val="24"/>
                <w:szCs w:val="24"/>
              </w:rPr>
              <w:t>9</w:t>
            </w:r>
            <w:r w:rsidR="00951FBD">
              <w:rPr>
                <w:color w:val="000000"/>
                <w:sz w:val="24"/>
                <w:szCs w:val="24"/>
              </w:rPr>
              <w:t>,</w:t>
            </w:r>
            <w:r w:rsidR="00B751F2">
              <w:rPr>
                <w:color w:val="000000"/>
                <w:sz w:val="24"/>
                <w:szCs w:val="24"/>
              </w:rPr>
              <w:t>8</w:t>
            </w:r>
            <w:r w:rsidR="00951FBD">
              <w:rPr>
                <w:color w:val="000000"/>
                <w:sz w:val="24"/>
                <w:szCs w:val="24"/>
              </w:rPr>
              <w:t>00</w:t>
            </w:r>
          </w:p>
        </w:tc>
        <w:tc>
          <w:tcPr>
            <w:tcW w:w="1510" w:type="dxa"/>
            <w:tcBorders>
              <w:top w:val="single" w:sz="4" w:space="0" w:color="auto"/>
              <w:left w:val="nil"/>
              <w:bottom w:val="single" w:sz="4" w:space="0" w:color="auto"/>
              <w:right w:val="single" w:sz="8" w:space="0" w:color="auto"/>
            </w:tcBorders>
            <w:shd w:val="clear" w:color="auto" w:fill="auto"/>
            <w:noWrap/>
            <w:hideMark/>
          </w:tcPr>
          <w:p w14:paraId="2109FA88" w14:textId="5A2CA7F7" w:rsidR="000640F2" w:rsidRPr="000640F2" w:rsidRDefault="000640F2" w:rsidP="000D441E">
            <w:pPr>
              <w:overflowPunct/>
              <w:autoSpaceDE/>
              <w:autoSpaceDN/>
              <w:adjustRightInd/>
              <w:rPr>
                <w:color w:val="000000"/>
                <w:sz w:val="24"/>
                <w:szCs w:val="24"/>
              </w:rPr>
            </w:pPr>
            <w:r w:rsidRPr="000640F2">
              <w:rPr>
                <w:color w:val="000000"/>
                <w:sz w:val="24"/>
                <w:szCs w:val="24"/>
              </w:rPr>
              <w:t>1</w:t>
            </w:r>
            <w:r w:rsidR="00B751F2">
              <w:rPr>
                <w:color w:val="000000"/>
                <w:sz w:val="24"/>
                <w:szCs w:val="24"/>
              </w:rPr>
              <w:t>1</w:t>
            </w:r>
            <w:r w:rsidRPr="000640F2">
              <w:rPr>
                <w:color w:val="000000"/>
                <w:sz w:val="24"/>
                <w:szCs w:val="24"/>
              </w:rPr>
              <w:t>%</w:t>
            </w:r>
          </w:p>
        </w:tc>
      </w:tr>
      <w:tr w:rsidR="000640F2" w:rsidRPr="000640F2" w14:paraId="34C5C083" w14:textId="77777777" w:rsidTr="000640F2">
        <w:trPr>
          <w:trHeight w:val="315"/>
        </w:trPr>
        <w:tc>
          <w:tcPr>
            <w:tcW w:w="4190" w:type="dxa"/>
            <w:tcBorders>
              <w:top w:val="nil"/>
              <w:left w:val="single" w:sz="8" w:space="0" w:color="auto"/>
              <w:bottom w:val="nil"/>
              <w:right w:val="single" w:sz="4" w:space="0" w:color="auto"/>
            </w:tcBorders>
            <w:shd w:val="clear" w:color="auto" w:fill="auto"/>
            <w:hideMark/>
          </w:tcPr>
          <w:p w14:paraId="33A37D00"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2184" w:type="dxa"/>
            <w:tcBorders>
              <w:top w:val="nil"/>
              <w:left w:val="nil"/>
              <w:bottom w:val="nil"/>
              <w:right w:val="single" w:sz="4" w:space="0" w:color="auto"/>
            </w:tcBorders>
            <w:shd w:val="clear" w:color="auto" w:fill="auto"/>
            <w:hideMark/>
          </w:tcPr>
          <w:p w14:paraId="21FF29AA"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VOSB</w:t>
            </w:r>
          </w:p>
        </w:tc>
        <w:tc>
          <w:tcPr>
            <w:tcW w:w="1576" w:type="dxa"/>
            <w:tcBorders>
              <w:top w:val="nil"/>
              <w:left w:val="nil"/>
              <w:bottom w:val="nil"/>
              <w:right w:val="single" w:sz="4" w:space="0" w:color="auto"/>
            </w:tcBorders>
            <w:shd w:val="clear" w:color="auto" w:fill="auto"/>
            <w:hideMark/>
          </w:tcPr>
          <w:p w14:paraId="54EE2F3B" w14:textId="0A46B0DF" w:rsidR="000640F2" w:rsidRPr="000640F2" w:rsidRDefault="000640F2" w:rsidP="000D441E">
            <w:pPr>
              <w:overflowPunct/>
              <w:autoSpaceDE/>
              <w:autoSpaceDN/>
              <w:adjustRightInd/>
              <w:rPr>
                <w:color w:val="000000"/>
                <w:sz w:val="24"/>
                <w:szCs w:val="24"/>
              </w:rPr>
            </w:pPr>
            <w:r w:rsidRPr="000640F2">
              <w:rPr>
                <w:color w:val="000000"/>
                <w:sz w:val="24"/>
                <w:szCs w:val="24"/>
              </w:rPr>
              <w:t>$35,</w:t>
            </w:r>
            <w:r w:rsidR="00DE1EB0">
              <w:rPr>
                <w:color w:val="000000"/>
                <w:sz w:val="24"/>
                <w:szCs w:val="24"/>
              </w:rPr>
              <w:t>4</w:t>
            </w:r>
            <w:r w:rsidRPr="000640F2">
              <w:rPr>
                <w:color w:val="000000"/>
                <w:sz w:val="24"/>
                <w:szCs w:val="24"/>
              </w:rPr>
              <w:t>00</w:t>
            </w:r>
          </w:p>
        </w:tc>
        <w:tc>
          <w:tcPr>
            <w:tcW w:w="1510" w:type="dxa"/>
            <w:tcBorders>
              <w:top w:val="nil"/>
              <w:left w:val="nil"/>
              <w:bottom w:val="single" w:sz="4" w:space="0" w:color="auto"/>
              <w:right w:val="single" w:sz="8" w:space="0" w:color="auto"/>
            </w:tcBorders>
            <w:shd w:val="clear" w:color="auto" w:fill="auto"/>
            <w:noWrap/>
            <w:hideMark/>
          </w:tcPr>
          <w:p w14:paraId="5096C76B"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3%</w:t>
            </w:r>
          </w:p>
        </w:tc>
      </w:tr>
      <w:tr w:rsidR="000640F2" w:rsidRPr="000640F2" w14:paraId="360F39E6" w14:textId="77777777" w:rsidTr="000640F2">
        <w:trPr>
          <w:trHeight w:val="315"/>
        </w:trPr>
        <w:tc>
          <w:tcPr>
            <w:tcW w:w="4190" w:type="dxa"/>
            <w:tcBorders>
              <w:top w:val="nil"/>
              <w:left w:val="single" w:sz="8" w:space="0" w:color="auto"/>
              <w:bottom w:val="nil"/>
              <w:right w:val="single" w:sz="4" w:space="0" w:color="auto"/>
            </w:tcBorders>
            <w:shd w:val="clear" w:color="auto" w:fill="auto"/>
            <w:hideMark/>
          </w:tcPr>
          <w:p w14:paraId="50E3B53E"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2184" w:type="dxa"/>
            <w:tcBorders>
              <w:top w:val="single" w:sz="4" w:space="0" w:color="auto"/>
              <w:left w:val="nil"/>
              <w:bottom w:val="nil"/>
              <w:right w:val="single" w:sz="4" w:space="0" w:color="auto"/>
            </w:tcBorders>
            <w:shd w:val="clear" w:color="auto" w:fill="auto"/>
            <w:hideMark/>
          </w:tcPr>
          <w:p w14:paraId="4AACE97C"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WBE</w:t>
            </w:r>
          </w:p>
        </w:tc>
        <w:tc>
          <w:tcPr>
            <w:tcW w:w="1576" w:type="dxa"/>
            <w:tcBorders>
              <w:top w:val="single" w:sz="4" w:space="0" w:color="auto"/>
              <w:left w:val="nil"/>
              <w:bottom w:val="nil"/>
              <w:right w:val="single" w:sz="4" w:space="0" w:color="auto"/>
            </w:tcBorders>
            <w:shd w:val="clear" w:color="auto" w:fill="auto"/>
            <w:hideMark/>
          </w:tcPr>
          <w:p w14:paraId="66860B58" w14:textId="44ACA16D" w:rsidR="000640F2" w:rsidRPr="000640F2" w:rsidRDefault="000640F2" w:rsidP="000D441E">
            <w:pPr>
              <w:overflowPunct/>
              <w:autoSpaceDE/>
              <w:autoSpaceDN/>
              <w:adjustRightInd/>
              <w:rPr>
                <w:color w:val="000000"/>
                <w:sz w:val="24"/>
                <w:szCs w:val="24"/>
              </w:rPr>
            </w:pPr>
            <w:r w:rsidRPr="000640F2">
              <w:rPr>
                <w:color w:val="000000"/>
                <w:sz w:val="24"/>
                <w:szCs w:val="24"/>
              </w:rPr>
              <w:t>$</w:t>
            </w:r>
            <w:r w:rsidR="00951FBD">
              <w:rPr>
                <w:color w:val="000000"/>
                <w:sz w:val="24"/>
                <w:szCs w:val="24"/>
              </w:rPr>
              <w:t>2</w:t>
            </w:r>
            <w:r w:rsidR="00B751F2">
              <w:rPr>
                <w:color w:val="000000"/>
                <w:sz w:val="24"/>
                <w:szCs w:val="24"/>
              </w:rPr>
              <w:t>24</w:t>
            </w:r>
            <w:r w:rsidR="00951FBD">
              <w:rPr>
                <w:color w:val="000000"/>
                <w:sz w:val="24"/>
                <w:szCs w:val="24"/>
              </w:rPr>
              <w:t>,</w:t>
            </w:r>
            <w:r w:rsidR="00B751F2">
              <w:rPr>
                <w:color w:val="000000"/>
                <w:sz w:val="24"/>
                <w:szCs w:val="24"/>
              </w:rPr>
              <w:t>2</w:t>
            </w:r>
            <w:r w:rsidR="00951FBD">
              <w:rPr>
                <w:color w:val="000000"/>
                <w:sz w:val="24"/>
                <w:szCs w:val="24"/>
              </w:rPr>
              <w:t>00</w:t>
            </w:r>
          </w:p>
        </w:tc>
        <w:tc>
          <w:tcPr>
            <w:tcW w:w="1510" w:type="dxa"/>
            <w:tcBorders>
              <w:top w:val="nil"/>
              <w:left w:val="nil"/>
              <w:bottom w:val="single" w:sz="4" w:space="0" w:color="auto"/>
              <w:right w:val="single" w:sz="8" w:space="0" w:color="auto"/>
            </w:tcBorders>
            <w:shd w:val="clear" w:color="auto" w:fill="auto"/>
            <w:noWrap/>
            <w:hideMark/>
          </w:tcPr>
          <w:p w14:paraId="3F6E0BE1" w14:textId="69BB3C79" w:rsidR="000640F2" w:rsidRPr="000640F2" w:rsidRDefault="00B751F2" w:rsidP="000D441E">
            <w:pPr>
              <w:overflowPunct/>
              <w:autoSpaceDE/>
              <w:autoSpaceDN/>
              <w:adjustRightInd/>
              <w:rPr>
                <w:color w:val="000000"/>
                <w:sz w:val="24"/>
                <w:szCs w:val="24"/>
              </w:rPr>
            </w:pPr>
            <w:r>
              <w:rPr>
                <w:color w:val="000000"/>
                <w:sz w:val="24"/>
                <w:szCs w:val="24"/>
              </w:rPr>
              <w:t>19</w:t>
            </w:r>
            <w:r w:rsidR="000640F2" w:rsidRPr="000640F2">
              <w:rPr>
                <w:color w:val="000000"/>
                <w:sz w:val="24"/>
                <w:szCs w:val="24"/>
              </w:rPr>
              <w:t>%</w:t>
            </w:r>
          </w:p>
        </w:tc>
      </w:tr>
      <w:tr w:rsidR="000640F2" w:rsidRPr="000640F2" w14:paraId="22EE8435" w14:textId="77777777" w:rsidTr="000640F2">
        <w:trPr>
          <w:trHeight w:val="330"/>
        </w:trPr>
        <w:tc>
          <w:tcPr>
            <w:tcW w:w="4190" w:type="dxa"/>
            <w:tcBorders>
              <w:top w:val="nil"/>
              <w:left w:val="single" w:sz="8" w:space="0" w:color="auto"/>
              <w:bottom w:val="single" w:sz="8" w:space="0" w:color="auto"/>
              <w:right w:val="single" w:sz="4" w:space="0" w:color="auto"/>
            </w:tcBorders>
            <w:shd w:val="clear" w:color="auto" w:fill="auto"/>
            <w:hideMark/>
          </w:tcPr>
          <w:p w14:paraId="26723FEC" w14:textId="77777777" w:rsidR="000640F2" w:rsidRPr="000640F2" w:rsidRDefault="000640F2" w:rsidP="000D441E">
            <w:pPr>
              <w:overflowPunct/>
              <w:autoSpaceDE/>
              <w:autoSpaceDN/>
              <w:adjustRightInd/>
              <w:rPr>
                <w:color w:val="000000"/>
                <w:sz w:val="24"/>
                <w:szCs w:val="24"/>
              </w:rPr>
            </w:pPr>
            <w:r w:rsidRPr="000640F2">
              <w:rPr>
                <w:color w:val="000000"/>
                <w:sz w:val="24"/>
                <w:szCs w:val="24"/>
              </w:rPr>
              <w:t> </w:t>
            </w:r>
          </w:p>
        </w:tc>
        <w:tc>
          <w:tcPr>
            <w:tcW w:w="2184" w:type="dxa"/>
            <w:tcBorders>
              <w:top w:val="single" w:sz="4" w:space="0" w:color="auto"/>
              <w:left w:val="nil"/>
              <w:bottom w:val="single" w:sz="8" w:space="0" w:color="auto"/>
              <w:right w:val="single" w:sz="4" w:space="0" w:color="auto"/>
            </w:tcBorders>
            <w:shd w:val="clear" w:color="auto" w:fill="auto"/>
            <w:hideMark/>
          </w:tcPr>
          <w:p w14:paraId="080AF81C" w14:textId="77777777" w:rsidR="000640F2" w:rsidRPr="000640F2" w:rsidRDefault="000640F2" w:rsidP="000D441E">
            <w:pPr>
              <w:overflowPunct/>
              <w:autoSpaceDE/>
              <w:autoSpaceDN/>
              <w:adjustRightInd/>
              <w:rPr>
                <w:b/>
                <w:bCs/>
                <w:color w:val="000000"/>
                <w:sz w:val="24"/>
                <w:szCs w:val="24"/>
              </w:rPr>
            </w:pPr>
            <w:r w:rsidRPr="000640F2">
              <w:rPr>
                <w:b/>
                <w:bCs/>
                <w:color w:val="000000"/>
                <w:sz w:val="24"/>
                <w:szCs w:val="24"/>
              </w:rPr>
              <w:t> </w:t>
            </w:r>
          </w:p>
        </w:tc>
        <w:tc>
          <w:tcPr>
            <w:tcW w:w="1576" w:type="dxa"/>
            <w:tcBorders>
              <w:top w:val="single" w:sz="4" w:space="0" w:color="auto"/>
              <w:left w:val="nil"/>
              <w:bottom w:val="single" w:sz="8" w:space="0" w:color="auto"/>
              <w:right w:val="single" w:sz="4" w:space="0" w:color="auto"/>
            </w:tcBorders>
            <w:shd w:val="clear" w:color="auto" w:fill="auto"/>
            <w:hideMark/>
          </w:tcPr>
          <w:p w14:paraId="27DD0691" w14:textId="77777777" w:rsidR="000640F2" w:rsidRPr="000640F2" w:rsidRDefault="000640F2" w:rsidP="000D441E">
            <w:pPr>
              <w:overflowPunct/>
              <w:autoSpaceDE/>
              <w:autoSpaceDN/>
              <w:adjustRightInd/>
              <w:rPr>
                <w:b/>
                <w:bCs/>
                <w:color w:val="000000"/>
                <w:sz w:val="24"/>
                <w:szCs w:val="24"/>
              </w:rPr>
            </w:pPr>
            <w:r w:rsidRPr="000640F2">
              <w:rPr>
                <w:b/>
                <w:bCs/>
                <w:color w:val="000000"/>
                <w:sz w:val="24"/>
                <w:szCs w:val="24"/>
              </w:rPr>
              <w:t>$389,400</w:t>
            </w:r>
          </w:p>
        </w:tc>
        <w:tc>
          <w:tcPr>
            <w:tcW w:w="1510" w:type="dxa"/>
            <w:tcBorders>
              <w:top w:val="nil"/>
              <w:left w:val="nil"/>
              <w:bottom w:val="single" w:sz="8" w:space="0" w:color="auto"/>
              <w:right w:val="single" w:sz="8" w:space="0" w:color="auto"/>
            </w:tcBorders>
            <w:shd w:val="clear" w:color="auto" w:fill="auto"/>
            <w:noWrap/>
            <w:hideMark/>
          </w:tcPr>
          <w:p w14:paraId="6551AB96" w14:textId="77777777" w:rsidR="000640F2" w:rsidRPr="000640F2" w:rsidRDefault="000640F2" w:rsidP="000D441E">
            <w:pPr>
              <w:overflowPunct/>
              <w:autoSpaceDE/>
              <w:autoSpaceDN/>
              <w:adjustRightInd/>
              <w:rPr>
                <w:b/>
                <w:bCs/>
                <w:color w:val="000000"/>
                <w:sz w:val="24"/>
                <w:szCs w:val="24"/>
              </w:rPr>
            </w:pPr>
            <w:r w:rsidRPr="000640F2">
              <w:rPr>
                <w:b/>
                <w:bCs/>
                <w:color w:val="000000"/>
                <w:sz w:val="24"/>
                <w:szCs w:val="24"/>
              </w:rPr>
              <w:t>33%</w:t>
            </w:r>
          </w:p>
        </w:tc>
      </w:tr>
    </w:tbl>
    <w:p w14:paraId="0692CB0F" w14:textId="77777777" w:rsidR="00607C5E" w:rsidRPr="00521958" w:rsidRDefault="00607C5E" w:rsidP="000D441E">
      <w:pPr>
        <w:pStyle w:val="Default"/>
        <w:tabs>
          <w:tab w:val="left" w:pos="1440"/>
        </w:tabs>
        <w:spacing w:line="480" w:lineRule="auto"/>
        <w:rPr>
          <w:rFonts w:ascii="Times New Roman" w:hAnsi="Times New Roman" w:cs="Times New Roman"/>
          <w:color w:val="auto"/>
          <w:sz w:val="26"/>
          <w:szCs w:val="26"/>
        </w:rPr>
      </w:pPr>
    </w:p>
    <w:sectPr w:rsidR="00607C5E" w:rsidRPr="00521958" w:rsidSect="00521958">
      <w:type w:val="continuous"/>
      <w:pgSz w:w="12240" w:h="15840" w:code="1"/>
      <w:pgMar w:top="720" w:right="1440" w:bottom="1440" w:left="144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8C33E" w14:textId="77777777" w:rsidR="00AA1D42" w:rsidRDefault="00AA1D42" w:rsidP="00614D17">
      <w:r>
        <w:separator/>
      </w:r>
    </w:p>
  </w:endnote>
  <w:endnote w:type="continuationSeparator" w:id="0">
    <w:p w14:paraId="77C92758" w14:textId="77777777" w:rsidR="00AA1D42" w:rsidRDefault="00AA1D42" w:rsidP="0061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F56E0" w14:textId="77777777" w:rsidR="00AA1D42" w:rsidRDefault="00AA1D42" w:rsidP="00614D17">
      <w:r>
        <w:separator/>
      </w:r>
    </w:p>
  </w:footnote>
  <w:footnote w:type="continuationSeparator" w:id="0">
    <w:p w14:paraId="3B3A3245" w14:textId="77777777" w:rsidR="00AA1D42" w:rsidRDefault="00AA1D42" w:rsidP="00614D17">
      <w:r>
        <w:continuationSeparator/>
      </w:r>
    </w:p>
  </w:footnote>
  <w:footnote w:id="1">
    <w:p w14:paraId="50BB3D78" w14:textId="562ED43C" w:rsidR="009B32D4" w:rsidRPr="0091649F" w:rsidRDefault="009B32D4" w:rsidP="00C34729">
      <w:pPr>
        <w:pStyle w:val="FootnoteText"/>
        <w:ind w:left="180" w:hanging="180"/>
      </w:pPr>
      <w:r w:rsidRPr="008D7AC4">
        <w:rPr>
          <w:rStyle w:val="FootnoteReference"/>
          <w:sz w:val="22"/>
          <w:szCs w:val="22"/>
        </w:rPr>
        <w:footnoteRef/>
      </w:r>
      <w:r w:rsidRPr="0091649F">
        <w:tab/>
      </w:r>
      <w:r w:rsidRPr="00C34729">
        <w:rPr>
          <w:sz w:val="26"/>
          <w:szCs w:val="26"/>
        </w:rPr>
        <w:t xml:space="preserve">A selection committee consisting of </w:t>
      </w:r>
      <w:r w:rsidR="00417079" w:rsidRPr="00C34729">
        <w:rPr>
          <w:sz w:val="26"/>
          <w:szCs w:val="26"/>
        </w:rPr>
        <w:t>Cheryl Bicknell</w:t>
      </w:r>
      <w:r w:rsidRPr="00C34729">
        <w:rPr>
          <w:sz w:val="26"/>
          <w:szCs w:val="26"/>
        </w:rPr>
        <w:t xml:space="preserve"> (Facilities and Services, Capital Programs</w:t>
      </w:r>
      <w:r w:rsidR="00C34729">
        <w:rPr>
          <w:sz w:val="26"/>
          <w:szCs w:val="26"/>
        </w:rPr>
        <w:t>)</w:t>
      </w:r>
      <w:r w:rsidRPr="00C34729">
        <w:rPr>
          <w:sz w:val="26"/>
          <w:szCs w:val="26"/>
        </w:rPr>
        <w:t xml:space="preserve"> </w:t>
      </w:r>
      <w:r w:rsidR="00417079" w:rsidRPr="00C34729">
        <w:rPr>
          <w:i/>
          <w:iCs/>
          <w:sz w:val="26"/>
          <w:szCs w:val="26"/>
        </w:rPr>
        <w:t>C</w:t>
      </w:r>
      <w:r w:rsidRPr="00C34729">
        <w:rPr>
          <w:i/>
          <w:iCs/>
          <w:sz w:val="26"/>
          <w:szCs w:val="26"/>
        </w:rPr>
        <w:t>hair</w:t>
      </w:r>
      <w:r w:rsidRPr="00C34729">
        <w:rPr>
          <w:sz w:val="26"/>
          <w:szCs w:val="26"/>
        </w:rPr>
        <w:t xml:space="preserve">, </w:t>
      </w:r>
      <w:r w:rsidR="00417079" w:rsidRPr="00C34729">
        <w:rPr>
          <w:sz w:val="26"/>
          <w:szCs w:val="26"/>
        </w:rPr>
        <w:t>Kelly Jo Hoffman</w:t>
      </w:r>
      <w:r w:rsidRPr="00C34729">
        <w:rPr>
          <w:sz w:val="26"/>
          <w:szCs w:val="26"/>
        </w:rPr>
        <w:t xml:space="preserve"> (Facilities and Services, Engineering Services),</w:t>
      </w:r>
      <w:r w:rsidR="00C9755A" w:rsidRPr="00C34729">
        <w:rPr>
          <w:sz w:val="26"/>
          <w:szCs w:val="26"/>
        </w:rPr>
        <w:t xml:space="preserve"> Matthew M</w:t>
      </w:r>
      <w:r w:rsidR="00C34729">
        <w:rPr>
          <w:sz w:val="26"/>
          <w:szCs w:val="26"/>
        </w:rPr>
        <w:t>.</w:t>
      </w:r>
      <w:r w:rsidR="00C9755A" w:rsidRPr="00C34729">
        <w:rPr>
          <w:sz w:val="26"/>
          <w:szCs w:val="26"/>
        </w:rPr>
        <w:t xml:space="preserve"> Brown (University Housing Division)</w:t>
      </w:r>
      <w:r w:rsidR="00361B21">
        <w:rPr>
          <w:sz w:val="26"/>
          <w:szCs w:val="26"/>
        </w:rPr>
        <w:t>,</w:t>
      </w:r>
      <w:r w:rsidRPr="00C34729">
        <w:rPr>
          <w:sz w:val="26"/>
          <w:szCs w:val="26"/>
        </w:rPr>
        <w:t xml:space="preserve"> </w:t>
      </w:r>
      <w:r w:rsidR="00C9755A" w:rsidRPr="00C34729">
        <w:rPr>
          <w:sz w:val="26"/>
          <w:szCs w:val="26"/>
        </w:rPr>
        <w:t>Shannon Tucker</w:t>
      </w:r>
      <w:r w:rsidRPr="00C34729">
        <w:rPr>
          <w:sz w:val="26"/>
          <w:szCs w:val="26"/>
        </w:rPr>
        <w:t xml:space="preserve"> (</w:t>
      </w:r>
      <w:r w:rsidR="00C34729">
        <w:rPr>
          <w:sz w:val="26"/>
          <w:szCs w:val="26"/>
        </w:rPr>
        <w:t>University</w:t>
      </w:r>
      <w:r w:rsidR="0021251D" w:rsidRPr="00C34729">
        <w:rPr>
          <w:sz w:val="26"/>
          <w:szCs w:val="26"/>
        </w:rPr>
        <w:t xml:space="preserve"> </w:t>
      </w:r>
      <w:r w:rsidRPr="00C34729">
        <w:rPr>
          <w:sz w:val="26"/>
          <w:szCs w:val="26"/>
        </w:rPr>
        <w:t>Office of Capital Programs</w:t>
      </w:r>
      <w:r w:rsidR="00C34729">
        <w:rPr>
          <w:sz w:val="26"/>
          <w:szCs w:val="26"/>
        </w:rPr>
        <w:t xml:space="preserve">, </w:t>
      </w:r>
      <w:r w:rsidRPr="00C34729">
        <w:rPr>
          <w:sz w:val="26"/>
          <w:szCs w:val="26"/>
        </w:rPr>
        <w:t>Real Estate</w:t>
      </w:r>
      <w:r w:rsidR="00C34729">
        <w:rPr>
          <w:sz w:val="26"/>
          <w:szCs w:val="26"/>
        </w:rPr>
        <w:t>, and Utility</w:t>
      </w:r>
      <w:r w:rsidRPr="00C34729">
        <w:rPr>
          <w:sz w:val="26"/>
          <w:szCs w:val="26"/>
        </w:rPr>
        <w:t xml:space="preserve"> Services), and Dale Morrison (Office of Procurement Diversity) interviewed the following firms: </w:t>
      </w:r>
      <w:r w:rsidR="00C9755A" w:rsidRPr="00C34729">
        <w:rPr>
          <w:sz w:val="26"/>
          <w:szCs w:val="26"/>
        </w:rPr>
        <w:t>Affiliated Engineers Inc</w:t>
      </w:r>
      <w:r w:rsidRPr="00C34729">
        <w:rPr>
          <w:sz w:val="26"/>
          <w:szCs w:val="26"/>
        </w:rPr>
        <w:t>., Chicago, I</w:t>
      </w:r>
      <w:r w:rsidR="00D053D7" w:rsidRPr="00C34729">
        <w:rPr>
          <w:sz w:val="26"/>
          <w:szCs w:val="26"/>
        </w:rPr>
        <w:t>L;</w:t>
      </w:r>
      <w:r w:rsidRPr="00C34729">
        <w:rPr>
          <w:sz w:val="26"/>
          <w:szCs w:val="26"/>
        </w:rPr>
        <w:t xml:space="preserve"> </w:t>
      </w:r>
      <w:r w:rsidR="00C9755A" w:rsidRPr="00C34729">
        <w:rPr>
          <w:sz w:val="26"/>
          <w:szCs w:val="26"/>
        </w:rPr>
        <w:t>Clark Dietz</w:t>
      </w:r>
      <w:r w:rsidR="00361B21">
        <w:rPr>
          <w:sz w:val="26"/>
          <w:szCs w:val="26"/>
        </w:rPr>
        <w:t>,</w:t>
      </w:r>
      <w:r w:rsidR="00C9755A" w:rsidRPr="00C34729">
        <w:rPr>
          <w:sz w:val="26"/>
          <w:szCs w:val="26"/>
        </w:rPr>
        <w:t xml:space="preserve"> Inc.</w:t>
      </w:r>
      <w:r w:rsidRPr="00C34729">
        <w:rPr>
          <w:sz w:val="26"/>
          <w:szCs w:val="26"/>
        </w:rPr>
        <w:t xml:space="preserve">, </w:t>
      </w:r>
      <w:r w:rsidR="00C9755A" w:rsidRPr="00C34729">
        <w:rPr>
          <w:sz w:val="26"/>
          <w:szCs w:val="26"/>
        </w:rPr>
        <w:t>Champaign</w:t>
      </w:r>
      <w:r w:rsidRPr="00C34729">
        <w:rPr>
          <w:sz w:val="26"/>
          <w:szCs w:val="26"/>
        </w:rPr>
        <w:t xml:space="preserve">, </w:t>
      </w:r>
      <w:r w:rsidR="00D053D7" w:rsidRPr="00C34729">
        <w:rPr>
          <w:sz w:val="26"/>
          <w:szCs w:val="26"/>
        </w:rPr>
        <w:t>IL</w:t>
      </w:r>
      <w:r w:rsidRPr="00C34729">
        <w:rPr>
          <w:sz w:val="26"/>
          <w:szCs w:val="26"/>
        </w:rPr>
        <w:t xml:space="preserve">; </w:t>
      </w:r>
      <w:r w:rsidR="00C9755A" w:rsidRPr="00C34729">
        <w:rPr>
          <w:sz w:val="26"/>
          <w:szCs w:val="26"/>
        </w:rPr>
        <w:t>dbHMS</w:t>
      </w:r>
      <w:r w:rsidRPr="00C34729">
        <w:rPr>
          <w:sz w:val="26"/>
          <w:szCs w:val="26"/>
        </w:rPr>
        <w:t>, Chicago, I</w:t>
      </w:r>
      <w:r w:rsidR="00D053D7" w:rsidRPr="00C34729">
        <w:rPr>
          <w:sz w:val="26"/>
          <w:szCs w:val="26"/>
        </w:rPr>
        <w:t>L;</w:t>
      </w:r>
      <w:r w:rsidR="0070389C" w:rsidRPr="00C34729">
        <w:rPr>
          <w:sz w:val="26"/>
          <w:szCs w:val="26"/>
        </w:rPr>
        <w:t xml:space="preserve"> </w:t>
      </w:r>
      <w:r w:rsidR="00C9755A" w:rsidRPr="00C34729">
        <w:rPr>
          <w:sz w:val="26"/>
          <w:szCs w:val="26"/>
        </w:rPr>
        <w:t>Enercon Ltd. (d</w:t>
      </w:r>
      <w:r w:rsidR="00361B21">
        <w:rPr>
          <w:sz w:val="26"/>
          <w:szCs w:val="26"/>
        </w:rPr>
        <w:t>/</w:t>
      </w:r>
      <w:r w:rsidR="00C9755A" w:rsidRPr="00C34729">
        <w:rPr>
          <w:sz w:val="26"/>
          <w:szCs w:val="26"/>
        </w:rPr>
        <w:t>b</w:t>
      </w:r>
      <w:r w:rsidR="00361B21">
        <w:rPr>
          <w:sz w:val="26"/>
          <w:szCs w:val="26"/>
        </w:rPr>
        <w:t>/</w:t>
      </w:r>
      <w:r w:rsidR="00C9755A" w:rsidRPr="00C34729">
        <w:rPr>
          <w:sz w:val="26"/>
          <w:szCs w:val="26"/>
        </w:rPr>
        <w:t>a Grumman</w:t>
      </w:r>
      <w:r w:rsidR="00361B21">
        <w:rPr>
          <w:sz w:val="26"/>
          <w:szCs w:val="26"/>
        </w:rPr>
        <w:t xml:space="preserve"> </w:t>
      </w:r>
      <w:r w:rsidR="00C9755A" w:rsidRPr="00C34729">
        <w:rPr>
          <w:sz w:val="26"/>
          <w:szCs w:val="26"/>
        </w:rPr>
        <w:t>Butkus Associates)</w:t>
      </w:r>
      <w:r w:rsidRPr="00C34729">
        <w:rPr>
          <w:sz w:val="26"/>
          <w:szCs w:val="26"/>
        </w:rPr>
        <w:t xml:space="preserve">, </w:t>
      </w:r>
      <w:r w:rsidR="00C9755A" w:rsidRPr="00C34729">
        <w:rPr>
          <w:sz w:val="26"/>
          <w:szCs w:val="26"/>
        </w:rPr>
        <w:t>Evanston</w:t>
      </w:r>
      <w:r w:rsidRPr="00C34729">
        <w:rPr>
          <w:sz w:val="26"/>
          <w:szCs w:val="26"/>
        </w:rPr>
        <w:t>, IL</w:t>
      </w:r>
      <w:r w:rsidR="00D053D7" w:rsidRPr="00C34729">
        <w:rPr>
          <w:sz w:val="26"/>
          <w:szCs w:val="26"/>
        </w:rPr>
        <w:t>;</w:t>
      </w:r>
      <w:r w:rsidRPr="00C34729">
        <w:rPr>
          <w:sz w:val="26"/>
          <w:szCs w:val="26"/>
        </w:rPr>
        <w:t xml:space="preserve"> </w:t>
      </w:r>
      <w:r w:rsidR="00C9755A" w:rsidRPr="00C34729">
        <w:rPr>
          <w:sz w:val="26"/>
          <w:szCs w:val="26"/>
        </w:rPr>
        <w:t>Globetrotters Engineering Corporation</w:t>
      </w:r>
      <w:r w:rsidRPr="00C34729">
        <w:rPr>
          <w:sz w:val="26"/>
          <w:szCs w:val="26"/>
        </w:rPr>
        <w:t xml:space="preserve">, </w:t>
      </w:r>
      <w:r w:rsidR="00C9755A" w:rsidRPr="00C34729">
        <w:rPr>
          <w:sz w:val="26"/>
          <w:szCs w:val="26"/>
        </w:rPr>
        <w:t>Chicago</w:t>
      </w:r>
      <w:r w:rsidRPr="00C34729">
        <w:rPr>
          <w:sz w:val="26"/>
          <w:szCs w:val="26"/>
        </w:rPr>
        <w:t>, IL</w:t>
      </w:r>
      <w:r w:rsidR="00C9755A" w:rsidRPr="00C34729">
        <w:rPr>
          <w:sz w:val="26"/>
          <w:szCs w:val="26"/>
        </w:rPr>
        <w:t>; Henneman Engineering Inc., Champaign, IL; Interface Engineering Inc., Chicago, IL; Senga Architects Inc., Chicago, IL; and Valdes Architecture and Engineering, Lombard, IL.</w:t>
      </w:r>
      <w:r w:rsidRPr="00C34729">
        <w:rPr>
          <w:sz w:val="26"/>
          <w:szCs w:val="26"/>
        </w:rPr>
        <w:t xml:space="preserve"> The committee recommended </w:t>
      </w:r>
      <w:r w:rsidR="00C9755A" w:rsidRPr="00C34729">
        <w:rPr>
          <w:sz w:val="26"/>
          <w:szCs w:val="26"/>
        </w:rPr>
        <w:t>Clark Dietz</w:t>
      </w:r>
      <w:r w:rsidRPr="00C34729">
        <w:rPr>
          <w:sz w:val="26"/>
          <w:szCs w:val="26"/>
        </w:rPr>
        <w:t xml:space="preserve">, Inc., </w:t>
      </w:r>
      <w:r w:rsidR="00C9755A" w:rsidRPr="00C34729">
        <w:rPr>
          <w:sz w:val="26"/>
          <w:szCs w:val="26"/>
        </w:rPr>
        <w:t>Champaign</w:t>
      </w:r>
      <w:r w:rsidRPr="00C34729">
        <w:rPr>
          <w:sz w:val="26"/>
          <w:szCs w:val="26"/>
        </w:rPr>
        <w:t>, IL</w:t>
      </w:r>
      <w:r w:rsidR="00D053D7" w:rsidRPr="00C34729">
        <w:rPr>
          <w:sz w:val="26"/>
          <w:szCs w:val="26"/>
        </w:rPr>
        <w:t>,</w:t>
      </w:r>
      <w:r w:rsidRPr="00C34729">
        <w:rPr>
          <w:sz w:val="26"/>
          <w:szCs w:val="26"/>
        </w:rPr>
        <w:t xml:space="preserve"> as best meeting the criteria for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385676"/>
      <w:docPartObj>
        <w:docPartGallery w:val="Page Numbers (Top of Page)"/>
        <w:docPartUnique/>
      </w:docPartObj>
    </w:sdtPr>
    <w:sdtEndPr>
      <w:rPr>
        <w:noProof/>
      </w:rPr>
    </w:sdtEndPr>
    <w:sdtContent>
      <w:p w14:paraId="442A19B5" w14:textId="274458DA" w:rsidR="00737B51" w:rsidRDefault="00737B5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2AF5B0" w14:textId="77777777" w:rsidR="00737B51" w:rsidRDefault="00737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LIwNDExMLSwNDZR0lEKTi0uzszPAykwrAUAs0N/YiwAAAA="/>
  </w:docVars>
  <w:rsids>
    <w:rsidRoot w:val="00FF7A5D"/>
    <w:rsid w:val="000028D1"/>
    <w:rsid w:val="000056CF"/>
    <w:rsid w:val="00010339"/>
    <w:rsid w:val="000220B4"/>
    <w:rsid w:val="000640F2"/>
    <w:rsid w:val="0008373C"/>
    <w:rsid w:val="00090184"/>
    <w:rsid w:val="00091195"/>
    <w:rsid w:val="000B0155"/>
    <w:rsid w:val="000B2209"/>
    <w:rsid w:val="000B38EC"/>
    <w:rsid w:val="000D17F3"/>
    <w:rsid w:val="000D441E"/>
    <w:rsid w:val="000D4B8B"/>
    <w:rsid w:val="000E5CA6"/>
    <w:rsid w:val="00117DAB"/>
    <w:rsid w:val="00124CF0"/>
    <w:rsid w:val="00134F98"/>
    <w:rsid w:val="0014339B"/>
    <w:rsid w:val="00165D8C"/>
    <w:rsid w:val="001A7766"/>
    <w:rsid w:val="001B2A59"/>
    <w:rsid w:val="001D6379"/>
    <w:rsid w:val="001D7533"/>
    <w:rsid w:val="001F5FE6"/>
    <w:rsid w:val="0021251D"/>
    <w:rsid w:val="002168D6"/>
    <w:rsid w:val="00222601"/>
    <w:rsid w:val="0024440A"/>
    <w:rsid w:val="00270FE3"/>
    <w:rsid w:val="0029041B"/>
    <w:rsid w:val="002D2B24"/>
    <w:rsid w:val="002D403E"/>
    <w:rsid w:val="002E67E6"/>
    <w:rsid w:val="002F5428"/>
    <w:rsid w:val="003254C2"/>
    <w:rsid w:val="00343A32"/>
    <w:rsid w:val="00350B89"/>
    <w:rsid w:val="00361B21"/>
    <w:rsid w:val="003B1D35"/>
    <w:rsid w:val="003B72F2"/>
    <w:rsid w:val="003C1FD8"/>
    <w:rsid w:val="003C2F95"/>
    <w:rsid w:val="003C320F"/>
    <w:rsid w:val="003D3B64"/>
    <w:rsid w:val="003E4456"/>
    <w:rsid w:val="003F5728"/>
    <w:rsid w:val="003F5AB8"/>
    <w:rsid w:val="00413921"/>
    <w:rsid w:val="00417079"/>
    <w:rsid w:val="004567FD"/>
    <w:rsid w:val="004778E7"/>
    <w:rsid w:val="004779FE"/>
    <w:rsid w:val="0048537B"/>
    <w:rsid w:val="00491635"/>
    <w:rsid w:val="004B44D1"/>
    <w:rsid w:val="004B475D"/>
    <w:rsid w:val="004B5C39"/>
    <w:rsid w:val="004E12E3"/>
    <w:rsid w:val="004E1A5F"/>
    <w:rsid w:val="004E7485"/>
    <w:rsid w:val="00521958"/>
    <w:rsid w:val="00524BBD"/>
    <w:rsid w:val="00533744"/>
    <w:rsid w:val="005729E7"/>
    <w:rsid w:val="005979AA"/>
    <w:rsid w:val="005C1B90"/>
    <w:rsid w:val="005F5723"/>
    <w:rsid w:val="005F6DD0"/>
    <w:rsid w:val="00607C5E"/>
    <w:rsid w:val="00614D17"/>
    <w:rsid w:val="00614E04"/>
    <w:rsid w:val="0061513F"/>
    <w:rsid w:val="00631F54"/>
    <w:rsid w:val="00637642"/>
    <w:rsid w:val="006559C1"/>
    <w:rsid w:val="00677317"/>
    <w:rsid w:val="006852DE"/>
    <w:rsid w:val="006A483E"/>
    <w:rsid w:val="006C75A5"/>
    <w:rsid w:val="006D31EF"/>
    <w:rsid w:val="007011F8"/>
    <w:rsid w:val="0070389C"/>
    <w:rsid w:val="0073412D"/>
    <w:rsid w:val="00737B51"/>
    <w:rsid w:val="0074443E"/>
    <w:rsid w:val="0079702C"/>
    <w:rsid w:val="007E2A18"/>
    <w:rsid w:val="008275F7"/>
    <w:rsid w:val="00830B51"/>
    <w:rsid w:val="008356DA"/>
    <w:rsid w:val="00865D6C"/>
    <w:rsid w:val="00876163"/>
    <w:rsid w:val="00877D60"/>
    <w:rsid w:val="00892D21"/>
    <w:rsid w:val="008B18CC"/>
    <w:rsid w:val="008C5F31"/>
    <w:rsid w:val="008D781C"/>
    <w:rsid w:val="009017C7"/>
    <w:rsid w:val="00903509"/>
    <w:rsid w:val="0091649F"/>
    <w:rsid w:val="009353B6"/>
    <w:rsid w:val="009504D2"/>
    <w:rsid w:val="00950533"/>
    <w:rsid w:val="00951FBD"/>
    <w:rsid w:val="00952F40"/>
    <w:rsid w:val="00976BF0"/>
    <w:rsid w:val="009813BF"/>
    <w:rsid w:val="00981832"/>
    <w:rsid w:val="009A5823"/>
    <w:rsid w:val="009A79CC"/>
    <w:rsid w:val="009B32D4"/>
    <w:rsid w:val="009C57FE"/>
    <w:rsid w:val="009E558B"/>
    <w:rsid w:val="00A00470"/>
    <w:rsid w:val="00A210CD"/>
    <w:rsid w:val="00A25E12"/>
    <w:rsid w:val="00A346E9"/>
    <w:rsid w:val="00A44923"/>
    <w:rsid w:val="00A66765"/>
    <w:rsid w:val="00A6783A"/>
    <w:rsid w:val="00A751ED"/>
    <w:rsid w:val="00A96A59"/>
    <w:rsid w:val="00AA17A4"/>
    <w:rsid w:val="00AA1D42"/>
    <w:rsid w:val="00AC13EA"/>
    <w:rsid w:val="00AE06F1"/>
    <w:rsid w:val="00AF22FB"/>
    <w:rsid w:val="00B14543"/>
    <w:rsid w:val="00B27DB8"/>
    <w:rsid w:val="00B6235D"/>
    <w:rsid w:val="00B62471"/>
    <w:rsid w:val="00B751F2"/>
    <w:rsid w:val="00BA43CE"/>
    <w:rsid w:val="00BC3987"/>
    <w:rsid w:val="00C0641E"/>
    <w:rsid w:val="00C10237"/>
    <w:rsid w:val="00C13221"/>
    <w:rsid w:val="00C21848"/>
    <w:rsid w:val="00C32AC8"/>
    <w:rsid w:val="00C34729"/>
    <w:rsid w:val="00C474C6"/>
    <w:rsid w:val="00C55A75"/>
    <w:rsid w:val="00C678A8"/>
    <w:rsid w:val="00C72648"/>
    <w:rsid w:val="00C911E0"/>
    <w:rsid w:val="00C9172C"/>
    <w:rsid w:val="00C9432A"/>
    <w:rsid w:val="00C9755A"/>
    <w:rsid w:val="00CF017B"/>
    <w:rsid w:val="00CF62CE"/>
    <w:rsid w:val="00D02EDC"/>
    <w:rsid w:val="00D053D7"/>
    <w:rsid w:val="00D33728"/>
    <w:rsid w:val="00D4406F"/>
    <w:rsid w:val="00D560EF"/>
    <w:rsid w:val="00D63155"/>
    <w:rsid w:val="00D6605A"/>
    <w:rsid w:val="00D845B3"/>
    <w:rsid w:val="00DB4712"/>
    <w:rsid w:val="00DB5E25"/>
    <w:rsid w:val="00DD069B"/>
    <w:rsid w:val="00DE1EB0"/>
    <w:rsid w:val="00DE75F3"/>
    <w:rsid w:val="00DF3632"/>
    <w:rsid w:val="00E06C4C"/>
    <w:rsid w:val="00E27CCA"/>
    <w:rsid w:val="00E3708B"/>
    <w:rsid w:val="00E575DB"/>
    <w:rsid w:val="00E62EDD"/>
    <w:rsid w:val="00E63E6A"/>
    <w:rsid w:val="00E735D3"/>
    <w:rsid w:val="00E8669E"/>
    <w:rsid w:val="00E935AB"/>
    <w:rsid w:val="00EA2342"/>
    <w:rsid w:val="00EB2E41"/>
    <w:rsid w:val="00F00B41"/>
    <w:rsid w:val="00F07835"/>
    <w:rsid w:val="00F33945"/>
    <w:rsid w:val="00F66DBB"/>
    <w:rsid w:val="00F955B0"/>
    <w:rsid w:val="00FC0242"/>
    <w:rsid w:val="00FC1353"/>
    <w:rsid w:val="00FC3AC4"/>
    <w:rsid w:val="00FC3D39"/>
    <w:rsid w:val="00FD0DF5"/>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361C3"/>
  <w14:defaultImageDpi w14:val="0"/>
  <w15:docId w15:val="{BDEB0A70-A323-4A9C-B409-FBF62D13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D6"/>
    <w:pPr>
      <w:overflowPunct w:val="0"/>
      <w:autoSpaceDE w:val="0"/>
      <w:autoSpaceDN w:val="0"/>
      <w:adjustRightInd w:val="0"/>
      <w:spacing w:after="0" w:line="240" w:lineRule="auto"/>
    </w:pPr>
    <w:rPr>
      <w:sz w:val="26"/>
      <w:szCs w:val="20"/>
    </w:rPr>
  </w:style>
  <w:style w:type="paragraph" w:styleId="Heading1">
    <w:name w:val="heading 1"/>
    <w:basedOn w:val="Default"/>
    <w:next w:val="Normal"/>
    <w:link w:val="Heading1Char"/>
    <w:uiPriority w:val="9"/>
    <w:qFormat/>
    <w:rsid w:val="00350B89"/>
    <w:pPr>
      <w:jc w:val="center"/>
      <w:outlineLvl w:val="0"/>
    </w:pPr>
    <w:rPr>
      <w:rFonts w:ascii="Times New Roman" w:hAnsi="Times New Roman" w:cs="Times New Roman"/>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Comic Sans MS" w:hAnsi="Comic Sans MS" w:cs="Comic Sans MS"/>
      <w:color w:val="000000"/>
      <w:sz w:val="24"/>
      <w:szCs w:val="24"/>
    </w:rPr>
  </w:style>
  <w:style w:type="paragraph" w:customStyle="1" w:styleId="bdstyle1">
    <w:name w:val="bdstyle1"/>
    <w:basedOn w:val="Normal"/>
    <w:uiPriority w:val="99"/>
    <w:rsid w:val="002168D6"/>
    <w:pPr>
      <w:tabs>
        <w:tab w:val="left" w:pos="720"/>
        <w:tab w:val="left" w:pos="1440"/>
      </w:tabs>
      <w:ind w:left="1440" w:hanging="1440"/>
    </w:pPr>
  </w:style>
  <w:style w:type="character" w:styleId="Hyperlink">
    <w:name w:val="Hyperlink"/>
    <w:basedOn w:val="DefaultParagraphFont"/>
    <w:uiPriority w:val="99"/>
    <w:rsid w:val="00DE75F3"/>
    <w:rPr>
      <w:color w:val="0000FF" w:themeColor="hyperlink"/>
      <w:u w:val="single"/>
    </w:rPr>
  </w:style>
  <w:style w:type="character" w:styleId="CommentReference">
    <w:name w:val="annotation reference"/>
    <w:basedOn w:val="DefaultParagraphFont"/>
    <w:uiPriority w:val="99"/>
    <w:rsid w:val="009813BF"/>
    <w:rPr>
      <w:sz w:val="16"/>
      <w:szCs w:val="16"/>
    </w:rPr>
  </w:style>
  <w:style w:type="paragraph" w:styleId="CommentText">
    <w:name w:val="annotation text"/>
    <w:basedOn w:val="Normal"/>
    <w:link w:val="CommentTextChar"/>
    <w:uiPriority w:val="99"/>
    <w:rsid w:val="009813BF"/>
    <w:rPr>
      <w:sz w:val="20"/>
    </w:rPr>
  </w:style>
  <w:style w:type="character" w:customStyle="1" w:styleId="CommentTextChar">
    <w:name w:val="Comment Text Char"/>
    <w:basedOn w:val="DefaultParagraphFont"/>
    <w:link w:val="CommentText"/>
    <w:uiPriority w:val="99"/>
    <w:rsid w:val="009813BF"/>
    <w:rPr>
      <w:sz w:val="20"/>
      <w:szCs w:val="20"/>
    </w:rPr>
  </w:style>
  <w:style w:type="paragraph" w:styleId="CommentSubject">
    <w:name w:val="annotation subject"/>
    <w:basedOn w:val="CommentText"/>
    <w:next w:val="CommentText"/>
    <w:link w:val="CommentSubjectChar"/>
    <w:uiPriority w:val="99"/>
    <w:rsid w:val="009813BF"/>
    <w:rPr>
      <w:b/>
      <w:bCs/>
    </w:rPr>
  </w:style>
  <w:style w:type="character" w:customStyle="1" w:styleId="CommentSubjectChar">
    <w:name w:val="Comment Subject Char"/>
    <w:basedOn w:val="CommentTextChar"/>
    <w:link w:val="CommentSubject"/>
    <w:uiPriority w:val="99"/>
    <w:rsid w:val="009813BF"/>
    <w:rPr>
      <w:b/>
      <w:bCs/>
      <w:sz w:val="20"/>
      <w:szCs w:val="20"/>
    </w:rPr>
  </w:style>
  <w:style w:type="paragraph" w:styleId="BalloonText">
    <w:name w:val="Balloon Text"/>
    <w:basedOn w:val="Normal"/>
    <w:link w:val="BalloonTextChar"/>
    <w:uiPriority w:val="99"/>
    <w:rsid w:val="009813BF"/>
    <w:rPr>
      <w:rFonts w:ascii="Segoe UI" w:hAnsi="Segoe UI" w:cs="Segoe UI"/>
      <w:sz w:val="18"/>
      <w:szCs w:val="18"/>
    </w:rPr>
  </w:style>
  <w:style w:type="character" w:customStyle="1" w:styleId="BalloonTextChar">
    <w:name w:val="Balloon Text Char"/>
    <w:basedOn w:val="DefaultParagraphFont"/>
    <w:link w:val="BalloonText"/>
    <w:uiPriority w:val="99"/>
    <w:rsid w:val="009813BF"/>
    <w:rPr>
      <w:rFonts w:ascii="Segoe UI" w:hAnsi="Segoe UI" w:cs="Segoe UI"/>
      <w:sz w:val="18"/>
      <w:szCs w:val="18"/>
    </w:rPr>
  </w:style>
  <w:style w:type="paragraph" w:styleId="FootnoteText">
    <w:name w:val="footnote text"/>
    <w:basedOn w:val="Normal"/>
    <w:link w:val="FootnoteTextChar"/>
    <w:rsid w:val="00614D17"/>
    <w:rPr>
      <w:sz w:val="20"/>
    </w:rPr>
  </w:style>
  <w:style w:type="character" w:customStyle="1" w:styleId="FootnoteTextChar">
    <w:name w:val="Footnote Text Char"/>
    <w:basedOn w:val="DefaultParagraphFont"/>
    <w:link w:val="FootnoteText"/>
    <w:rsid w:val="00614D17"/>
    <w:rPr>
      <w:sz w:val="20"/>
      <w:szCs w:val="20"/>
    </w:rPr>
  </w:style>
  <w:style w:type="character" w:styleId="FootnoteReference">
    <w:name w:val="footnote reference"/>
    <w:basedOn w:val="DefaultParagraphFont"/>
    <w:rsid w:val="00614D17"/>
    <w:rPr>
      <w:vertAlign w:val="superscript"/>
    </w:rPr>
  </w:style>
  <w:style w:type="paragraph" w:styleId="Revision">
    <w:name w:val="Revision"/>
    <w:hidden/>
    <w:uiPriority w:val="99"/>
    <w:semiHidden/>
    <w:rsid w:val="00C13221"/>
    <w:pPr>
      <w:spacing w:after="0" w:line="240" w:lineRule="auto"/>
    </w:pPr>
    <w:rPr>
      <w:sz w:val="26"/>
      <w:szCs w:val="20"/>
    </w:rPr>
  </w:style>
  <w:style w:type="paragraph" w:styleId="Header">
    <w:name w:val="header"/>
    <w:basedOn w:val="Normal"/>
    <w:link w:val="HeaderChar"/>
    <w:uiPriority w:val="99"/>
    <w:rsid w:val="00737B51"/>
    <w:pPr>
      <w:tabs>
        <w:tab w:val="center" w:pos="4680"/>
        <w:tab w:val="right" w:pos="9360"/>
      </w:tabs>
    </w:pPr>
  </w:style>
  <w:style w:type="character" w:customStyle="1" w:styleId="HeaderChar">
    <w:name w:val="Header Char"/>
    <w:basedOn w:val="DefaultParagraphFont"/>
    <w:link w:val="Header"/>
    <w:uiPriority w:val="99"/>
    <w:rsid w:val="00737B51"/>
    <w:rPr>
      <w:sz w:val="26"/>
      <w:szCs w:val="20"/>
    </w:rPr>
  </w:style>
  <w:style w:type="paragraph" w:styleId="Footer">
    <w:name w:val="footer"/>
    <w:basedOn w:val="Normal"/>
    <w:link w:val="FooterChar"/>
    <w:uiPriority w:val="99"/>
    <w:rsid w:val="00737B51"/>
    <w:pPr>
      <w:tabs>
        <w:tab w:val="center" w:pos="4680"/>
        <w:tab w:val="right" w:pos="9360"/>
      </w:tabs>
    </w:pPr>
  </w:style>
  <w:style w:type="character" w:customStyle="1" w:styleId="FooterChar">
    <w:name w:val="Footer Char"/>
    <w:basedOn w:val="DefaultParagraphFont"/>
    <w:link w:val="Footer"/>
    <w:uiPriority w:val="99"/>
    <w:rsid w:val="00737B51"/>
    <w:rPr>
      <w:sz w:val="26"/>
      <w:szCs w:val="20"/>
    </w:rPr>
  </w:style>
  <w:style w:type="character" w:customStyle="1" w:styleId="Heading1Char">
    <w:name w:val="Heading 1 Char"/>
    <w:basedOn w:val="DefaultParagraphFont"/>
    <w:link w:val="Heading1"/>
    <w:uiPriority w:val="9"/>
    <w:rsid w:val="00350B89"/>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7203">
      <w:bodyDiv w:val="1"/>
      <w:marLeft w:val="0"/>
      <w:marRight w:val="0"/>
      <w:marTop w:val="0"/>
      <w:marBottom w:val="0"/>
      <w:divBdr>
        <w:top w:val="none" w:sz="0" w:space="0" w:color="auto"/>
        <w:left w:val="none" w:sz="0" w:space="0" w:color="auto"/>
        <w:bottom w:val="none" w:sz="0" w:space="0" w:color="auto"/>
        <w:right w:val="none" w:sz="0" w:space="0" w:color="auto"/>
      </w:divBdr>
    </w:div>
    <w:div w:id="235634204">
      <w:bodyDiv w:val="1"/>
      <w:marLeft w:val="0"/>
      <w:marRight w:val="0"/>
      <w:marTop w:val="0"/>
      <w:marBottom w:val="0"/>
      <w:divBdr>
        <w:top w:val="none" w:sz="0" w:space="0" w:color="auto"/>
        <w:left w:val="none" w:sz="0" w:space="0" w:color="auto"/>
        <w:bottom w:val="none" w:sz="0" w:space="0" w:color="auto"/>
        <w:right w:val="none" w:sz="0" w:space="0" w:color="auto"/>
      </w:divBdr>
    </w:div>
    <w:div w:id="274757107">
      <w:bodyDiv w:val="1"/>
      <w:marLeft w:val="0"/>
      <w:marRight w:val="0"/>
      <w:marTop w:val="0"/>
      <w:marBottom w:val="0"/>
      <w:divBdr>
        <w:top w:val="none" w:sz="0" w:space="0" w:color="auto"/>
        <w:left w:val="none" w:sz="0" w:space="0" w:color="auto"/>
        <w:bottom w:val="none" w:sz="0" w:space="0" w:color="auto"/>
        <w:right w:val="none" w:sz="0" w:space="0" w:color="auto"/>
      </w:divBdr>
    </w:div>
    <w:div w:id="826240161">
      <w:bodyDiv w:val="1"/>
      <w:marLeft w:val="0"/>
      <w:marRight w:val="0"/>
      <w:marTop w:val="0"/>
      <w:marBottom w:val="0"/>
      <w:divBdr>
        <w:top w:val="none" w:sz="0" w:space="0" w:color="auto"/>
        <w:left w:val="none" w:sz="0" w:space="0" w:color="auto"/>
        <w:bottom w:val="none" w:sz="0" w:space="0" w:color="auto"/>
        <w:right w:val="none" w:sz="0" w:space="0" w:color="auto"/>
      </w:divBdr>
    </w:div>
    <w:div w:id="1072772865">
      <w:bodyDiv w:val="1"/>
      <w:marLeft w:val="0"/>
      <w:marRight w:val="0"/>
      <w:marTop w:val="0"/>
      <w:marBottom w:val="0"/>
      <w:divBdr>
        <w:top w:val="none" w:sz="0" w:space="0" w:color="auto"/>
        <w:left w:val="none" w:sz="0" w:space="0" w:color="auto"/>
        <w:bottom w:val="none" w:sz="0" w:space="0" w:color="auto"/>
        <w:right w:val="none" w:sz="0" w:space="0" w:color="auto"/>
      </w:divBdr>
    </w:div>
    <w:div w:id="1912889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bduitsma</dc:creator>
  <cp:keywords/>
  <dc:description/>
  <cp:lastModifiedBy>Williams, Aubrie</cp:lastModifiedBy>
  <cp:revision>13</cp:revision>
  <cp:lastPrinted>2012-02-01T21:23:00Z</cp:lastPrinted>
  <dcterms:created xsi:type="dcterms:W3CDTF">2024-10-17T20:48:00Z</dcterms:created>
  <dcterms:modified xsi:type="dcterms:W3CDTF">2025-02-21T16:30:00Z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f5e9f526aa3a7ccd83f2324c8114e7ca68ef7da04ab46384c148001b2405060f</vt:lpwstr>
  </property>
</Properties>
</file>