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2FE2" w14:textId="77777777" w:rsidR="0087780B" w:rsidRPr="0087780B" w:rsidRDefault="0087780B" w:rsidP="008778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87780B">
        <w:rPr>
          <w:rFonts w:eastAsia="Times New Roman"/>
          <w:color w:val="FF0000"/>
          <w:szCs w:val="26"/>
        </w:rPr>
        <w:t>Approved by the Board of Trustees</w:t>
      </w:r>
    </w:p>
    <w:bookmarkEnd w:id="0"/>
    <w:bookmarkEnd w:id="1"/>
    <w:p w14:paraId="4FFEE744" w14:textId="77777777" w:rsidR="0087780B" w:rsidRPr="0087780B" w:rsidRDefault="0087780B" w:rsidP="008778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87780B">
        <w:rPr>
          <w:rFonts w:eastAsia="Times New Roman"/>
          <w:color w:val="FF0000"/>
          <w:szCs w:val="26"/>
        </w:rPr>
        <w:t>November 14, 2024</w:t>
      </w:r>
    </w:p>
    <w:p w14:paraId="6E36DDA8" w14:textId="2D487A5E" w:rsidR="002F2D48" w:rsidRPr="006F284F" w:rsidRDefault="00CD1907"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25</w:t>
      </w:r>
      <w:r w:rsidR="002E568C">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352BE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0F496E57" w:rsidR="002F2D48" w:rsidRPr="006F284F" w:rsidRDefault="00A46510" w:rsidP="00352BE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November 14</w:t>
      </w:r>
      <w:r w:rsidR="002F2D48" w:rsidRPr="006F284F">
        <w:rPr>
          <w:rFonts w:eastAsia="Times New Roman"/>
          <w:szCs w:val="26"/>
        </w:rPr>
        <w:t>, 2024</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6F284F"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p>
    <w:p w14:paraId="5B7E567D"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6D73921C"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proofErr w:type="gramStart"/>
      <w:r w:rsidRPr="006F284F">
        <w:rPr>
          <w:rFonts w:eastAsia="Times New Roman"/>
          <w:color w:val="000000"/>
          <w:szCs w:val="26"/>
        </w:rPr>
        <w:t>Following</w:t>
      </w:r>
      <w:proofErr w:type="gramEnd"/>
      <w:r w:rsidRPr="006F284F">
        <w:rPr>
          <w:rFonts w:eastAsia="Times New Roman"/>
          <w:color w:val="000000"/>
          <w:szCs w:val="26"/>
        </w:rPr>
        <w:t xml:space="preserve"> </w:t>
      </w:r>
      <w:proofErr w:type="gramStart"/>
      <w:r w:rsidRPr="006F284F">
        <w:rPr>
          <w:rFonts w:eastAsia="Times New Roman"/>
          <w:color w:val="000000"/>
          <w:szCs w:val="26"/>
        </w:rPr>
        <w:t>are</w:t>
      </w:r>
      <w:proofErr w:type="gramEnd"/>
      <w:r w:rsidRPr="006F284F">
        <w:rPr>
          <w:rFonts w:eastAsia="Times New Roman"/>
          <w:color w:val="000000"/>
          <w:szCs w:val="26"/>
        </w:rPr>
        <w:t xml:space="preserve"> purchase recommendations proposed by each University and the System Office. The purchases are to be funded from State appropriations or institutional funds as appropriate. Unless otherwise specified or indicated, purchases are based on the lowest acceptable bid. The </w:t>
      </w:r>
      <w:r w:rsidR="00BD6175">
        <w:rPr>
          <w:rFonts w:eastAsia="Times New Roman"/>
          <w:color w:val="000000"/>
          <w:szCs w:val="26"/>
        </w:rPr>
        <w:t>v</w:t>
      </w:r>
      <w:r w:rsidRPr="006F284F">
        <w:rPr>
          <w:rFonts w:eastAsia="Times New Roman"/>
          <w:color w:val="000000"/>
          <w:szCs w:val="26"/>
        </w:rPr>
        <w:t xml:space="preserve">ice </w:t>
      </w:r>
      <w:r w:rsidR="00BD6175">
        <w:rPr>
          <w:rFonts w:eastAsia="Times New Roman"/>
          <w:color w:val="000000"/>
          <w:szCs w:val="26"/>
        </w:rPr>
        <w:t>p</w:t>
      </w:r>
      <w:r w:rsidRPr="006F284F">
        <w:rPr>
          <w:rFonts w:eastAsia="Times New Roman"/>
          <w:color w:val="000000"/>
          <w:szCs w:val="26"/>
        </w:rPr>
        <w:t>resident</w:t>
      </w:r>
      <w:r w:rsidR="00BD6175">
        <w:rPr>
          <w:rFonts w:eastAsia="Times New Roman"/>
          <w:color w:val="000000"/>
          <w:szCs w:val="26"/>
        </w:rPr>
        <w:t>/c</w:t>
      </w:r>
      <w:r w:rsidRPr="006F284F">
        <w:rPr>
          <w:rFonts w:eastAsia="Times New Roman"/>
          <w:color w:val="000000"/>
          <w:szCs w:val="26"/>
        </w:rPr>
        <w:t xml:space="preserve">hief </w:t>
      </w:r>
      <w:r w:rsidR="00BD6175">
        <w:rPr>
          <w:rFonts w:eastAsia="Times New Roman"/>
          <w:color w:val="000000"/>
          <w:szCs w:val="26"/>
        </w:rPr>
        <w:t>f</w:t>
      </w:r>
      <w:r w:rsidRPr="006F284F">
        <w:rPr>
          <w:rFonts w:eastAsia="Times New Roman"/>
          <w:color w:val="000000"/>
          <w:szCs w:val="26"/>
        </w:rPr>
        <w:t xml:space="preserve">inancial </w:t>
      </w:r>
      <w:r w:rsidR="00BD6175">
        <w:rPr>
          <w:rFonts w:eastAsia="Times New Roman"/>
          <w:color w:val="000000"/>
          <w:szCs w:val="26"/>
        </w:rPr>
        <w:t>o</w:t>
      </w:r>
      <w:r w:rsidRPr="006F284F">
        <w:rPr>
          <w:rFonts w:eastAsia="Times New Roman"/>
          <w:color w:val="000000"/>
          <w:szCs w:val="26"/>
        </w:rPr>
        <w:t xml:space="preserve">fficer and </w:t>
      </w:r>
      <w:r w:rsidR="00BD6175">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w:t>
      </w:r>
      <w:r w:rsidR="00BD6175" w:rsidRPr="00BD6175">
        <w:rPr>
          <w:rFonts w:eastAsia="Times New Roman"/>
          <w:i/>
          <w:iCs/>
          <w:color w:val="000000"/>
          <w:szCs w:val="26"/>
        </w:rPr>
        <w:t>T</w:t>
      </w:r>
      <w:r w:rsidRPr="00BD6175">
        <w:rPr>
          <w:rFonts w:eastAsia="Times New Roman"/>
          <w:i/>
          <w:iCs/>
          <w:color w:val="000000"/>
          <w:szCs w:val="26"/>
        </w:rPr>
        <w:t>he</w:t>
      </w:r>
      <w:r w:rsidRPr="006F284F">
        <w:rPr>
          <w:rFonts w:eastAsia="Times New Roman"/>
          <w:color w:val="000000"/>
          <w:szCs w:val="26"/>
        </w:rPr>
        <w:t xml:space="preserve"> </w:t>
      </w:r>
      <w:r w:rsidRPr="006F284F">
        <w:rPr>
          <w:rFonts w:eastAsia="Times New Roman"/>
          <w:i/>
          <w:color w:val="000000"/>
          <w:szCs w:val="26"/>
        </w:rPr>
        <w:t>General Rules Concerning University Organization and Procedure.</w:t>
      </w:r>
    </w:p>
    <w:p w14:paraId="702878B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7CA3274C"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407C9C">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32C5318A" w14:textId="77777777" w:rsidR="00473D75" w:rsidRPr="00353536" w:rsidRDefault="00473D75" w:rsidP="00473D7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520A3CC5" w14:textId="77777777" w:rsidR="00473D75" w:rsidRDefault="00473D75" w:rsidP="00473D75">
      <w:pPr>
        <w:spacing w:after="0" w:line="240" w:lineRule="auto"/>
        <w:jc w:val="center"/>
        <w:rPr>
          <w:b/>
          <w:szCs w:val="26"/>
        </w:rPr>
      </w:pPr>
    </w:p>
    <w:tbl>
      <w:tblPr>
        <w:tblW w:w="9470" w:type="dxa"/>
        <w:tblLayout w:type="fixed"/>
        <w:tblCellMar>
          <w:left w:w="72" w:type="dxa"/>
          <w:right w:w="72" w:type="dxa"/>
        </w:tblCellMar>
        <w:tblLook w:val="0000" w:firstRow="0" w:lastRow="0" w:firstColumn="0" w:lastColumn="0" w:noHBand="0" w:noVBand="0"/>
      </w:tblPr>
      <w:tblGrid>
        <w:gridCol w:w="342"/>
        <w:gridCol w:w="1008"/>
        <w:gridCol w:w="8120"/>
      </w:tblGrid>
      <w:tr w:rsidR="00473D75" w:rsidRPr="00353536" w14:paraId="59A9E08A" w14:textId="77777777" w:rsidTr="00A16754">
        <w:trPr>
          <w:trHeight w:val="333"/>
        </w:trPr>
        <w:tc>
          <w:tcPr>
            <w:tcW w:w="342" w:type="dxa"/>
          </w:tcPr>
          <w:p w14:paraId="6DCA2FE6" w14:textId="77777777" w:rsidR="00473D75" w:rsidRDefault="00473D75" w:rsidP="00A16754">
            <w:pPr>
              <w:pStyle w:val="NoSpacing"/>
              <w:jc w:val="both"/>
              <w:rPr>
                <w:sz w:val="26"/>
                <w:szCs w:val="26"/>
              </w:rPr>
            </w:pPr>
          </w:p>
        </w:tc>
        <w:tc>
          <w:tcPr>
            <w:tcW w:w="1008" w:type="dxa"/>
            <w:shd w:val="clear" w:color="auto" w:fill="auto"/>
          </w:tcPr>
          <w:p w14:paraId="009C7EB3" w14:textId="77777777" w:rsidR="00473D75" w:rsidRPr="00353536" w:rsidRDefault="00473D75" w:rsidP="00A16754">
            <w:pPr>
              <w:pStyle w:val="NoSpacing"/>
              <w:jc w:val="both"/>
              <w:rPr>
                <w:sz w:val="26"/>
                <w:szCs w:val="26"/>
              </w:rPr>
            </w:pPr>
          </w:p>
        </w:tc>
        <w:tc>
          <w:tcPr>
            <w:tcW w:w="8120" w:type="dxa"/>
            <w:shd w:val="clear" w:color="auto" w:fill="auto"/>
          </w:tcPr>
          <w:p w14:paraId="0EB53B20" w14:textId="63CC3E8A" w:rsidR="00473D75" w:rsidRDefault="00473D75" w:rsidP="00CD6439">
            <w:pPr>
              <w:spacing w:after="0"/>
              <w:jc w:val="center"/>
              <w:rPr>
                <w:szCs w:val="26"/>
              </w:rPr>
            </w:pPr>
            <w:r>
              <w:rPr>
                <w:rFonts w:eastAsia="Times New Roman"/>
                <w:b/>
                <w:color w:val="000000"/>
                <w:szCs w:val="26"/>
              </w:rPr>
              <w:t>Purchases Recommended</w:t>
            </w:r>
          </w:p>
        </w:tc>
      </w:tr>
      <w:tr w:rsidR="00473D75" w:rsidRPr="00353536" w14:paraId="34C92E35" w14:textId="77777777" w:rsidTr="00A16754">
        <w:trPr>
          <w:trHeight w:val="333"/>
        </w:trPr>
        <w:tc>
          <w:tcPr>
            <w:tcW w:w="342" w:type="dxa"/>
          </w:tcPr>
          <w:p w14:paraId="6517F006" w14:textId="77777777" w:rsidR="00473D75" w:rsidRDefault="00473D75" w:rsidP="00A16754">
            <w:pPr>
              <w:pStyle w:val="NoSpacing"/>
              <w:jc w:val="both"/>
              <w:rPr>
                <w:sz w:val="26"/>
                <w:szCs w:val="26"/>
              </w:rPr>
            </w:pPr>
          </w:p>
        </w:tc>
        <w:tc>
          <w:tcPr>
            <w:tcW w:w="1008" w:type="dxa"/>
            <w:shd w:val="clear" w:color="auto" w:fill="auto"/>
          </w:tcPr>
          <w:p w14:paraId="62600F43" w14:textId="77777777" w:rsidR="00473D75" w:rsidRPr="00353536" w:rsidRDefault="00473D75" w:rsidP="00A16754">
            <w:pPr>
              <w:pStyle w:val="NoSpacing"/>
              <w:jc w:val="both"/>
              <w:rPr>
                <w:sz w:val="26"/>
                <w:szCs w:val="26"/>
              </w:rPr>
            </w:pPr>
          </w:p>
        </w:tc>
        <w:tc>
          <w:tcPr>
            <w:tcW w:w="8120" w:type="dxa"/>
            <w:shd w:val="clear" w:color="auto" w:fill="auto"/>
          </w:tcPr>
          <w:p w14:paraId="1A366B90" w14:textId="77777777" w:rsidR="00473D75" w:rsidRDefault="00473D75" w:rsidP="00473D75">
            <w:pPr>
              <w:spacing w:after="0"/>
              <w:jc w:val="both"/>
              <w:rPr>
                <w:szCs w:val="26"/>
              </w:rPr>
            </w:pPr>
          </w:p>
        </w:tc>
      </w:tr>
      <w:tr w:rsidR="00473D75" w:rsidRPr="00353536" w14:paraId="659B8924" w14:textId="77777777" w:rsidTr="00A16754">
        <w:trPr>
          <w:trHeight w:val="333"/>
        </w:trPr>
        <w:tc>
          <w:tcPr>
            <w:tcW w:w="947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473D75" w:rsidRPr="00353536" w14:paraId="515816A6" w14:textId="77777777" w:rsidTr="00A16754">
              <w:trPr>
                <w:trHeight w:val="114"/>
              </w:trPr>
              <w:tc>
                <w:tcPr>
                  <w:tcW w:w="9454" w:type="dxa"/>
                  <w:tcBorders>
                    <w:top w:val="single" w:sz="18" w:space="0" w:color="auto"/>
                    <w:bottom w:val="single" w:sz="18" w:space="0" w:color="auto"/>
                  </w:tcBorders>
                </w:tcPr>
                <w:p w14:paraId="24FE7841" w14:textId="56529312" w:rsidR="00473D75" w:rsidRPr="00353536" w:rsidRDefault="00473D75" w:rsidP="00473D75">
                  <w:pPr>
                    <w:tabs>
                      <w:tab w:val="left" w:pos="-720"/>
                      <w:tab w:val="left" w:pos="9090"/>
                    </w:tabs>
                    <w:suppressAutoHyphens/>
                    <w:overflowPunct w:val="0"/>
                    <w:autoSpaceDE w:val="0"/>
                    <w:autoSpaceDN w:val="0"/>
                    <w:adjustRightInd w:val="0"/>
                    <w:spacing w:after="0"/>
                    <w:jc w:val="center"/>
                    <w:textAlignment w:val="baseline"/>
                    <w:rPr>
                      <w:rFonts w:eastAsia="Times New Roman"/>
                      <w:b/>
                      <w:szCs w:val="26"/>
                    </w:rPr>
                  </w:pPr>
                  <w:r w:rsidRPr="00474452">
                    <w:rPr>
                      <w:rFonts w:eastAsia="Times New Roman"/>
                      <w:b/>
                      <w:szCs w:val="26"/>
                    </w:rPr>
                    <w:t xml:space="preserve">University of Illinois </w:t>
                  </w:r>
                  <w:r w:rsidR="004F0280">
                    <w:rPr>
                      <w:rFonts w:eastAsia="Times New Roman"/>
                      <w:b/>
                      <w:szCs w:val="26"/>
                    </w:rPr>
                    <w:t>Urbana-Champaign</w:t>
                  </w:r>
                </w:p>
              </w:tc>
            </w:tr>
          </w:tbl>
          <w:p w14:paraId="3B69D19F" w14:textId="77777777" w:rsidR="00473D75" w:rsidRDefault="00473D75" w:rsidP="00473D75">
            <w:pPr>
              <w:spacing w:after="0"/>
              <w:jc w:val="both"/>
              <w:rPr>
                <w:szCs w:val="26"/>
              </w:rPr>
            </w:pPr>
          </w:p>
        </w:tc>
      </w:tr>
      <w:tr w:rsidR="00473D75" w:rsidRPr="00811BDD" w14:paraId="376D7786" w14:textId="77777777" w:rsidTr="00A16754">
        <w:trPr>
          <w:trHeight w:val="333"/>
        </w:trPr>
        <w:tc>
          <w:tcPr>
            <w:tcW w:w="342" w:type="dxa"/>
            <w:tcBorders>
              <w:bottom w:val="double" w:sz="4" w:space="0" w:color="auto"/>
            </w:tcBorders>
          </w:tcPr>
          <w:p w14:paraId="1AE915C1" w14:textId="77777777" w:rsidR="00473D75" w:rsidRPr="00811BDD" w:rsidRDefault="00473D75" w:rsidP="00A16754">
            <w:pPr>
              <w:pStyle w:val="NoSpacing"/>
              <w:jc w:val="both"/>
              <w:rPr>
                <w:sz w:val="24"/>
                <w:szCs w:val="24"/>
              </w:rPr>
            </w:pPr>
            <w:r w:rsidRPr="00811BDD">
              <w:rPr>
                <w:sz w:val="24"/>
                <w:szCs w:val="24"/>
              </w:rPr>
              <w:t>1</w:t>
            </w:r>
          </w:p>
        </w:tc>
        <w:tc>
          <w:tcPr>
            <w:tcW w:w="1008" w:type="dxa"/>
            <w:tcBorders>
              <w:bottom w:val="double" w:sz="4" w:space="0" w:color="auto"/>
            </w:tcBorders>
            <w:shd w:val="clear" w:color="auto" w:fill="auto"/>
          </w:tcPr>
          <w:p w14:paraId="7AF44143" w14:textId="77777777" w:rsidR="00473D75" w:rsidRPr="00811BDD" w:rsidRDefault="00473D75" w:rsidP="00A16754">
            <w:pPr>
              <w:pStyle w:val="NoSpacing"/>
              <w:jc w:val="both"/>
              <w:rPr>
                <w:sz w:val="24"/>
                <w:szCs w:val="24"/>
              </w:rPr>
            </w:pPr>
            <w:r w:rsidRPr="00811BDD">
              <w:rPr>
                <w:sz w:val="24"/>
                <w:szCs w:val="24"/>
              </w:rPr>
              <w:t>Unit</w:t>
            </w:r>
          </w:p>
        </w:tc>
        <w:tc>
          <w:tcPr>
            <w:tcW w:w="8120" w:type="dxa"/>
            <w:tcBorders>
              <w:bottom w:val="double" w:sz="4" w:space="0" w:color="auto"/>
            </w:tcBorders>
            <w:shd w:val="clear" w:color="auto" w:fill="auto"/>
          </w:tcPr>
          <w:p w14:paraId="0778915E" w14:textId="77777777" w:rsidR="00473D75" w:rsidRPr="00811BDD" w:rsidRDefault="00473D75" w:rsidP="00473D75">
            <w:pPr>
              <w:spacing w:after="0"/>
              <w:jc w:val="both"/>
              <w:rPr>
                <w:sz w:val="24"/>
                <w:szCs w:val="24"/>
              </w:rPr>
            </w:pPr>
            <w:r w:rsidRPr="00811BDD">
              <w:rPr>
                <w:sz w:val="24"/>
                <w:szCs w:val="24"/>
              </w:rPr>
              <w:t>Illinois Quantum Microelectronics Park (IQMP, LLC)</w:t>
            </w:r>
          </w:p>
        </w:tc>
      </w:tr>
      <w:tr w:rsidR="00473D75" w:rsidRPr="00811BDD" w14:paraId="5D9159D1" w14:textId="77777777" w:rsidTr="00A16754">
        <w:trPr>
          <w:trHeight w:val="333"/>
        </w:trPr>
        <w:tc>
          <w:tcPr>
            <w:tcW w:w="342" w:type="dxa"/>
            <w:tcBorders>
              <w:top w:val="double" w:sz="4" w:space="0" w:color="auto"/>
            </w:tcBorders>
          </w:tcPr>
          <w:p w14:paraId="7D8F283E" w14:textId="77777777" w:rsidR="00473D75" w:rsidRPr="00811BDD" w:rsidRDefault="00473D75" w:rsidP="00A16754">
            <w:pPr>
              <w:pStyle w:val="NoSpacing"/>
              <w:jc w:val="both"/>
              <w:rPr>
                <w:sz w:val="24"/>
                <w:szCs w:val="24"/>
              </w:rPr>
            </w:pPr>
          </w:p>
        </w:tc>
        <w:tc>
          <w:tcPr>
            <w:tcW w:w="1008" w:type="dxa"/>
            <w:tcBorders>
              <w:top w:val="double" w:sz="4" w:space="0" w:color="auto"/>
            </w:tcBorders>
            <w:shd w:val="clear" w:color="auto" w:fill="auto"/>
          </w:tcPr>
          <w:p w14:paraId="7807C72F" w14:textId="77777777" w:rsidR="00473D75" w:rsidRPr="00811BDD" w:rsidRDefault="00473D75" w:rsidP="00A16754">
            <w:pPr>
              <w:pStyle w:val="NoSpacing"/>
              <w:rPr>
                <w:sz w:val="24"/>
                <w:szCs w:val="24"/>
              </w:rPr>
            </w:pPr>
          </w:p>
          <w:p w14:paraId="5D714F3B" w14:textId="77777777" w:rsidR="00473D75" w:rsidRPr="00811BDD" w:rsidRDefault="00473D75" w:rsidP="00A16754">
            <w:pPr>
              <w:pStyle w:val="NoSpacing"/>
              <w:jc w:val="both"/>
              <w:rPr>
                <w:sz w:val="24"/>
                <w:szCs w:val="24"/>
              </w:rPr>
            </w:pPr>
            <w:r w:rsidRPr="00811BDD">
              <w:rPr>
                <w:sz w:val="24"/>
                <w:szCs w:val="24"/>
              </w:rPr>
              <w:t>Item</w:t>
            </w:r>
          </w:p>
        </w:tc>
        <w:tc>
          <w:tcPr>
            <w:tcW w:w="8120" w:type="dxa"/>
            <w:tcBorders>
              <w:top w:val="double" w:sz="4" w:space="0" w:color="auto"/>
            </w:tcBorders>
            <w:shd w:val="clear" w:color="auto" w:fill="auto"/>
          </w:tcPr>
          <w:p w14:paraId="4023E21D" w14:textId="77777777" w:rsidR="00473D75" w:rsidRDefault="00473D75" w:rsidP="00473D75">
            <w:pPr>
              <w:spacing w:after="0"/>
              <w:rPr>
                <w:sz w:val="24"/>
                <w:szCs w:val="24"/>
              </w:rPr>
            </w:pPr>
          </w:p>
          <w:p w14:paraId="24A4B3C5" w14:textId="42332BCB" w:rsidR="00473D75" w:rsidRPr="00811BDD" w:rsidRDefault="00473D75" w:rsidP="002E568C">
            <w:pPr>
              <w:spacing w:after="0"/>
              <w:jc w:val="both"/>
              <w:rPr>
                <w:sz w:val="24"/>
                <w:szCs w:val="24"/>
              </w:rPr>
            </w:pPr>
            <w:r w:rsidRPr="00811BDD">
              <w:rPr>
                <w:sz w:val="24"/>
                <w:szCs w:val="24"/>
              </w:rPr>
              <w:t>IQMP, LLC contract with Commonwealth Edison Company (“ComEd”) to supply the electric power necessary to support the Illinois Quantum and Microelectronics Park and related facilities. ComEd is the sole source available for the required resources in Cook County.</w:t>
            </w:r>
          </w:p>
        </w:tc>
      </w:tr>
      <w:tr w:rsidR="00473D75" w:rsidRPr="00811BDD" w14:paraId="6BAD6AC8" w14:textId="77777777" w:rsidTr="00CD6439">
        <w:trPr>
          <w:trHeight w:val="1458"/>
        </w:trPr>
        <w:tc>
          <w:tcPr>
            <w:tcW w:w="342" w:type="dxa"/>
          </w:tcPr>
          <w:p w14:paraId="2C2F8B2E" w14:textId="77777777" w:rsidR="00473D75" w:rsidRPr="00811BDD" w:rsidRDefault="00473D75" w:rsidP="00A16754">
            <w:pPr>
              <w:pStyle w:val="NoSpacing"/>
              <w:jc w:val="both"/>
              <w:rPr>
                <w:sz w:val="24"/>
                <w:szCs w:val="24"/>
              </w:rPr>
            </w:pPr>
          </w:p>
        </w:tc>
        <w:tc>
          <w:tcPr>
            <w:tcW w:w="1008" w:type="dxa"/>
            <w:shd w:val="clear" w:color="auto" w:fill="auto"/>
          </w:tcPr>
          <w:p w14:paraId="36FB3EE6" w14:textId="77777777" w:rsidR="00473D75" w:rsidRPr="00811BDD" w:rsidRDefault="00473D75" w:rsidP="00A16754">
            <w:pPr>
              <w:pStyle w:val="NoSpacing"/>
              <w:rPr>
                <w:sz w:val="24"/>
                <w:szCs w:val="24"/>
              </w:rPr>
            </w:pPr>
          </w:p>
          <w:p w14:paraId="5FA8D991" w14:textId="77777777" w:rsidR="00473D75" w:rsidRPr="00811BDD" w:rsidRDefault="00473D75" w:rsidP="00A16754">
            <w:pPr>
              <w:pStyle w:val="NoSpacing"/>
              <w:jc w:val="both"/>
              <w:rPr>
                <w:sz w:val="24"/>
                <w:szCs w:val="24"/>
              </w:rPr>
            </w:pPr>
            <w:r w:rsidRPr="00811BDD">
              <w:rPr>
                <w:sz w:val="24"/>
                <w:szCs w:val="24"/>
              </w:rPr>
              <w:t>Cost</w:t>
            </w:r>
          </w:p>
          <w:p w14:paraId="6BAF6B9C" w14:textId="77777777" w:rsidR="00473D75" w:rsidRPr="00811BDD" w:rsidRDefault="00473D75" w:rsidP="00A16754">
            <w:pPr>
              <w:pStyle w:val="NoSpacing"/>
              <w:jc w:val="both"/>
              <w:rPr>
                <w:sz w:val="24"/>
                <w:szCs w:val="24"/>
              </w:rPr>
            </w:pPr>
          </w:p>
          <w:p w14:paraId="43C03B01" w14:textId="77777777" w:rsidR="00473D75" w:rsidRPr="00811BDD" w:rsidRDefault="00473D75" w:rsidP="00A16754">
            <w:pPr>
              <w:pStyle w:val="NoSpacing"/>
              <w:jc w:val="both"/>
              <w:rPr>
                <w:sz w:val="24"/>
                <w:szCs w:val="24"/>
              </w:rPr>
            </w:pPr>
            <w:r w:rsidRPr="00811BDD">
              <w:rPr>
                <w:sz w:val="24"/>
                <w:szCs w:val="24"/>
              </w:rPr>
              <w:t>Vendor</w:t>
            </w:r>
          </w:p>
        </w:tc>
        <w:tc>
          <w:tcPr>
            <w:tcW w:w="8120" w:type="dxa"/>
            <w:shd w:val="clear" w:color="auto" w:fill="auto"/>
          </w:tcPr>
          <w:p w14:paraId="40A46E9A" w14:textId="77777777" w:rsidR="00473D75" w:rsidRPr="00811BDD" w:rsidRDefault="00473D75" w:rsidP="00473D75">
            <w:pPr>
              <w:pStyle w:val="NoSpacing"/>
              <w:spacing w:line="259" w:lineRule="auto"/>
              <w:rPr>
                <w:sz w:val="24"/>
                <w:szCs w:val="24"/>
              </w:rPr>
            </w:pPr>
          </w:p>
          <w:p w14:paraId="7F33F098" w14:textId="77777777" w:rsidR="00473D75" w:rsidRDefault="00473D75" w:rsidP="00473D75">
            <w:pPr>
              <w:tabs>
                <w:tab w:val="left" w:pos="-720"/>
                <w:tab w:val="left" w:pos="0"/>
                <w:tab w:val="left" w:pos="720"/>
                <w:tab w:val="left" w:pos="1080"/>
                <w:tab w:val="left" w:pos="1440"/>
              </w:tabs>
              <w:suppressAutoHyphens/>
              <w:spacing w:after="0"/>
              <w:jc w:val="both"/>
              <w:rPr>
                <w:sz w:val="24"/>
                <w:szCs w:val="24"/>
              </w:rPr>
            </w:pPr>
            <w:r w:rsidRPr="00811BDD">
              <w:rPr>
                <w:sz w:val="24"/>
                <w:szCs w:val="24"/>
              </w:rPr>
              <w:t xml:space="preserve">$30,000,000 (Estimated) </w:t>
            </w:r>
          </w:p>
          <w:p w14:paraId="18F66BFC" w14:textId="77777777" w:rsidR="00C421B2" w:rsidRPr="00811BDD" w:rsidRDefault="00C421B2" w:rsidP="00473D75">
            <w:pPr>
              <w:tabs>
                <w:tab w:val="left" w:pos="-720"/>
                <w:tab w:val="left" w:pos="0"/>
                <w:tab w:val="left" w:pos="720"/>
                <w:tab w:val="left" w:pos="1080"/>
                <w:tab w:val="left" w:pos="1440"/>
              </w:tabs>
              <w:suppressAutoHyphens/>
              <w:spacing w:after="0"/>
              <w:jc w:val="both"/>
              <w:rPr>
                <w:sz w:val="24"/>
                <w:szCs w:val="24"/>
              </w:rPr>
            </w:pPr>
          </w:p>
          <w:p w14:paraId="0DBD8612" w14:textId="6EDB80EA" w:rsidR="00473D75" w:rsidRPr="00811BDD" w:rsidRDefault="00CD6439" w:rsidP="00CD6439">
            <w:pPr>
              <w:tabs>
                <w:tab w:val="left" w:pos="-720"/>
                <w:tab w:val="left" w:pos="0"/>
                <w:tab w:val="left" w:pos="720"/>
                <w:tab w:val="left" w:pos="1080"/>
                <w:tab w:val="left" w:pos="1440"/>
              </w:tabs>
              <w:suppressAutoHyphens/>
              <w:spacing w:after="0"/>
              <w:jc w:val="both"/>
              <w:rPr>
                <w:sz w:val="24"/>
                <w:szCs w:val="24"/>
              </w:rPr>
            </w:pPr>
            <w:r>
              <w:rPr>
                <w:sz w:val="24"/>
                <w:szCs w:val="24"/>
              </w:rPr>
              <w:t>Illinois Quantum and Microelectronics Park, LLC (IQMP)</w:t>
            </w:r>
          </w:p>
          <w:p w14:paraId="3ACD2912" w14:textId="77777777" w:rsidR="00473D75" w:rsidRPr="00811BDD" w:rsidRDefault="00473D75" w:rsidP="00473D75">
            <w:pPr>
              <w:tabs>
                <w:tab w:val="left" w:pos="-720"/>
                <w:tab w:val="left" w:pos="0"/>
                <w:tab w:val="left" w:pos="720"/>
                <w:tab w:val="left" w:pos="1080"/>
                <w:tab w:val="left" w:pos="1440"/>
              </w:tabs>
              <w:suppressAutoHyphens/>
              <w:spacing w:after="0"/>
              <w:ind w:hanging="1040"/>
              <w:jc w:val="both"/>
              <w:rPr>
                <w:sz w:val="24"/>
                <w:szCs w:val="24"/>
              </w:rPr>
            </w:pPr>
          </w:p>
        </w:tc>
      </w:tr>
      <w:tr w:rsidR="00473D75" w:rsidRPr="00811BDD" w14:paraId="0F689D75" w14:textId="77777777" w:rsidTr="00A16754">
        <w:trPr>
          <w:trHeight w:val="333"/>
        </w:trPr>
        <w:tc>
          <w:tcPr>
            <w:tcW w:w="342" w:type="dxa"/>
          </w:tcPr>
          <w:p w14:paraId="4DE16878" w14:textId="77777777" w:rsidR="00473D75" w:rsidRPr="00811BDD" w:rsidRDefault="00473D75" w:rsidP="00A16754">
            <w:pPr>
              <w:pStyle w:val="NoSpacing"/>
              <w:jc w:val="both"/>
              <w:rPr>
                <w:sz w:val="24"/>
                <w:szCs w:val="24"/>
              </w:rPr>
            </w:pPr>
          </w:p>
        </w:tc>
        <w:tc>
          <w:tcPr>
            <w:tcW w:w="1008" w:type="dxa"/>
            <w:shd w:val="clear" w:color="auto" w:fill="auto"/>
          </w:tcPr>
          <w:p w14:paraId="5B719112" w14:textId="77777777" w:rsidR="00473D75" w:rsidRPr="00811BDD" w:rsidRDefault="00473D75" w:rsidP="00A16754">
            <w:pPr>
              <w:pStyle w:val="NoSpacing"/>
              <w:jc w:val="both"/>
              <w:rPr>
                <w:sz w:val="24"/>
                <w:szCs w:val="24"/>
              </w:rPr>
            </w:pPr>
          </w:p>
        </w:tc>
        <w:tc>
          <w:tcPr>
            <w:tcW w:w="8120" w:type="dxa"/>
            <w:shd w:val="clear" w:color="auto" w:fill="auto"/>
          </w:tcPr>
          <w:p w14:paraId="2ED74957" w14:textId="77777777" w:rsidR="00473D75" w:rsidRPr="00B42F01" w:rsidRDefault="00473D75" w:rsidP="00473D75">
            <w:pPr>
              <w:spacing w:after="0"/>
              <w:rPr>
                <w:sz w:val="24"/>
                <w:szCs w:val="24"/>
              </w:rPr>
            </w:pPr>
            <w:r w:rsidRPr="00B42F01">
              <w:rPr>
                <w:sz w:val="24"/>
                <w:szCs w:val="24"/>
              </w:rPr>
              <w:t>The State of Illinois has requested that IQMP, LLC contract with Commonwealth Edison Company (“ComEd”) to supply the electric power necessary to support the Illinois Quantum and Microelectronics Park and related facilities. ComEd is the sole source available for the required resources in Cook County. The State of Illinois Chief Procurement Officer (CPO) approved sole source procurement under Bulletin Reference Number IQMP0124 under the Illinois Procurement Code.</w:t>
            </w:r>
            <w:r w:rsidRPr="00B42F01">
              <w:rPr>
                <w:sz w:val="24"/>
                <w:szCs w:val="24"/>
              </w:rPr>
              <w:br/>
            </w:r>
          </w:p>
          <w:p w14:paraId="1425545E" w14:textId="2A589558" w:rsidR="00473D75" w:rsidRDefault="00473D75" w:rsidP="00473D75">
            <w:pPr>
              <w:spacing w:after="0"/>
              <w:rPr>
                <w:sz w:val="24"/>
                <w:szCs w:val="24"/>
              </w:rPr>
            </w:pPr>
            <w:proofErr w:type="gramStart"/>
            <w:r w:rsidRPr="00B42F01">
              <w:rPr>
                <w:sz w:val="24"/>
                <w:szCs w:val="24"/>
              </w:rPr>
              <w:t>In order to</w:t>
            </w:r>
            <w:proofErr w:type="gramEnd"/>
            <w:r w:rsidRPr="00B42F01">
              <w:rPr>
                <w:sz w:val="24"/>
                <w:szCs w:val="24"/>
              </w:rPr>
              <w:t xml:space="preserve"> execute this transaction, the State of Illinois has entered into a $30,000,000 grant agreement with the Board of Trustees of the University of Illinois</w:t>
            </w:r>
            <w:r>
              <w:rPr>
                <w:sz w:val="24"/>
                <w:szCs w:val="24"/>
              </w:rPr>
              <w:t xml:space="preserve">, as </w:t>
            </w:r>
            <w:proofErr w:type="gramStart"/>
            <w:r w:rsidRPr="00D37906">
              <w:rPr>
                <w:sz w:val="24"/>
                <w:szCs w:val="24"/>
              </w:rPr>
              <w:t>IQMP,</w:t>
            </w:r>
            <w:proofErr w:type="gramEnd"/>
            <w:r w:rsidRPr="00D37906">
              <w:rPr>
                <w:sz w:val="24"/>
                <w:szCs w:val="24"/>
              </w:rPr>
              <w:t xml:space="preserve"> LLC is </w:t>
            </w:r>
            <w:r>
              <w:rPr>
                <w:sz w:val="24"/>
                <w:szCs w:val="24"/>
              </w:rPr>
              <w:t>designated</w:t>
            </w:r>
            <w:r w:rsidRPr="00D37906">
              <w:rPr>
                <w:sz w:val="24"/>
                <w:szCs w:val="24"/>
              </w:rPr>
              <w:t xml:space="preserve"> as a disregarded entity for tax purposes.</w:t>
            </w:r>
            <w:r w:rsidR="002E568C">
              <w:rPr>
                <w:sz w:val="24"/>
                <w:szCs w:val="24"/>
              </w:rPr>
              <w:t xml:space="preserve"> </w:t>
            </w:r>
            <w:r w:rsidRPr="00D37906">
              <w:rPr>
                <w:sz w:val="24"/>
                <w:szCs w:val="24"/>
              </w:rPr>
              <w:t xml:space="preserve">Per the Illinois Office of the Comptroller, IDCEO </w:t>
            </w:r>
            <w:r>
              <w:rPr>
                <w:sz w:val="24"/>
                <w:szCs w:val="24"/>
              </w:rPr>
              <w:t>may</w:t>
            </w:r>
            <w:r w:rsidRPr="00D37906">
              <w:rPr>
                <w:sz w:val="24"/>
                <w:szCs w:val="24"/>
              </w:rPr>
              <w:t xml:space="preserve"> only issue funds to a taxable entity.</w:t>
            </w:r>
            <w:r w:rsidR="002E568C">
              <w:rPr>
                <w:sz w:val="24"/>
                <w:szCs w:val="24"/>
              </w:rPr>
              <w:t xml:space="preserve"> </w:t>
            </w:r>
            <w:r w:rsidRPr="00D37906">
              <w:rPr>
                <w:sz w:val="24"/>
                <w:szCs w:val="24"/>
              </w:rPr>
              <w:t>According</w:t>
            </w:r>
            <w:r>
              <w:rPr>
                <w:sz w:val="24"/>
                <w:szCs w:val="24"/>
              </w:rPr>
              <w:t>ly</w:t>
            </w:r>
            <w:r w:rsidRPr="00D37906">
              <w:rPr>
                <w:sz w:val="24"/>
                <w:szCs w:val="24"/>
              </w:rPr>
              <w:t>, the Board of Trustees of the University of Illinois has been designated as the Grantee of the IDCEO grant funds</w:t>
            </w:r>
            <w:r w:rsidR="00CD6439">
              <w:rPr>
                <w:sz w:val="24"/>
                <w:szCs w:val="24"/>
              </w:rPr>
              <w:t>,</w:t>
            </w:r>
            <w:r w:rsidRPr="00D37906">
              <w:rPr>
                <w:sz w:val="24"/>
                <w:szCs w:val="24"/>
              </w:rPr>
              <w:t xml:space="preserve"> which will be sub-granted to IQMP, LLC in their entirety pursuant to a Subgrant Letter Agreement</w:t>
            </w:r>
            <w:r w:rsidRPr="00B42F01">
              <w:rPr>
                <w:sz w:val="24"/>
                <w:szCs w:val="24"/>
              </w:rPr>
              <w:t xml:space="preserve">. The State of Illinois has authorized a working capital advance to the University of Illinois (subgrant to IQMP, LLC) to pay deposits to ComEd needed for bridging power and a new substation. </w:t>
            </w:r>
          </w:p>
          <w:p w14:paraId="772251BE" w14:textId="77777777" w:rsidR="00473D75" w:rsidRPr="00B42F01" w:rsidRDefault="00473D75" w:rsidP="00473D75">
            <w:pPr>
              <w:spacing w:after="0"/>
              <w:rPr>
                <w:sz w:val="24"/>
                <w:szCs w:val="24"/>
              </w:rPr>
            </w:pPr>
          </w:p>
          <w:p w14:paraId="7AA6DDAE" w14:textId="0FE7B1AB" w:rsidR="00473D75" w:rsidRPr="00B42F01" w:rsidRDefault="00473D75" w:rsidP="00473D75">
            <w:pPr>
              <w:spacing w:after="0"/>
              <w:rPr>
                <w:sz w:val="24"/>
                <w:szCs w:val="24"/>
              </w:rPr>
            </w:pPr>
            <w:r>
              <w:rPr>
                <w:sz w:val="24"/>
                <w:szCs w:val="24"/>
              </w:rPr>
              <w:t>It is recommended that t</w:t>
            </w:r>
            <w:r w:rsidRPr="00B42F01">
              <w:rPr>
                <w:sz w:val="24"/>
                <w:szCs w:val="24"/>
              </w:rPr>
              <w:t>he University of Illinois Board of Trustees authorizes the</w:t>
            </w:r>
            <w:r>
              <w:rPr>
                <w:sz w:val="24"/>
                <w:szCs w:val="24"/>
              </w:rPr>
              <w:t xml:space="preserve"> payment to</w:t>
            </w:r>
            <w:r w:rsidRPr="00B42F01">
              <w:rPr>
                <w:sz w:val="24"/>
                <w:szCs w:val="24"/>
              </w:rPr>
              <w:t xml:space="preserve"> IQMP, LLC in the amount of the grant award from the State of Illinois for $</w:t>
            </w:r>
            <w:r>
              <w:rPr>
                <w:sz w:val="24"/>
                <w:szCs w:val="24"/>
              </w:rPr>
              <w:t>30</w:t>
            </w:r>
            <w:r w:rsidRPr="00B42F01">
              <w:rPr>
                <w:sz w:val="24"/>
                <w:szCs w:val="24"/>
              </w:rPr>
              <w:t>,000,000 to allow a transfer of grant funding pursuant to the terms of the award to IQMP, LLC</w:t>
            </w:r>
            <w:r>
              <w:rPr>
                <w:sz w:val="24"/>
                <w:szCs w:val="24"/>
              </w:rPr>
              <w:t>.</w:t>
            </w:r>
          </w:p>
          <w:p w14:paraId="6E935F8F" w14:textId="77777777" w:rsidR="00473D75" w:rsidRPr="00B42F01" w:rsidRDefault="00473D75" w:rsidP="00473D75">
            <w:pPr>
              <w:spacing w:after="0"/>
              <w:rPr>
                <w:sz w:val="24"/>
                <w:szCs w:val="24"/>
              </w:rPr>
            </w:pPr>
          </w:p>
          <w:p w14:paraId="26C5DAD3" w14:textId="749C1E41" w:rsidR="00473D75" w:rsidRPr="00B42F01" w:rsidRDefault="00473D75" w:rsidP="00473D75">
            <w:pPr>
              <w:spacing w:after="0"/>
              <w:rPr>
                <w:sz w:val="24"/>
                <w:szCs w:val="24"/>
              </w:rPr>
            </w:pPr>
            <w:r w:rsidRPr="00B42F01">
              <w:rPr>
                <w:sz w:val="24"/>
                <w:szCs w:val="24"/>
              </w:rPr>
              <w:t>The funds for this contract are “State Funds” as defined in the Signature Authority Policy.</w:t>
            </w:r>
          </w:p>
        </w:tc>
      </w:tr>
      <w:tr w:rsidR="00473D75" w:rsidRPr="00811BDD" w14:paraId="2ECDCF83" w14:textId="77777777" w:rsidTr="00A16754">
        <w:trPr>
          <w:trHeight w:val="333"/>
        </w:trPr>
        <w:tc>
          <w:tcPr>
            <w:tcW w:w="342" w:type="dxa"/>
          </w:tcPr>
          <w:p w14:paraId="3B6D4BF3" w14:textId="77777777" w:rsidR="00473D75" w:rsidRPr="00811BDD" w:rsidRDefault="00473D75" w:rsidP="00A16754">
            <w:pPr>
              <w:pStyle w:val="NoSpacing"/>
              <w:jc w:val="both"/>
              <w:rPr>
                <w:sz w:val="24"/>
                <w:szCs w:val="24"/>
              </w:rPr>
            </w:pPr>
          </w:p>
        </w:tc>
        <w:tc>
          <w:tcPr>
            <w:tcW w:w="1008" w:type="dxa"/>
            <w:shd w:val="clear" w:color="auto" w:fill="auto"/>
          </w:tcPr>
          <w:p w14:paraId="6B0776D3" w14:textId="77777777" w:rsidR="00473D75" w:rsidRPr="00811BDD" w:rsidRDefault="00473D75" w:rsidP="00A16754">
            <w:pPr>
              <w:pStyle w:val="NoSpacing"/>
              <w:jc w:val="both"/>
              <w:rPr>
                <w:sz w:val="24"/>
                <w:szCs w:val="24"/>
              </w:rPr>
            </w:pPr>
          </w:p>
        </w:tc>
        <w:tc>
          <w:tcPr>
            <w:tcW w:w="8120" w:type="dxa"/>
            <w:shd w:val="clear" w:color="auto" w:fill="auto"/>
          </w:tcPr>
          <w:p w14:paraId="18667CC8" w14:textId="77777777" w:rsidR="00473D75" w:rsidRPr="00811BDD" w:rsidRDefault="00473D75" w:rsidP="00A16754">
            <w:pPr>
              <w:spacing w:after="0"/>
              <w:jc w:val="both"/>
              <w:rPr>
                <w:sz w:val="24"/>
                <w:szCs w:val="24"/>
              </w:rPr>
            </w:pPr>
          </w:p>
        </w:tc>
      </w:tr>
      <w:tr w:rsidR="00C421B2" w14:paraId="42365509" w14:textId="77777777" w:rsidTr="00C421B2">
        <w:trPr>
          <w:trHeight w:val="333"/>
        </w:trPr>
        <w:tc>
          <w:tcPr>
            <w:tcW w:w="342" w:type="dxa"/>
          </w:tcPr>
          <w:p w14:paraId="7842AE86" w14:textId="34596AB7" w:rsidR="00C421B2" w:rsidRPr="00C421B2" w:rsidRDefault="00C421B2" w:rsidP="00C421B2">
            <w:pPr>
              <w:pStyle w:val="NoSpacing"/>
              <w:jc w:val="both"/>
              <w:rPr>
                <w:sz w:val="24"/>
                <w:szCs w:val="24"/>
              </w:rPr>
            </w:pPr>
            <w:r>
              <w:rPr>
                <w:sz w:val="24"/>
                <w:szCs w:val="24"/>
              </w:rPr>
              <w:t>2</w:t>
            </w:r>
          </w:p>
        </w:tc>
        <w:tc>
          <w:tcPr>
            <w:tcW w:w="1008" w:type="dxa"/>
            <w:shd w:val="clear" w:color="auto" w:fill="auto"/>
          </w:tcPr>
          <w:p w14:paraId="312E3707" w14:textId="77777777" w:rsidR="00C421B2" w:rsidRPr="00C421B2" w:rsidRDefault="00C421B2" w:rsidP="00C421B2">
            <w:pPr>
              <w:pStyle w:val="NoSpacing"/>
              <w:jc w:val="both"/>
              <w:rPr>
                <w:sz w:val="24"/>
                <w:szCs w:val="24"/>
              </w:rPr>
            </w:pPr>
            <w:r w:rsidRPr="00C421B2">
              <w:rPr>
                <w:sz w:val="24"/>
                <w:szCs w:val="24"/>
              </w:rPr>
              <w:t>Unit</w:t>
            </w:r>
          </w:p>
        </w:tc>
        <w:tc>
          <w:tcPr>
            <w:tcW w:w="8120" w:type="dxa"/>
            <w:shd w:val="clear" w:color="auto" w:fill="auto"/>
          </w:tcPr>
          <w:p w14:paraId="54F915BF" w14:textId="77777777" w:rsidR="00C421B2" w:rsidRDefault="00C421B2" w:rsidP="00050E68">
            <w:pPr>
              <w:spacing w:after="0"/>
              <w:jc w:val="both"/>
              <w:rPr>
                <w:sz w:val="24"/>
                <w:szCs w:val="24"/>
              </w:rPr>
            </w:pPr>
            <w:r w:rsidRPr="00C421B2">
              <w:rPr>
                <w:sz w:val="24"/>
                <w:szCs w:val="24"/>
              </w:rPr>
              <w:t>Illinois Quantum Microelectronics Park (IQMP, LLC)</w:t>
            </w:r>
          </w:p>
          <w:p w14:paraId="5501D432" w14:textId="77777777" w:rsidR="00454CE3" w:rsidRPr="00C421B2" w:rsidRDefault="00454CE3" w:rsidP="00050E68">
            <w:pPr>
              <w:spacing w:after="0"/>
              <w:jc w:val="both"/>
              <w:rPr>
                <w:sz w:val="24"/>
                <w:szCs w:val="24"/>
              </w:rPr>
            </w:pPr>
          </w:p>
        </w:tc>
      </w:tr>
      <w:tr w:rsidR="00C421B2" w14:paraId="2FDE05FB" w14:textId="77777777" w:rsidTr="00C421B2">
        <w:trPr>
          <w:trHeight w:val="333"/>
        </w:trPr>
        <w:tc>
          <w:tcPr>
            <w:tcW w:w="342" w:type="dxa"/>
          </w:tcPr>
          <w:p w14:paraId="39691010" w14:textId="77777777" w:rsidR="00C421B2" w:rsidRPr="00C421B2" w:rsidRDefault="00C421B2" w:rsidP="00C421B2">
            <w:pPr>
              <w:pStyle w:val="NoSpacing"/>
              <w:jc w:val="both"/>
              <w:rPr>
                <w:sz w:val="24"/>
                <w:szCs w:val="24"/>
              </w:rPr>
            </w:pPr>
          </w:p>
        </w:tc>
        <w:tc>
          <w:tcPr>
            <w:tcW w:w="1008" w:type="dxa"/>
            <w:shd w:val="clear" w:color="auto" w:fill="auto"/>
          </w:tcPr>
          <w:p w14:paraId="0E9A0ED5" w14:textId="77777777" w:rsidR="00C421B2" w:rsidRPr="00C421B2" w:rsidRDefault="00C421B2" w:rsidP="00C421B2">
            <w:pPr>
              <w:pStyle w:val="NoSpacing"/>
              <w:jc w:val="both"/>
              <w:rPr>
                <w:sz w:val="24"/>
                <w:szCs w:val="24"/>
              </w:rPr>
            </w:pPr>
          </w:p>
          <w:p w14:paraId="4737ACC3" w14:textId="77777777" w:rsidR="00C421B2" w:rsidRPr="00C421B2" w:rsidRDefault="00C421B2" w:rsidP="00C421B2">
            <w:pPr>
              <w:pStyle w:val="NoSpacing"/>
              <w:jc w:val="both"/>
              <w:rPr>
                <w:sz w:val="24"/>
                <w:szCs w:val="24"/>
              </w:rPr>
            </w:pPr>
            <w:r w:rsidRPr="00C421B2">
              <w:rPr>
                <w:sz w:val="24"/>
                <w:szCs w:val="24"/>
              </w:rPr>
              <w:t>Item</w:t>
            </w:r>
          </w:p>
        </w:tc>
        <w:tc>
          <w:tcPr>
            <w:tcW w:w="8120" w:type="dxa"/>
            <w:shd w:val="clear" w:color="auto" w:fill="auto"/>
          </w:tcPr>
          <w:p w14:paraId="11C78FA2" w14:textId="77777777" w:rsidR="00C421B2" w:rsidRPr="00C421B2" w:rsidRDefault="00C421B2" w:rsidP="00C421B2">
            <w:pPr>
              <w:spacing w:after="0"/>
              <w:jc w:val="both"/>
              <w:rPr>
                <w:sz w:val="24"/>
                <w:szCs w:val="24"/>
              </w:rPr>
            </w:pPr>
            <w:r>
              <w:rPr>
                <w:sz w:val="24"/>
                <w:szCs w:val="24"/>
              </w:rPr>
              <w:t xml:space="preserve">Authorization of payment to IQMP, LLC to facilitate the impending contracts including one with </w:t>
            </w:r>
            <w:r w:rsidRPr="00C421B2">
              <w:rPr>
                <w:sz w:val="24"/>
                <w:szCs w:val="24"/>
              </w:rPr>
              <w:t xml:space="preserve">Linde </w:t>
            </w:r>
            <w:proofErr w:type="spellStart"/>
            <w:r w:rsidRPr="00C421B2">
              <w:rPr>
                <w:sz w:val="24"/>
                <w:szCs w:val="24"/>
              </w:rPr>
              <w:t>Kryotechnik</w:t>
            </w:r>
            <w:proofErr w:type="spellEnd"/>
            <w:r w:rsidRPr="00C421B2">
              <w:rPr>
                <w:sz w:val="24"/>
                <w:szCs w:val="24"/>
              </w:rPr>
              <w:t xml:space="preserve"> AG </w:t>
            </w:r>
            <w:r>
              <w:rPr>
                <w:sz w:val="24"/>
                <w:szCs w:val="24"/>
              </w:rPr>
              <w:t xml:space="preserve">to supply the </w:t>
            </w:r>
            <w:proofErr w:type="spellStart"/>
            <w:r>
              <w:rPr>
                <w:sz w:val="24"/>
                <w:szCs w:val="24"/>
              </w:rPr>
              <w:t>cryoplant</w:t>
            </w:r>
            <w:proofErr w:type="spellEnd"/>
            <w:r>
              <w:rPr>
                <w:sz w:val="24"/>
                <w:szCs w:val="24"/>
              </w:rPr>
              <w:t xml:space="preserve"> resources, equipment and facilities necessary to support the quantum computing facilities to be built in the Illinois Quantum and Microelectronics Park. </w:t>
            </w:r>
          </w:p>
        </w:tc>
      </w:tr>
      <w:tr w:rsidR="00C421B2" w:rsidRPr="00644382" w14:paraId="1A40C86A" w14:textId="77777777" w:rsidTr="00C421B2">
        <w:trPr>
          <w:trHeight w:val="333"/>
        </w:trPr>
        <w:tc>
          <w:tcPr>
            <w:tcW w:w="342" w:type="dxa"/>
          </w:tcPr>
          <w:p w14:paraId="739836A3" w14:textId="77777777" w:rsidR="00C421B2" w:rsidRPr="00C421B2" w:rsidRDefault="00C421B2" w:rsidP="00C421B2">
            <w:pPr>
              <w:pStyle w:val="NoSpacing"/>
              <w:jc w:val="both"/>
              <w:rPr>
                <w:sz w:val="24"/>
                <w:szCs w:val="24"/>
              </w:rPr>
            </w:pPr>
          </w:p>
        </w:tc>
        <w:tc>
          <w:tcPr>
            <w:tcW w:w="1008" w:type="dxa"/>
            <w:shd w:val="clear" w:color="auto" w:fill="auto"/>
          </w:tcPr>
          <w:p w14:paraId="3174FDDB" w14:textId="77777777" w:rsidR="00C421B2" w:rsidRPr="00C421B2" w:rsidRDefault="00C421B2" w:rsidP="00C421B2">
            <w:pPr>
              <w:pStyle w:val="NoSpacing"/>
              <w:jc w:val="both"/>
              <w:rPr>
                <w:sz w:val="24"/>
                <w:szCs w:val="24"/>
              </w:rPr>
            </w:pPr>
          </w:p>
          <w:p w14:paraId="703B9119" w14:textId="77777777" w:rsidR="00C421B2" w:rsidRPr="00C421B2" w:rsidRDefault="00C421B2" w:rsidP="00C421B2">
            <w:pPr>
              <w:pStyle w:val="NoSpacing"/>
              <w:jc w:val="both"/>
              <w:rPr>
                <w:sz w:val="24"/>
                <w:szCs w:val="24"/>
              </w:rPr>
            </w:pPr>
            <w:r w:rsidRPr="00C421B2">
              <w:rPr>
                <w:sz w:val="24"/>
                <w:szCs w:val="24"/>
              </w:rPr>
              <w:t>Cost</w:t>
            </w:r>
          </w:p>
        </w:tc>
        <w:tc>
          <w:tcPr>
            <w:tcW w:w="8120" w:type="dxa"/>
            <w:shd w:val="clear" w:color="auto" w:fill="auto"/>
          </w:tcPr>
          <w:p w14:paraId="3639037F" w14:textId="77777777" w:rsidR="00C421B2" w:rsidRDefault="00C421B2" w:rsidP="00C421B2">
            <w:pPr>
              <w:spacing w:after="0"/>
              <w:jc w:val="both"/>
              <w:rPr>
                <w:sz w:val="24"/>
                <w:szCs w:val="24"/>
              </w:rPr>
            </w:pPr>
          </w:p>
          <w:p w14:paraId="7AC2D69F" w14:textId="1D690835" w:rsidR="00C421B2" w:rsidRDefault="00C421B2" w:rsidP="00C421B2">
            <w:pPr>
              <w:spacing w:after="0"/>
              <w:jc w:val="both"/>
              <w:rPr>
                <w:sz w:val="24"/>
                <w:szCs w:val="24"/>
              </w:rPr>
            </w:pPr>
            <w:r w:rsidRPr="00C421B2">
              <w:rPr>
                <w:sz w:val="24"/>
                <w:szCs w:val="24"/>
              </w:rPr>
              <w:t>$99,000,000</w:t>
            </w:r>
          </w:p>
          <w:p w14:paraId="332B2BEC" w14:textId="1E336F14" w:rsidR="00454CE3" w:rsidRPr="00C421B2" w:rsidRDefault="00454CE3" w:rsidP="00C421B2">
            <w:pPr>
              <w:spacing w:after="0"/>
              <w:jc w:val="both"/>
              <w:rPr>
                <w:sz w:val="24"/>
                <w:szCs w:val="24"/>
              </w:rPr>
            </w:pPr>
          </w:p>
        </w:tc>
      </w:tr>
      <w:tr w:rsidR="00C421B2" w:rsidRPr="00644382" w14:paraId="24B9A0F9" w14:textId="77777777" w:rsidTr="00C421B2">
        <w:trPr>
          <w:trHeight w:val="333"/>
        </w:trPr>
        <w:tc>
          <w:tcPr>
            <w:tcW w:w="342" w:type="dxa"/>
          </w:tcPr>
          <w:p w14:paraId="42554F84" w14:textId="77777777" w:rsidR="00C421B2" w:rsidRPr="00C421B2" w:rsidRDefault="00C421B2" w:rsidP="00C421B2">
            <w:pPr>
              <w:pStyle w:val="NoSpacing"/>
              <w:jc w:val="both"/>
              <w:rPr>
                <w:sz w:val="24"/>
                <w:szCs w:val="24"/>
              </w:rPr>
            </w:pPr>
          </w:p>
        </w:tc>
        <w:tc>
          <w:tcPr>
            <w:tcW w:w="1008" w:type="dxa"/>
            <w:shd w:val="clear" w:color="auto" w:fill="auto"/>
          </w:tcPr>
          <w:p w14:paraId="5DD85FF4" w14:textId="77777777" w:rsidR="00C421B2" w:rsidRPr="00C421B2" w:rsidRDefault="00C421B2" w:rsidP="00C421B2">
            <w:pPr>
              <w:pStyle w:val="NoSpacing"/>
              <w:jc w:val="both"/>
              <w:rPr>
                <w:sz w:val="24"/>
                <w:szCs w:val="24"/>
              </w:rPr>
            </w:pPr>
            <w:r w:rsidRPr="00C421B2">
              <w:rPr>
                <w:sz w:val="24"/>
                <w:szCs w:val="24"/>
              </w:rPr>
              <w:t>Vendor</w:t>
            </w:r>
          </w:p>
        </w:tc>
        <w:tc>
          <w:tcPr>
            <w:tcW w:w="8120" w:type="dxa"/>
            <w:shd w:val="clear" w:color="auto" w:fill="auto"/>
          </w:tcPr>
          <w:p w14:paraId="431302A6" w14:textId="77777777" w:rsidR="00CD6439" w:rsidRPr="00811BDD" w:rsidRDefault="00CD6439" w:rsidP="00CD6439">
            <w:pPr>
              <w:tabs>
                <w:tab w:val="left" w:pos="-720"/>
                <w:tab w:val="left" w:pos="0"/>
                <w:tab w:val="left" w:pos="720"/>
                <w:tab w:val="left" w:pos="1080"/>
                <w:tab w:val="left" w:pos="1440"/>
              </w:tabs>
              <w:suppressAutoHyphens/>
              <w:spacing w:after="0"/>
              <w:jc w:val="both"/>
              <w:rPr>
                <w:sz w:val="24"/>
                <w:szCs w:val="24"/>
              </w:rPr>
            </w:pPr>
            <w:r>
              <w:rPr>
                <w:sz w:val="24"/>
                <w:szCs w:val="24"/>
              </w:rPr>
              <w:t>Illinois Quantum and Microelectronics Park, LLC (IQMP)</w:t>
            </w:r>
          </w:p>
          <w:p w14:paraId="50E60E26" w14:textId="1A261C29" w:rsidR="00C421B2" w:rsidRPr="00C421B2" w:rsidRDefault="00C421B2" w:rsidP="00050E68">
            <w:pPr>
              <w:spacing w:after="0"/>
              <w:jc w:val="both"/>
              <w:rPr>
                <w:sz w:val="24"/>
                <w:szCs w:val="24"/>
              </w:rPr>
            </w:pPr>
          </w:p>
        </w:tc>
      </w:tr>
      <w:tr w:rsidR="00C421B2" w:rsidRPr="00644382" w14:paraId="22E1FA63" w14:textId="77777777" w:rsidTr="00C421B2">
        <w:trPr>
          <w:trHeight w:val="333"/>
        </w:trPr>
        <w:tc>
          <w:tcPr>
            <w:tcW w:w="342" w:type="dxa"/>
          </w:tcPr>
          <w:p w14:paraId="006129C8" w14:textId="77777777" w:rsidR="00C421B2" w:rsidRPr="00C421B2" w:rsidRDefault="00C421B2" w:rsidP="00C421B2">
            <w:pPr>
              <w:pStyle w:val="NoSpacing"/>
              <w:jc w:val="both"/>
              <w:rPr>
                <w:sz w:val="24"/>
                <w:szCs w:val="24"/>
              </w:rPr>
            </w:pPr>
          </w:p>
        </w:tc>
        <w:tc>
          <w:tcPr>
            <w:tcW w:w="1008" w:type="dxa"/>
            <w:shd w:val="clear" w:color="auto" w:fill="auto"/>
          </w:tcPr>
          <w:p w14:paraId="2A8C8F69" w14:textId="77777777" w:rsidR="00C421B2" w:rsidRPr="00C421B2" w:rsidRDefault="00C421B2" w:rsidP="00C421B2">
            <w:pPr>
              <w:pStyle w:val="NoSpacing"/>
              <w:jc w:val="both"/>
              <w:rPr>
                <w:sz w:val="24"/>
                <w:szCs w:val="24"/>
              </w:rPr>
            </w:pPr>
          </w:p>
        </w:tc>
        <w:tc>
          <w:tcPr>
            <w:tcW w:w="8120" w:type="dxa"/>
            <w:shd w:val="clear" w:color="auto" w:fill="auto"/>
          </w:tcPr>
          <w:p w14:paraId="6D6679FF" w14:textId="77777777" w:rsidR="00C421B2" w:rsidRPr="00C421B2" w:rsidRDefault="00C421B2" w:rsidP="00CD6439">
            <w:pPr>
              <w:spacing w:after="0"/>
              <w:rPr>
                <w:sz w:val="24"/>
                <w:szCs w:val="24"/>
              </w:rPr>
            </w:pPr>
            <w:r w:rsidRPr="00C421B2">
              <w:rPr>
                <w:sz w:val="24"/>
                <w:szCs w:val="24"/>
              </w:rPr>
              <w:t xml:space="preserve">The IQMP, LLC intends to </w:t>
            </w:r>
            <w:proofErr w:type="gramStart"/>
            <w:r w:rsidRPr="00C421B2">
              <w:rPr>
                <w:sz w:val="24"/>
                <w:szCs w:val="24"/>
              </w:rPr>
              <w:t>enter into</w:t>
            </w:r>
            <w:proofErr w:type="gramEnd"/>
            <w:r w:rsidRPr="00C421B2">
              <w:rPr>
                <w:sz w:val="24"/>
                <w:szCs w:val="24"/>
              </w:rPr>
              <w:t xml:space="preserve"> a contract with Linde </w:t>
            </w:r>
            <w:proofErr w:type="spellStart"/>
            <w:r w:rsidRPr="00C421B2">
              <w:rPr>
                <w:sz w:val="24"/>
                <w:szCs w:val="24"/>
              </w:rPr>
              <w:t>Kryotechnik</w:t>
            </w:r>
            <w:proofErr w:type="spellEnd"/>
            <w:r w:rsidRPr="00C421B2">
              <w:rPr>
                <w:sz w:val="24"/>
                <w:szCs w:val="24"/>
              </w:rPr>
              <w:t xml:space="preserve"> AG to supply the </w:t>
            </w:r>
            <w:proofErr w:type="spellStart"/>
            <w:r w:rsidRPr="00C421B2">
              <w:rPr>
                <w:sz w:val="24"/>
                <w:szCs w:val="24"/>
              </w:rPr>
              <w:t>cryoplant</w:t>
            </w:r>
            <w:proofErr w:type="spellEnd"/>
            <w:r w:rsidRPr="00C421B2">
              <w:rPr>
                <w:sz w:val="24"/>
                <w:szCs w:val="24"/>
              </w:rPr>
              <w:t xml:space="preserve"> resources, equipment and facilities necessary to support the </w:t>
            </w:r>
            <w:r w:rsidRPr="00C421B2">
              <w:rPr>
                <w:sz w:val="24"/>
                <w:szCs w:val="24"/>
              </w:rPr>
              <w:lastRenderedPageBreak/>
              <w:t xml:space="preserve">quantum computing facilities to be built in the Illinois Quantum and Microelectronics Park following the conclusion of an RFP process. </w:t>
            </w:r>
          </w:p>
          <w:p w14:paraId="0F632579" w14:textId="77777777" w:rsidR="00C421B2" w:rsidRPr="00C421B2" w:rsidRDefault="00C421B2" w:rsidP="00CD6439">
            <w:pPr>
              <w:spacing w:after="0"/>
              <w:rPr>
                <w:sz w:val="24"/>
                <w:szCs w:val="24"/>
              </w:rPr>
            </w:pPr>
          </w:p>
          <w:p w14:paraId="69A153EB" w14:textId="0A97E979" w:rsidR="00C421B2" w:rsidRPr="00C421B2" w:rsidRDefault="00C421B2" w:rsidP="00CD6439">
            <w:pPr>
              <w:spacing w:after="0"/>
              <w:rPr>
                <w:sz w:val="24"/>
                <w:szCs w:val="24"/>
              </w:rPr>
            </w:pPr>
            <w:r w:rsidRPr="00C421B2">
              <w:rPr>
                <w:sz w:val="24"/>
                <w:szCs w:val="24"/>
              </w:rPr>
              <w:t xml:space="preserve">To facilitate the IQMP, LLC’s ability to execute a contract with Linde </w:t>
            </w:r>
            <w:proofErr w:type="spellStart"/>
            <w:r w:rsidRPr="00C421B2">
              <w:rPr>
                <w:sz w:val="24"/>
                <w:szCs w:val="24"/>
              </w:rPr>
              <w:t>Kryotechnik</w:t>
            </w:r>
            <w:proofErr w:type="spellEnd"/>
            <w:r w:rsidRPr="00C421B2">
              <w:rPr>
                <w:sz w:val="24"/>
                <w:szCs w:val="24"/>
              </w:rPr>
              <w:t xml:space="preserve"> AG “Linde</w:t>
            </w:r>
            <w:bookmarkStart w:id="2" w:name="_Hlk181360543"/>
            <w:r w:rsidRPr="00C421B2">
              <w:rPr>
                <w:sz w:val="24"/>
                <w:szCs w:val="24"/>
              </w:rPr>
              <w:t>,” and other agreements to support the IQMP, LLC, the State of Illinois is entering into a grant agreement with the Board of Trustees of the University of Illinois, as IQMP, LLC is designated as a disregarded entity for tax purposes.</w:t>
            </w:r>
            <w:r w:rsidR="002E568C">
              <w:rPr>
                <w:sz w:val="24"/>
                <w:szCs w:val="24"/>
              </w:rPr>
              <w:t xml:space="preserve"> </w:t>
            </w:r>
            <w:r w:rsidRPr="00C421B2">
              <w:rPr>
                <w:sz w:val="24"/>
                <w:szCs w:val="24"/>
              </w:rPr>
              <w:t>Per the Illinois Office of the Comptroller, IDCEO may only issue funds to a taxable entity.</w:t>
            </w:r>
            <w:r w:rsidR="002E568C">
              <w:rPr>
                <w:sz w:val="24"/>
                <w:szCs w:val="24"/>
              </w:rPr>
              <w:t xml:space="preserve"> </w:t>
            </w:r>
            <w:r w:rsidRPr="00C421B2">
              <w:rPr>
                <w:sz w:val="24"/>
                <w:szCs w:val="24"/>
              </w:rPr>
              <w:t>Accordingly, the Board of Trustees of the University of Illinois</w:t>
            </w:r>
            <w:r w:rsidR="00CD6439">
              <w:rPr>
                <w:sz w:val="24"/>
                <w:szCs w:val="24"/>
              </w:rPr>
              <w:t xml:space="preserve"> </w:t>
            </w:r>
            <w:r w:rsidR="00314A1E">
              <w:rPr>
                <w:sz w:val="24"/>
                <w:szCs w:val="24"/>
              </w:rPr>
              <w:t xml:space="preserve">has been </w:t>
            </w:r>
            <w:r w:rsidRPr="00C421B2">
              <w:rPr>
                <w:sz w:val="24"/>
                <w:szCs w:val="24"/>
              </w:rPr>
              <w:t xml:space="preserve">designated as the Grantee of the IDCEO grant funds which will be sub-granted to IQMP, LLC in their entirety pursuant to a Subgrant Letter Agreement. </w:t>
            </w:r>
            <w:bookmarkEnd w:id="2"/>
            <w:r w:rsidRPr="00C421B2">
              <w:rPr>
                <w:sz w:val="24"/>
                <w:szCs w:val="24"/>
              </w:rPr>
              <w:t xml:space="preserve">Through that agreement, the State of Illinois will provide IQMP, LLC with funds to contract with Linde for </w:t>
            </w:r>
            <w:bookmarkStart w:id="3" w:name="_Hlk181379318"/>
            <w:r w:rsidRPr="00C421B2">
              <w:rPr>
                <w:sz w:val="24"/>
                <w:szCs w:val="24"/>
              </w:rPr>
              <w:t xml:space="preserve">helium refrigeration systems </w:t>
            </w:r>
            <w:bookmarkStart w:id="4" w:name="_Hlk181379331"/>
            <w:bookmarkEnd w:id="3"/>
            <w:r w:rsidRPr="00C421B2">
              <w:rPr>
                <w:sz w:val="24"/>
                <w:szCs w:val="24"/>
              </w:rPr>
              <w:t xml:space="preserve">and front-end engineering design; affiliated auxiliary systems to operate the </w:t>
            </w:r>
            <w:proofErr w:type="spellStart"/>
            <w:r w:rsidRPr="00C421B2">
              <w:rPr>
                <w:sz w:val="24"/>
                <w:szCs w:val="24"/>
              </w:rPr>
              <w:t>cryoplants</w:t>
            </w:r>
            <w:proofErr w:type="spellEnd"/>
            <w:r w:rsidRPr="00C421B2">
              <w:rPr>
                <w:sz w:val="24"/>
                <w:szCs w:val="24"/>
              </w:rPr>
              <w:t>; architectural and engineering services; and replacement parts.</w:t>
            </w:r>
          </w:p>
          <w:bookmarkEnd w:id="4"/>
          <w:p w14:paraId="6D1D4AB7" w14:textId="77777777" w:rsidR="00C421B2" w:rsidRPr="00C421B2" w:rsidRDefault="00C421B2" w:rsidP="00CD6439">
            <w:pPr>
              <w:spacing w:after="0"/>
              <w:rPr>
                <w:sz w:val="24"/>
                <w:szCs w:val="24"/>
              </w:rPr>
            </w:pPr>
          </w:p>
          <w:p w14:paraId="17C84159" w14:textId="6181CA36" w:rsidR="00C421B2" w:rsidRPr="00C421B2" w:rsidRDefault="001C68DD" w:rsidP="00CD6439">
            <w:pPr>
              <w:spacing w:after="0"/>
              <w:rPr>
                <w:sz w:val="24"/>
                <w:szCs w:val="24"/>
              </w:rPr>
            </w:pPr>
            <w:r>
              <w:rPr>
                <w:sz w:val="24"/>
                <w:szCs w:val="24"/>
              </w:rPr>
              <w:t>Contingent on the execution of the grant agreement, i</w:t>
            </w:r>
            <w:r w:rsidR="00C421B2" w:rsidRPr="00C421B2">
              <w:rPr>
                <w:sz w:val="24"/>
                <w:szCs w:val="24"/>
              </w:rPr>
              <w:t xml:space="preserve">t is recommended that the University of Illinois Board of Trustees authorize the payment to the IQMP, LLC in the amount of the grant award from the State of Illinois for $99,000,000 (as funds become available) to allow the transfer of grant funding pursuant to the terms of the award to IQMP, LLC as the </w:t>
            </w:r>
            <w:proofErr w:type="spellStart"/>
            <w:r w:rsidR="00C421B2" w:rsidRPr="00C421B2">
              <w:rPr>
                <w:sz w:val="24"/>
                <w:szCs w:val="24"/>
              </w:rPr>
              <w:t>cryoplant</w:t>
            </w:r>
            <w:proofErr w:type="spellEnd"/>
            <w:r w:rsidR="00C421B2" w:rsidRPr="00C421B2">
              <w:rPr>
                <w:sz w:val="24"/>
                <w:szCs w:val="24"/>
              </w:rPr>
              <w:t xml:space="preserve"> systems owner.</w:t>
            </w:r>
          </w:p>
          <w:p w14:paraId="787FB856" w14:textId="77777777" w:rsidR="00C421B2" w:rsidRPr="00C421B2" w:rsidRDefault="00C421B2" w:rsidP="00CD6439">
            <w:pPr>
              <w:spacing w:after="0"/>
              <w:rPr>
                <w:sz w:val="24"/>
                <w:szCs w:val="24"/>
              </w:rPr>
            </w:pPr>
          </w:p>
          <w:p w14:paraId="56CFC69C" w14:textId="77777777" w:rsidR="00C421B2" w:rsidRPr="00C421B2" w:rsidRDefault="00C421B2" w:rsidP="00CD6439">
            <w:pPr>
              <w:spacing w:after="0"/>
              <w:rPr>
                <w:sz w:val="24"/>
                <w:szCs w:val="24"/>
              </w:rPr>
            </w:pPr>
            <w:r w:rsidRPr="00C421B2">
              <w:rPr>
                <w:sz w:val="24"/>
                <w:szCs w:val="24"/>
              </w:rPr>
              <w:t>The above-described contracts will be executed in accordance with the IQMP, LLC Signature Authority Policy. The funds for this contract are “State Funds” as defined in the Signature Authority Policy.</w:t>
            </w:r>
          </w:p>
          <w:p w14:paraId="7C0322D0" w14:textId="77777777" w:rsidR="00C421B2" w:rsidRPr="00C421B2" w:rsidRDefault="00C421B2" w:rsidP="00CD6439">
            <w:pPr>
              <w:spacing w:after="0"/>
              <w:rPr>
                <w:sz w:val="24"/>
                <w:szCs w:val="24"/>
              </w:rPr>
            </w:pPr>
          </w:p>
          <w:p w14:paraId="1F5B8518" w14:textId="2F332C0F" w:rsidR="00C421B2" w:rsidRPr="00C421B2" w:rsidRDefault="00C421B2" w:rsidP="00CD6439">
            <w:pPr>
              <w:spacing w:after="0"/>
              <w:rPr>
                <w:sz w:val="24"/>
                <w:szCs w:val="24"/>
              </w:rPr>
            </w:pPr>
            <w:r w:rsidRPr="00C421B2">
              <w:rPr>
                <w:sz w:val="24"/>
                <w:szCs w:val="24"/>
              </w:rPr>
              <w:t xml:space="preserve">IQMP, LLC will negotiate and enter into a </w:t>
            </w:r>
            <w:proofErr w:type="gramStart"/>
            <w:r w:rsidRPr="00C421B2">
              <w:rPr>
                <w:sz w:val="24"/>
                <w:szCs w:val="24"/>
              </w:rPr>
              <w:t>separate agreements</w:t>
            </w:r>
            <w:proofErr w:type="gramEnd"/>
            <w:r w:rsidRPr="00C421B2">
              <w:rPr>
                <w:sz w:val="24"/>
                <w:szCs w:val="24"/>
              </w:rPr>
              <w:t xml:space="preserve"> for affiliated auxiliary systems to operate the helium refrigeration systems (“</w:t>
            </w:r>
            <w:proofErr w:type="spellStart"/>
            <w:r w:rsidRPr="00C421B2">
              <w:rPr>
                <w:sz w:val="24"/>
                <w:szCs w:val="24"/>
              </w:rPr>
              <w:t>cryoplants</w:t>
            </w:r>
            <w:proofErr w:type="spellEnd"/>
            <w:r w:rsidRPr="00C421B2">
              <w:rPr>
                <w:sz w:val="24"/>
                <w:szCs w:val="24"/>
              </w:rPr>
              <w:t xml:space="preserve">”); architectural and engineering services; construction and site development associated with IQMP designated </w:t>
            </w:r>
            <w:proofErr w:type="spellStart"/>
            <w:r w:rsidRPr="00C421B2">
              <w:rPr>
                <w:sz w:val="24"/>
                <w:szCs w:val="24"/>
              </w:rPr>
              <w:t>Cryoplant</w:t>
            </w:r>
            <w:proofErr w:type="spellEnd"/>
            <w:r w:rsidRPr="00C421B2">
              <w:rPr>
                <w:sz w:val="24"/>
                <w:szCs w:val="24"/>
              </w:rPr>
              <w:t xml:space="preserve"> operations; operations and maintenance; gases needed to operate the systems; utilities; and replacement parts.</w:t>
            </w:r>
            <w:r w:rsidR="002E568C">
              <w:rPr>
                <w:sz w:val="24"/>
                <w:szCs w:val="24"/>
              </w:rPr>
              <w:t xml:space="preserve"> </w:t>
            </w:r>
          </w:p>
          <w:p w14:paraId="150DA331" w14:textId="77777777" w:rsidR="00C421B2" w:rsidRPr="00C421B2" w:rsidRDefault="00C421B2" w:rsidP="00CD6439">
            <w:pPr>
              <w:spacing w:after="0"/>
              <w:rPr>
                <w:sz w:val="24"/>
                <w:szCs w:val="24"/>
              </w:rPr>
            </w:pPr>
          </w:p>
          <w:p w14:paraId="473A4E7D" w14:textId="77777777" w:rsidR="00C421B2" w:rsidRPr="00C421B2" w:rsidRDefault="00C421B2" w:rsidP="00C421B2">
            <w:pPr>
              <w:spacing w:after="0"/>
              <w:jc w:val="both"/>
              <w:rPr>
                <w:sz w:val="24"/>
                <w:szCs w:val="24"/>
              </w:rPr>
            </w:pPr>
          </w:p>
        </w:tc>
      </w:tr>
    </w:tbl>
    <w:p w14:paraId="5FEB6345" w14:textId="77777777" w:rsidR="006722F9"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052D8" w:rsidRPr="00353536" w14:paraId="6B2BEDBF" w14:textId="77777777" w:rsidTr="003E1FA3">
        <w:trPr>
          <w:trHeight w:val="333"/>
        </w:trPr>
        <w:tc>
          <w:tcPr>
            <w:tcW w:w="342" w:type="dxa"/>
          </w:tcPr>
          <w:p w14:paraId="2E72356C" w14:textId="77777777" w:rsidR="00F052D8" w:rsidRDefault="00F052D8" w:rsidP="00F052D8">
            <w:pPr>
              <w:pStyle w:val="NoSpacing"/>
              <w:jc w:val="both"/>
              <w:rPr>
                <w:sz w:val="26"/>
                <w:szCs w:val="26"/>
              </w:rPr>
            </w:pPr>
          </w:p>
        </w:tc>
        <w:tc>
          <w:tcPr>
            <w:tcW w:w="990" w:type="dxa"/>
            <w:shd w:val="clear" w:color="auto" w:fill="auto"/>
          </w:tcPr>
          <w:p w14:paraId="6E7830BF" w14:textId="77777777" w:rsidR="00F052D8" w:rsidRPr="00353536" w:rsidRDefault="00F052D8" w:rsidP="00F052D8">
            <w:pPr>
              <w:pStyle w:val="NoSpacing"/>
              <w:jc w:val="both"/>
              <w:rPr>
                <w:sz w:val="26"/>
                <w:szCs w:val="26"/>
              </w:rPr>
            </w:pPr>
          </w:p>
        </w:tc>
        <w:tc>
          <w:tcPr>
            <w:tcW w:w="8118" w:type="dxa"/>
            <w:shd w:val="clear" w:color="auto" w:fill="auto"/>
          </w:tcPr>
          <w:p w14:paraId="13F2F84A" w14:textId="789A0EDE" w:rsidR="00F052D8" w:rsidRDefault="002E568C" w:rsidP="00F052D8">
            <w:pPr>
              <w:spacing w:after="0"/>
              <w:jc w:val="both"/>
              <w:rPr>
                <w:szCs w:val="26"/>
              </w:rPr>
            </w:pPr>
            <w:r>
              <w:rPr>
                <w:rFonts w:eastAsia="Times New Roman"/>
                <w:b/>
                <w:color w:val="000000"/>
                <w:szCs w:val="26"/>
              </w:rPr>
              <w:t xml:space="preserve">        </w:t>
            </w:r>
            <w:r w:rsidR="00F052D8">
              <w:rPr>
                <w:rFonts w:eastAsia="Times New Roman"/>
                <w:b/>
                <w:color w:val="000000"/>
                <w:szCs w:val="26"/>
              </w:rPr>
              <w:t xml:space="preserve"> RENEWAL OPTIONS </w:t>
            </w:r>
            <w:r w:rsidR="00F052D8" w:rsidRPr="00353536">
              <w:rPr>
                <w:rFonts w:eastAsia="Times New Roman"/>
                <w:b/>
                <w:color w:val="000000"/>
                <w:szCs w:val="26"/>
              </w:rPr>
              <w:t>RECOMMENDED</w:t>
            </w:r>
          </w:p>
        </w:tc>
      </w:tr>
      <w:tr w:rsidR="00F052D8" w:rsidRPr="00353536" w14:paraId="3B7F5514" w14:textId="77777777" w:rsidTr="003E1FA3">
        <w:trPr>
          <w:trHeight w:val="333"/>
        </w:trPr>
        <w:tc>
          <w:tcPr>
            <w:tcW w:w="342" w:type="dxa"/>
          </w:tcPr>
          <w:p w14:paraId="2CC7D3AD" w14:textId="77777777" w:rsidR="00F052D8" w:rsidRDefault="00F052D8" w:rsidP="00F052D8">
            <w:pPr>
              <w:pStyle w:val="NoSpacing"/>
              <w:jc w:val="both"/>
              <w:rPr>
                <w:sz w:val="26"/>
                <w:szCs w:val="26"/>
              </w:rPr>
            </w:pPr>
          </w:p>
        </w:tc>
        <w:tc>
          <w:tcPr>
            <w:tcW w:w="990" w:type="dxa"/>
            <w:shd w:val="clear" w:color="auto" w:fill="auto"/>
          </w:tcPr>
          <w:p w14:paraId="09106E5D" w14:textId="77777777" w:rsidR="00F052D8" w:rsidRPr="00353536" w:rsidRDefault="00F052D8" w:rsidP="00F052D8">
            <w:pPr>
              <w:pStyle w:val="NoSpacing"/>
              <w:jc w:val="both"/>
              <w:rPr>
                <w:sz w:val="26"/>
                <w:szCs w:val="26"/>
              </w:rPr>
            </w:pPr>
          </w:p>
        </w:tc>
        <w:tc>
          <w:tcPr>
            <w:tcW w:w="8118" w:type="dxa"/>
            <w:shd w:val="clear" w:color="auto" w:fill="auto"/>
          </w:tcPr>
          <w:p w14:paraId="5666A972" w14:textId="1B571B1A" w:rsidR="00F052D8" w:rsidRDefault="00F052D8" w:rsidP="00F052D8">
            <w:pPr>
              <w:spacing w:after="0"/>
              <w:jc w:val="both"/>
              <w:rPr>
                <w:szCs w:val="26"/>
              </w:rPr>
            </w:pPr>
          </w:p>
        </w:tc>
      </w:tr>
      <w:tr w:rsidR="00F052D8" w:rsidRPr="00353536" w14:paraId="3B87A92D" w14:textId="77777777" w:rsidTr="003E1FA3">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353536" w14:paraId="2A83060F" w14:textId="77777777" w:rsidTr="00701ADE">
              <w:trPr>
                <w:trHeight w:val="114"/>
              </w:trPr>
              <w:tc>
                <w:tcPr>
                  <w:tcW w:w="9454" w:type="dxa"/>
                  <w:tcBorders>
                    <w:top w:val="single" w:sz="18" w:space="0" w:color="auto"/>
                    <w:bottom w:val="single" w:sz="18" w:space="0" w:color="auto"/>
                  </w:tcBorders>
                </w:tcPr>
                <w:p w14:paraId="41F68CC4" w14:textId="3333F791" w:rsidR="00F052D8" w:rsidRPr="00353536"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 xml:space="preserve">University of Illinois </w:t>
                  </w:r>
                  <w:r>
                    <w:rPr>
                      <w:rFonts w:eastAsia="Times New Roman"/>
                      <w:b/>
                      <w:szCs w:val="26"/>
                    </w:rPr>
                    <w:t>Urbana-Champaign</w:t>
                  </w:r>
                </w:p>
              </w:tc>
            </w:tr>
          </w:tbl>
          <w:p w14:paraId="385F4FDD" w14:textId="77777777" w:rsidR="00F052D8" w:rsidRDefault="00F052D8" w:rsidP="00F052D8">
            <w:pPr>
              <w:spacing w:after="0"/>
              <w:jc w:val="both"/>
              <w:rPr>
                <w:szCs w:val="26"/>
              </w:rPr>
            </w:pPr>
          </w:p>
        </w:tc>
      </w:tr>
      <w:tr w:rsidR="00F052D8" w:rsidRPr="00353536" w14:paraId="7A096C94" w14:textId="77777777" w:rsidTr="003E1FA3">
        <w:trPr>
          <w:trHeight w:val="333"/>
        </w:trPr>
        <w:tc>
          <w:tcPr>
            <w:tcW w:w="342" w:type="dxa"/>
            <w:tcBorders>
              <w:bottom w:val="double" w:sz="4" w:space="0" w:color="auto"/>
            </w:tcBorders>
          </w:tcPr>
          <w:p w14:paraId="7CCA554E" w14:textId="0F95D894" w:rsidR="00F052D8" w:rsidRDefault="00C421B2" w:rsidP="00F052D8">
            <w:pPr>
              <w:pStyle w:val="NoSpacing"/>
              <w:jc w:val="both"/>
              <w:rPr>
                <w:sz w:val="26"/>
                <w:szCs w:val="26"/>
              </w:rPr>
            </w:pPr>
            <w:r>
              <w:rPr>
                <w:sz w:val="26"/>
                <w:szCs w:val="26"/>
              </w:rPr>
              <w:t>3</w:t>
            </w:r>
          </w:p>
        </w:tc>
        <w:tc>
          <w:tcPr>
            <w:tcW w:w="990" w:type="dxa"/>
            <w:tcBorders>
              <w:bottom w:val="double" w:sz="4" w:space="0" w:color="auto"/>
            </w:tcBorders>
            <w:shd w:val="clear" w:color="auto" w:fill="auto"/>
          </w:tcPr>
          <w:p w14:paraId="7937997A" w14:textId="74F70072" w:rsidR="00F052D8" w:rsidRPr="00353536" w:rsidRDefault="00F052D8" w:rsidP="00F052D8">
            <w:pPr>
              <w:pStyle w:val="NoSpacing"/>
              <w:jc w:val="both"/>
              <w:rPr>
                <w:sz w:val="26"/>
                <w:szCs w:val="26"/>
              </w:rPr>
            </w:pPr>
            <w:r w:rsidRPr="00353536">
              <w:rPr>
                <w:sz w:val="26"/>
                <w:szCs w:val="26"/>
              </w:rPr>
              <w:t>Unit</w:t>
            </w:r>
          </w:p>
        </w:tc>
        <w:tc>
          <w:tcPr>
            <w:tcW w:w="8118" w:type="dxa"/>
            <w:tcBorders>
              <w:bottom w:val="double" w:sz="4" w:space="0" w:color="auto"/>
            </w:tcBorders>
            <w:shd w:val="clear" w:color="auto" w:fill="auto"/>
          </w:tcPr>
          <w:p w14:paraId="6507DF2B" w14:textId="2FF985AD" w:rsidR="00F052D8" w:rsidRDefault="00A46510" w:rsidP="00F052D8">
            <w:pPr>
              <w:spacing w:after="0"/>
              <w:jc w:val="both"/>
              <w:rPr>
                <w:szCs w:val="26"/>
              </w:rPr>
            </w:pPr>
            <w:r>
              <w:t>Gies College of Business</w:t>
            </w:r>
          </w:p>
        </w:tc>
      </w:tr>
      <w:tr w:rsidR="00F052D8" w:rsidRPr="00353536" w14:paraId="0BBEAEF1" w14:textId="77777777" w:rsidTr="003E1FA3">
        <w:trPr>
          <w:trHeight w:val="333"/>
        </w:trPr>
        <w:tc>
          <w:tcPr>
            <w:tcW w:w="342" w:type="dxa"/>
            <w:tcBorders>
              <w:top w:val="double" w:sz="4" w:space="0" w:color="auto"/>
            </w:tcBorders>
          </w:tcPr>
          <w:p w14:paraId="37049EC9" w14:textId="77777777" w:rsidR="00F052D8" w:rsidRDefault="00F052D8" w:rsidP="00F052D8">
            <w:pPr>
              <w:pStyle w:val="NoSpacing"/>
              <w:jc w:val="both"/>
              <w:rPr>
                <w:sz w:val="26"/>
                <w:szCs w:val="26"/>
              </w:rPr>
            </w:pPr>
          </w:p>
        </w:tc>
        <w:tc>
          <w:tcPr>
            <w:tcW w:w="990" w:type="dxa"/>
            <w:tcBorders>
              <w:top w:val="double" w:sz="4" w:space="0" w:color="auto"/>
            </w:tcBorders>
            <w:shd w:val="clear" w:color="auto" w:fill="auto"/>
          </w:tcPr>
          <w:p w14:paraId="42D904FC" w14:textId="77777777" w:rsidR="00F052D8" w:rsidRPr="00353536" w:rsidRDefault="00F052D8" w:rsidP="00F052D8">
            <w:pPr>
              <w:pStyle w:val="NoSpacing"/>
              <w:rPr>
                <w:sz w:val="26"/>
                <w:szCs w:val="26"/>
              </w:rPr>
            </w:pPr>
          </w:p>
          <w:p w14:paraId="474C636E" w14:textId="1AA0FCDC" w:rsidR="00F052D8" w:rsidRPr="00353536" w:rsidRDefault="00F052D8" w:rsidP="00F052D8">
            <w:pPr>
              <w:pStyle w:val="NoSpacing"/>
              <w:jc w:val="both"/>
              <w:rPr>
                <w:sz w:val="26"/>
                <w:szCs w:val="26"/>
              </w:rPr>
            </w:pPr>
            <w:r w:rsidRPr="00353536">
              <w:rPr>
                <w:sz w:val="26"/>
                <w:szCs w:val="26"/>
              </w:rPr>
              <w:t>Item</w:t>
            </w:r>
          </w:p>
        </w:tc>
        <w:tc>
          <w:tcPr>
            <w:tcW w:w="8118" w:type="dxa"/>
            <w:tcBorders>
              <w:top w:val="double" w:sz="4" w:space="0" w:color="auto"/>
            </w:tcBorders>
            <w:shd w:val="clear" w:color="auto" w:fill="auto"/>
          </w:tcPr>
          <w:p w14:paraId="3F2F7796" w14:textId="77777777" w:rsidR="00F052D8" w:rsidRDefault="00F052D8" w:rsidP="002E568C">
            <w:pPr>
              <w:pStyle w:val="NoSpacing"/>
              <w:rPr>
                <w:sz w:val="26"/>
                <w:szCs w:val="26"/>
              </w:rPr>
            </w:pPr>
          </w:p>
          <w:p w14:paraId="588F47B4" w14:textId="1301052A" w:rsidR="00F052D8" w:rsidRDefault="00A46510" w:rsidP="002E568C">
            <w:pPr>
              <w:spacing w:after="0"/>
              <w:rPr>
                <w:szCs w:val="26"/>
              </w:rPr>
            </w:pPr>
            <w:r>
              <w:rPr>
                <w:szCs w:val="26"/>
              </w:rPr>
              <w:t xml:space="preserve">Renewal to furnish a comprehensive media buying plan, in the United States and International Markets to target prospective students (undergraduate, graduate, and online programs) to promote the college’s innovative </w:t>
            </w:r>
            <w:r>
              <w:rPr>
                <w:szCs w:val="26"/>
              </w:rPr>
              <w:lastRenderedPageBreak/>
              <w:t xml:space="preserve">programs and centers of excellence for the period March 15, </w:t>
            </w:r>
            <w:proofErr w:type="gramStart"/>
            <w:r>
              <w:rPr>
                <w:szCs w:val="26"/>
              </w:rPr>
              <w:t>2025</w:t>
            </w:r>
            <w:proofErr w:type="gramEnd"/>
            <w:r>
              <w:rPr>
                <w:szCs w:val="26"/>
              </w:rPr>
              <w:t xml:space="preserve"> through March 14, 2027.</w:t>
            </w:r>
          </w:p>
        </w:tc>
      </w:tr>
      <w:tr w:rsidR="00F052D8" w:rsidRPr="00353536" w14:paraId="6AD4E238" w14:textId="77777777" w:rsidTr="003E1FA3">
        <w:trPr>
          <w:trHeight w:val="333"/>
        </w:trPr>
        <w:tc>
          <w:tcPr>
            <w:tcW w:w="342" w:type="dxa"/>
          </w:tcPr>
          <w:p w14:paraId="1903403F" w14:textId="77777777" w:rsidR="00F052D8" w:rsidRDefault="00F052D8" w:rsidP="00F052D8">
            <w:pPr>
              <w:pStyle w:val="NoSpacing"/>
              <w:jc w:val="both"/>
              <w:rPr>
                <w:sz w:val="26"/>
                <w:szCs w:val="26"/>
              </w:rPr>
            </w:pPr>
          </w:p>
        </w:tc>
        <w:tc>
          <w:tcPr>
            <w:tcW w:w="990" w:type="dxa"/>
            <w:shd w:val="clear" w:color="auto" w:fill="auto"/>
          </w:tcPr>
          <w:p w14:paraId="2D113813" w14:textId="77777777" w:rsidR="00F052D8" w:rsidRPr="00353536" w:rsidRDefault="00F052D8" w:rsidP="00F052D8">
            <w:pPr>
              <w:pStyle w:val="NoSpacing"/>
              <w:rPr>
                <w:sz w:val="26"/>
                <w:szCs w:val="26"/>
              </w:rPr>
            </w:pPr>
          </w:p>
          <w:p w14:paraId="2CC4803D" w14:textId="08A0F491" w:rsidR="00F052D8" w:rsidRPr="00353536" w:rsidRDefault="00F052D8" w:rsidP="00F052D8">
            <w:pPr>
              <w:pStyle w:val="NoSpacing"/>
              <w:jc w:val="both"/>
              <w:rPr>
                <w:sz w:val="26"/>
                <w:szCs w:val="26"/>
              </w:rPr>
            </w:pPr>
            <w:r w:rsidRPr="00353536">
              <w:rPr>
                <w:sz w:val="26"/>
                <w:szCs w:val="26"/>
              </w:rPr>
              <w:t>Cost</w:t>
            </w:r>
          </w:p>
        </w:tc>
        <w:tc>
          <w:tcPr>
            <w:tcW w:w="8118" w:type="dxa"/>
            <w:shd w:val="clear" w:color="auto" w:fill="auto"/>
          </w:tcPr>
          <w:p w14:paraId="27B14898" w14:textId="77777777" w:rsidR="00F052D8" w:rsidRPr="009F0658" w:rsidRDefault="00F052D8" w:rsidP="00F052D8">
            <w:pPr>
              <w:pStyle w:val="NoSpacing"/>
              <w:rPr>
                <w:sz w:val="26"/>
                <w:szCs w:val="26"/>
              </w:rPr>
            </w:pPr>
          </w:p>
          <w:p w14:paraId="0978655A" w14:textId="5791C1DD" w:rsidR="00F052D8" w:rsidRDefault="00A46510" w:rsidP="00A46510">
            <w:pPr>
              <w:tabs>
                <w:tab w:val="left" w:pos="-720"/>
                <w:tab w:val="left" w:pos="0"/>
                <w:tab w:val="left" w:pos="720"/>
                <w:tab w:val="left" w:pos="1080"/>
                <w:tab w:val="left" w:pos="1440"/>
              </w:tabs>
              <w:suppressAutoHyphens/>
              <w:jc w:val="both"/>
              <w:rPr>
                <w:szCs w:val="26"/>
              </w:rPr>
            </w:pPr>
            <w:r>
              <w:rPr>
                <w:szCs w:val="26"/>
              </w:rPr>
              <w:t xml:space="preserve">$12,000,000 (Estimated) </w:t>
            </w:r>
          </w:p>
        </w:tc>
      </w:tr>
      <w:tr w:rsidR="00F052D8" w:rsidRPr="00353536" w14:paraId="0E234F1E" w14:textId="77777777" w:rsidTr="003E1FA3">
        <w:trPr>
          <w:trHeight w:val="333"/>
        </w:trPr>
        <w:tc>
          <w:tcPr>
            <w:tcW w:w="342" w:type="dxa"/>
          </w:tcPr>
          <w:p w14:paraId="0B2E18D9" w14:textId="77777777" w:rsidR="00F052D8" w:rsidRDefault="00F052D8" w:rsidP="00F052D8">
            <w:pPr>
              <w:pStyle w:val="NoSpacing"/>
              <w:jc w:val="both"/>
              <w:rPr>
                <w:sz w:val="26"/>
                <w:szCs w:val="26"/>
              </w:rPr>
            </w:pPr>
          </w:p>
        </w:tc>
        <w:tc>
          <w:tcPr>
            <w:tcW w:w="990" w:type="dxa"/>
            <w:shd w:val="clear" w:color="auto" w:fill="auto"/>
          </w:tcPr>
          <w:p w14:paraId="027BE1C7" w14:textId="21D312FA" w:rsidR="00F052D8" w:rsidRPr="00353536" w:rsidRDefault="00F052D8" w:rsidP="00F052D8">
            <w:pPr>
              <w:pStyle w:val="NoSpacing"/>
              <w:jc w:val="both"/>
              <w:rPr>
                <w:sz w:val="26"/>
                <w:szCs w:val="26"/>
              </w:rPr>
            </w:pPr>
            <w:r w:rsidRPr="00353536">
              <w:rPr>
                <w:sz w:val="26"/>
                <w:szCs w:val="26"/>
              </w:rPr>
              <w:t>Vendor</w:t>
            </w:r>
          </w:p>
        </w:tc>
        <w:tc>
          <w:tcPr>
            <w:tcW w:w="8118" w:type="dxa"/>
            <w:shd w:val="clear" w:color="auto" w:fill="auto"/>
          </w:tcPr>
          <w:p w14:paraId="00F8E766" w14:textId="66433FC2" w:rsidR="00F052D8" w:rsidRPr="00A46510" w:rsidRDefault="00A46510" w:rsidP="00711093">
            <w:pPr>
              <w:pStyle w:val="Heading2"/>
              <w:spacing w:before="0"/>
              <w:rPr>
                <w:rFonts w:ascii="Times New Roman" w:hAnsi="Times New Roman"/>
                <w:b w:val="0"/>
                <w:i w:val="0"/>
                <w:sz w:val="26"/>
                <w:szCs w:val="26"/>
              </w:rPr>
            </w:pPr>
            <w:r>
              <w:rPr>
                <w:rFonts w:ascii="Times New Roman" w:hAnsi="Times New Roman"/>
                <w:b w:val="0"/>
                <w:i w:val="0"/>
                <w:sz w:val="26"/>
                <w:szCs w:val="26"/>
              </w:rPr>
              <w:t>Central States Media</w:t>
            </w:r>
            <w:r w:rsidR="002E568C">
              <w:rPr>
                <w:rFonts w:ascii="Times New Roman" w:hAnsi="Times New Roman"/>
                <w:b w:val="0"/>
                <w:i w:val="0"/>
                <w:sz w:val="26"/>
                <w:szCs w:val="26"/>
              </w:rPr>
              <w:t xml:space="preserve">                               </w:t>
            </w:r>
            <w:r>
              <w:rPr>
                <w:rFonts w:ascii="Times New Roman" w:hAnsi="Times New Roman"/>
                <w:b w:val="0"/>
                <w:i w:val="0"/>
                <w:sz w:val="26"/>
                <w:szCs w:val="26"/>
              </w:rPr>
              <w:t>Peoria, IL</w:t>
            </w:r>
            <w:r w:rsidR="002E568C">
              <w:rPr>
                <w:rFonts w:ascii="Times New Roman" w:hAnsi="Times New Roman"/>
                <w:b w:val="0"/>
                <w:i w:val="0"/>
                <w:sz w:val="26"/>
                <w:szCs w:val="26"/>
              </w:rPr>
              <w:t xml:space="preserve">  </w:t>
            </w:r>
            <w:r w:rsidR="002E568C">
              <w:rPr>
                <w:sz w:val="26"/>
                <w:szCs w:val="26"/>
              </w:rPr>
              <w:t xml:space="preserve">  </w:t>
            </w:r>
          </w:p>
          <w:p w14:paraId="65913175" w14:textId="77777777" w:rsidR="00F052D8" w:rsidRDefault="00F052D8" w:rsidP="00F052D8">
            <w:pPr>
              <w:spacing w:after="0"/>
              <w:jc w:val="both"/>
              <w:rPr>
                <w:szCs w:val="26"/>
              </w:rPr>
            </w:pPr>
          </w:p>
        </w:tc>
      </w:tr>
      <w:tr w:rsidR="00F052D8" w:rsidRPr="00353536" w14:paraId="0F8FD728" w14:textId="77777777" w:rsidTr="003E1FA3">
        <w:trPr>
          <w:trHeight w:val="333"/>
        </w:trPr>
        <w:tc>
          <w:tcPr>
            <w:tcW w:w="342" w:type="dxa"/>
          </w:tcPr>
          <w:p w14:paraId="57958A15" w14:textId="77777777" w:rsidR="00F052D8" w:rsidRDefault="00F052D8" w:rsidP="00F052D8">
            <w:pPr>
              <w:pStyle w:val="NoSpacing"/>
              <w:jc w:val="both"/>
              <w:rPr>
                <w:sz w:val="26"/>
                <w:szCs w:val="26"/>
              </w:rPr>
            </w:pPr>
          </w:p>
        </w:tc>
        <w:tc>
          <w:tcPr>
            <w:tcW w:w="990" w:type="dxa"/>
            <w:shd w:val="clear" w:color="auto" w:fill="auto"/>
          </w:tcPr>
          <w:p w14:paraId="1EDF1F5F" w14:textId="77777777" w:rsidR="00F052D8" w:rsidRPr="00353536" w:rsidRDefault="00F052D8" w:rsidP="00F052D8">
            <w:pPr>
              <w:pStyle w:val="NoSpacing"/>
              <w:jc w:val="both"/>
              <w:rPr>
                <w:sz w:val="26"/>
                <w:szCs w:val="26"/>
              </w:rPr>
            </w:pPr>
          </w:p>
        </w:tc>
        <w:tc>
          <w:tcPr>
            <w:tcW w:w="8118" w:type="dxa"/>
            <w:shd w:val="clear" w:color="auto" w:fill="auto"/>
          </w:tcPr>
          <w:p w14:paraId="758EA825" w14:textId="25D30F45" w:rsidR="00BF045D" w:rsidRDefault="00BF045D" w:rsidP="00BF045D">
            <w:pPr>
              <w:spacing w:after="0"/>
              <w:rPr>
                <w:szCs w:val="26"/>
              </w:rPr>
            </w:pPr>
            <w:r>
              <w:rPr>
                <w:szCs w:val="26"/>
              </w:rPr>
              <w:t xml:space="preserve">This will exercise the final two renewal options. Original purchase was approved by the Board of Trustees on March 11, </w:t>
            </w:r>
            <w:proofErr w:type="gramStart"/>
            <w:r>
              <w:rPr>
                <w:szCs w:val="26"/>
              </w:rPr>
              <w:t>2021</w:t>
            </w:r>
            <w:proofErr w:type="gramEnd"/>
            <w:r>
              <w:rPr>
                <w:szCs w:val="26"/>
              </w:rPr>
              <w:t xml:space="preserve"> for an estimated $12,000,000 for the period March 15, 2021 through March 14, 2025.</w:t>
            </w:r>
            <w:r w:rsidR="002E568C">
              <w:rPr>
                <w:szCs w:val="26"/>
              </w:rPr>
              <w:t xml:space="preserve"> </w:t>
            </w:r>
            <w:r>
              <w:rPr>
                <w:szCs w:val="26"/>
              </w:rPr>
              <w:t xml:space="preserve"> </w:t>
            </w:r>
          </w:p>
          <w:p w14:paraId="4BA058FC" w14:textId="1F67B44E" w:rsidR="00BF045D" w:rsidRDefault="00BF045D" w:rsidP="00BF045D">
            <w:pPr>
              <w:spacing w:after="0"/>
              <w:rPr>
                <w:szCs w:val="26"/>
              </w:rPr>
            </w:pPr>
            <w:r>
              <w:rPr>
                <w:szCs w:val="26"/>
              </w:rPr>
              <w:t>Competitive bidding procedures were followed in accordance with the Illinois Procurement Code.</w:t>
            </w:r>
          </w:p>
          <w:p w14:paraId="6550FD04" w14:textId="77777777" w:rsidR="00BF045D" w:rsidRDefault="00BF045D" w:rsidP="00BF045D">
            <w:pPr>
              <w:spacing w:after="0"/>
              <w:rPr>
                <w:szCs w:val="26"/>
              </w:rPr>
            </w:pPr>
          </w:p>
          <w:p w14:paraId="7B239ED8" w14:textId="5A999E0B" w:rsidR="00CE2E77" w:rsidRPr="00CE2E77" w:rsidRDefault="00CE2E77" w:rsidP="00CE2E77">
            <w:pPr>
              <w:spacing w:after="0"/>
              <w:rPr>
                <w:color w:val="000000"/>
                <w:szCs w:val="26"/>
              </w:rPr>
            </w:pPr>
            <w:r w:rsidRPr="00CE2E77">
              <w:rPr>
                <w:color w:val="000000"/>
                <w:szCs w:val="26"/>
              </w:rPr>
              <w:t>The Gies College of Business at the University of Illinois Urbana-Champaign, already ranked among the Top 10 US Public Business Schools, gained national prominence in 2017 with its naming by alumnus Larry Gies. Since then, the College has aggressively invested in recruitment for its highly ranked undergraduate and residential graduate programs, while also expanding its rapidly growing online graduate business degrees. The online program has seen a dramatic rise, growing from just 114 students to 5,700 students from 48 states and 92 countries. Two online degrees were added in 2017 and 2020, contributing to the program’s consistent growth since Spring 2022. In Fall 2024, Gies</w:t>
            </w:r>
            <w:r>
              <w:rPr>
                <w:color w:val="000000"/>
                <w:szCs w:val="26"/>
              </w:rPr>
              <w:t xml:space="preserve"> </w:t>
            </w:r>
            <w:proofErr w:type="spellStart"/>
            <w:r>
              <w:rPr>
                <w:color w:val="000000"/>
                <w:szCs w:val="26"/>
              </w:rPr>
              <w:t>iMBA</w:t>
            </w:r>
            <w:proofErr w:type="spellEnd"/>
            <w:r w:rsidRPr="00CE2E77">
              <w:rPr>
                <w:color w:val="000000"/>
                <w:szCs w:val="26"/>
              </w:rPr>
              <w:t xml:space="preserve"> experienced a record number of applicants and the highest enrollment figures since Fall 2020. Additionally, in the past two years, Gies has introduced 13 graduate certificates, with dedicated media dollars allocated to build awareness and increase enrollments for these offerings.</w:t>
            </w:r>
          </w:p>
          <w:p w14:paraId="2091CB7E" w14:textId="77777777" w:rsidR="00CE2E77" w:rsidRPr="00CE2E77" w:rsidRDefault="00CE2E77" w:rsidP="00CE2E77">
            <w:pPr>
              <w:spacing w:after="0"/>
              <w:rPr>
                <w:color w:val="000000"/>
                <w:szCs w:val="26"/>
              </w:rPr>
            </w:pPr>
          </w:p>
          <w:p w14:paraId="1438608A" w14:textId="77777777" w:rsidR="00CE2E77" w:rsidRPr="00CE2E77" w:rsidRDefault="00CE2E77" w:rsidP="00CE2E77">
            <w:pPr>
              <w:spacing w:after="0"/>
              <w:rPr>
                <w:color w:val="000000"/>
                <w:szCs w:val="26"/>
              </w:rPr>
            </w:pPr>
            <w:r w:rsidRPr="00CE2E77">
              <w:rPr>
                <w:color w:val="000000"/>
                <w:szCs w:val="26"/>
              </w:rPr>
              <w:t>However, this success has not come without fierce competition. The pandemic prompted many business schools—previously hesitant to enter the online education space due to lack of knowledge or resources—to do so once they paid the fixed costs of entry.</w:t>
            </w:r>
          </w:p>
          <w:p w14:paraId="51DC57B6" w14:textId="77777777" w:rsidR="00CE2E77" w:rsidRPr="00CE2E77" w:rsidRDefault="00CE2E77" w:rsidP="00CE2E77">
            <w:pPr>
              <w:spacing w:after="0"/>
              <w:rPr>
                <w:color w:val="000000"/>
                <w:szCs w:val="26"/>
              </w:rPr>
            </w:pPr>
          </w:p>
          <w:p w14:paraId="0D1DC932" w14:textId="270CD8A2" w:rsidR="00CE2E77" w:rsidRPr="00CE2E77" w:rsidRDefault="00CE2E77" w:rsidP="00CE2E77">
            <w:pPr>
              <w:spacing w:after="0"/>
              <w:rPr>
                <w:color w:val="000000"/>
                <w:szCs w:val="26"/>
              </w:rPr>
            </w:pPr>
            <w:r w:rsidRPr="00CE2E77">
              <w:rPr>
                <w:color w:val="000000"/>
                <w:szCs w:val="26"/>
              </w:rPr>
              <w:t xml:space="preserve">Given this highly competitive marketing landscape, brand building and recruitment marketing are crucial for the continued growth of all academic programs within the College. Achieving this requires effective multi-channel paid media strategies. With a media budget </w:t>
            </w:r>
            <w:r>
              <w:rPr>
                <w:color w:val="000000"/>
                <w:szCs w:val="26"/>
              </w:rPr>
              <w:t>approaching $1.6 million annually, spread across nearly a dozen programs, managing media buying and distribution internally is inefficient and ineffective</w:t>
            </w:r>
            <w:r w:rsidRPr="00CE2E77">
              <w:rPr>
                <w:color w:val="000000"/>
                <w:szCs w:val="26"/>
              </w:rPr>
              <w:t xml:space="preserve">. Partnering with an external media buying firm will </w:t>
            </w:r>
            <w:r>
              <w:rPr>
                <w:color w:val="000000"/>
                <w:szCs w:val="26"/>
              </w:rPr>
              <w:t>reduce internal employee costs and</w:t>
            </w:r>
            <w:r w:rsidRPr="00CE2E77">
              <w:rPr>
                <w:color w:val="000000"/>
                <w:szCs w:val="26"/>
              </w:rPr>
              <w:t xml:space="preserve"> </w:t>
            </w:r>
            <w:r w:rsidRPr="00CE2E77">
              <w:rPr>
                <w:color w:val="000000"/>
                <w:szCs w:val="26"/>
              </w:rPr>
              <w:lastRenderedPageBreak/>
              <w:t>unlock long-term buying opportunities that can lower purchase prices and improve reach efficiency.</w:t>
            </w:r>
          </w:p>
          <w:p w14:paraId="1E8BF303" w14:textId="4CDBE8DF" w:rsidR="00BF045D" w:rsidRDefault="00BF045D" w:rsidP="00BF045D">
            <w:pPr>
              <w:spacing w:after="0"/>
              <w:rPr>
                <w:color w:val="000000"/>
                <w:szCs w:val="26"/>
              </w:rPr>
            </w:pPr>
          </w:p>
          <w:p w14:paraId="70C34DE2" w14:textId="15DCB71E" w:rsidR="00F052D8" w:rsidRPr="003E1FA3" w:rsidRDefault="00BF045D" w:rsidP="00BD6175">
            <w:pPr>
              <w:spacing w:after="0"/>
              <w:rPr>
                <w:szCs w:val="26"/>
              </w:rPr>
            </w:pPr>
            <w:r w:rsidRPr="000D2FDB">
              <w:rPr>
                <w:color w:val="000000"/>
                <w:szCs w:val="26"/>
              </w:rPr>
              <w:t xml:space="preserve"> </w:t>
            </w:r>
            <w:r>
              <w:rPr>
                <w:szCs w:val="26"/>
              </w:rPr>
              <w:t>Central State Media is a Certified BEP firm.</w:t>
            </w:r>
            <w:r w:rsidR="002E568C">
              <w:rPr>
                <w:szCs w:val="26"/>
              </w:rPr>
              <w:t xml:space="preserve"> </w:t>
            </w: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108"/>
        <w:gridCol w:w="882"/>
        <w:gridCol w:w="108"/>
        <w:gridCol w:w="7920"/>
        <w:gridCol w:w="90"/>
      </w:tblGrid>
      <w:tr w:rsidR="00881246" w:rsidRPr="00353536" w14:paraId="00DCA86F" w14:textId="77777777" w:rsidTr="003E5A9D">
        <w:trPr>
          <w:trHeight w:val="567"/>
        </w:trPr>
        <w:tc>
          <w:tcPr>
            <w:tcW w:w="342" w:type="dxa"/>
          </w:tcPr>
          <w:p w14:paraId="2FED4914" w14:textId="77777777" w:rsidR="00881246" w:rsidRPr="00353536" w:rsidRDefault="00881246" w:rsidP="005274CF">
            <w:pPr>
              <w:pStyle w:val="NoSpacing"/>
              <w:jc w:val="both"/>
              <w:rPr>
                <w:sz w:val="26"/>
                <w:szCs w:val="26"/>
              </w:rPr>
            </w:pPr>
          </w:p>
        </w:tc>
        <w:tc>
          <w:tcPr>
            <w:tcW w:w="990" w:type="dxa"/>
            <w:gridSpan w:val="2"/>
          </w:tcPr>
          <w:p w14:paraId="3D1945D4" w14:textId="77777777" w:rsidR="00881246" w:rsidRPr="00353536" w:rsidRDefault="00881246" w:rsidP="005274CF">
            <w:pPr>
              <w:pStyle w:val="NoSpacing"/>
              <w:jc w:val="both"/>
              <w:rPr>
                <w:sz w:val="26"/>
                <w:szCs w:val="26"/>
              </w:rPr>
            </w:pPr>
          </w:p>
        </w:tc>
        <w:tc>
          <w:tcPr>
            <w:tcW w:w="8118" w:type="dxa"/>
            <w:gridSpan w:val="3"/>
          </w:tcPr>
          <w:p w14:paraId="35405A80" w14:textId="05390228"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r w:rsidRPr="00353536">
              <w:rPr>
                <w:rFonts w:eastAsia="Times New Roman"/>
                <w:b/>
                <w:color w:val="000000"/>
                <w:szCs w:val="26"/>
              </w:rPr>
              <w:tab/>
            </w:r>
            <w:r w:rsidR="002E568C">
              <w:rPr>
                <w:rFonts w:eastAsia="Times New Roman"/>
                <w:b/>
                <w:color w:val="000000"/>
                <w:szCs w:val="26"/>
              </w:rPr>
              <w:t xml:space="preserve">        </w:t>
            </w:r>
            <w:r w:rsidR="00D6273A">
              <w:rPr>
                <w:rFonts w:eastAsia="Times New Roman"/>
                <w:b/>
                <w:color w:val="000000"/>
                <w:szCs w:val="26"/>
              </w:rPr>
              <w:t xml:space="preserve"> </w:t>
            </w:r>
            <w:r w:rsidRPr="00353536">
              <w:rPr>
                <w:rFonts w:eastAsia="Times New Roman"/>
                <w:b/>
                <w:color w:val="000000"/>
                <w:szCs w:val="26"/>
              </w:rPr>
              <w:t xml:space="preserve">CHANGE ORDER </w:t>
            </w:r>
            <w:r w:rsidR="00881246" w:rsidRPr="00353536">
              <w:rPr>
                <w:rFonts w:eastAsia="Times New Roman"/>
                <w:b/>
                <w:color w:val="000000"/>
                <w:szCs w:val="26"/>
              </w:rPr>
              <w:t>RECOMMENDED</w:t>
            </w:r>
          </w:p>
        </w:tc>
      </w:tr>
      <w:tr w:rsidR="002F2D48" w:rsidRPr="00353536" w14:paraId="27971733" w14:textId="77777777" w:rsidTr="003E5A9D">
        <w:trPr>
          <w:gridAfter w:val="1"/>
          <w:wAfter w:w="90" w:type="dxa"/>
          <w:trHeight w:val="297"/>
        </w:trPr>
        <w:tc>
          <w:tcPr>
            <w:tcW w:w="9360" w:type="dxa"/>
            <w:gridSpan w:val="5"/>
            <w:tcBorders>
              <w:top w:val="single" w:sz="18" w:space="0" w:color="auto"/>
              <w:bottom w:val="single" w:sz="18" w:space="0" w:color="auto"/>
            </w:tcBorders>
          </w:tcPr>
          <w:p w14:paraId="3270AC84" w14:textId="06BE13F9" w:rsidR="002F2D48" w:rsidRPr="002F2D48" w:rsidRDefault="002F2D48" w:rsidP="002F2D4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University of Illinois</w:t>
            </w:r>
            <w:r>
              <w:rPr>
                <w:rFonts w:eastAsia="Times New Roman"/>
                <w:b/>
                <w:szCs w:val="26"/>
              </w:rPr>
              <w:t xml:space="preserve"> System Office</w:t>
            </w:r>
          </w:p>
        </w:tc>
      </w:tr>
      <w:tr w:rsidR="002F2D48" w:rsidRPr="00353536" w14:paraId="105F6C1C" w14:textId="77777777" w:rsidTr="003E5A9D">
        <w:trPr>
          <w:gridAfter w:val="1"/>
          <w:wAfter w:w="90" w:type="dxa"/>
          <w:trHeight w:val="387"/>
        </w:trPr>
        <w:tc>
          <w:tcPr>
            <w:tcW w:w="450" w:type="dxa"/>
            <w:gridSpan w:val="2"/>
            <w:tcBorders>
              <w:top w:val="single" w:sz="18" w:space="0" w:color="auto"/>
              <w:bottom w:val="double" w:sz="4" w:space="0" w:color="auto"/>
            </w:tcBorders>
          </w:tcPr>
          <w:p w14:paraId="26593BEF" w14:textId="2CC748D9" w:rsidR="002F2D48" w:rsidRPr="00353536" w:rsidRDefault="00C421B2" w:rsidP="002F2D48">
            <w:pPr>
              <w:pStyle w:val="NoSpacing"/>
              <w:rPr>
                <w:sz w:val="26"/>
                <w:szCs w:val="26"/>
              </w:rPr>
            </w:pPr>
            <w:r>
              <w:rPr>
                <w:sz w:val="26"/>
                <w:szCs w:val="26"/>
              </w:rPr>
              <w:t>4</w:t>
            </w:r>
          </w:p>
        </w:tc>
        <w:tc>
          <w:tcPr>
            <w:tcW w:w="990" w:type="dxa"/>
            <w:gridSpan w:val="2"/>
            <w:tcBorders>
              <w:top w:val="single" w:sz="18" w:space="0" w:color="auto"/>
              <w:bottom w:val="double" w:sz="4" w:space="0" w:color="auto"/>
            </w:tcBorders>
          </w:tcPr>
          <w:p w14:paraId="485D05F5" w14:textId="64859F4B" w:rsidR="002F2D48" w:rsidRPr="00353536" w:rsidRDefault="002F2D48" w:rsidP="002F2D48">
            <w:pPr>
              <w:pStyle w:val="NoSpacing"/>
              <w:rPr>
                <w:sz w:val="26"/>
                <w:szCs w:val="26"/>
              </w:rPr>
            </w:pPr>
            <w:r w:rsidRPr="00353536">
              <w:rPr>
                <w:sz w:val="26"/>
                <w:szCs w:val="26"/>
              </w:rPr>
              <w:t>Unit</w:t>
            </w:r>
          </w:p>
        </w:tc>
        <w:tc>
          <w:tcPr>
            <w:tcW w:w="7920" w:type="dxa"/>
            <w:tcBorders>
              <w:top w:val="single" w:sz="18" w:space="0" w:color="auto"/>
              <w:bottom w:val="double" w:sz="4" w:space="0" w:color="auto"/>
            </w:tcBorders>
          </w:tcPr>
          <w:p w14:paraId="33BA6272" w14:textId="2FB15540" w:rsidR="002F2D48" w:rsidRPr="00353536" w:rsidRDefault="002F2D48" w:rsidP="002F2D48">
            <w:pPr>
              <w:pStyle w:val="NoSpacing"/>
              <w:rPr>
                <w:sz w:val="26"/>
                <w:szCs w:val="26"/>
              </w:rPr>
            </w:pPr>
            <w:r>
              <w:rPr>
                <w:sz w:val="26"/>
                <w:szCs w:val="26"/>
              </w:rPr>
              <w:t>Office of Medicaid Innovation</w:t>
            </w:r>
          </w:p>
        </w:tc>
      </w:tr>
      <w:tr w:rsidR="002F2D48" w:rsidRPr="00353536" w14:paraId="045C8F96" w14:textId="77777777" w:rsidTr="003E5A9D">
        <w:trPr>
          <w:gridAfter w:val="1"/>
          <w:wAfter w:w="90" w:type="dxa"/>
          <w:trHeight w:val="549"/>
        </w:trPr>
        <w:tc>
          <w:tcPr>
            <w:tcW w:w="450" w:type="dxa"/>
            <w:gridSpan w:val="2"/>
            <w:tcBorders>
              <w:top w:val="double" w:sz="4" w:space="0" w:color="auto"/>
            </w:tcBorders>
          </w:tcPr>
          <w:p w14:paraId="3CC5413A" w14:textId="77777777" w:rsidR="002F2D48" w:rsidRPr="00353536" w:rsidRDefault="002F2D48" w:rsidP="002F2D48">
            <w:pPr>
              <w:pStyle w:val="NoSpacing"/>
              <w:rPr>
                <w:sz w:val="26"/>
                <w:szCs w:val="26"/>
              </w:rPr>
            </w:pPr>
          </w:p>
        </w:tc>
        <w:tc>
          <w:tcPr>
            <w:tcW w:w="990" w:type="dxa"/>
            <w:gridSpan w:val="2"/>
            <w:tcBorders>
              <w:top w:val="double" w:sz="4" w:space="0" w:color="auto"/>
            </w:tcBorders>
          </w:tcPr>
          <w:p w14:paraId="0854B016" w14:textId="77777777" w:rsidR="002F2D48" w:rsidRPr="00353536" w:rsidRDefault="002F2D48" w:rsidP="002F2D48">
            <w:pPr>
              <w:pStyle w:val="NoSpacing"/>
              <w:rPr>
                <w:sz w:val="26"/>
                <w:szCs w:val="26"/>
              </w:rPr>
            </w:pPr>
          </w:p>
          <w:p w14:paraId="766417B9" w14:textId="33F3F3BD" w:rsidR="002F2D48" w:rsidRPr="00353536" w:rsidRDefault="002F2D48" w:rsidP="002F2D48">
            <w:pPr>
              <w:pStyle w:val="NoSpacing"/>
              <w:rPr>
                <w:sz w:val="26"/>
                <w:szCs w:val="26"/>
              </w:rPr>
            </w:pPr>
            <w:r w:rsidRPr="00353536">
              <w:rPr>
                <w:sz w:val="26"/>
                <w:szCs w:val="26"/>
              </w:rPr>
              <w:t>Item</w:t>
            </w:r>
          </w:p>
        </w:tc>
        <w:tc>
          <w:tcPr>
            <w:tcW w:w="7920" w:type="dxa"/>
            <w:tcBorders>
              <w:top w:val="double" w:sz="4" w:space="0" w:color="auto"/>
            </w:tcBorders>
            <w:vAlign w:val="center"/>
          </w:tcPr>
          <w:p w14:paraId="750736B7" w14:textId="77777777" w:rsidR="002F2D48" w:rsidRDefault="002F2D48" w:rsidP="002F2D48">
            <w:pPr>
              <w:pStyle w:val="NoSpacing"/>
              <w:rPr>
                <w:sz w:val="26"/>
                <w:szCs w:val="26"/>
              </w:rPr>
            </w:pPr>
          </w:p>
          <w:p w14:paraId="78EF033F" w14:textId="46C3A90B" w:rsidR="002F2D48" w:rsidRPr="00353536" w:rsidRDefault="00A273C9" w:rsidP="002F2D48">
            <w:pPr>
              <w:pStyle w:val="NoSpacing"/>
              <w:rPr>
                <w:sz w:val="26"/>
                <w:szCs w:val="26"/>
              </w:rPr>
            </w:pPr>
            <w:r>
              <w:rPr>
                <w:sz w:val="26"/>
              </w:rPr>
              <w:t xml:space="preserve">Change order for </w:t>
            </w:r>
            <w:r w:rsidR="00CE2E77">
              <w:rPr>
                <w:sz w:val="26"/>
              </w:rPr>
              <w:t xml:space="preserve">a </w:t>
            </w:r>
            <w:r>
              <w:rPr>
                <w:sz w:val="26"/>
              </w:rPr>
              <w:t xml:space="preserve">consultant </w:t>
            </w:r>
            <w:r w:rsidRPr="00822EC6">
              <w:rPr>
                <w:sz w:val="26"/>
              </w:rPr>
              <w:t>to assist the Office of Medicaid and Innovation in its partnership with the Illinois Department of Healthcare and Family Services in establishing a new framework for its Medicaid managed care delivery system.</w:t>
            </w:r>
          </w:p>
        </w:tc>
      </w:tr>
      <w:tr w:rsidR="002F2D48" w:rsidRPr="00353536" w14:paraId="465EAE4D" w14:textId="77777777" w:rsidTr="003E5A9D">
        <w:trPr>
          <w:gridAfter w:val="1"/>
          <w:wAfter w:w="90" w:type="dxa"/>
          <w:trHeight w:val="549"/>
        </w:trPr>
        <w:tc>
          <w:tcPr>
            <w:tcW w:w="450" w:type="dxa"/>
            <w:gridSpan w:val="2"/>
          </w:tcPr>
          <w:p w14:paraId="3A9380FD" w14:textId="77777777" w:rsidR="002F2D48" w:rsidRPr="00353536" w:rsidRDefault="002F2D48" w:rsidP="002F2D48">
            <w:pPr>
              <w:pStyle w:val="NoSpacing"/>
              <w:rPr>
                <w:sz w:val="26"/>
                <w:szCs w:val="26"/>
              </w:rPr>
            </w:pPr>
          </w:p>
        </w:tc>
        <w:tc>
          <w:tcPr>
            <w:tcW w:w="990" w:type="dxa"/>
            <w:gridSpan w:val="2"/>
          </w:tcPr>
          <w:p w14:paraId="28EC8481" w14:textId="77777777" w:rsidR="002F2D48" w:rsidRPr="00353536" w:rsidRDefault="002F2D48" w:rsidP="002F2D48">
            <w:pPr>
              <w:pStyle w:val="NoSpacing"/>
              <w:rPr>
                <w:sz w:val="26"/>
                <w:szCs w:val="26"/>
              </w:rPr>
            </w:pPr>
          </w:p>
          <w:p w14:paraId="47C84D91" w14:textId="14A40BB4" w:rsidR="002F2D48" w:rsidRPr="00353536" w:rsidRDefault="002F2D48" w:rsidP="002F2D48">
            <w:pPr>
              <w:pStyle w:val="NoSpacing"/>
              <w:rPr>
                <w:sz w:val="26"/>
                <w:szCs w:val="26"/>
              </w:rPr>
            </w:pPr>
            <w:r w:rsidRPr="00353536">
              <w:rPr>
                <w:sz w:val="26"/>
                <w:szCs w:val="26"/>
              </w:rPr>
              <w:t>Cost</w:t>
            </w:r>
          </w:p>
        </w:tc>
        <w:tc>
          <w:tcPr>
            <w:tcW w:w="7920" w:type="dxa"/>
          </w:tcPr>
          <w:p w14:paraId="092D158E" w14:textId="77777777" w:rsidR="001F55E7" w:rsidRDefault="001F55E7" w:rsidP="002F2D48">
            <w:pPr>
              <w:pStyle w:val="NoSpacing"/>
              <w:rPr>
                <w:sz w:val="26"/>
                <w:szCs w:val="26"/>
              </w:rPr>
            </w:pPr>
          </w:p>
          <w:p w14:paraId="48E78AAE" w14:textId="77777777" w:rsidR="00A273C9" w:rsidRPr="00A273C9" w:rsidRDefault="00A273C9" w:rsidP="00A273C9">
            <w:pPr>
              <w:tabs>
                <w:tab w:val="left" w:pos="-720"/>
                <w:tab w:val="left" w:pos="0"/>
                <w:tab w:val="left" w:pos="720"/>
                <w:tab w:val="left" w:pos="1080"/>
                <w:tab w:val="left" w:pos="1440"/>
              </w:tabs>
              <w:suppressAutoHyphens/>
              <w:spacing w:after="0" w:line="240" w:lineRule="auto"/>
              <w:jc w:val="both"/>
              <w:rPr>
                <w:rFonts w:eastAsia="Times New Roman"/>
                <w:szCs w:val="26"/>
              </w:rPr>
            </w:pPr>
            <w:r w:rsidRPr="00A273C9">
              <w:rPr>
                <w:rFonts w:eastAsia="Times New Roman"/>
                <w:szCs w:val="26"/>
              </w:rPr>
              <w:t>Initial Amount: $995,000</w:t>
            </w:r>
          </w:p>
          <w:p w14:paraId="75C01843" w14:textId="77777777" w:rsidR="00A273C9" w:rsidRPr="00A273C9" w:rsidRDefault="00A273C9" w:rsidP="00A273C9">
            <w:pPr>
              <w:tabs>
                <w:tab w:val="left" w:pos="-720"/>
                <w:tab w:val="left" w:pos="0"/>
                <w:tab w:val="left" w:pos="720"/>
                <w:tab w:val="left" w:pos="1080"/>
                <w:tab w:val="left" w:pos="1440"/>
              </w:tabs>
              <w:suppressAutoHyphens/>
              <w:spacing w:after="0" w:line="240" w:lineRule="auto"/>
              <w:jc w:val="both"/>
              <w:rPr>
                <w:rFonts w:eastAsia="Times New Roman"/>
                <w:szCs w:val="26"/>
              </w:rPr>
            </w:pPr>
            <w:r w:rsidRPr="00A273C9">
              <w:rPr>
                <w:rFonts w:eastAsia="Times New Roman"/>
                <w:szCs w:val="26"/>
              </w:rPr>
              <w:t>Change Order Amount: $3,955,000</w:t>
            </w:r>
          </w:p>
          <w:p w14:paraId="656FC77C" w14:textId="77777777" w:rsidR="00A273C9" w:rsidRPr="00A273C9" w:rsidRDefault="00A273C9" w:rsidP="00A273C9">
            <w:pPr>
              <w:tabs>
                <w:tab w:val="left" w:pos="-720"/>
                <w:tab w:val="left" w:pos="0"/>
                <w:tab w:val="left" w:pos="720"/>
                <w:tab w:val="left" w:pos="1080"/>
                <w:tab w:val="left" w:pos="1440"/>
              </w:tabs>
              <w:suppressAutoHyphens/>
              <w:spacing w:after="0" w:line="240" w:lineRule="auto"/>
              <w:jc w:val="both"/>
              <w:rPr>
                <w:rFonts w:eastAsia="Times New Roman"/>
                <w:szCs w:val="26"/>
              </w:rPr>
            </w:pPr>
            <w:r w:rsidRPr="00A273C9">
              <w:rPr>
                <w:rFonts w:eastAsia="Times New Roman"/>
                <w:szCs w:val="26"/>
              </w:rPr>
              <w:t>Total Amount: $4,950,000</w:t>
            </w:r>
          </w:p>
          <w:p w14:paraId="6A547D7A" w14:textId="2CEE3156" w:rsidR="002F2D48" w:rsidRPr="00353536" w:rsidRDefault="002F2D48" w:rsidP="002F2D48">
            <w:pPr>
              <w:pStyle w:val="NoSpacing"/>
              <w:rPr>
                <w:sz w:val="26"/>
                <w:szCs w:val="26"/>
              </w:rPr>
            </w:pPr>
          </w:p>
        </w:tc>
      </w:tr>
      <w:tr w:rsidR="002F2D48" w:rsidRPr="00353536" w14:paraId="75DB0BB4" w14:textId="77777777" w:rsidTr="003E5A9D">
        <w:trPr>
          <w:gridAfter w:val="1"/>
          <w:wAfter w:w="90" w:type="dxa"/>
          <w:trHeight w:val="549"/>
        </w:trPr>
        <w:tc>
          <w:tcPr>
            <w:tcW w:w="450" w:type="dxa"/>
            <w:gridSpan w:val="2"/>
          </w:tcPr>
          <w:p w14:paraId="13CBFA3C" w14:textId="77777777" w:rsidR="002F2D48" w:rsidRPr="00353536" w:rsidRDefault="002F2D48" w:rsidP="002F2D48">
            <w:pPr>
              <w:pStyle w:val="NoSpacing"/>
              <w:rPr>
                <w:sz w:val="26"/>
                <w:szCs w:val="26"/>
              </w:rPr>
            </w:pPr>
          </w:p>
        </w:tc>
        <w:tc>
          <w:tcPr>
            <w:tcW w:w="990" w:type="dxa"/>
            <w:gridSpan w:val="2"/>
          </w:tcPr>
          <w:p w14:paraId="0E565B05" w14:textId="77777777" w:rsidR="002F2D48" w:rsidRPr="00353536" w:rsidRDefault="002F2D48" w:rsidP="002F2D48">
            <w:pPr>
              <w:pStyle w:val="NoSpacing"/>
              <w:rPr>
                <w:sz w:val="26"/>
                <w:szCs w:val="26"/>
              </w:rPr>
            </w:pPr>
          </w:p>
          <w:p w14:paraId="134B7916" w14:textId="21EE891D" w:rsidR="002F2D48" w:rsidRPr="00353536" w:rsidRDefault="002F2D48" w:rsidP="002F2D48">
            <w:pPr>
              <w:pStyle w:val="NoSpacing"/>
              <w:rPr>
                <w:sz w:val="26"/>
                <w:szCs w:val="26"/>
              </w:rPr>
            </w:pPr>
            <w:r w:rsidRPr="00353536">
              <w:rPr>
                <w:sz w:val="26"/>
                <w:szCs w:val="26"/>
              </w:rPr>
              <w:t>Vendor</w:t>
            </w:r>
          </w:p>
        </w:tc>
        <w:tc>
          <w:tcPr>
            <w:tcW w:w="7920" w:type="dxa"/>
          </w:tcPr>
          <w:p w14:paraId="28A9EDD5" w14:textId="77777777" w:rsidR="002F2D48" w:rsidRDefault="002F2D48" w:rsidP="002F2D48">
            <w:pPr>
              <w:pStyle w:val="NoSpacing"/>
              <w:rPr>
                <w:sz w:val="26"/>
                <w:szCs w:val="26"/>
              </w:rPr>
            </w:pPr>
          </w:p>
          <w:p w14:paraId="5170F7B0" w14:textId="5A966B42" w:rsidR="001F55E7" w:rsidRPr="00A273C9" w:rsidRDefault="00A273C9" w:rsidP="00A273C9">
            <w:pPr>
              <w:pStyle w:val="NoSpacing"/>
              <w:jc w:val="both"/>
              <w:rPr>
                <w:bCs/>
                <w:sz w:val="26"/>
                <w:szCs w:val="26"/>
              </w:rPr>
            </w:pPr>
            <w:r>
              <w:rPr>
                <w:bCs/>
                <w:sz w:val="26"/>
                <w:szCs w:val="26"/>
              </w:rPr>
              <w:t>Boston Consulting Group</w:t>
            </w:r>
            <w:r w:rsidRPr="00447B2C">
              <w:rPr>
                <w:bCs/>
                <w:sz w:val="26"/>
                <w:szCs w:val="26"/>
              </w:rPr>
              <w:t>, Inc.</w:t>
            </w:r>
            <w:r w:rsidR="002E568C">
              <w:rPr>
                <w:bCs/>
                <w:sz w:val="26"/>
                <w:szCs w:val="26"/>
              </w:rPr>
              <w:t xml:space="preserve">                   </w:t>
            </w:r>
            <w:r w:rsidRPr="00447B2C">
              <w:rPr>
                <w:bCs/>
                <w:sz w:val="26"/>
                <w:szCs w:val="26"/>
              </w:rPr>
              <w:t xml:space="preserve"> </w:t>
            </w:r>
            <w:r>
              <w:rPr>
                <w:bCs/>
                <w:sz w:val="26"/>
                <w:szCs w:val="26"/>
              </w:rPr>
              <w:t>Boston</w:t>
            </w:r>
            <w:r w:rsidRPr="00447B2C">
              <w:rPr>
                <w:bCs/>
                <w:sz w:val="26"/>
                <w:szCs w:val="26"/>
              </w:rPr>
              <w:t xml:space="preserve">, </w:t>
            </w:r>
            <w:r>
              <w:rPr>
                <w:bCs/>
                <w:sz w:val="26"/>
                <w:szCs w:val="26"/>
              </w:rPr>
              <w:t>MA</w:t>
            </w:r>
            <w:r w:rsidRPr="00447B2C">
              <w:rPr>
                <w:bCs/>
                <w:sz w:val="26"/>
                <w:szCs w:val="26"/>
              </w:rPr>
              <w:t xml:space="preserve"> </w:t>
            </w:r>
          </w:p>
        </w:tc>
      </w:tr>
      <w:tr w:rsidR="002F2D48" w:rsidRPr="00353536" w14:paraId="587C6B7F" w14:textId="77777777" w:rsidTr="003E5A9D">
        <w:trPr>
          <w:gridAfter w:val="1"/>
          <w:wAfter w:w="90" w:type="dxa"/>
          <w:trHeight w:val="549"/>
        </w:trPr>
        <w:tc>
          <w:tcPr>
            <w:tcW w:w="450" w:type="dxa"/>
            <w:gridSpan w:val="2"/>
          </w:tcPr>
          <w:p w14:paraId="3B26DB52" w14:textId="77777777" w:rsidR="002F2D48" w:rsidRPr="00353536" w:rsidRDefault="002F2D48" w:rsidP="002F2D48">
            <w:pPr>
              <w:pStyle w:val="NoSpacing"/>
              <w:rPr>
                <w:sz w:val="26"/>
                <w:szCs w:val="26"/>
              </w:rPr>
            </w:pPr>
          </w:p>
        </w:tc>
        <w:tc>
          <w:tcPr>
            <w:tcW w:w="990" w:type="dxa"/>
            <w:gridSpan w:val="2"/>
          </w:tcPr>
          <w:p w14:paraId="5CB8A417" w14:textId="77777777" w:rsidR="002F2D48" w:rsidRPr="00353536" w:rsidRDefault="002F2D48" w:rsidP="002F2D48">
            <w:pPr>
              <w:pStyle w:val="NoSpacing"/>
              <w:rPr>
                <w:sz w:val="26"/>
                <w:szCs w:val="26"/>
              </w:rPr>
            </w:pPr>
          </w:p>
        </w:tc>
        <w:tc>
          <w:tcPr>
            <w:tcW w:w="7920" w:type="dxa"/>
          </w:tcPr>
          <w:p w14:paraId="59C7CC8B" w14:textId="77777777" w:rsidR="001F55E7" w:rsidRDefault="001F55E7" w:rsidP="001F55E7">
            <w:pPr>
              <w:pStyle w:val="NoSpacing"/>
              <w:rPr>
                <w:sz w:val="26"/>
                <w:szCs w:val="26"/>
              </w:rPr>
            </w:pPr>
          </w:p>
          <w:p w14:paraId="46D5CA75" w14:textId="56283D7E" w:rsidR="00A273C9" w:rsidRPr="00447B2C" w:rsidRDefault="00A273C9" w:rsidP="00321779">
            <w:pPr>
              <w:pStyle w:val="NoSpacing"/>
              <w:rPr>
                <w:sz w:val="26"/>
                <w:szCs w:val="26"/>
              </w:rPr>
            </w:pPr>
            <w:r w:rsidRPr="00447B2C">
              <w:rPr>
                <w:sz w:val="26"/>
                <w:szCs w:val="26"/>
              </w:rPr>
              <w:t xml:space="preserve">This is </w:t>
            </w:r>
            <w:r>
              <w:rPr>
                <w:sz w:val="26"/>
                <w:szCs w:val="26"/>
              </w:rPr>
              <w:t>a change order to</w:t>
            </w:r>
            <w:r w:rsidRPr="00447B2C">
              <w:rPr>
                <w:sz w:val="26"/>
                <w:szCs w:val="26"/>
              </w:rPr>
              <w:t xml:space="preserve"> a task order </w:t>
            </w:r>
            <w:r>
              <w:rPr>
                <w:sz w:val="26"/>
                <w:szCs w:val="26"/>
              </w:rPr>
              <w:t xml:space="preserve">awarded </w:t>
            </w:r>
            <w:r w:rsidRPr="00447B2C">
              <w:rPr>
                <w:sz w:val="26"/>
                <w:szCs w:val="26"/>
              </w:rPr>
              <w:t xml:space="preserve">to </w:t>
            </w:r>
            <w:r>
              <w:rPr>
                <w:sz w:val="26"/>
                <w:szCs w:val="26"/>
              </w:rPr>
              <w:t>Boston Consulting Group</w:t>
            </w:r>
            <w:r w:rsidRPr="00447B2C">
              <w:rPr>
                <w:sz w:val="26"/>
                <w:szCs w:val="26"/>
              </w:rPr>
              <w:t>, Inc. based on the request for proposal (RFP) 1JWS1805 for Consulting for Strategic/Financial Planning and Related Services.</w:t>
            </w:r>
            <w:r w:rsidR="002E568C">
              <w:rPr>
                <w:sz w:val="26"/>
                <w:szCs w:val="26"/>
              </w:rPr>
              <w:t xml:space="preserve"> </w:t>
            </w:r>
          </w:p>
          <w:p w14:paraId="12C4C76B" w14:textId="77777777" w:rsidR="00A273C9" w:rsidRPr="00447B2C" w:rsidRDefault="00A273C9" w:rsidP="00A273C9">
            <w:pPr>
              <w:pStyle w:val="NoSpacing"/>
              <w:ind w:left="210"/>
              <w:rPr>
                <w:sz w:val="26"/>
                <w:szCs w:val="26"/>
              </w:rPr>
            </w:pPr>
          </w:p>
          <w:p w14:paraId="22231057" w14:textId="5103FB56" w:rsidR="00A273C9" w:rsidRPr="00447B2C" w:rsidRDefault="00A273C9" w:rsidP="00321779">
            <w:pPr>
              <w:pStyle w:val="NoSpacing"/>
              <w:rPr>
                <w:sz w:val="26"/>
                <w:szCs w:val="26"/>
              </w:rPr>
            </w:pPr>
            <w:r w:rsidRPr="00447B2C">
              <w:rPr>
                <w:sz w:val="26"/>
                <w:szCs w:val="26"/>
              </w:rPr>
              <w:t>In May of 2018, the University published solicitation reference number 1JWS1805, a request for proposal (RFP) to provide consulting services in two categories: 1) strategic planning and related services and 2) financial and process analysis. Proposals were opened on June 28, 2018.</w:t>
            </w:r>
          </w:p>
          <w:p w14:paraId="3636A37C" w14:textId="77777777" w:rsidR="00A273C9" w:rsidRPr="00447B2C" w:rsidRDefault="00A273C9" w:rsidP="00A273C9">
            <w:pPr>
              <w:pStyle w:val="NoSpacing"/>
              <w:ind w:left="210"/>
              <w:rPr>
                <w:sz w:val="26"/>
                <w:szCs w:val="26"/>
              </w:rPr>
            </w:pPr>
          </w:p>
          <w:p w14:paraId="692AA9A1" w14:textId="08C37013" w:rsidR="00A273C9" w:rsidRPr="00447B2C" w:rsidRDefault="00A273C9" w:rsidP="00321779">
            <w:pPr>
              <w:pStyle w:val="NoSpacing"/>
              <w:rPr>
                <w:sz w:val="26"/>
                <w:szCs w:val="26"/>
              </w:rPr>
            </w:pPr>
            <w:r w:rsidRPr="00447B2C">
              <w:rPr>
                <w:sz w:val="26"/>
                <w:szCs w:val="26"/>
              </w:rPr>
              <w:t>A team of five evaluators evaluated the 23 qualified proposals. The University’s RFP stated that it would select up to five awardees for each of the identified categories (strategic planning and related services, and financial and process analysis). The award would establish a qualified pool of vendors. When an individual project becomes available under the award, the University would send a task order outlining the scope of work to the respondents in the relevant category for the services being requested. The RFP did not request pricing information. Pricing was to be requested and evaluated at the time of a specific task order evaluation.</w:t>
            </w:r>
            <w:r w:rsidR="002E568C">
              <w:rPr>
                <w:sz w:val="26"/>
                <w:szCs w:val="26"/>
              </w:rPr>
              <w:t xml:space="preserve"> </w:t>
            </w:r>
            <w:r w:rsidRPr="00447B2C">
              <w:rPr>
                <w:sz w:val="26"/>
                <w:szCs w:val="26"/>
              </w:rPr>
              <w:br/>
            </w:r>
          </w:p>
          <w:p w14:paraId="24BA80AC" w14:textId="5E629FBE" w:rsidR="00A273C9" w:rsidRPr="00447B2C" w:rsidRDefault="00A273C9" w:rsidP="00321779">
            <w:pPr>
              <w:pStyle w:val="NoSpacing"/>
              <w:rPr>
                <w:sz w:val="26"/>
                <w:szCs w:val="26"/>
              </w:rPr>
            </w:pPr>
            <w:r w:rsidRPr="00447B2C">
              <w:rPr>
                <w:sz w:val="26"/>
                <w:szCs w:val="26"/>
              </w:rPr>
              <w:lastRenderedPageBreak/>
              <w:t>In December 2018, the University published its intent to award the top five scoring respondents, which were the same for both categories. The awarded vendors are:</w:t>
            </w:r>
          </w:p>
          <w:p w14:paraId="21E711A4" w14:textId="77777777" w:rsidR="00A273C9" w:rsidRPr="00447B2C" w:rsidRDefault="00A273C9" w:rsidP="00A273C9">
            <w:pPr>
              <w:pStyle w:val="NoSpacing"/>
              <w:numPr>
                <w:ilvl w:val="0"/>
                <w:numId w:val="14"/>
              </w:numPr>
              <w:ind w:left="210" w:firstLine="270"/>
              <w:rPr>
                <w:sz w:val="26"/>
                <w:szCs w:val="26"/>
              </w:rPr>
            </w:pPr>
            <w:r w:rsidRPr="00447B2C">
              <w:rPr>
                <w:sz w:val="26"/>
                <w:szCs w:val="26"/>
              </w:rPr>
              <w:t>Baker Tilly Virchow Krause, LLP</w:t>
            </w:r>
          </w:p>
          <w:p w14:paraId="389C7B2C" w14:textId="77777777" w:rsidR="00A273C9" w:rsidRPr="00447B2C" w:rsidRDefault="00A273C9" w:rsidP="00A273C9">
            <w:pPr>
              <w:pStyle w:val="NoSpacing"/>
              <w:numPr>
                <w:ilvl w:val="0"/>
                <w:numId w:val="14"/>
              </w:numPr>
              <w:ind w:left="210" w:firstLine="270"/>
              <w:rPr>
                <w:sz w:val="26"/>
                <w:szCs w:val="26"/>
              </w:rPr>
            </w:pPr>
            <w:r w:rsidRPr="00447B2C">
              <w:rPr>
                <w:sz w:val="26"/>
                <w:szCs w:val="26"/>
              </w:rPr>
              <w:t>The Boston Consulting Group, Inc.</w:t>
            </w:r>
          </w:p>
          <w:p w14:paraId="662E2278" w14:textId="77777777" w:rsidR="00A273C9" w:rsidRPr="00447B2C" w:rsidRDefault="00A273C9" w:rsidP="00A273C9">
            <w:pPr>
              <w:pStyle w:val="NoSpacing"/>
              <w:numPr>
                <w:ilvl w:val="0"/>
                <w:numId w:val="14"/>
              </w:numPr>
              <w:ind w:left="210" w:firstLine="270"/>
              <w:rPr>
                <w:sz w:val="26"/>
                <w:szCs w:val="26"/>
              </w:rPr>
            </w:pPr>
            <w:r w:rsidRPr="00447B2C">
              <w:rPr>
                <w:sz w:val="26"/>
                <w:szCs w:val="26"/>
              </w:rPr>
              <w:t>Ernst &amp; Young LLP</w:t>
            </w:r>
          </w:p>
          <w:p w14:paraId="12ED4D7B" w14:textId="77777777" w:rsidR="00A273C9" w:rsidRPr="00447B2C" w:rsidRDefault="00A273C9" w:rsidP="00A273C9">
            <w:pPr>
              <w:pStyle w:val="NoSpacing"/>
              <w:numPr>
                <w:ilvl w:val="0"/>
                <w:numId w:val="14"/>
              </w:numPr>
              <w:ind w:left="210" w:firstLine="270"/>
              <w:rPr>
                <w:sz w:val="26"/>
                <w:szCs w:val="26"/>
              </w:rPr>
            </w:pPr>
            <w:r w:rsidRPr="00447B2C">
              <w:rPr>
                <w:sz w:val="26"/>
                <w:szCs w:val="26"/>
              </w:rPr>
              <w:t>Huron Consulting Services LLC</w:t>
            </w:r>
          </w:p>
          <w:p w14:paraId="34C23323" w14:textId="77777777" w:rsidR="00A273C9" w:rsidRDefault="00A273C9" w:rsidP="00A273C9">
            <w:pPr>
              <w:pStyle w:val="NoSpacing"/>
              <w:numPr>
                <w:ilvl w:val="0"/>
                <w:numId w:val="14"/>
              </w:numPr>
              <w:ind w:left="210" w:firstLine="270"/>
              <w:rPr>
                <w:sz w:val="26"/>
                <w:szCs w:val="26"/>
              </w:rPr>
            </w:pPr>
            <w:r w:rsidRPr="00447B2C">
              <w:rPr>
                <w:sz w:val="26"/>
                <w:szCs w:val="26"/>
              </w:rPr>
              <w:t>McKinsey &amp; Company, Inc.</w:t>
            </w:r>
          </w:p>
          <w:p w14:paraId="2394CF34" w14:textId="77777777" w:rsidR="00A273C9" w:rsidRPr="00447B2C" w:rsidRDefault="00A273C9" w:rsidP="00A273C9">
            <w:pPr>
              <w:pStyle w:val="NoSpacing"/>
              <w:ind w:left="480"/>
              <w:rPr>
                <w:sz w:val="26"/>
                <w:szCs w:val="26"/>
              </w:rPr>
            </w:pPr>
          </w:p>
          <w:p w14:paraId="1D22CC58" w14:textId="7154B969" w:rsidR="00A273C9" w:rsidRPr="00447B2C" w:rsidRDefault="00A273C9" w:rsidP="00321779">
            <w:pPr>
              <w:pStyle w:val="NoSpacing"/>
              <w:rPr>
                <w:sz w:val="26"/>
                <w:szCs w:val="26"/>
              </w:rPr>
            </w:pPr>
            <w:r w:rsidRPr="00447B2C">
              <w:rPr>
                <w:sz w:val="26"/>
                <w:szCs w:val="26"/>
              </w:rPr>
              <w:t>In June of 2021, the University renew</w:t>
            </w:r>
            <w:r>
              <w:rPr>
                <w:sz w:val="26"/>
                <w:szCs w:val="26"/>
              </w:rPr>
              <w:t>ed</w:t>
            </w:r>
            <w:r w:rsidRPr="00447B2C">
              <w:rPr>
                <w:sz w:val="26"/>
                <w:szCs w:val="26"/>
              </w:rPr>
              <w:t xml:space="preserve"> the five awards under solicitation 1JWS1805. The first renewal term </w:t>
            </w:r>
            <w:r>
              <w:rPr>
                <w:sz w:val="26"/>
                <w:szCs w:val="26"/>
              </w:rPr>
              <w:t>wa</w:t>
            </w:r>
            <w:r w:rsidRPr="00447B2C">
              <w:rPr>
                <w:sz w:val="26"/>
                <w:szCs w:val="26"/>
              </w:rPr>
              <w:t xml:space="preserve">s from 7/1/2021 through 6/30/2024. The costs of this renewal were estimated at $16 Million. </w:t>
            </w:r>
            <w:r>
              <w:rPr>
                <w:sz w:val="26"/>
                <w:szCs w:val="26"/>
              </w:rPr>
              <w:t>On May 23, 2024, the University exercised the last renewal of the five awards under solicitation 1JWS1805. The second renewal term is from 7/01/2024 through 6/30/2027.</w:t>
            </w:r>
          </w:p>
          <w:p w14:paraId="5B061EFD" w14:textId="77777777" w:rsidR="00A273C9" w:rsidRPr="00447B2C" w:rsidRDefault="00A273C9" w:rsidP="00A273C9">
            <w:pPr>
              <w:pStyle w:val="NoSpacing"/>
              <w:ind w:left="210"/>
              <w:rPr>
                <w:sz w:val="26"/>
                <w:szCs w:val="26"/>
              </w:rPr>
            </w:pPr>
          </w:p>
          <w:p w14:paraId="14DFB3A5" w14:textId="722EB4DA" w:rsidR="00A273C9" w:rsidRPr="00895E78" w:rsidRDefault="00A273C9" w:rsidP="00321779">
            <w:pPr>
              <w:pStyle w:val="NoSpacing"/>
              <w:rPr>
                <w:sz w:val="26"/>
                <w:szCs w:val="26"/>
              </w:rPr>
            </w:pPr>
            <w:r>
              <w:rPr>
                <w:sz w:val="26"/>
                <w:szCs w:val="26"/>
              </w:rPr>
              <w:t>Under the award, a task order was needed for services for the Office of Medicaid. T</w:t>
            </w:r>
            <w:r w:rsidRPr="00895E78">
              <w:rPr>
                <w:sz w:val="26"/>
                <w:szCs w:val="26"/>
              </w:rPr>
              <w:t>he University of Illinois System, in strategic partnership with the Illinois Department of Healthcare and Family Services (HFS), established the Office of Medicaid Innovation (OMI) via an Intergovernmental Agreement in 2012. Since then, OMI has developed a portfolio of projects and initiatives authorized and funded by HFS directly supporting Illinois’ Medical Assistance Program (including the state’s Medicaid program). OMI’s efforts to provide direct consultative services combined with OMI’s partnerships established across the various University of Illinois campuses, colleges, and locations, allow OMI to provide clinical and policy support to HFS – aligning the resources of the University with Illinois’ public insurer – consistent with 1) the University of Illinois’s Mission to enhance the lives of the citizens of Illinois through leadership in learning, discovery, engagement and economic development; and 2) the University of Illinois System’s Mission to put knowledge to work on a large scale with excellence.</w:t>
            </w:r>
          </w:p>
          <w:p w14:paraId="64FB6B59" w14:textId="77777777" w:rsidR="00A273C9" w:rsidRPr="00895E78" w:rsidRDefault="00A273C9" w:rsidP="00A273C9">
            <w:pPr>
              <w:pStyle w:val="NoSpacing"/>
              <w:ind w:left="210"/>
              <w:rPr>
                <w:sz w:val="26"/>
                <w:szCs w:val="26"/>
              </w:rPr>
            </w:pPr>
            <w:r w:rsidRPr="00895E78">
              <w:rPr>
                <w:sz w:val="26"/>
                <w:szCs w:val="26"/>
              </w:rPr>
              <w:tab/>
            </w:r>
          </w:p>
          <w:p w14:paraId="1C522E32" w14:textId="04DD012A" w:rsidR="00A273C9" w:rsidRDefault="00A273C9" w:rsidP="00321779">
            <w:pPr>
              <w:pStyle w:val="NoSpacing"/>
              <w:rPr>
                <w:sz w:val="26"/>
                <w:szCs w:val="26"/>
              </w:rPr>
            </w:pPr>
            <w:r w:rsidRPr="00895E78">
              <w:rPr>
                <w:sz w:val="26"/>
                <w:szCs w:val="26"/>
              </w:rPr>
              <w:t xml:space="preserve">Illinois’ Medicaid and other medical programs administered by HFS are at a transition point. In January 2024, a new director assumed leadership over the Department at a time when the Department is </w:t>
            </w:r>
            <w:proofErr w:type="gramStart"/>
            <w:r w:rsidRPr="00895E78">
              <w:rPr>
                <w:sz w:val="26"/>
                <w:szCs w:val="26"/>
              </w:rPr>
              <w:t>in the midst of</w:t>
            </w:r>
            <w:proofErr w:type="gramEnd"/>
            <w:r w:rsidRPr="00895E78">
              <w:rPr>
                <w:sz w:val="26"/>
                <w:szCs w:val="26"/>
              </w:rPr>
              <w:t xml:space="preserve"> </w:t>
            </w:r>
            <w:proofErr w:type="gramStart"/>
            <w:r w:rsidRPr="00895E78">
              <w:rPr>
                <w:sz w:val="26"/>
                <w:szCs w:val="26"/>
              </w:rPr>
              <w:t>taking on</w:t>
            </w:r>
            <w:proofErr w:type="gramEnd"/>
            <w:r w:rsidRPr="00895E78">
              <w:rPr>
                <w:sz w:val="26"/>
                <w:szCs w:val="26"/>
              </w:rPr>
              <w:t xml:space="preserve"> several key transformative initiatives, including a CMS 1115 waiver, a federal Certified Community Behavioral Health Clinic (CCBHC) demonstration project, and a competitive procurement cycle for the department’s Medicaid Managed Care Organization (MCO) contracts. All of these are opportunities to better integrate care and vastly expand access to services, particularly those that address health related social needs. In the coming years, HFS is positioned to play a pivotal role in </w:t>
            </w:r>
            <w:r w:rsidRPr="00895E78">
              <w:rPr>
                <w:sz w:val="26"/>
                <w:szCs w:val="26"/>
              </w:rPr>
              <w:lastRenderedPageBreak/>
              <w:t xml:space="preserve">advancing Illinois health and wellbeing through stronger, accessible, and equitable healthcare. </w:t>
            </w:r>
          </w:p>
          <w:p w14:paraId="5DF960AA" w14:textId="77777777" w:rsidR="00766DF6" w:rsidRPr="00895E78" w:rsidRDefault="00766DF6" w:rsidP="00321779">
            <w:pPr>
              <w:pStyle w:val="NoSpacing"/>
              <w:rPr>
                <w:sz w:val="26"/>
                <w:szCs w:val="26"/>
              </w:rPr>
            </w:pPr>
          </w:p>
          <w:p w14:paraId="2852562E" w14:textId="77777777" w:rsidR="002F2D48" w:rsidRDefault="00321779" w:rsidP="001F55E7">
            <w:pPr>
              <w:pStyle w:val="NoSpacing"/>
              <w:rPr>
                <w:sz w:val="26"/>
                <w:szCs w:val="26"/>
              </w:rPr>
            </w:pPr>
            <w:r w:rsidRPr="00895E78">
              <w:rPr>
                <w:sz w:val="26"/>
                <w:szCs w:val="26"/>
              </w:rPr>
              <w:t>Managing the planning and execution of these important initiatives will require HFS to refocus resources of the department strategically as well as</w:t>
            </w:r>
          </w:p>
          <w:p w14:paraId="79C0E099" w14:textId="77777777" w:rsidR="00321779" w:rsidRPr="00895E78" w:rsidRDefault="00321779" w:rsidP="00321779">
            <w:pPr>
              <w:pStyle w:val="NoSpacing"/>
              <w:rPr>
                <w:sz w:val="26"/>
                <w:szCs w:val="26"/>
              </w:rPr>
            </w:pPr>
            <w:r w:rsidRPr="00895E78">
              <w:rPr>
                <w:sz w:val="26"/>
                <w:szCs w:val="26"/>
              </w:rPr>
              <w:t xml:space="preserve">build additional infrastructure to support our efforts to drive improved health outcomes and system transformation. To assist with the planning for this critical effort, HFS has asked OMI to </w:t>
            </w:r>
            <w:proofErr w:type="gramStart"/>
            <w:r w:rsidRPr="00895E78">
              <w:rPr>
                <w:sz w:val="26"/>
                <w:szCs w:val="26"/>
              </w:rPr>
              <w:t>provide assistance</w:t>
            </w:r>
            <w:proofErr w:type="gramEnd"/>
            <w:r w:rsidRPr="00895E78">
              <w:rPr>
                <w:sz w:val="26"/>
                <w:szCs w:val="26"/>
              </w:rPr>
              <w:t xml:space="preserve"> in designing an approach to managed care administration that takes into account both what HFS should require of MCOs and how the Department must transform structurally to hold MCOs accountable and drive optimal performance. </w:t>
            </w:r>
          </w:p>
          <w:p w14:paraId="77754F21" w14:textId="77777777" w:rsidR="00321779" w:rsidRPr="00895E78" w:rsidRDefault="00321779" w:rsidP="00321779">
            <w:pPr>
              <w:pStyle w:val="NoSpacing"/>
              <w:ind w:left="210"/>
              <w:rPr>
                <w:sz w:val="26"/>
                <w:szCs w:val="26"/>
              </w:rPr>
            </w:pPr>
          </w:p>
          <w:p w14:paraId="6A69A770" w14:textId="32DF977F" w:rsidR="00321779" w:rsidRPr="00447B2C" w:rsidRDefault="00321779" w:rsidP="00321779">
            <w:pPr>
              <w:pStyle w:val="NoSpacing"/>
              <w:rPr>
                <w:sz w:val="26"/>
                <w:szCs w:val="26"/>
              </w:rPr>
            </w:pPr>
            <w:r w:rsidRPr="00895E78">
              <w:rPr>
                <w:sz w:val="26"/>
                <w:szCs w:val="26"/>
              </w:rPr>
              <w:t>OMI will provide support to HFS in establishing a new framework for its Medicaid managed care delivery system by 1) providing a national landscape review of best practices and trends in state managed care regulatory requirements, contracting practices, and ongoing oversight mechanisms; 2) provide research and perspective on the latest trends in service delivery models, including social services, accountable care organizations and alternative payment models; 3) assist in the development of an MCO procurement, including Request for Proposal and model contract, that incorporates key state priorities, innovations in service delivery, state Medicaid managed care purchasing best practices, and methods to support agency efforts to enhance contract oversight and management; and 4) provide consultation on resource needs, structural improvements, and performance management systems that will be needed at HFS to enable successful MCO performance in this changing environment.</w:t>
            </w:r>
            <w:r w:rsidRPr="00447B2C">
              <w:rPr>
                <w:sz w:val="26"/>
                <w:szCs w:val="26"/>
              </w:rPr>
              <w:t>.</w:t>
            </w:r>
          </w:p>
          <w:p w14:paraId="724956AA" w14:textId="77777777" w:rsidR="00321779" w:rsidRPr="00447B2C" w:rsidRDefault="00321779" w:rsidP="00321779">
            <w:pPr>
              <w:pStyle w:val="NoSpacing"/>
              <w:ind w:left="210"/>
              <w:rPr>
                <w:sz w:val="26"/>
                <w:szCs w:val="26"/>
              </w:rPr>
            </w:pPr>
          </w:p>
          <w:p w14:paraId="028EB5F1" w14:textId="786A3564" w:rsidR="00321779" w:rsidRDefault="00321779" w:rsidP="00321779">
            <w:pPr>
              <w:pStyle w:val="NoSpacing"/>
              <w:jc w:val="both"/>
              <w:rPr>
                <w:sz w:val="26"/>
                <w:szCs w:val="26"/>
              </w:rPr>
            </w:pPr>
            <w:r w:rsidRPr="00447B2C">
              <w:rPr>
                <w:sz w:val="26"/>
                <w:szCs w:val="26"/>
              </w:rPr>
              <w:t>A task order was sent to the five awardees. Two (2) awardees responded</w:t>
            </w:r>
            <w:r>
              <w:rPr>
                <w:sz w:val="26"/>
                <w:szCs w:val="26"/>
              </w:rPr>
              <w:t>--</w:t>
            </w:r>
            <w:r w:rsidRPr="00447B2C">
              <w:rPr>
                <w:sz w:val="26"/>
                <w:szCs w:val="26"/>
              </w:rPr>
              <w:t>McKinsey and Company, Inc.</w:t>
            </w:r>
            <w:r>
              <w:rPr>
                <w:sz w:val="26"/>
                <w:szCs w:val="26"/>
              </w:rPr>
              <w:t>,</w:t>
            </w:r>
            <w:r w:rsidRPr="00447B2C">
              <w:rPr>
                <w:sz w:val="26"/>
                <w:szCs w:val="26"/>
              </w:rPr>
              <w:t xml:space="preserve"> </w:t>
            </w:r>
            <w:r>
              <w:rPr>
                <w:sz w:val="26"/>
                <w:szCs w:val="26"/>
              </w:rPr>
              <w:t>and</w:t>
            </w:r>
            <w:r w:rsidRPr="00447B2C">
              <w:rPr>
                <w:sz w:val="26"/>
                <w:szCs w:val="26"/>
              </w:rPr>
              <w:t xml:space="preserve"> Boston Consulting Group</w:t>
            </w:r>
            <w:r>
              <w:rPr>
                <w:sz w:val="26"/>
                <w:szCs w:val="26"/>
              </w:rPr>
              <w:t>, Inc.</w:t>
            </w:r>
            <w:r w:rsidR="002E568C">
              <w:rPr>
                <w:sz w:val="26"/>
                <w:szCs w:val="26"/>
              </w:rPr>
              <w:t xml:space="preserve"> </w:t>
            </w:r>
            <w:r>
              <w:rPr>
                <w:sz w:val="26"/>
                <w:szCs w:val="26"/>
              </w:rPr>
              <w:t>Boston Consulting Group, Inc., was the awardee of the task order. The</w:t>
            </w:r>
            <w:r w:rsidRPr="00447B2C">
              <w:rPr>
                <w:sz w:val="26"/>
                <w:szCs w:val="26"/>
              </w:rPr>
              <w:t xml:space="preserve"> University </w:t>
            </w:r>
            <w:r>
              <w:rPr>
                <w:sz w:val="26"/>
                <w:szCs w:val="26"/>
              </w:rPr>
              <w:t>needs to add an additional $3,955,000 for the work Boston Consulting Group</w:t>
            </w:r>
            <w:r w:rsidRPr="00447B2C">
              <w:rPr>
                <w:sz w:val="26"/>
                <w:szCs w:val="26"/>
              </w:rPr>
              <w:t>, Inc.</w:t>
            </w:r>
            <w:r>
              <w:rPr>
                <w:sz w:val="26"/>
                <w:szCs w:val="26"/>
              </w:rPr>
              <w:t>,</w:t>
            </w:r>
            <w:r w:rsidRPr="00447B2C">
              <w:rPr>
                <w:sz w:val="26"/>
                <w:szCs w:val="26"/>
              </w:rPr>
              <w:t xml:space="preserve"> </w:t>
            </w:r>
            <w:r>
              <w:rPr>
                <w:sz w:val="26"/>
                <w:szCs w:val="26"/>
              </w:rPr>
              <w:t>is doing</w:t>
            </w:r>
            <w:r w:rsidRPr="00447B2C">
              <w:rPr>
                <w:sz w:val="26"/>
                <w:szCs w:val="26"/>
              </w:rPr>
              <w:t>.</w:t>
            </w:r>
          </w:p>
          <w:p w14:paraId="37E68D88" w14:textId="77777777" w:rsidR="00321779" w:rsidRDefault="00321779" w:rsidP="00321779">
            <w:pPr>
              <w:pStyle w:val="NoSpacing"/>
              <w:ind w:left="210"/>
              <w:jc w:val="both"/>
              <w:rPr>
                <w:sz w:val="26"/>
                <w:szCs w:val="26"/>
              </w:rPr>
            </w:pPr>
          </w:p>
          <w:p w14:paraId="327BF540" w14:textId="1B551ADD" w:rsidR="00321779" w:rsidRPr="00353536" w:rsidRDefault="00321779" w:rsidP="00321779">
            <w:pPr>
              <w:pStyle w:val="NoSpacing"/>
              <w:rPr>
                <w:sz w:val="26"/>
                <w:szCs w:val="26"/>
              </w:rPr>
            </w:pPr>
            <w:r w:rsidRPr="000919E7">
              <w:rPr>
                <w:b/>
                <w:bCs/>
                <w:sz w:val="26"/>
                <w:szCs w:val="26"/>
              </w:rPr>
              <w:t>A 25% aspirational BEP goal was established</w:t>
            </w:r>
            <w:r w:rsidRPr="00447B2C">
              <w:rPr>
                <w:sz w:val="26"/>
                <w:szCs w:val="26"/>
              </w:rPr>
              <w:t xml:space="preserve"> for this procurement.</w:t>
            </w:r>
            <w:r w:rsidR="002E568C">
              <w:rPr>
                <w:sz w:val="26"/>
                <w:szCs w:val="26"/>
              </w:rPr>
              <w:t xml:space="preserve"> </w:t>
            </w:r>
            <w:r>
              <w:rPr>
                <w:sz w:val="26"/>
                <w:szCs w:val="26"/>
              </w:rPr>
              <w:t>Boston Consulting Group</w:t>
            </w:r>
            <w:r w:rsidRPr="00447B2C">
              <w:rPr>
                <w:sz w:val="26"/>
                <w:szCs w:val="26"/>
              </w:rPr>
              <w:t>, Inc.</w:t>
            </w:r>
            <w:r>
              <w:rPr>
                <w:sz w:val="26"/>
                <w:szCs w:val="26"/>
              </w:rPr>
              <w:t>, will meet a goal of 20% by utilizing Illuminative Strategies Inc., for 15% of the services, Rios Partners, LLC, for 5% of the services, and Vander Weele Group, LLC, for 5% of the services</w:t>
            </w:r>
            <w:r w:rsidRPr="00447B2C">
              <w:rPr>
                <w:sz w:val="26"/>
                <w:szCs w:val="26"/>
              </w:rPr>
              <w:t>.</w:t>
            </w:r>
          </w:p>
        </w:tc>
      </w:tr>
      <w:tr w:rsidR="002F2D48" w:rsidRPr="00353536" w14:paraId="7077310F" w14:textId="77777777" w:rsidTr="003E5A9D">
        <w:trPr>
          <w:gridAfter w:val="1"/>
          <w:wAfter w:w="90" w:type="dxa"/>
          <w:trHeight w:val="243"/>
        </w:trPr>
        <w:tc>
          <w:tcPr>
            <w:tcW w:w="450" w:type="dxa"/>
            <w:gridSpan w:val="2"/>
          </w:tcPr>
          <w:p w14:paraId="1EEAAC02" w14:textId="77777777" w:rsidR="002F2D48" w:rsidRPr="00353536" w:rsidRDefault="002F2D48" w:rsidP="002F2D48">
            <w:pPr>
              <w:pStyle w:val="NoSpacing"/>
              <w:rPr>
                <w:sz w:val="26"/>
                <w:szCs w:val="26"/>
              </w:rPr>
            </w:pPr>
          </w:p>
        </w:tc>
        <w:tc>
          <w:tcPr>
            <w:tcW w:w="990" w:type="dxa"/>
            <w:gridSpan w:val="2"/>
          </w:tcPr>
          <w:p w14:paraId="2ED6F657" w14:textId="77777777" w:rsidR="002F2D48" w:rsidRDefault="002F2D48" w:rsidP="002F2D48">
            <w:pPr>
              <w:pStyle w:val="NoSpacing"/>
              <w:rPr>
                <w:sz w:val="26"/>
                <w:szCs w:val="26"/>
              </w:rPr>
            </w:pPr>
          </w:p>
          <w:p w14:paraId="2BD57888" w14:textId="77777777" w:rsidR="00BD5FE0" w:rsidRPr="00353536" w:rsidRDefault="00BD5FE0" w:rsidP="002F2D48">
            <w:pPr>
              <w:pStyle w:val="NoSpacing"/>
              <w:rPr>
                <w:sz w:val="26"/>
                <w:szCs w:val="26"/>
              </w:rPr>
            </w:pPr>
          </w:p>
        </w:tc>
        <w:tc>
          <w:tcPr>
            <w:tcW w:w="7920" w:type="dxa"/>
          </w:tcPr>
          <w:p w14:paraId="377DCEE6" w14:textId="77777777" w:rsidR="002F2D48" w:rsidRPr="00353536" w:rsidRDefault="002F2D48" w:rsidP="002F2D48">
            <w:pPr>
              <w:pStyle w:val="NoSpacing"/>
              <w:rPr>
                <w:sz w:val="26"/>
                <w:szCs w:val="26"/>
              </w:rPr>
            </w:pPr>
          </w:p>
        </w:tc>
      </w:tr>
    </w:tbl>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
        <w:gridCol w:w="5809"/>
        <w:gridCol w:w="1902"/>
      </w:tblGrid>
      <w:tr w:rsidR="00B75E7F" w:rsidRPr="00353536" w14:paraId="796ADA4A" w14:textId="77777777" w:rsidTr="00B75E7F">
        <w:trPr>
          <w:gridBefore w:val="1"/>
          <w:wBefore w:w="8" w:type="dxa"/>
          <w:trHeight w:val="394"/>
        </w:trPr>
        <w:tc>
          <w:tcPr>
            <w:tcW w:w="7711" w:type="dxa"/>
            <w:gridSpan w:val="2"/>
          </w:tcPr>
          <w:p w14:paraId="65C60997" w14:textId="7657CD52" w:rsidR="00B75E7F" w:rsidRPr="00353536" w:rsidRDefault="00B75E7F" w:rsidP="00B75E7F">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SUMMARY O</w:t>
            </w:r>
            <w:r>
              <w:rPr>
                <w:rFonts w:eastAsia="Times New Roman"/>
                <w:b/>
                <w:szCs w:val="26"/>
              </w:rPr>
              <w:t>F PURCHASES</w:t>
            </w:r>
          </w:p>
        </w:tc>
      </w:tr>
      <w:tr w:rsidR="00B75E7F" w:rsidRPr="0097228A" w14:paraId="059221EF" w14:textId="77777777" w:rsidTr="00B75E7F">
        <w:trPr>
          <w:gridBefore w:val="1"/>
          <w:wBefore w:w="8" w:type="dxa"/>
          <w:trHeight w:val="394"/>
        </w:trPr>
        <w:tc>
          <w:tcPr>
            <w:tcW w:w="5809" w:type="dxa"/>
          </w:tcPr>
          <w:p w14:paraId="1345536E" w14:textId="77777777" w:rsidR="00B75E7F" w:rsidRPr="00353536" w:rsidRDefault="00B75E7F" w:rsidP="00B75E7F">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lastRenderedPageBreak/>
              <w:t xml:space="preserve">University of Illinois </w:t>
            </w:r>
            <w:r>
              <w:rPr>
                <w:rFonts w:eastAsia="Times New Roman"/>
                <w:bCs/>
                <w:szCs w:val="26"/>
              </w:rPr>
              <w:t>Urbana-Champaign</w:t>
            </w:r>
          </w:p>
        </w:tc>
        <w:tc>
          <w:tcPr>
            <w:tcW w:w="1902" w:type="dxa"/>
            <w:shd w:val="clear" w:color="auto" w:fill="auto"/>
          </w:tcPr>
          <w:p w14:paraId="659E50E4" w14:textId="064A0FFE" w:rsidR="00B75E7F" w:rsidRPr="0097228A" w:rsidRDefault="00B75E7F" w:rsidP="00B75E7F">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Pr>
                <w:rFonts w:eastAsia="Times New Roman"/>
                <w:szCs w:val="26"/>
              </w:rPr>
              <w:t>1</w:t>
            </w:r>
            <w:r w:rsidR="0003347F">
              <w:rPr>
                <w:rFonts w:eastAsia="Times New Roman"/>
                <w:szCs w:val="26"/>
              </w:rPr>
              <w:t>29</w:t>
            </w:r>
            <w:r>
              <w:rPr>
                <w:rFonts w:eastAsia="Times New Roman"/>
                <w:szCs w:val="26"/>
              </w:rPr>
              <w:t>,000,000</w:t>
            </w:r>
          </w:p>
        </w:tc>
      </w:tr>
      <w:tr w:rsidR="00B75E7F" w14:paraId="66E1AED4" w14:textId="77777777" w:rsidTr="00B75E7F">
        <w:trPr>
          <w:gridBefore w:val="1"/>
          <w:wBefore w:w="8" w:type="dxa"/>
          <w:trHeight w:val="394"/>
        </w:trPr>
        <w:tc>
          <w:tcPr>
            <w:tcW w:w="5809" w:type="dxa"/>
          </w:tcPr>
          <w:p w14:paraId="522C7EE7" w14:textId="77777777" w:rsidR="00B75E7F" w:rsidRPr="00D6273A" w:rsidRDefault="00B75E7F" w:rsidP="00B75E7F">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100D3CC9" w14:textId="77777777" w:rsidR="00B75E7F" w:rsidRDefault="00B75E7F" w:rsidP="00B75E7F">
            <w:pPr>
              <w:overflowPunct w:val="0"/>
              <w:autoSpaceDE w:val="0"/>
              <w:autoSpaceDN w:val="0"/>
              <w:adjustRightInd w:val="0"/>
              <w:spacing w:after="0" w:line="240" w:lineRule="auto"/>
              <w:textAlignment w:val="baseline"/>
              <w:rPr>
                <w:rFonts w:eastAsia="Times New Roman"/>
                <w:szCs w:val="26"/>
              </w:rPr>
            </w:pPr>
          </w:p>
        </w:tc>
      </w:tr>
      <w:tr w:rsidR="00A53454" w:rsidRPr="00353536" w14:paraId="35D8E633" w14:textId="77777777" w:rsidTr="00B75E7F">
        <w:trPr>
          <w:trHeight w:val="394"/>
        </w:trPr>
        <w:tc>
          <w:tcPr>
            <w:tcW w:w="7719" w:type="dxa"/>
            <w:gridSpan w:val="3"/>
          </w:tcPr>
          <w:p w14:paraId="22DDE64D" w14:textId="7BED404F"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 xml:space="preserve">SUMMARY OF </w:t>
            </w:r>
            <w:r w:rsidR="00540E60">
              <w:rPr>
                <w:rFonts w:eastAsia="Times New Roman"/>
                <w:b/>
                <w:szCs w:val="26"/>
              </w:rPr>
              <w:t>RENEWALS</w:t>
            </w:r>
          </w:p>
        </w:tc>
      </w:tr>
      <w:tr w:rsidR="00A53454" w:rsidRPr="00353536" w14:paraId="15952539" w14:textId="77777777" w:rsidTr="00B75E7F">
        <w:trPr>
          <w:trHeight w:val="394"/>
        </w:trPr>
        <w:tc>
          <w:tcPr>
            <w:tcW w:w="5817" w:type="dxa"/>
            <w:gridSpan w:val="2"/>
          </w:tcPr>
          <w:p w14:paraId="04CC1882" w14:textId="2EB57BF8" w:rsidR="00A53454" w:rsidRPr="00353536" w:rsidRDefault="00A53454" w:rsidP="00A53454">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24D4DFA9" w14:textId="09F37C38" w:rsidR="00A53454" w:rsidRPr="0097228A" w:rsidRDefault="00A53454" w:rsidP="00A53454">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321779">
              <w:rPr>
                <w:rFonts w:eastAsia="Times New Roman"/>
                <w:szCs w:val="26"/>
              </w:rPr>
              <w:t>12,000,000</w:t>
            </w:r>
          </w:p>
        </w:tc>
      </w:tr>
      <w:tr w:rsidR="00540E60" w:rsidRPr="00353536" w14:paraId="1AF35B9C" w14:textId="77777777" w:rsidTr="0003347F">
        <w:trPr>
          <w:trHeight w:val="828"/>
        </w:trPr>
        <w:tc>
          <w:tcPr>
            <w:tcW w:w="5817" w:type="dxa"/>
            <w:gridSpan w:val="2"/>
          </w:tcPr>
          <w:p w14:paraId="77DAE2C5" w14:textId="77777777" w:rsidR="00540E60" w:rsidRPr="00D6273A" w:rsidRDefault="00540E60" w:rsidP="00A53454">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233A9F06" w14:textId="77777777" w:rsidR="00540E60" w:rsidRDefault="00540E60" w:rsidP="00A53454">
            <w:pPr>
              <w:overflowPunct w:val="0"/>
              <w:autoSpaceDE w:val="0"/>
              <w:autoSpaceDN w:val="0"/>
              <w:adjustRightInd w:val="0"/>
              <w:spacing w:after="0" w:line="240" w:lineRule="auto"/>
              <w:textAlignment w:val="baseline"/>
              <w:rPr>
                <w:rFonts w:eastAsia="Times New Roman"/>
                <w:szCs w:val="26"/>
              </w:rPr>
            </w:pPr>
          </w:p>
        </w:tc>
      </w:tr>
      <w:tr w:rsidR="00A53454" w:rsidRPr="00353536" w14:paraId="61494642" w14:textId="77777777" w:rsidTr="00B75E7F">
        <w:trPr>
          <w:trHeight w:val="350"/>
        </w:trPr>
        <w:tc>
          <w:tcPr>
            <w:tcW w:w="7719" w:type="dxa"/>
            <w:gridSpan w:val="3"/>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353536">
              <w:rPr>
                <w:rFonts w:eastAsia="Times New Roman"/>
                <w:b/>
                <w:szCs w:val="26"/>
              </w:rPr>
              <w:t xml:space="preserve">SUMMARY OF </w:t>
            </w:r>
            <w:r>
              <w:rPr>
                <w:rFonts w:eastAsia="Times New Roman"/>
                <w:b/>
                <w:szCs w:val="26"/>
              </w:rPr>
              <w:t>CHANGE ORDERS</w:t>
            </w:r>
          </w:p>
        </w:tc>
      </w:tr>
      <w:tr w:rsidR="00A53454" w:rsidRPr="00353536" w14:paraId="1EE89680" w14:textId="77777777" w:rsidTr="00B75E7F">
        <w:trPr>
          <w:trHeight w:val="350"/>
        </w:trPr>
        <w:tc>
          <w:tcPr>
            <w:tcW w:w="5817" w:type="dxa"/>
            <w:gridSpan w:val="2"/>
          </w:tcPr>
          <w:p w14:paraId="1298BE8D" w14:textId="01C3D290"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Pr>
                <w:rFonts w:eastAsia="Times New Roman"/>
                <w:color w:val="000000"/>
                <w:szCs w:val="26"/>
              </w:rPr>
              <w:t>University of Illinois System Office</w:t>
            </w:r>
          </w:p>
        </w:tc>
        <w:tc>
          <w:tcPr>
            <w:tcW w:w="1902" w:type="dxa"/>
            <w:shd w:val="clear" w:color="auto" w:fill="auto"/>
          </w:tcPr>
          <w:p w14:paraId="08D2ED5C" w14:textId="78653B2C" w:rsidR="00A53454" w:rsidRPr="00F3539B" w:rsidRDefault="00A53454"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w:t>
            </w:r>
            <w:r w:rsidR="002E568C">
              <w:rPr>
                <w:rFonts w:eastAsia="Times New Roman"/>
                <w:szCs w:val="26"/>
              </w:rPr>
              <w:t xml:space="preserve"> </w:t>
            </w:r>
            <w:r w:rsidR="00321779">
              <w:rPr>
                <w:rFonts w:eastAsia="Times New Roman"/>
                <w:szCs w:val="26"/>
              </w:rPr>
              <w:t>3,955,000</w:t>
            </w:r>
          </w:p>
        </w:tc>
      </w:tr>
      <w:tr w:rsidR="0003347F" w:rsidRPr="00353536" w14:paraId="47BDA065" w14:textId="77777777" w:rsidTr="00B75E7F">
        <w:trPr>
          <w:trHeight w:val="350"/>
        </w:trPr>
        <w:tc>
          <w:tcPr>
            <w:tcW w:w="5817" w:type="dxa"/>
            <w:gridSpan w:val="2"/>
          </w:tcPr>
          <w:p w14:paraId="73D4FAE8" w14:textId="77777777" w:rsidR="0003347F" w:rsidRPr="00353536" w:rsidRDefault="0003347F"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tc>
        <w:tc>
          <w:tcPr>
            <w:tcW w:w="1902" w:type="dxa"/>
            <w:shd w:val="clear" w:color="auto" w:fill="auto"/>
          </w:tcPr>
          <w:p w14:paraId="4CAA9908" w14:textId="77777777" w:rsidR="0003347F" w:rsidRPr="00F3539B" w:rsidRDefault="0003347F" w:rsidP="00A53454">
            <w:pPr>
              <w:overflowPunct w:val="0"/>
              <w:autoSpaceDE w:val="0"/>
              <w:autoSpaceDN w:val="0"/>
              <w:adjustRightInd w:val="0"/>
              <w:spacing w:after="0" w:line="240" w:lineRule="auto"/>
              <w:textAlignment w:val="baseline"/>
              <w:rPr>
                <w:rFonts w:eastAsia="Times New Roman"/>
                <w:szCs w:val="26"/>
              </w:rPr>
            </w:pPr>
          </w:p>
        </w:tc>
      </w:tr>
      <w:tr w:rsidR="00A53454" w:rsidRPr="00353536" w14:paraId="5449BA2F" w14:textId="77777777" w:rsidTr="00B75E7F">
        <w:trPr>
          <w:trHeight w:val="350"/>
        </w:trPr>
        <w:tc>
          <w:tcPr>
            <w:tcW w:w="5817" w:type="dxa"/>
            <w:gridSpan w:val="2"/>
          </w:tcPr>
          <w:p w14:paraId="41FBB381" w14:textId="359E226F" w:rsidR="00A53454" w:rsidRPr="0003347F"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b/>
                <w:bCs/>
                <w:color w:val="000000"/>
                <w:szCs w:val="26"/>
              </w:rPr>
            </w:pPr>
            <w:r w:rsidRPr="0003347F">
              <w:rPr>
                <w:rFonts w:eastAsia="Times New Roman"/>
                <w:b/>
                <w:bCs/>
                <w:color w:val="000000"/>
                <w:szCs w:val="26"/>
              </w:rPr>
              <w:t>Recommended from Institutional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03347F">
              <w:rPr>
                <w:rFonts w:eastAsia="Times New Roman"/>
                <w:b/>
                <w:bCs/>
                <w:color w:val="000000"/>
                <w:szCs w:val="26"/>
              </w:rPr>
              <w:t>Grand Total</w:t>
            </w:r>
          </w:p>
        </w:tc>
        <w:tc>
          <w:tcPr>
            <w:tcW w:w="1902" w:type="dxa"/>
            <w:shd w:val="clear" w:color="auto" w:fill="auto"/>
          </w:tcPr>
          <w:p w14:paraId="654CF46C" w14:textId="5B6AA501" w:rsidR="00CC0310" w:rsidRPr="00F3539B" w:rsidRDefault="00540E60" w:rsidP="00A53454">
            <w:pPr>
              <w:overflowPunct w:val="0"/>
              <w:autoSpaceDE w:val="0"/>
              <w:autoSpaceDN w:val="0"/>
              <w:adjustRightInd w:val="0"/>
              <w:spacing w:after="0" w:line="240" w:lineRule="auto"/>
              <w:textAlignment w:val="baseline"/>
              <w:rPr>
                <w:rFonts w:eastAsia="Times New Roman"/>
                <w:szCs w:val="26"/>
              </w:rPr>
            </w:pPr>
            <w:r w:rsidRPr="00F3539B">
              <w:rPr>
                <w:rFonts w:eastAsia="Times New Roman"/>
                <w:szCs w:val="26"/>
              </w:rPr>
              <w:t xml:space="preserve">$ </w:t>
            </w:r>
            <w:r w:rsidR="0003347F">
              <w:rPr>
                <w:rFonts w:eastAsia="Times New Roman"/>
                <w:szCs w:val="26"/>
              </w:rPr>
              <w:t>144,955</w:t>
            </w:r>
            <w:r w:rsidR="00321779">
              <w:rPr>
                <w:rFonts w:eastAsia="Times New Roman"/>
                <w:szCs w:val="26"/>
              </w:rPr>
              <w:t>,000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03347F">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3E25" w14:textId="77777777" w:rsidR="00F439C8" w:rsidRDefault="00F439C8" w:rsidP="00A817DF">
      <w:pPr>
        <w:spacing w:after="0" w:line="240" w:lineRule="auto"/>
      </w:pPr>
      <w:r>
        <w:separator/>
      </w:r>
    </w:p>
  </w:endnote>
  <w:endnote w:type="continuationSeparator" w:id="0">
    <w:p w14:paraId="3C5F1AD8" w14:textId="77777777" w:rsidR="00F439C8" w:rsidRDefault="00F439C8"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5F3B9" w14:textId="77777777" w:rsidR="00F439C8" w:rsidRDefault="00F439C8" w:rsidP="00A817DF">
      <w:pPr>
        <w:spacing w:after="0" w:line="240" w:lineRule="auto"/>
      </w:pPr>
      <w:r>
        <w:separator/>
      </w:r>
    </w:p>
  </w:footnote>
  <w:footnote w:type="continuationSeparator" w:id="0">
    <w:p w14:paraId="689F8494" w14:textId="77777777" w:rsidR="00F439C8" w:rsidRDefault="00F439C8"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Y1MTc0MDUxszBS0lEKTi0uzszPAykwqgUApkXK+iwAAAA="/>
  </w:docVars>
  <w:rsids>
    <w:rsidRoot w:val="00790C45"/>
    <w:rsid w:val="000031A9"/>
    <w:rsid w:val="00004D4E"/>
    <w:rsid w:val="00010EA7"/>
    <w:rsid w:val="00012052"/>
    <w:rsid w:val="000143EE"/>
    <w:rsid w:val="00015DC9"/>
    <w:rsid w:val="0003347F"/>
    <w:rsid w:val="00040E89"/>
    <w:rsid w:val="00044FA0"/>
    <w:rsid w:val="00045674"/>
    <w:rsid w:val="00050736"/>
    <w:rsid w:val="000623F4"/>
    <w:rsid w:val="000628A6"/>
    <w:rsid w:val="000650AF"/>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B04AB"/>
    <w:rsid w:val="000B3155"/>
    <w:rsid w:val="000B3742"/>
    <w:rsid w:val="000B5B85"/>
    <w:rsid w:val="000B69D6"/>
    <w:rsid w:val="000C2912"/>
    <w:rsid w:val="000C6006"/>
    <w:rsid w:val="000D35D5"/>
    <w:rsid w:val="000D5BC3"/>
    <w:rsid w:val="000D6281"/>
    <w:rsid w:val="000E15C9"/>
    <w:rsid w:val="000E51D1"/>
    <w:rsid w:val="000E67E0"/>
    <w:rsid w:val="000F53D3"/>
    <w:rsid w:val="000F72ED"/>
    <w:rsid w:val="00112E2B"/>
    <w:rsid w:val="00114F6C"/>
    <w:rsid w:val="0012198B"/>
    <w:rsid w:val="00124B96"/>
    <w:rsid w:val="00125422"/>
    <w:rsid w:val="00130E3F"/>
    <w:rsid w:val="00141D9C"/>
    <w:rsid w:val="00151197"/>
    <w:rsid w:val="00152827"/>
    <w:rsid w:val="001610D8"/>
    <w:rsid w:val="00162A4C"/>
    <w:rsid w:val="00165B0B"/>
    <w:rsid w:val="00172D76"/>
    <w:rsid w:val="001730D7"/>
    <w:rsid w:val="00182841"/>
    <w:rsid w:val="00184765"/>
    <w:rsid w:val="00186E0D"/>
    <w:rsid w:val="00196069"/>
    <w:rsid w:val="001A0B41"/>
    <w:rsid w:val="001A31BF"/>
    <w:rsid w:val="001A33EE"/>
    <w:rsid w:val="001A4080"/>
    <w:rsid w:val="001A5F67"/>
    <w:rsid w:val="001B2AC1"/>
    <w:rsid w:val="001B4A24"/>
    <w:rsid w:val="001B4AC0"/>
    <w:rsid w:val="001B4D8B"/>
    <w:rsid w:val="001B762B"/>
    <w:rsid w:val="001C0C38"/>
    <w:rsid w:val="001C68DD"/>
    <w:rsid w:val="001D3AA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9309F"/>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D403E"/>
    <w:rsid w:val="002E0B93"/>
    <w:rsid w:val="002E1375"/>
    <w:rsid w:val="002E31C2"/>
    <w:rsid w:val="002E44F4"/>
    <w:rsid w:val="002E568C"/>
    <w:rsid w:val="002F04D8"/>
    <w:rsid w:val="002F2D48"/>
    <w:rsid w:val="002F4DAF"/>
    <w:rsid w:val="003045AE"/>
    <w:rsid w:val="00306B06"/>
    <w:rsid w:val="00307B8F"/>
    <w:rsid w:val="00307D0C"/>
    <w:rsid w:val="00314A1E"/>
    <w:rsid w:val="00315A3D"/>
    <w:rsid w:val="003175D4"/>
    <w:rsid w:val="00317DD0"/>
    <w:rsid w:val="00321779"/>
    <w:rsid w:val="00333ECF"/>
    <w:rsid w:val="003376C9"/>
    <w:rsid w:val="00340C7E"/>
    <w:rsid w:val="00343729"/>
    <w:rsid w:val="00346ABB"/>
    <w:rsid w:val="00352BEB"/>
    <w:rsid w:val="00353536"/>
    <w:rsid w:val="00354DFE"/>
    <w:rsid w:val="00357D48"/>
    <w:rsid w:val="00361DE1"/>
    <w:rsid w:val="00372028"/>
    <w:rsid w:val="00380E12"/>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6B4E"/>
    <w:rsid w:val="003D7C25"/>
    <w:rsid w:val="003E14BF"/>
    <w:rsid w:val="003E1FA3"/>
    <w:rsid w:val="003E42E4"/>
    <w:rsid w:val="003E5A9D"/>
    <w:rsid w:val="003E62CF"/>
    <w:rsid w:val="003F3C8D"/>
    <w:rsid w:val="003F4DDE"/>
    <w:rsid w:val="003F6C7A"/>
    <w:rsid w:val="00407C9C"/>
    <w:rsid w:val="00416087"/>
    <w:rsid w:val="00420B03"/>
    <w:rsid w:val="00425BB7"/>
    <w:rsid w:val="00426458"/>
    <w:rsid w:val="00427DA3"/>
    <w:rsid w:val="00431751"/>
    <w:rsid w:val="00435F85"/>
    <w:rsid w:val="00437797"/>
    <w:rsid w:val="00450F9C"/>
    <w:rsid w:val="00454CE3"/>
    <w:rsid w:val="00457CDE"/>
    <w:rsid w:val="00464D6F"/>
    <w:rsid w:val="00467717"/>
    <w:rsid w:val="00470228"/>
    <w:rsid w:val="0047290A"/>
    <w:rsid w:val="00473D75"/>
    <w:rsid w:val="00477568"/>
    <w:rsid w:val="00480227"/>
    <w:rsid w:val="00481670"/>
    <w:rsid w:val="0048342A"/>
    <w:rsid w:val="004855DE"/>
    <w:rsid w:val="00487510"/>
    <w:rsid w:val="004A1335"/>
    <w:rsid w:val="004A6CB4"/>
    <w:rsid w:val="004A7669"/>
    <w:rsid w:val="004A7B2E"/>
    <w:rsid w:val="004B23AD"/>
    <w:rsid w:val="004B2BDA"/>
    <w:rsid w:val="004C0608"/>
    <w:rsid w:val="004C43B8"/>
    <w:rsid w:val="004E2F4F"/>
    <w:rsid w:val="004F0280"/>
    <w:rsid w:val="004F31D7"/>
    <w:rsid w:val="004F787F"/>
    <w:rsid w:val="005122F2"/>
    <w:rsid w:val="005145D8"/>
    <w:rsid w:val="00517741"/>
    <w:rsid w:val="00525289"/>
    <w:rsid w:val="00525D4A"/>
    <w:rsid w:val="00526A44"/>
    <w:rsid w:val="00537F38"/>
    <w:rsid w:val="00540E60"/>
    <w:rsid w:val="00542702"/>
    <w:rsid w:val="00552EB0"/>
    <w:rsid w:val="00555371"/>
    <w:rsid w:val="0057172C"/>
    <w:rsid w:val="005733AC"/>
    <w:rsid w:val="00573A23"/>
    <w:rsid w:val="005745EF"/>
    <w:rsid w:val="005917CC"/>
    <w:rsid w:val="005978EE"/>
    <w:rsid w:val="005C38D7"/>
    <w:rsid w:val="005C393C"/>
    <w:rsid w:val="005C45AE"/>
    <w:rsid w:val="005D08FB"/>
    <w:rsid w:val="005D66E5"/>
    <w:rsid w:val="005D6AAE"/>
    <w:rsid w:val="005D6E7E"/>
    <w:rsid w:val="005E0483"/>
    <w:rsid w:val="005E0799"/>
    <w:rsid w:val="005E6979"/>
    <w:rsid w:val="005E70D5"/>
    <w:rsid w:val="00602119"/>
    <w:rsid w:val="0060572F"/>
    <w:rsid w:val="006059B6"/>
    <w:rsid w:val="00606D2C"/>
    <w:rsid w:val="00610227"/>
    <w:rsid w:val="00621395"/>
    <w:rsid w:val="00631E2A"/>
    <w:rsid w:val="00652AC9"/>
    <w:rsid w:val="00652B42"/>
    <w:rsid w:val="00652F1D"/>
    <w:rsid w:val="00653A15"/>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4B9B"/>
    <w:rsid w:val="006D7B82"/>
    <w:rsid w:val="006E2C01"/>
    <w:rsid w:val="006F037C"/>
    <w:rsid w:val="006F4DF5"/>
    <w:rsid w:val="006F53BA"/>
    <w:rsid w:val="00703E4D"/>
    <w:rsid w:val="00711093"/>
    <w:rsid w:val="00711A18"/>
    <w:rsid w:val="00722FAD"/>
    <w:rsid w:val="00725371"/>
    <w:rsid w:val="00725DF2"/>
    <w:rsid w:val="00755CE8"/>
    <w:rsid w:val="0076023D"/>
    <w:rsid w:val="0076251E"/>
    <w:rsid w:val="007666D1"/>
    <w:rsid w:val="00766DF6"/>
    <w:rsid w:val="0077417A"/>
    <w:rsid w:val="00777270"/>
    <w:rsid w:val="007801FE"/>
    <w:rsid w:val="00780A50"/>
    <w:rsid w:val="00790C45"/>
    <w:rsid w:val="007928FD"/>
    <w:rsid w:val="007955CD"/>
    <w:rsid w:val="00795EBC"/>
    <w:rsid w:val="007A02CB"/>
    <w:rsid w:val="007A129A"/>
    <w:rsid w:val="007A46D4"/>
    <w:rsid w:val="007B4850"/>
    <w:rsid w:val="007B49EB"/>
    <w:rsid w:val="007C715E"/>
    <w:rsid w:val="007D2DAF"/>
    <w:rsid w:val="007D384F"/>
    <w:rsid w:val="007E11BA"/>
    <w:rsid w:val="007E5C88"/>
    <w:rsid w:val="007F0D35"/>
    <w:rsid w:val="007F1BA7"/>
    <w:rsid w:val="007F1D28"/>
    <w:rsid w:val="007F2C48"/>
    <w:rsid w:val="00800461"/>
    <w:rsid w:val="00802220"/>
    <w:rsid w:val="00803F05"/>
    <w:rsid w:val="00804CCE"/>
    <w:rsid w:val="00806DE8"/>
    <w:rsid w:val="0081669D"/>
    <w:rsid w:val="00821EB7"/>
    <w:rsid w:val="00821FD8"/>
    <w:rsid w:val="00822060"/>
    <w:rsid w:val="00824193"/>
    <w:rsid w:val="008327E0"/>
    <w:rsid w:val="008331ED"/>
    <w:rsid w:val="008338E5"/>
    <w:rsid w:val="00833E5D"/>
    <w:rsid w:val="00834684"/>
    <w:rsid w:val="00837CEB"/>
    <w:rsid w:val="00840758"/>
    <w:rsid w:val="00850E03"/>
    <w:rsid w:val="00852D8E"/>
    <w:rsid w:val="00856201"/>
    <w:rsid w:val="0086174B"/>
    <w:rsid w:val="00862ECF"/>
    <w:rsid w:val="00866607"/>
    <w:rsid w:val="008667B4"/>
    <w:rsid w:val="0087780B"/>
    <w:rsid w:val="0088073D"/>
    <w:rsid w:val="00881246"/>
    <w:rsid w:val="008856C6"/>
    <w:rsid w:val="00896404"/>
    <w:rsid w:val="008A0A3A"/>
    <w:rsid w:val="008A49BE"/>
    <w:rsid w:val="008A5F5A"/>
    <w:rsid w:val="008A76F6"/>
    <w:rsid w:val="008B1803"/>
    <w:rsid w:val="008C5291"/>
    <w:rsid w:val="008D3D78"/>
    <w:rsid w:val="008E48B9"/>
    <w:rsid w:val="0090482B"/>
    <w:rsid w:val="009112AA"/>
    <w:rsid w:val="009123DE"/>
    <w:rsid w:val="009140AC"/>
    <w:rsid w:val="00916E9E"/>
    <w:rsid w:val="0091703F"/>
    <w:rsid w:val="009208B6"/>
    <w:rsid w:val="0092193D"/>
    <w:rsid w:val="00923084"/>
    <w:rsid w:val="009239A5"/>
    <w:rsid w:val="0093137B"/>
    <w:rsid w:val="00932F29"/>
    <w:rsid w:val="00934E68"/>
    <w:rsid w:val="00934FC6"/>
    <w:rsid w:val="00937704"/>
    <w:rsid w:val="009412F7"/>
    <w:rsid w:val="00942EF6"/>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B228E"/>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273C9"/>
    <w:rsid w:val="00A33C67"/>
    <w:rsid w:val="00A36B77"/>
    <w:rsid w:val="00A37123"/>
    <w:rsid w:val="00A44D7C"/>
    <w:rsid w:val="00A4617C"/>
    <w:rsid w:val="00A4643B"/>
    <w:rsid w:val="00A46510"/>
    <w:rsid w:val="00A5086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6BCE"/>
    <w:rsid w:val="00AE5100"/>
    <w:rsid w:val="00AE655F"/>
    <w:rsid w:val="00AE6FCA"/>
    <w:rsid w:val="00AE7E41"/>
    <w:rsid w:val="00AF1920"/>
    <w:rsid w:val="00AF7580"/>
    <w:rsid w:val="00AF7A7C"/>
    <w:rsid w:val="00B0000D"/>
    <w:rsid w:val="00B07E57"/>
    <w:rsid w:val="00B16D5F"/>
    <w:rsid w:val="00B175A3"/>
    <w:rsid w:val="00B32B03"/>
    <w:rsid w:val="00B34107"/>
    <w:rsid w:val="00B37520"/>
    <w:rsid w:val="00B42172"/>
    <w:rsid w:val="00B42D4C"/>
    <w:rsid w:val="00B51B04"/>
    <w:rsid w:val="00B53ECD"/>
    <w:rsid w:val="00B557C9"/>
    <w:rsid w:val="00B55900"/>
    <w:rsid w:val="00B57AE3"/>
    <w:rsid w:val="00B62DED"/>
    <w:rsid w:val="00B64B99"/>
    <w:rsid w:val="00B64FF8"/>
    <w:rsid w:val="00B7436F"/>
    <w:rsid w:val="00B74CD2"/>
    <w:rsid w:val="00B75E7F"/>
    <w:rsid w:val="00B75F06"/>
    <w:rsid w:val="00B775E6"/>
    <w:rsid w:val="00B77647"/>
    <w:rsid w:val="00B81279"/>
    <w:rsid w:val="00B81529"/>
    <w:rsid w:val="00B93AC4"/>
    <w:rsid w:val="00B973C4"/>
    <w:rsid w:val="00BA1D2D"/>
    <w:rsid w:val="00BA1FD0"/>
    <w:rsid w:val="00BA31FA"/>
    <w:rsid w:val="00BB45D5"/>
    <w:rsid w:val="00BD5FE0"/>
    <w:rsid w:val="00BD6175"/>
    <w:rsid w:val="00BE6129"/>
    <w:rsid w:val="00BF045D"/>
    <w:rsid w:val="00BF0F74"/>
    <w:rsid w:val="00BF29E2"/>
    <w:rsid w:val="00BF79DF"/>
    <w:rsid w:val="00C16DFA"/>
    <w:rsid w:val="00C279B8"/>
    <w:rsid w:val="00C411D8"/>
    <w:rsid w:val="00C413AA"/>
    <w:rsid w:val="00C41497"/>
    <w:rsid w:val="00C421B2"/>
    <w:rsid w:val="00C4531C"/>
    <w:rsid w:val="00C54A45"/>
    <w:rsid w:val="00C56EDF"/>
    <w:rsid w:val="00C70B26"/>
    <w:rsid w:val="00C71135"/>
    <w:rsid w:val="00C754ED"/>
    <w:rsid w:val="00CA1216"/>
    <w:rsid w:val="00CA6A48"/>
    <w:rsid w:val="00CA7D87"/>
    <w:rsid w:val="00CB17B7"/>
    <w:rsid w:val="00CB625C"/>
    <w:rsid w:val="00CC0310"/>
    <w:rsid w:val="00CD1907"/>
    <w:rsid w:val="00CD33D1"/>
    <w:rsid w:val="00CD3429"/>
    <w:rsid w:val="00CD4B28"/>
    <w:rsid w:val="00CD6439"/>
    <w:rsid w:val="00CE2E77"/>
    <w:rsid w:val="00CE657C"/>
    <w:rsid w:val="00CF0EC5"/>
    <w:rsid w:val="00CF6C35"/>
    <w:rsid w:val="00CF7DF5"/>
    <w:rsid w:val="00D0051A"/>
    <w:rsid w:val="00D058D4"/>
    <w:rsid w:val="00D1519C"/>
    <w:rsid w:val="00D20528"/>
    <w:rsid w:val="00D20988"/>
    <w:rsid w:val="00D2252D"/>
    <w:rsid w:val="00D23363"/>
    <w:rsid w:val="00D30961"/>
    <w:rsid w:val="00D33D9D"/>
    <w:rsid w:val="00D452DC"/>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F4C72"/>
    <w:rsid w:val="00DF4DBC"/>
    <w:rsid w:val="00E026AB"/>
    <w:rsid w:val="00E11F13"/>
    <w:rsid w:val="00E31D29"/>
    <w:rsid w:val="00E32C89"/>
    <w:rsid w:val="00E3408D"/>
    <w:rsid w:val="00E44C01"/>
    <w:rsid w:val="00E44D3C"/>
    <w:rsid w:val="00E50F57"/>
    <w:rsid w:val="00E53494"/>
    <w:rsid w:val="00E612F0"/>
    <w:rsid w:val="00E6345C"/>
    <w:rsid w:val="00E65C97"/>
    <w:rsid w:val="00E678BD"/>
    <w:rsid w:val="00E735D3"/>
    <w:rsid w:val="00E757FE"/>
    <w:rsid w:val="00E7643A"/>
    <w:rsid w:val="00E805DA"/>
    <w:rsid w:val="00E805FF"/>
    <w:rsid w:val="00E859F8"/>
    <w:rsid w:val="00E94B0E"/>
    <w:rsid w:val="00EA78BD"/>
    <w:rsid w:val="00EB675E"/>
    <w:rsid w:val="00EC15E3"/>
    <w:rsid w:val="00EC160D"/>
    <w:rsid w:val="00EC188D"/>
    <w:rsid w:val="00EC4354"/>
    <w:rsid w:val="00EC5861"/>
    <w:rsid w:val="00ED2FEE"/>
    <w:rsid w:val="00ED57F4"/>
    <w:rsid w:val="00EF06B3"/>
    <w:rsid w:val="00EF100E"/>
    <w:rsid w:val="00EF2B70"/>
    <w:rsid w:val="00EF33AD"/>
    <w:rsid w:val="00EF47C6"/>
    <w:rsid w:val="00F03156"/>
    <w:rsid w:val="00F052D8"/>
    <w:rsid w:val="00F073A6"/>
    <w:rsid w:val="00F076EC"/>
    <w:rsid w:val="00F122AF"/>
    <w:rsid w:val="00F13CFE"/>
    <w:rsid w:val="00F1447F"/>
    <w:rsid w:val="00F17643"/>
    <w:rsid w:val="00F20188"/>
    <w:rsid w:val="00F22646"/>
    <w:rsid w:val="00F23B9C"/>
    <w:rsid w:val="00F3108F"/>
    <w:rsid w:val="00F32041"/>
    <w:rsid w:val="00F33945"/>
    <w:rsid w:val="00F33E3E"/>
    <w:rsid w:val="00F3539B"/>
    <w:rsid w:val="00F35A06"/>
    <w:rsid w:val="00F376EB"/>
    <w:rsid w:val="00F37A72"/>
    <w:rsid w:val="00F41ABD"/>
    <w:rsid w:val="00F4322A"/>
    <w:rsid w:val="00F439C8"/>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1B5A"/>
    <w:rsid w:val="00FD438A"/>
    <w:rsid w:val="00FE3653"/>
    <w:rsid w:val="00FE4204"/>
    <w:rsid w:val="00FF18D3"/>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55461">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194879947">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398434108">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35215597">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18</cp:revision>
  <cp:lastPrinted>2024-11-05T16:55:00Z</cp:lastPrinted>
  <dcterms:created xsi:type="dcterms:W3CDTF">2024-10-18T13:18:00Z</dcterms:created>
  <dcterms:modified xsi:type="dcterms:W3CDTF">2024-11-14T17:46:00Z</dcterms:modified>
</cp:coreProperties>
</file>