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5B86" w14:textId="77777777" w:rsidR="006D2677" w:rsidRPr="006D2677" w:rsidRDefault="006D2677" w:rsidP="006D26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6D2677">
        <w:rPr>
          <w:rFonts w:eastAsia="Times New Roman"/>
          <w:color w:val="FF0000"/>
          <w:szCs w:val="26"/>
        </w:rPr>
        <w:t>Approved by the Board of Trustees</w:t>
      </w:r>
    </w:p>
    <w:bookmarkEnd w:id="0"/>
    <w:bookmarkEnd w:id="1"/>
    <w:p w14:paraId="764BDA73" w14:textId="77777777" w:rsidR="006D2677" w:rsidRPr="006D2677" w:rsidRDefault="006D2677" w:rsidP="006D26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6D2677">
        <w:rPr>
          <w:rFonts w:eastAsia="Times New Roman"/>
          <w:color w:val="FF0000"/>
          <w:szCs w:val="26"/>
        </w:rPr>
        <w:t>November 14, 2024</w:t>
      </w:r>
    </w:p>
    <w:p w14:paraId="6E36DDA8" w14:textId="378729C8" w:rsidR="002F2D48" w:rsidRPr="006F284F" w:rsidRDefault="00B070EB"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QP 03</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7156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0F496E57" w:rsidR="002F2D48" w:rsidRPr="006F284F" w:rsidRDefault="00A46510" w:rsidP="007156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November 14</w:t>
      </w:r>
      <w:r w:rsidR="002F2D48" w:rsidRPr="006F284F">
        <w:rPr>
          <w:rFonts w:eastAsia="Times New Roman"/>
          <w:szCs w:val="26"/>
        </w:rPr>
        <w:t>, 2024</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6E21824F" w:rsidR="002F2D48" w:rsidRPr="006F284F"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6F284F">
        <w:rPr>
          <w:rFonts w:eastAsia="Times New Roman"/>
          <w:color w:val="000000"/>
          <w:szCs w:val="26"/>
        </w:rPr>
        <w:t>PURCHASE RECOMMENDATIONS</w:t>
      </w:r>
      <w:r w:rsidR="00640182">
        <w:rPr>
          <w:rFonts w:eastAsia="Times New Roman"/>
          <w:color w:val="000000"/>
          <w:szCs w:val="26"/>
        </w:rPr>
        <w:t xml:space="preserve"> FOR ILLINOIS QUANTUM AND MICROELECTRONICS PARK, LLC</w:t>
      </w:r>
    </w:p>
    <w:p w14:paraId="5B7E567D"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03D9C469"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w:t>
      </w:r>
      <w:r w:rsidR="00A3649D">
        <w:rPr>
          <w:rFonts w:eastAsia="Times New Roman"/>
          <w:color w:val="000000"/>
          <w:szCs w:val="26"/>
        </w:rPr>
        <w:t xml:space="preserve">the </w:t>
      </w:r>
      <w:r w:rsidR="009C502B">
        <w:rPr>
          <w:rFonts w:eastAsia="Times New Roman"/>
          <w:color w:val="000000"/>
          <w:szCs w:val="26"/>
        </w:rPr>
        <w:t xml:space="preserve">Board of Managers for the </w:t>
      </w:r>
      <w:r w:rsidR="007156B1">
        <w:rPr>
          <w:rFonts w:eastAsia="Times New Roman"/>
          <w:color w:val="000000"/>
          <w:szCs w:val="26"/>
        </w:rPr>
        <w:t>Illinois Quantum and Microelectronics Park, LLC (</w:t>
      </w:r>
      <w:r w:rsidR="009C502B">
        <w:rPr>
          <w:rFonts w:eastAsia="Times New Roman"/>
          <w:color w:val="000000"/>
          <w:szCs w:val="26"/>
        </w:rPr>
        <w:t>IQMP</w:t>
      </w:r>
      <w:r w:rsidR="007156B1">
        <w:rPr>
          <w:rFonts w:eastAsia="Times New Roman"/>
          <w:color w:val="000000"/>
          <w:szCs w:val="26"/>
        </w:rPr>
        <w:t>)</w:t>
      </w:r>
      <w:r w:rsidR="00683BA2">
        <w:rPr>
          <w:rFonts w:eastAsia="Times New Roman"/>
          <w:color w:val="000000"/>
          <w:szCs w:val="26"/>
        </w:rPr>
        <w:t xml:space="preserve"> for the approval of the Board of Trustees of the University of Illinois as the sole member of </w:t>
      </w:r>
      <w:r w:rsidR="007156B1">
        <w:rPr>
          <w:rFonts w:eastAsia="Times New Roman"/>
          <w:color w:val="000000"/>
          <w:szCs w:val="26"/>
        </w:rPr>
        <w:t>IQMP</w:t>
      </w:r>
      <w:r w:rsidR="00683BA2">
        <w:rPr>
          <w:rFonts w:eastAsia="Times New Roman"/>
          <w:color w:val="000000"/>
          <w:szCs w:val="26"/>
        </w:rPr>
        <w:t>.</w:t>
      </w:r>
      <w:r w:rsidR="00DA5FF6">
        <w:rPr>
          <w:rFonts w:eastAsia="Times New Roman"/>
          <w:color w:val="000000"/>
          <w:szCs w:val="26"/>
        </w:rPr>
        <w:t xml:space="preserve"> </w:t>
      </w:r>
      <w:r w:rsidRPr="006F284F">
        <w:rPr>
          <w:rFonts w:eastAsia="Times New Roman"/>
          <w:color w:val="000000"/>
          <w:szCs w:val="26"/>
        </w:rPr>
        <w:t>The purchases are to be funded from institutional funds.</w:t>
      </w:r>
      <w:r w:rsidR="00640182">
        <w:rPr>
          <w:rFonts w:eastAsia="Times New Roman"/>
          <w:color w:val="000000"/>
          <w:szCs w:val="26"/>
        </w:rPr>
        <w:t xml:space="preserve"> </w:t>
      </w:r>
      <w:r w:rsidRPr="006F284F">
        <w:rPr>
          <w:rFonts w:eastAsia="Times New Roman"/>
          <w:color w:val="000000"/>
          <w:szCs w:val="26"/>
        </w:rPr>
        <w:t>Unless otherwise specified or indicated, purchases are based on the lowest acceptable bid.</w:t>
      </w:r>
      <w:r w:rsidR="00640182">
        <w:rPr>
          <w:rFonts w:eastAsia="Times New Roman"/>
          <w:color w:val="000000"/>
          <w:szCs w:val="26"/>
        </w:rPr>
        <w:t xml:space="preserve"> </w:t>
      </w:r>
      <w:r w:rsidRPr="006F284F">
        <w:rPr>
          <w:rFonts w:eastAsia="Times New Roman"/>
          <w:color w:val="000000"/>
          <w:szCs w:val="26"/>
        </w:rPr>
        <w:t xml:space="preserve">The </w:t>
      </w:r>
      <w:r w:rsidR="00640182">
        <w:rPr>
          <w:rFonts w:eastAsia="Times New Roman"/>
          <w:color w:val="000000"/>
          <w:szCs w:val="26"/>
        </w:rPr>
        <w:t>v</w:t>
      </w:r>
      <w:r w:rsidRPr="006F284F">
        <w:rPr>
          <w:rFonts w:eastAsia="Times New Roman"/>
          <w:color w:val="000000"/>
          <w:szCs w:val="26"/>
        </w:rPr>
        <w:t xml:space="preserve">ice </w:t>
      </w:r>
      <w:r w:rsidR="00640182">
        <w:rPr>
          <w:rFonts w:eastAsia="Times New Roman"/>
          <w:color w:val="000000"/>
          <w:szCs w:val="26"/>
        </w:rPr>
        <w:t>p</w:t>
      </w:r>
      <w:r w:rsidRPr="006F284F">
        <w:rPr>
          <w:rFonts w:eastAsia="Times New Roman"/>
          <w:color w:val="000000"/>
          <w:szCs w:val="26"/>
        </w:rPr>
        <w:t>resident</w:t>
      </w:r>
      <w:r w:rsidR="00640182">
        <w:rPr>
          <w:rFonts w:eastAsia="Times New Roman"/>
          <w:color w:val="000000"/>
          <w:szCs w:val="26"/>
        </w:rPr>
        <w:t>/c</w:t>
      </w:r>
      <w:r w:rsidRPr="006F284F">
        <w:rPr>
          <w:rFonts w:eastAsia="Times New Roman"/>
          <w:color w:val="000000"/>
          <w:szCs w:val="26"/>
        </w:rPr>
        <w:t xml:space="preserve">hief </w:t>
      </w:r>
      <w:r w:rsidR="00640182">
        <w:rPr>
          <w:rFonts w:eastAsia="Times New Roman"/>
          <w:color w:val="000000"/>
          <w:szCs w:val="26"/>
        </w:rPr>
        <w:t>f</w:t>
      </w:r>
      <w:r w:rsidRPr="006F284F">
        <w:rPr>
          <w:rFonts w:eastAsia="Times New Roman"/>
          <w:color w:val="000000"/>
          <w:szCs w:val="26"/>
        </w:rPr>
        <w:t xml:space="preserve">inancial </w:t>
      </w:r>
      <w:r w:rsidR="00640182">
        <w:rPr>
          <w:rFonts w:eastAsia="Times New Roman"/>
          <w:color w:val="000000"/>
          <w:szCs w:val="26"/>
        </w:rPr>
        <w:t>o</w:t>
      </w:r>
      <w:r w:rsidRPr="006F284F">
        <w:rPr>
          <w:rFonts w:eastAsia="Times New Roman"/>
          <w:color w:val="000000"/>
          <w:szCs w:val="26"/>
        </w:rPr>
        <w:t xml:space="preserve">fficer and </w:t>
      </w:r>
      <w:r w:rsidR="00640182">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w:t>
      </w:r>
      <w:r w:rsidR="00640182" w:rsidRPr="007156B1">
        <w:rPr>
          <w:rFonts w:eastAsia="Times New Roman"/>
          <w:i/>
          <w:iCs/>
          <w:color w:val="000000"/>
          <w:szCs w:val="26"/>
        </w:rPr>
        <w:t>The</w:t>
      </w:r>
      <w:r w:rsidR="00640182" w:rsidRPr="006F284F">
        <w:rPr>
          <w:rFonts w:eastAsia="Times New Roman"/>
          <w:color w:val="000000"/>
          <w:szCs w:val="26"/>
        </w:rPr>
        <w:t xml:space="preserve"> </w:t>
      </w:r>
      <w:r w:rsidRPr="006F284F">
        <w:rPr>
          <w:rFonts w:eastAsia="Times New Roman"/>
          <w:i/>
          <w:color w:val="000000"/>
          <w:szCs w:val="26"/>
        </w:rPr>
        <w:t>General Rules Concerning University Organization and Procedure.</w:t>
      </w:r>
    </w:p>
    <w:p w14:paraId="702878B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69DBCC33"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sidR="00640182">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w:t>
      </w:r>
      <w:r w:rsidRPr="007156B1">
        <w:rPr>
          <w:rFonts w:eastAsia="Times New Roman"/>
          <w:iCs/>
          <w:color w:val="000000"/>
          <w:szCs w:val="26"/>
        </w:rPr>
        <w:t>,</w:t>
      </w:r>
      <w:r w:rsidRPr="006F284F">
        <w:rPr>
          <w:rFonts w:eastAsia="Times New Roman"/>
          <w:i/>
          <w:color w:val="000000"/>
          <w:szCs w:val="26"/>
        </w:rPr>
        <w:t xml:space="preserve"> The General Rules Concerning University Organization and Procedure</w:t>
      </w:r>
      <w:r w:rsidRPr="006F284F">
        <w:rPr>
          <w:rFonts w:eastAsia="Times New Roman"/>
          <w:color w:val="000000"/>
          <w:szCs w:val="26"/>
        </w:rPr>
        <w:t>, and Board of Trustees policies and directives.</w:t>
      </w:r>
    </w:p>
    <w:p w14:paraId="552D226E"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5FEB6345" w14:textId="77777777" w:rsidR="006722F9" w:rsidRDefault="006722F9" w:rsidP="00252F86">
      <w:pPr>
        <w:spacing w:after="0" w:line="240" w:lineRule="auto"/>
        <w:jc w:val="center"/>
        <w:rPr>
          <w:b/>
          <w:szCs w:val="26"/>
        </w:rPr>
      </w:pPr>
    </w:p>
    <w:tbl>
      <w:tblPr>
        <w:tblW w:w="9470" w:type="dxa"/>
        <w:tblLayout w:type="fixed"/>
        <w:tblCellMar>
          <w:left w:w="72" w:type="dxa"/>
          <w:right w:w="72" w:type="dxa"/>
        </w:tblCellMar>
        <w:tblLook w:val="0000" w:firstRow="0" w:lastRow="0" w:firstColumn="0" w:lastColumn="0" w:noHBand="0" w:noVBand="0"/>
      </w:tblPr>
      <w:tblGrid>
        <w:gridCol w:w="342"/>
        <w:gridCol w:w="990"/>
        <w:gridCol w:w="18"/>
        <w:gridCol w:w="8100"/>
        <w:gridCol w:w="20"/>
      </w:tblGrid>
      <w:tr w:rsidR="00F052D8" w:rsidRPr="00353536" w14:paraId="6B2BEDBF" w14:textId="77777777" w:rsidTr="00397EC9">
        <w:trPr>
          <w:trHeight w:val="333"/>
        </w:trPr>
        <w:tc>
          <w:tcPr>
            <w:tcW w:w="342" w:type="dxa"/>
          </w:tcPr>
          <w:p w14:paraId="2E72356C" w14:textId="77777777" w:rsidR="00F052D8" w:rsidRDefault="00F052D8" w:rsidP="00F052D8">
            <w:pPr>
              <w:pStyle w:val="NoSpacing"/>
              <w:jc w:val="both"/>
              <w:rPr>
                <w:sz w:val="26"/>
                <w:szCs w:val="26"/>
              </w:rPr>
            </w:pPr>
          </w:p>
        </w:tc>
        <w:tc>
          <w:tcPr>
            <w:tcW w:w="1008" w:type="dxa"/>
            <w:gridSpan w:val="2"/>
            <w:shd w:val="clear" w:color="auto" w:fill="auto"/>
          </w:tcPr>
          <w:p w14:paraId="6E7830BF" w14:textId="77777777" w:rsidR="00F052D8" w:rsidRPr="00353536" w:rsidRDefault="00F052D8" w:rsidP="00F052D8">
            <w:pPr>
              <w:pStyle w:val="NoSpacing"/>
              <w:jc w:val="both"/>
              <w:rPr>
                <w:sz w:val="26"/>
                <w:szCs w:val="26"/>
              </w:rPr>
            </w:pPr>
          </w:p>
        </w:tc>
        <w:tc>
          <w:tcPr>
            <w:tcW w:w="8120" w:type="dxa"/>
            <w:gridSpan w:val="2"/>
            <w:shd w:val="clear" w:color="auto" w:fill="auto"/>
          </w:tcPr>
          <w:p w14:paraId="13F2F84A" w14:textId="004D2A6C" w:rsidR="00F052D8" w:rsidRDefault="00474452" w:rsidP="00E958B1">
            <w:pPr>
              <w:spacing w:after="0"/>
              <w:jc w:val="center"/>
              <w:rPr>
                <w:szCs w:val="26"/>
              </w:rPr>
            </w:pPr>
            <w:r>
              <w:rPr>
                <w:rFonts w:eastAsia="Times New Roman"/>
                <w:b/>
                <w:color w:val="000000"/>
                <w:szCs w:val="26"/>
              </w:rPr>
              <w:t>Purchases Recommended</w:t>
            </w:r>
          </w:p>
        </w:tc>
      </w:tr>
      <w:tr w:rsidR="00F052D8" w:rsidRPr="00353536" w14:paraId="3B7F5514" w14:textId="77777777" w:rsidTr="00397EC9">
        <w:trPr>
          <w:trHeight w:val="333"/>
        </w:trPr>
        <w:tc>
          <w:tcPr>
            <w:tcW w:w="342" w:type="dxa"/>
          </w:tcPr>
          <w:p w14:paraId="2CC7D3AD" w14:textId="77777777" w:rsidR="00F052D8" w:rsidRDefault="00F052D8" w:rsidP="00F052D8">
            <w:pPr>
              <w:pStyle w:val="NoSpacing"/>
              <w:jc w:val="both"/>
              <w:rPr>
                <w:sz w:val="26"/>
                <w:szCs w:val="26"/>
              </w:rPr>
            </w:pPr>
          </w:p>
        </w:tc>
        <w:tc>
          <w:tcPr>
            <w:tcW w:w="1008" w:type="dxa"/>
            <w:gridSpan w:val="2"/>
            <w:shd w:val="clear" w:color="auto" w:fill="auto"/>
          </w:tcPr>
          <w:p w14:paraId="09106E5D" w14:textId="77777777" w:rsidR="00F052D8" w:rsidRPr="00353536" w:rsidRDefault="00F052D8" w:rsidP="00F052D8">
            <w:pPr>
              <w:pStyle w:val="NoSpacing"/>
              <w:jc w:val="both"/>
              <w:rPr>
                <w:sz w:val="26"/>
                <w:szCs w:val="26"/>
              </w:rPr>
            </w:pPr>
          </w:p>
        </w:tc>
        <w:tc>
          <w:tcPr>
            <w:tcW w:w="8120" w:type="dxa"/>
            <w:gridSpan w:val="2"/>
            <w:shd w:val="clear" w:color="auto" w:fill="auto"/>
          </w:tcPr>
          <w:p w14:paraId="5666A972" w14:textId="1B571B1A" w:rsidR="00F052D8" w:rsidRDefault="00F052D8" w:rsidP="00F052D8">
            <w:pPr>
              <w:spacing w:after="0"/>
              <w:jc w:val="both"/>
              <w:rPr>
                <w:szCs w:val="26"/>
              </w:rPr>
            </w:pPr>
          </w:p>
        </w:tc>
      </w:tr>
      <w:tr w:rsidR="00F052D8" w:rsidRPr="00353536" w14:paraId="3B87A92D" w14:textId="77777777" w:rsidTr="00397EC9">
        <w:trPr>
          <w:trHeight w:val="333"/>
        </w:trPr>
        <w:tc>
          <w:tcPr>
            <w:tcW w:w="9470" w:type="dxa"/>
            <w:gridSpan w:val="5"/>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353536" w14:paraId="2A83060F" w14:textId="77777777" w:rsidTr="00701ADE">
              <w:trPr>
                <w:trHeight w:val="114"/>
              </w:trPr>
              <w:tc>
                <w:tcPr>
                  <w:tcW w:w="9454" w:type="dxa"/>
                  <w:tcBorders>
                    <w:top w:val="single" w:sz="18" w:space="0" w:color="auto"/>
                    <w:bottom w:val="single" w:sz="18" w:space="0" w:color="auto"/>
                  </w:tcBorders>
                </w:tcPr>
                <w:p w14:paraId="41F68CC4" w14:textId="1702028F" w:rsidR="00F052D8" w:rsidRPr="00353536"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474452">
                    <w:rPr>
                      <w:rFonts w:eastAsia="Times New Roman"/>
                      <w:b/>
                      <w:szCs w:val="26"/>
                    </w:rPr>
                    <w:t xml:space="preserve">University of Illinois </w:t>
                  </w:r>
                  <w:r w:rsidR="00640182">
                    <w:rPr>
                      <w:rFonts w:eastAsia="Times New Roman"/>
                      <w:b/>
                      <w:szCs w:val="26"/>
                    </w:rPr>
                    <w:t>Urbana-Champaign</w:t>
                  </w:r>
                </w:p>
              </w:tc>
            </w:tr>
          </w:tbl>
          <w:p w14:paraId="385F4FDD" w14:textId="77777777" w:rsidR="00F052D8" w:rsidRDefault="00F052D8" w:rsidP="00F052D8">
            <w:pPr>
              <w:spacing w:after="0"/>
              <w:jc w:val="both"/>
              <w:rPr>
                <w:szCs w:val="26"/>
              </w:rPr>
            </w:pPr>
          </w:p>
        </w:tc>
      </w:tr>
      <w:tr w:rsidR="00F052D8" w:rsidRPr="00811BDD" w14:paraId="7A096C94" w14:textId="77777777" w:rsidTr="00397EC9">
        <w:trPr>
          <w:trHeight w:val="333"/>
        </w:trPr>
        <w:tc>
          <w:tcPr>
            <w:tcW w:w="342" w:type="dxa"/>
            <w:tcBorders>
              <w:bottom w:val="double" w:sz="4" w:space="0" w:color="auto"/>
            </w:tcBorders>
          </w:tcPr>
          <w:p w14:paraId="7CCA554E" w14:textId="3CFB61BC" w:rsidR="00F052D8" w:rsidRPr="00811BDD" w:rsidRDefault="00A46510" w:rsidP="00F052D8">
            <w:pPr>
              <w:pStyle w:val="NoSpacing"/>
              <w:jc w:val="both"/>
              <w:rPr>
                <w:sz w:val="24"/>
                <w:szCs w:val="24"/>
              </w:rPr>
            </w:pPr>
            <w:r w:rsidRPr="00811BDD">
              <w:rPr>
                <w:sz w:val="24"/>
                <w:szCs w:val="24"/>
              </w:rPr>
              <w:t>1</w:t>
            </w:r>
          </w:p>
        </w:tc>
        <w:tc>
          <w:tcPr>
            <w:tcW w:w="1008" w:type="dxa"/>
            <w:gridSpan w:val="2"/>
            <w:tcBorders>
              <w:bottom w:val="double" w:sz="4" w:space="0" w:color="auto"/>
            </w:tcBorders>
            <w:shd w:val="clear" w:color="auto" w:fill="auto"/>
          </w:tcPr>
          <w:p w14:paraId="7937997A" w14:textId="74F70072" w:rsidR="00F052D8" w:rsidRPr="00811BDD" w:rsidRDefault="00F052D8" w:rsidP="00F052D8">
            <w:pPr>
              <w:pStyle w:val="NoSpacing"/>
              <w:jc w:val="both"/>
              <w:rPr>
                <w:sz w:val="24"/>
                <w:szCs w:val="24"/>
              </w:rPr>
            </w:pPr>
            <w:r w:rsidRPr="00811BDD">
              <w:rPr>
                <w:sz w:val="24"/>
                <w:szCs w:val="24"/>
              </w:rPr>
              <w:t>Unit</w:t>
            </w:r>
          </w:p>
        </w:tc>
        <w:tc>
          <w:tcPr>
            <w:tcW w:w="8120" w:type="dxa"/>
            <w:gridSpan w:val="2"/>
            <w:tcBorders>
              <w:bottom w:val="double" w:sz="4" w:space="0" w:color="auto"/>
            </w:tcBorders>
            <w:shd w:val="clear" w:color="auto" w:fill="auto"/>
          </w:tcPr>
          <w:p w14:paraId="6507DF2B" w14:textId="3BA1D5EC" w:rsidR="00F052D8" w:rsidRPr="00811BDD" w:rsidRDefault="00D80C25" w:rsidP="00F052D8">
            <w:pPr>
              <w:spacing w:after="0"/>
              <w:jc w:val="both"/>
              <w:rPr>
                <w:sz w:val="24"/>
                <w:szCs w:val="24"/>
              </w:rPr>
            </w:pPr>
            <w:r w:rsidRPr="00811BDD">
              <w:rPr>
                <w:sz w:val="24"/>
                <w:szCs w:val="24"/>
              </w:rPr>
              <w:t>Illinois Quantum Microelectronics Park (IQMP, LLC)</w:t>
            </w:r>
          </w:p>
        </w:tc>
      </w:tr>
      <w:tr w:rsidR="00397EC9" w14:paraId="73EE0CC5" w14:textId="77777777" w:rsidTr="00397EC9">
        <w:tblPrEx>
          <w:tblLook w:val="04A0" w:firstRow="1" w:lastRow="0" w:firstColumn="1" w:lastColumn="0" w:noHBand="0" w:noVBand="1"/>
        </w:tblPrEx>
        <w:trPr>
          <w:trHeight w:val="333"/>
        </w:trPr>
        <w:tc>
          <w:tcPr>
            <w:tcW w:w="342" w:type="dxa"/>
            <w:tcBorders>
              <w:top w:val="double" w:sz="4" w:space="0" w:color="auto"/>
              <w:left w:val="nil"/>
              <w:bottom w:val="nil"/>
              <w:right w:val="nil"/>
            </w:tcBorders>
          </w:tcPr>
          <w:p w14:paraId="7D1536B9" w14:textId="77777777" w:rsidR="00397EC9" w:rsidRDefault="00397EC9">
            <w:pPr>
              <w:pStyle w:val="NoSpacing"/>
              <w:jc w:val="both"/>
              <w:rPr>
                <w:sz w:val="24"/>
                <w:szCs w:val="24"/>
              </w:rPr>
            </w:pPr>
          </w:p>
        </w:tc>
        <w:tc>
          <w:tcPr>
            <w:tcW w:w="1008" w:type="dxa"/>
            <w:gridSpan w:val="2"/>
            <w:tcBorders>
              <w:top w:val="double" w:sz="4" w:space="0" w:color="auto"/>
              <w:left w:val="nil"/>
              <w:bottom w:val="nil"/>
              <w:right w:val="nil"/>
            </w:tcBorders>
          </w:tcPr>
          <w:p w14:paraId="31E15457" w14:textId="77777777" w:rsidR="00397EC9" w:rsidRDefault="00397EC9">
            <w:pPr>
              <w:pStyle w:val="NoSpacing"/>
              <w:rPr>
                <w:sz w:val="24"/>
                <w:szCs w:val="24"/>
              </w:rPr>
            </w:pPr>
          </w:p>
          <w:p w14:paraId="2C6D4E45" w14:textId="77777777" w:rsidR="00397EC9" w:rsidRDefault="00397EC9">
            <w:pPr>
              <w:pStyle w:val="NoSpacing"/>
              <w:jc w:val="both"/>
              <w:rPr>
                <w:sz w:val="24"/>
                <w:szCs w:val="24"/>
              </w:rPr>
            </w:pPr>
            <w:r>
              <w:rPr>
                <w:sz w:val="24"/>
                <w:szCs w:val="24"/>
              </w:rPr>
              <w:t>Item</w:t>
            </w:r>
          </w:p>
        </w:tc>
        <w:tc>
          <w:tcPr>
            <w:tcW w:w="8120" w:type="dxa"/>
            <w:gridSpan w:val="2"/>
            <w:tcBorders>
              <w:top w:val="double" w:sz="4" w:space="0" w:color="auto"/>
              <w:left w:val="nil"/>
              <w:bottom w:val="nil"/>
              <w:right w:val="nil"/>
            </w:tcBorders>
          </w:tcPr>
          <w:p w14:paraId="78607D89" w14:textId="77777777" w:rsidR="00397EC9" w:rsidRDefault="00397EC9">
            <w:pPr>
              <w:pStyle w:val="NoSpacing"/>
              <w:rPr>
                <w:sz w:val="24"/>
                <w:szCs w:val="24"/>
              </w:rPr>
            </w:pPr>
          </w:p>
          <w:p w14:paraId="28BCF41F" w14:textId="77777777" w:rsidR="00397EC9" w:rsidRDefault="00397EC9">
            <w:pPr>
              <w:spacing w:after="0" w:line="240" w:lineRule="auto"/>
              <w:rPr>
                <w:sz w:val="24"/>
                <w:szCs w:val="24"/>
              </w:rPr>
            </w:pPr>
            <w:r>
              <w:rPr>
                <w:sz w:val="24"/>
                <w:szCs w:val="24"/>
              </w:rPr>
              <w:t>IQMP, LLC contract with Commonwealth Edison Company (“ComEd”) to supply the electric power necessary to support the Illinois Quantum and Microelectronics Park and related facilities. ComEd is the sole source available for the required resources in Cook County.</w:t>
            </w:r>
          </w:p>
        </w:tc>
      </w:tr>
      <w:tr w:rsidR="00397EC9" w14:paraId="001CE961" w14:textId="77777777" w:rsidTr="00397EC9">
        <w:tblPrEx>
          <w:tblLook w:val="04A0" w:firstRow="1" w:lastRow="0" w:firstColumn="1" w:lastColumn="0" w:noHBand="0" w:noVBand="1"/>
        </w:tblPrEx>
        <w:trPr>
          <w:trHeight w:val="333"/>
        </w:trPr>
        <w:tc>
          <w:tcPr>
            <w:tcW w:w="342" w:type="dxa"/>
          </w:tcPr>
          <w:p w14:paraId="0E6CD4A9" w14:textId="77777777" w:rsidR="00397EC9" w:rsidRDefault="00397EC9">
            <w:pPr>
              <w:pStyle w:val="NoSpacing"/>
              <w:jc w:val="both"/>
              <w:rPr>
                <w:sz w:val="24"/>
                <w:szCs w:val="24"/>
              </w:rPr>
            </w:pPr>
          </w:p>
        </w:tc>
        <w:tc>
          <w:tcPr>
            <w:tcW w:w="1008" w:type="dxa"/>
            <w:gridSpan w:val="2"/>
          </w:tcPr>
          <w:p w14:paraId="00270AE0" w14:textId="77777777" w:rsidR="00397EC9" w:rsidRDefault="00397EC9">
            <w:pPr>
              <w:pStyle w:val="NoSpacing"/>
              <w:rPr>
                <w:sz w:val="24"/>
                <w:szCs w:val="24"/>
              </w:rPr>
            </w:pPr>
          </w:p>
          <w:p w14:paraId="74D8DEAE" w14:textId="77777777" w:rsidR="00397EC9" w:rsidRDefault="00397EC9">
            <w:pPr>
              <w:pStyle w:val="NoSpacing"/>
              <w:jc w:val="both"/>
              <w:rPr>
                <w:sz w:val="24"/>
                <w:szCs w:val="24"/>
              </w:rPr>
            </w:pPr>
            <w:r>
              <w:rPr>
                <w:sz w:val="24"/>
                <w:szCs w:val="24"/>
              </w:rPr>
              <w:t>Cost</w:t>
            </w:r>
          </w:p>
          <w:p w14:paraId="3EE3B8F7" w14:textId="77777777" w:rsidR="00397EC9" w:rsidRDefault="00397EC9">
            <w:pPr>
              <w:pStyle w:val="NoSpacing"/>
              <w:jc w:val="both"/>
              <w:rPr>
                <w:sz w:val="24"/>
                <w:szCs w:val="24"/>
              </w:rPr>
            </w:pPr>
          </w:p>
          <w:p w14:paraId="413BB86B" w14:textId="77777777" w:rsidR="00397EC9" w:rsidRDefault="00397EC9">
            <w:pPr>
              <w:pStyle w:val="NoSpacing"/>
              <w:jc w:val="both"/>
              <w:rPr>
                <w:sz w:val="24"/>
                <w:szCs w:val="24"/>
              </w:rPr>
            </w:pPr>
            <w:r>
              <w:rPr>
                <w:sz w:val="24"/>
                <w:szCs w:val="24"/>
              </w:rPr>
              <w:t>Vendor</w:t>
            </w:r>
          </w:p>
        </w:tc>
        <w:tc>
          <w:tcPr>
            <w:tcW w:w="8120" w:type="dxa"/>
            <w:gridSpan w:val="2"/>
          </w:tcPr>
          <w:p w14:paraId="2B1EAECC" w14:textId="77777777" w:rsidR="00397EC9" w:rsidRDefault="00397EC9">
            <w:pPr>
              <w:pStyle w:val="NoSpacing"/>
              <w:rPr>
                <w:sz w:val="24"/>
                <w:szCs w:val="24"/>
              </w:rPr>
            </w:pPr>
          </w:p>
          <w:p w14:paraId="53249E5A" w14:textId="77777777" w:rsidR="00397EC9" w:rsidRDefault="00397EC9">
            <w:pPr>
              <w:tabs>
                <w:tab w:val="left" w:pos="-720"/>
                <w:tab w:val="left" w:pos="0"/>
                <w:tab w:val="left" w:pos="720"/>
                <w:tab w:val="left" w:pos="1080"/>
                <w:tab w:val="left" w:pos="1440"/>
              </w:tabs>
              <w:suppressAutoHyphens/>
              <w:jc w:val="both"/>
              <w:rPr>
                <w:sz w:val="24"/>
                <w:szCs w:val="24"/>
              </w:rPr>
            </w:pPr>
            <w:r>
              <w:rPr>
                <w:sz w:val="24"/>
                <w:szCs w:val="24"/>
              </w:rPr>
              <w:t xml:space="preserve">$15,500,000 </w:t>
            </w:r>
          </w:p>
          <w:p w14:paraId="3EDBBF28" w14:textId="77777777" w:rsidR="00397EC9" w:rsidRDefault="00397EC9">
            <w:pPr>
              <w:tabs>
                <w:tab w:val="left" w:pos="-720"/>
                <w:tab w:val="left" w:pos="0"/>
                <w:tab w:val="left" w:pos="720"/>
                <w:tab w:val="left" w:pos="1080"/>
                <w:tab w:val="left" w:pos="1440"/>
              </w:tabs>
              <w:suppressAutoHyphens/>
              <w:spacing w:before="240"/>
              <w:jc w:val="both"/>
              <w:rPr>
                <w:sz w:val="24"/>
                <w:szCs w:val="24"/>
              </w:rPr>
            </w:pPr>
            <w:r>
              <w:rPr>
                <w:sz w:val="24"/>
                <w:szCs w:val="24"/>
              </w:rPr>
              <w:lastRenderedPageBreak/>
              <w:t>Commonwealth Edison Company (ComEd) Chicago, IL</w:t>
            </w:r>
          </w:p>
          <w:p w14:paraId="0F4140EB" w14:textId="77777777" w:rsidR="00397EC9" w:rsidRDefault="00397EC9">
            <w:pPr>
              <w:tabs>
                <w:tab w:val="left" w:pos="-720"/>
                <w:tab w:val="left" w:pos="0"/>
                <w:tab w:val="left" w:pos="720"/>
                <w:tab w:val="left" w:pos="1080"/>
                <w:tab w:val="left" w:pos="1440"/>
              </w:tabs>
              <w:suppressAutoHyphens/>
              <w:ind w:hanging="1040"/>
              <w:jc w:val="both"/>
              <w:rPr>
                <w:sz w:val="24"/>
                <w:szCs w:val="24"/>
              </w:rPr>
            </w:pPr>
          </w:p>
          <w:p w14:paraId="5564339D" w14:textId="77777777" w:rsidR="00397EC9" w:rsidRDefault="00397EC9">
            <w:pPr>
              <w:tabs>
                <w:tab w:val="left" w:pos="-720"/>
                <w:tab w:val="left" w:pos="0"/>
                <w:tab w:val="left" w:pos="720"/>
                <w:tab w:val="left" w:pos="1080"/>
                <w:tab w:val="left" w:pos="1440"/>
              </w:tabs>
              <w:suppressAutoHyphens/>
              <w:ind w:hanging="1040"/>
              <w:jc w:val="both"/>
              <w:rPr>
                <w:sz w:val="24"/>
                <w:szCs w:val="24"/>
              </w:rPr>
            </w:pPr>
          </w:p>
        </w:tc>
      </w:tr>
      <w:tr w:rsidR="00F052D8" w:rsidRPr="00811BDD" w14:paraId="0F8FD728" w14:textId="77777777" w:rsidTr="00397EC9">
        <w:trPr>
          <w:trHeight w:val="333"/>
        </w:trPr>
        <w:tc>
          <w:tcPr>
            <w:tcW w:w="342" w:type="dxa"/>
          </w:tcPr>
          <w:p w14:paraId="57958A15" w14:textId="77777777" w:rsidR="00F052D8" w:rsidRPr="00811BDD" w:rsidRDefault="00F052D8" w:rsidP="00F052D8">
            <w:pPr>
              <w:pStyle w:val="NoSpacing"/>
              <w:jc w:val="both"/>
              <w:rPr>
                <w:sz w:val="24"/>
                <w:szCs w:val="24"/>
              </w:rPr>
            </w:pPr>
          </w:p>
        </w:tc>
        <w:tc>
          <w:tcPr>
            <w:tcW w:w="1008" w:type="dxa"/>
            <w:gridSpan w:val="2"/>
            <w:shd w:val="clear" w:color="auto" w:fill="auto"/>
          </w:tcPr>
          <w:p w14:paraId="1EDF1F5F" w14:textId="77777777" w:rsidR="00F052D8" w:rsidRPr="00811BDD" w:rsidRDefault="00F052D8" w:rsidP="00F052D8">
            <w:pPr>
              <w:pStyle w:val="NoSpacing"/>
              <w:jc w:val="both"/>
              <w:rPr>
                <w:sz w:val="24"/>
                <w:szCs w:val="24"/>
              </w:rPr>
            </w:pPr>
          </w:p>
        </w:tc>
        <w:tc>
          <w:tcPr>
            <w:tcW w:w="8120" w:type="dxa"/>
            <w:gridSpan w:val="2"/>
            <w:shd w:val="clear" w:color="auto" w:fill="auto"/>
          </w:tcPr>
          <w:p w14:paraId="783B9AAB" w14:textId="61C2296F" w:rsidR="00A40C2E" w:rsidRPr="00B42F01" w:rsidRDefault="00B46C60" w:rsidP="007156B1">
            <w:pPr>
              <w:spacing w:after="0" w:line="240" w:lineRule="auto"/>
              <w:rPr>
                <w:sz w:val="24"/>
                <w:szCs w:val="24"/>
              </w:rPr>
            </w:pPr>
            <w:r w:rsidRPr="00B42F01">
              <w:rPr>
                <w:sz w:val="24"/>
                <w:szCs w:val="24"/>
              </w:rPr>
              <w:t>The State of Illinois has requested that IQMP, LLC contract with Commonwealth Edison Company (“ComEd”) to supply the electric power necessary to support the Illinois Quantum and Microelectronics Park and related facilities. ComEd is the sole source available for the required resources in Cook County. The State of Illinois Chief Procurement Officer (CPO) approved sole source procurement under Bulletin Reference Number IQMP0124 under the Illinois Procurement Code.</w:t>
            </w:r>
            <w:r w:rsidR="00811BDD" w:rsidRPr="00B42F01">
              <w:rPr>
                <w:sz w:val="24"/>
                <w:szCs w:val="24"/>
              </w:rPr>
              <w:br/>
            </w:r>
          </w:p>
          <w:p w14:paraId="6FAA86E5" w14:textId="2671FE62" w:rsidR="00F56D6E" w:rsidRDefault="00F56D6E" w:rsidP="007156B1">
            <w:pPr>
              <w:spacing w:after="0" w:line="240" w:lineRule="auto"/>
              <w:rPr>
                <w:sz w:val="24"/>
                <w:szCs w:val="24"/>
              </w:rPr>
            </w:pPr>
            <w:r w:rsidRPr="00B42F01">
              <w:rPr>
                <w:sz w:val="24"/>
                <w:szCs w:val="24"/>
              </w:rPr>
              <w:t>In order to execute this transaction, the State of Illinois has entered into a $30,000,000 grant agreement with the Board of Trustees of the University of Illinois</w:t>
            </w:r>
            <w:r>
              <w:rPr>
                <w:sz w:val="24"/>
                <w:szCs w:val="24"/>
              </w:rPr>
              <w:t xml:space="preserve">, as </w:t>
            </w:r>
            <w:r w:rsidRPr="00D37906">
              <w:rPr>
                <w:sz w:val="24"/>
                <w:szCs w:val="24"/>
              </w:rPr>
              <w:t xml:space="preserve">IQMP, LLC is </w:t>
            </w:r>
            <w:r>
              <w:rPr>
                <w:sz w:val="24"/>
                <w:szCs w:val="24"/>
              </w:rPr>
              <w:t>designated</w:t>
            </w:r>
            <w:r w:rsidRPr="00D37906">
              <w:rPr>
                <w:sz w:val="24"/>
                <w:szCs w:val="24"/>
              </w:rPr>
              <w:t xml:space="preserve"> as a disregarded entity for tax purposes.</w:t>
            </w:r>
            <w:r w:rsidR="00640182">
              <w:rPr>
                <w:sz w:val="24"/>
                <w:szCs w:val="24"/>
              </w:rPr>
              <w:t xml:space="preserve"> </w:t>
            </w:r>
            <w:r w:rsidRPr="00D37906">
              <w:rPr>
                <w:sz w:val="24"/>
                <w:szCs w:val="24"/>
              </w:rPr>
              <w:t xml:space="preserve">Per the Illinois Office of the Comptroller, IDCEO </w:t>
            </w:r>
            <w:r>
              <w:rPr>
                <w:sz w:val="24"/>
                <w:szCs w:val="24"/>
              </w:rPr>
              <w:t>may</w:t>
            </w:r>
            <w:r w:rsidRPr="00D37906">
              <w:rPr>
                <w:sz w:val="24"/>
                <w:szCs w:val="24"/>
              </w:rPr>
              <w:t xml:space="preserve"> only issue funds to a taxable entity.</w:t>
            </w:r>
            <w:r w:rsidR="00640182">
              <w:rPr>
                <w:sz w:val="24"/>
                <w:szCs w:val="24"/>
              </w:rPr>
              <w:t xml:space="preserve"> </w:t>
            </w:r>
            <w:r w:rsidRPr="00D37906">
              <w:rPr>
                <w:sz w:val="24"/>
                <w:szCs w:val="24"/>
              </w:rPr>
              <w:t>According</w:t>
            </w:r>
            <w:r>
              <w:rPr>
                <w:sz w:val="24"/>
                <w:szCs w:val="24"/>
              </w:rPr>
              <w:t>ly</w:t>
            </w:r>
            <w:r w:rsidRPr="00D37906">
              <w:rPr>
                <w:sz w:val="24"/>
                <w:szCs w:val="24"/>
              </w:rPr>
              <w:t>, the Board of Trustees of the University of Illinois has been designated as the Grantee of the IDCEO grant funds which will be sub-granted to IQMP, LLC in their entirety pursuant to a Subgrant Letter Agreement</w:t>
            </w:r>
            <w:r w:rsidRPr="00B42F01">
              <w:rPr>
                <w:sz w:val="24"/>
                <w:szCs w:val="24"/>
              </w:rPr>
              <w:t xml:space="preserve">. The State of Illinois has authorized a working capital advance to the University of Illinois (subgrant to IQMP, LLC) to pay deposits to ComEd needed for bridging power and a new substation. </w:t>
            </w:r>
          </w:p>
          <w:p w14:paraId="598A3AAC" w14:textId="77777777" w:rsidR="00B42F01" w:rsidRPr="00B42F01" w:rsidRDefault="00B42F01" w:rsidP="007156B1">
            <w:pPr>
              <w:spacing w:after="0" w:line="240" w:lineRule="auto"/>
              <w:rPr>
                <w:sz w:val="24"/>
                <w:szCs w:val="24"/>
              </w:rPr>
            </w:pPr>
          </w:p>
          <w:p w14:paraId="053AB35E" w14:textId="2CB7DBD5" w:rsidR="00B42F01" w:rsidRDefault="00B42F01" w:rsidP="007156B1">
            <w:pPr>
              <w:spacing w:after="0" w:line="240" w:lineRule="auto"/>
              <w:rPr>
                <w:sz w:val="24"/>
                <w:szCs w:val="24"/>
              </w:rPr>
            </w:pPr>
            <w:r w:rsidRPr="00B42F01">
              <w:rPr>
                <w:sz w:val="24"/>
                <w:szCs w:val="24"/>
              </w:rPr>
              <w:t xml:space="preserve">The University of Illinois Board of Trustees </w:t>
            </w:r>
            <w:r w:rsidR="00F56D6E">
              <w:rPr>
                <w:sz w:val="24"/>
                <w:szCs w:val="24"/>
              </w:rPr>
              <w:t xml:space="preserve">is expected to </w:t>
            </w:r>
            <w:r w:rsidRPr="00B42F01">
              <w:rPr>
                <w:sz w:val="24"/>
                <w:szCs w:val="24"/>
              </w:rPr>
              <w:t>authorize</w:t>
            </w:r>
            <w:r w:rsidR="00F56D6E">
              <w:rPr>
                <w:sz w:val="24"/>
                <w:szCs w:val="24"/>
              </w:rPr>
              <w:t xml:space="preserve"> </w:t>
            </w:r>
            <w:r w:rsidRPr="00B42F01">
              <w:rPr>
                <w:sz w:val="24"/>
                <w:szCs w:val="24"/>
              </w:rPr>
              <w:t>the</w:t>
            </w:r>
            <w:r w:rsidR="00422B37">
              <w:rPr>
                <w:sz w:val="24"/>
                <w:szCs w:val="24"/>
              </w:rPr>
              <w:t xml:space="preserve"> payment to</w:t>
            </w:r>
            <w:r w:rsidRPr="00B42F01">
              <w:rPr>
                <w:sz w:val="24"/>
                <w:szCs w:val="24"/>
              </w:rPr>
              <w:t xml:space="preserve"> IQMP, LLC in the amount of the grant award from the State of Illinois for $</w:t>
            </w:r>
            <w:r>
              <w:rPr>
                <w:sz w:val="24"/>
                <w:szCs w:val="24"/>
              </w:rPr>
              <w:t>30</w:t>
            </w:r>
            <w:r w:rsidRPr="00B42F01">
              <w:rPr>
                <w:sz w:val="24"/>
                <w:szCs w:val="24"/>
              </w:rPr>
              <w:t xml:space="preserve">,000,000 </w:t>
            </w:r>
            <w:r w:rsidR="00F56D6E">
              <w:rPr>
                <w:sz w:val="24"/>
                <w:szCs w:val="24"/>
              </w:rPr>
              <w:t>at its meeting on November 14, 2024</w:t>
            </w:r>
            <w:r w:rsidR="002512A2">
              <w:rPr>
                <w:sz w:val="24"/>
                <w:szCs w:val="24"/>
              </w:rPr>
              <w:t>,</w:t>
            </w:r>
            <w:r w:rsidR="00F56D6E">
              <w:rPr>
                <w:sz w:val="24"/>
                <w:szCs w:val="24"/>
              </w:rPr>
              <w:t xml:space="preserve"> </w:t>
            </w:r>
            <w:r w:rsidRPr="00B42F01">
              <w:rPr>
                <w:sz w:val="24"/>
                <w:szCs w:val="24"/>
              </w:rPr>
              <w:t>to allow a transfer of grant funding pursuant to the terms of the award to IQMP, LLC</w:t>
            </w:r>
            <w:r w:rsidR="00F56D6E">
              <w:rPr>
                <w:sz w:val="24"/>
                <w:szCs w:val="24"/>
              </w:rPr>
              <w:t>.</w:t>
            </w:r>
          </w:p>
          <w:p w14:paraId="6CA08DA4" w14:textId="77777777" w:rsidR="00F56D6E" w:rsidRPr="00B42F01" w:rsidRDefault="00F56D6E" w:rsidP="007156B1">
            <w:pPr>
              <w:spacing w:after="0" w:line="240" w:lineRule="auto"/>
              <w:rPr>
                <w:sz w:val="24"/>
                <w:szCs w:val="24"/>
              </w:rPr>
            </w:pPr>
          </w:p>
          <w:p w14:paraId="157442DF" w14:textId="2FCE664F" w:rsidR="00B42F01" w:rsidRDefault="00F56D6E" w:rsidP="007156B1">
            <w:pPr>
              <w:spacing w:after="0" w:line="240" w:lineRule="auto"/>
              <w:rPr>
                <w:sz w:val="24"/>
                <w:szCs w:val="24"/>
              </w:rPr>
            </w:pPr>
            <w:r>
              <w:rPr>
                <w:sz w:val="24"/>
                <w:szCs w:val="24"/>
              </w:rPr>
              <w:t xml:space="preserve">Upon approval of the </w:t>
            </w:r>
            <w:r w:rsidR="00F36B9A">
              <w:rPr>
                <w:sz w:val="24"/>
                <w:szCs w:val="24"/>
              </w:rPr>
              <w:t>purchase items</w:t>
            </w:r>
            <w:r>
              <w:rPr>
                <w:sz w:val="24"/>
                <w:szCs w:val="24"/>
              </w:rPr>
              <w:t xml:space="preserve"> indicated here, </w:t>
            </w:r>
            <w:r w:rsidR="00B46C60" w:rsidRPr="00B42F01">
              <w:rPr>
                <w:sz w:val="24"/>
                <w:szCs w:val="24"/>
              </w:rPr>
              <w:t xml:space="preserve">IQMP, LLC </w:t>
            </w:r>
            <w:r w:rsidR="00811BDD" w:rsidRPr="00B42F01">
              <w:rPr>
                <w:sz w:val="24"/>
                <w:szCs w:val="24"/>
              </w:rPr>
              <w:t>will</w:t>
            </w:r>
            <w:r w:rsidR="00F36B9A">
              <w:rPr>
                <w:sz w:val="24"/>
                <w:szCs w:val="24"/>
              </w:rPr>
              <w:t xml:space="preserve"> initiate two purchase orders to facilitate deposit payments in accordance with the grant agreement.</w:t>
            </w:r>
            <w:r w:rsidR="00811BDD" w:rsidRPr="00B42F01">
              <w:rPr>
                <w:sz w:val="24"/>
                <w:szCs w:val="24"/>
              </w:rPr>
              <w:t xml:space="preserve"> </w:t>
            </w:r>
            <w:r w:rsidR="00F36B9A">
              <w:rPr>
                <w:sz w:val="24"/>
                <w:szCs w:val="24"/>
              </w:rPr>
              <w:t xml:space="preserve">IQMP, LLC will </w:t>
            </w:r>
            <w:r w:rsidR="00811BDD" w:rsidRPr="00B42F01">
              <w:rPr>
                <w:sz w:val="24"/>
                <w:szCs w:val="24"/>
              </w:rPr>
              <w:t>first execute</w:t>
            </w:r>
            <w:r w:rsidR="00B46C60" w:rsidRPr="00B42F01">
              <w:rPr>
                <w:sz w:val="24"/>
                <w:szCs w:val="24"/>
              </w:rPr>
              <w:t xml:space="preserve"> a </w:t>
            </w:r>
            <w:r w:rsidR="00811BDD" w:rsidRPr="00B42F01">
              <w:rPr>
                <w:sz w:val="24"/>
                <w:szCs w:val="24"/>
              </w:rPr>
              <w:t xml:space="preserve">$500,000 </w:t>
            </w:r>
            <w:r w:rsidR="00B46C60" w:rsidRPr="00B42F01">
              <w:rPr>
                <w:sz w:val="24"/>
                <w:szCs w:val="24"/>
              </w:rPr>
              <w:t xml:space="preserve">purchase order with ComEd for bridging power with multiple 12kV line extensions from existing nearby regional substations to serve the most imminent development building projects at the IQMP. IQMP, LLC </w:t>
            </w:r>
            <w:r w:rsidR="00811BDD" w:rsidRPr="00B42F01">
              <w:rPr>
                <w:sz w:val="24"/>
                <w:szCs w:val="24"/>
              </w:rPr>
              <w:t>will then execute</w:t>
            </w:r>
            <w:r w:rsidR="00F36B9A">
              <w:rPr>
                <w:sz w:val="24"/>
                <w:szCs w:val="24"/>
              </w:rPr>
              <w:t xml:space="preserve"> a</w:t>
            </w:r>
            <w:r w:rsidR="00B46C60" w:rsidRPr="00B42F01">
              <w:rPr>
                <w:sz w:val="24"/>
                <w:szCs w:val="24"/>
              </w:rPr>
              <w:t xml:space="preserve"> $15,000,000 purchase order with ComEd for</w:t>
            </w:r>
            <w:r w:rsidR="00F36B9A">
              <w:rPr>
                <w:sz w:val="24"/>
                <w:szCs w:val="24"/>
              </w:rPr>
              <w:t xml:space="preserve"> a</w:t>
            </w:r>
            <w:r w:rsidR="00B46C60" w:rsidRPr="00B42F01">
              <w:rPr>
                <w:sz w:val="24"/>
                <w:szCs w:val="24"/>
              </w:rPr>
              <w:t xml:space="preserve"> new onsite substation with multiple large transformers and capacity to supply 350MW of power at the IQMP.</w:t>
            </w:r>
            <w:r w:rsidR="00640182">
              <w:rPr>
                <w:sz w:val="24"/>
                <w:szCs w:val="24"/>
              </w:rPr>
              <w:t xml:space="preserve"> </w:t>
            </w:r>
            <w:r w:rsidR="00B42F01" w:rsidRPr="00B42F01">
              <w:rPr>
                <w:sz w:val="24"/>
                <w:szCs w:val="24"/>
              </w:rPr>
              <w:t xml:space="preserve">Future commitments to ComEd are subject to the system extension and reinforcement costs to satisfy the </w:t>
            </w:r>
            <w:r w:rsidR="00B42F01">
              <w:rPr>
                <w:sz w:val="24"/>
                <w:szCs w:val="24"/>
              </w:rPr>
              <w:t xml:space="preserve">IQMP </w:t>
            </w:r>
            <w:r w:rsidR="00B42F01" w:rsidRPr="00B42F01">
              <w:rPr>
                <w:sz w:val="24"/>
                <w:szCs w:val="24"/>
              </w:rPr>
              <w:t xml:space="preserve">electric load and delivery service charges </w:t>
            </w:r>
            <w:r w:rsidR="00B42F01">
              <w:rPr>
                <w:sz w:val="24"/>
                <w:szCs w:val="24"/>
              </w:rPr>
              <w:t>as</w:t>
            </w:r>
            <w:r w:rsidR="00B42F01" w:rsidRPr="00B42F01">
              <w:rPr>
                <w:sz w:val="24"/>
                <w:szCs w:val="24"/>
              </w:rPr>
              <w:t xml:space="preserve"> determined by ComEd. </w:t>
            </w:r>
            <w:r w:rsidR="00F36B9A">
              <w:rPr>
                <w:sz w:val="24"/>
                <w:szCs w:val="24"/>
              </w:rPr>
              <w:t xml:space="preserve">Additional commitments are expected to be funded by the State via a grant issued by the IDCEO, and purchase requests will follow the established IQMP </w:t>
            </w:r>
            <w:r w:rsidR="008327CE">
              <w:rPr>
                <w:sz w:val="24"/>
                <w:szCs w:val="24"/>
              </w:rPr>
              <w:t>S</w:t>
            </w:r>
            <w:r w:rsidR="00F36B9A">
              <w:rPr>
                <w:sz w:val="24"/>
                <w:szCs w:val="24"/>
              </w:rPr>
              <w:t xml:space="preserve">ignature </w:t>
            </w:r>
            <w:r w:rsidR="008327CE">
              <w:rPr>
                <w:sz w:val="24"/>
                <w:szCs w:val="24"/>
              </w:rPr>
              <w:t>A</w:t>
            </w:r>
            <w:r w:rsidR="00F36B9A">
              <w:rPr>
                <w:sz w:val="24"/>
                <w:szCs w:val="24"/>
              </w:rPr>
              <w:t xml:space="preserve">uthority </w:t>
            </w:r>
            <w:r w:rsidR="008327CE">
              <w:rPr>
                <w:sz w:val="24"/>
                <w:szCs w:val="24"/>
              </w:rPr>
              <w:t>P</w:t>
            </w:r>
            <w:r w:rsidR="00F36B9A">
              <w:rPr>
                <w:sz w:val="24"/>
                <w:szCs w:val="24"/>
              </w:rPr>
              <w:t>olicy approved by the Board of Managers at the October 24, 2024</w:t>
            </w:r>
            <w:r w:rsidR="005477DB">
              <w:rPr>
                <w:sz w:val="24"/>
                <w:szCs w:val="24"/>
              </w:rPr>
              <w:t>,</w:t>
            </w:r>
            <w:r w:rsidR="00F36B9A">
              <w:rPr>
                <w:sz w:val="24"/>
                <w:szCs w:val="24"/>
              </w:rPr>
              <w:t xml:space="preserve"> meeting.</w:t>
            </w:r>
          </w:p>
          <w:p w14:paraId="41C8BD61" w14:textId="77777777" w:rsidR="00B42F01" w:rsidRDefault="00B42F01" w:rsidP="007156B1">
            <w:pPr>
              <w:spacing w:after="0" w:line="240" w:lineRule="auto"/>
              <w:rPr>
                <w:sz w:val="24"/>
                <w:szCs w:val="24"/>
              </w:rPr>
            </w:pPr>
          </w:p>
          <w:p w14:paraId="0932EB4C" w14:textId="28362F7E" w:rsidR="00B46C60" w:rsidRPr="00B42F01" w:rsidRDefault="00B46C60" w:rsidP="007156B1">
            <w:pPr>
              <w:spacing w:after="0" w:line="240" w:lineRule="auto"/>
              <w:rPr>
                <w:sz w:val="24"/>
                <w:szCs w:val="24"/>
              </w:rPr>
            </w:pPr>
            <w:r w:rsidRPr="00B42F01">
              <w:rPr>
                <w:sz w:val="24"/>
                <w:szCs w:val="24"/>
              </w:rPr>
              <w:t>ComEd will be responsible for the power supply, construction, management, and maintenance of any installations procured through this funding, including any requirements connected with the use of State of Illinois capital funding.</w:t>
            </w:r>
          </w:p>
          <w:p w14:paraId="7DFE4601" w14:textId="77777777" w:rsidR="00811BDD" w:rsidRPr="00B42F01" w:rsidRDefault="00811BDD" w:rsidP="007156B1">
            <w:pPr>
              <w:spacing w:after="0" w:line="240" w:lineRule="auto"/>
              <w:rPr>
                <w:sz w:val="24"/>
                <w:szCs w:val="24"/>
              </w:rPr>
            </w:pPr>
          </w:p>
          <w:p w14:paraId="797EB2DD" w14:textId="77777777" w:rsidR="00F052D8" w:rsidRDefault="00B46C60" w:rsidP="007156B1">
            <w:pPr>
              <w:spacing w:after="0" w:line="240" w:lineRule="auto"/>
              <w:rPr>
                <w:sz w:val="24"/>
                <w:szCs w:val="24"/>
              </w:rPr>
            </w:pPr>
            <w:r w:rsidRPr="00B42F01">
              <w:rPr>
                <w:sz w:val="24"/>
                <w:szCs w:val="24"/>
              </w:rPr>
              <w:lastRenderedPageBreak/>
              <w:t xml:space="preserve">It is recommended that the Board of </w:t>
            </w:r>
            <w:r w:rsidR="00811BDD" w:rsidRPr="00B42F01">
              <w:rPr>
                <w:sz w:val="24"/>
                <w:szCs w:val="24"/>
              </w:rPr>
              <w:t xml:space="preserve">Trustees </w:t>
            </w:r>
            <w:r w:rsidRPr="00B42F01">
              <w:rPr>
                <w:sz w:val="24"/>
                <w:szCs w:val="24"/>
              </w:rPr>
              <w:t>approve</w:t>
            </w:r>
            <w:r w:rsidR="00811BDD" w:rsidRPr="00B42F01">
              <w:rPr>
                <w:sz w:val="24"/>
                <w:szCs w:val="24"/>
              </w:rPr>
              <w:t>s</w:t>
            </w:r>
            <w:r w:rsidRPr="00B42F01">
              <w:rPr>
                <w:sz w:val="24"/>
                <w:szCs w:val="24"/>
              </w:rPr>
              <w:t xml:space="preserve"> IQMP, LLC entering into the above-described agreements, to be executed in accordance with the IQMP, LLC Signature Authority Policy. The funds for this contract are “State Funds” as defined in the Signature Authority Policy.</w:t>
            </w:r>
          </w:p>
          <w:p w14:paraId="70C34DE2" w14:textId="6163135C" w:rsidR="00397EC9" w:rsidRPr="00B42F01" w:rsidRDefault="00397EC9" w:rsidP="007156B1">
            <w:pPr>
              <w:spacing w:after="0" w:line="240" w:lineRule="auto"/>
              <w:rPr>
                <w:sz w:val="24"/>
                <w:szCs w:val="24"/>
              </w:rPr>
            </w:pPr>
          </w:p>
        </w:tc>
      </w:tr>
      <w:tr w:rsidR="00E958B1" w:rsidRPr="00353536" w14:paraId="7C669283" w14:textId="77777777" w:rsidTr="00397EC9">
        <w:trPr>
          <w:gridAfter w:val="1"/>
          <w:wAfter w:w="20" w:type="dxa"/>
          <w:trHeight w:val="333"/>
        </w:trPr>
        <w:tc>
          <w:tcPr>
            <w:tcW w:w="342" w:type="dxa"/>
            <w:tcBorders>
              <w:bottom w:val="double" w:sz="4" w:space="0" w:color="auto"/>
            </w:tcBorders>
          </w:tcPr>
          <w:p w14:paraId="3DD88716" w14:textId="348EBADB" w:rsidR="00E958B1" w:rsidRDefault="00E958B1" w:rsidP="00050E68">
            <w:pPr>
              <w:pStyle w:val="NoSpacing"/>
              <w:jc w:val="both"/>
              <w:rPr>
                <w:sz w:val="26"/>
                <w:szCs w:val="26"/>
              </w:rPr>
            </w:pPr>
            <w:r>
              <w:rPr>
                <w:sz w:val="26"/>
                <w:szCs w:val="26"/>
              </w:rPr>
              <w:lastRenderedPageBreak/>
              <w:t>2</w:t>
            </w:r>
          </w:p>
        </w:tc>
        <w:tc>
          <w:tcPr>
            <w:tcW w:w="990" w:type="dxa"/>
            <w:tcBorders>
              <w:bottom w:val="double" w:sz="4" w:space="0" w:color="auto"/>
            </w:tcBorders>
            <w:shd w:val="clear" w:color="auto" w:fill="auto"/>
          </w:tcPr>
          <w:p w14:paraId="36C32A63" w14:textId="77777777" w:rsidR="00E958B1" w:rsidRPr="00353536" w:rsidRDefault="00E958B1" w:rsidP="00050E68">
            <w:pPr>
              <w:pStyle w:val="NoSpacing"/>
              <w:jc w:val="both"/>
              <w:rPr>
                <w:sz w:val="26"/>
                <w:szCs w:val="26"/>
              </w:rPr>
            </w:pPr>
            <w:r w:rsidRPr="00353536">
              <w:rPr>
                <w:sz w:val="26"/>
                <w:szCs w:val="26"/>
              </w:rPr>
              <w:t>Unit</w:t>
            </w:r>
          </w:p>
        </w:tc>
        <w:tc>
          <w:tcPr>
            <w:tcW w:w="8118" w:type="dxa"/>
            <w:gridSpan w:val="2"/>
            <w:tcBorders>
              <w:bottom w:val="double" w:sz="4" w:space="0" w:color="auto"/>
            </w:tcBorders>
            <w:shd w:val="clear" w:color="auto" w:fill="auto"/>
          </w:tcPr>
          <w:p w14:paraId="783DF82B" w14:textId="77777777" w:rsidR="00E958B1" w:rsidRDefault="00E958B1" w:rsidP="00050E68">
            <w:pPr>
              <w:spacing w:after="0"/>
              <w:jc w:val="both"/>
              <w:rPr>
                <w:szCs w:val="26"/>
              </w:rPr>
            </w:pPr>
            <w:r>
              <w:t>Illinois Quantum Microelectronics Park (IQMP, LLC)</w:t>
            </w:r>
          </w:p>
        </w:tc>
      </w:tr>
      <w:tr w:rsidR="00E958B1" w:rsidRPr="00E23708" w14:paraId="74DF1A0A" w14:textId="77777777" w:rsidTr="00397EC9">
        <w:trPr>
          <w:gridAfter w:val="1"/>
          <w:wAfter w:w="20" w:type="dxa"/>
          <w:trHeight w:val="333"/>
        </w:trPr>
        <w:tc>
          <w:tcPr>
            <w:tcW w:w="342" w:type="dxa"/>
            <w:tcBorders>
              <w:top w:val="double" w:sz="4" w:space="0" w:color="auto"/>
            </w:tcBorders>
          </w:tcPr>
          <w:p w14:paraId="060FA667" w14:textId="77777777" w:rsidR="00E958B1" w:rsidRPr="00D80B00" w:rsidRDefault="00E958B1" w:rsidP="00050E68">
            <w:pPr>
              <w:pStyle w:val="NoSpacing"/>
              <w:jc w:val="both"/>
              <w:rPr>
                <w:sz w:val="24"/>
                <w:szCs w:val="24"/>
              </w:rPr>
            </w:pPr>
          </w:p>
        </w:tc>
        <w:tc>
          <w:tcPr>
            <w:tcW w:w="990" w:type="dxa"/>
            <w:tcBorders>
              <w:top w:val="double" w:sz="4" w:space="0" w:color="auto"/>
            </w:tcBorders>
            <w:shd w:val="clear" w:color="auto" w:fill="auto"/>
          </w:tcPr>
          <w:p w14:paraId="216F65CE" w14:textId="77777777" w:rsidR="00E958B1" w:rsidRPr="00D80B00" w:rsidRDefault="00E958B1" w:rsidP="00050E68">
            <w:pPr>
              <w:pStyle w:val="NoSpacing"/>
              <w:rPr>
                <w:sz w:val="24"/>
                <w:szCs w:val="24"/>
              </w:rPr>
            </w:pPr>
          </w:p>
          <w:p w14:paraId="49A16601" w14:textId="77777777" w:rsidR="00E958B1" w:rsidRPr="00D80B00" w:rsidRDefault="00E958B1" w:rsidP="00050E68">
            <w:pPr>
              <w:pStyle w:val="NoSpacing"/>
              <w:jc w:val="both"/>
              <w:rPr>
                <w:sz w:val="24"/>
                <w:szCs w:val="24"/>
              </w:rPr>
            </w:pPr>
            <w:r w:rsidRPr="00D80B00">
              <w:rPr>
                <w:sz w:val="24"/>
                <w:szCs w:val="24"/>
              </w:rPr>
              <w:t>Item</w:t>
            </w:r>
          </w:p>
        </w:tc>
        <w:tc>
          <w:tcPr>
            <w:tcW w:w="8118" w:type="dxa"/>
            <w:gridSpan w:val="2"/>
            <w:tcBorders>
              <w:top w:val="double" w:sz="4" w:space="0" w:color="auto"/>
            </w:tcBorders>
            <w:shd w:val="clear" w:color="auto" w:fill="auto"/>
          </w:tcPr>
          <w:p w14:paraId="4FD309DB" w14:textId="77777777" w:rsidR="00E958B1" w:rsidRPr="00D80B00" w:rsidRDefault="00E958B1" w:rsidP="00050E68">
            <w:pPr>
              <w:pStyle w:val="NoSpacing"/>
              <w:spacing w:line="259" w:lineRule="auto"/>
              <w:rPr>
                <w:sz w:val="24"/>
                <w:szCs w:val="24"/>
              </w:rPr>
            </w:pPr>
          </w:p>
          <w:p w14:paraId="6E2DFA10" w14:textId="36E9622E" w:rsidR="00E958B1" w:rsidRPr="00D80B00" w:rsidRDefault="00E958B1" w:rsidP="00050E68">
            <w:pPr>
              <w:spacing w:after="0"/>
              <w:rPr>
                <w:sz w:val="24"/>
                <w:szCs w:val="24"/>
              </w:rPr>
            </w:pPr>
            <w:r w:rsidRPr="00E23708">
              <w:rPr>
                <w:sz w:val="24"/>
                <w:szCs w:val="24"/>
              </w:rPr>
              <w:t xml:space="preserve">IQMP, LLC contract with </w:t>
            </w:r>
            <w:r w:rsidRPr="00D80B00">
              <w:rPr>
                <w:sz w:val="24"/>
                <w:szCs w:val="24"/>
              </w:rPr>
              <w:t xml:space="preserve">Linde Kryotechnik AG </w:t>
            </w:r>
            <w:r w:rsidRPr="00E23708">
              <w:rPr>
                <w:sz w:val="24"/>
                <w:szCs w:val="24"/>
              </w:rPr>
              <w:t>to supply the cryoplant resources, equipment</w:t>
            </w:r>
            <w:r w:rsidR="00A3649D">
              <w:rPr>
                <w:sz w:val="24"/>
                <w:szCs w:val="24"/>
              </w:rPr>
              <w:t>,</w:t>
            </w:r>
            <w:r w:rsidRPr="00E23708">
              <w:rPr>
                <w:sz w:val="24"/>
                <w:szCs w:val="24"/>
              </w:rPr>
              <w:t xml:space="preserve"> and facilities necessary to support the quantum computing facilities to be built in the Illinois Quantum and Microelectronics Park. </w:t>
            </w:r>
          </w:p>
        </w:tc>
      </w:tr>
      <w:tr w:rsidR="00E958B1" w:rsidRPr="00E23708" w14:paraId="185E70EA" w14:textId="77777777" w:rsidTr="00397EC9">
        <w:trPr>
          <w:gridAfter w:val="1"/>
          <w:wAfter w:w="20" w:type="dxa"/>
          <w:trHeight w:val="333"/>
        </w:trPr>
        <w:tc>
          <w:tcPr>
            <w:tcW w:w="342" w:type="dxa"/>
          </w:tcPr>
          <w:p w14:paraId="2DF6F6EF" w14:textId="77777777" w:rsidR="00E958B1" w:rsidRPr="00D80B00" w:rsidRDefault="00E958B1" w:rsidP="00050E68">
            <w:pPr>
              <w:pStyle w:val="NoSpacing"/>
              <w:jc w:val="both"/>
              <w:rPr>
                <w:sz w:val="24"/>
                <w:szCs w:val="24"/>
              </w:rPr>
            </w:pPr>
          </w:p>
        </w:tc>
        <w:tc>
          <w:tcPr>
            <w:tcW w:w="990" w:type="dxa"/>
            <w:shd w:val="clear" w:color="auto" w:fill="auto"/>
          </w:tcPr>
          <w:p w14:paraId="766BE7B1" w14:textId="77777777" w:rsidR="00E958B1" w:rsidRPr="00D80B00" w:rsidRDefault="00E958B1" w:rsidP="00050E68">
            <w:pPr>
              <w:pStyle w:val="NoSpacing"/>
              <w:rPr>
                <w:sz w:val="24"/>
                <w:szCs w:val="24"/>
              </w:rPr>
            </w:pPr>
          </w:p>
          <w:p w14:paraId="24A46C56" w14:textId="77777777" w:rsidR="00E958B1" w:rsidRPr="00D80B00" w:rsidRDefault="00E958B1" w:rsidP="00050E68">
            <w:pPr>
              <w:pStyle w:val="NoSpacing"/>
              <w:jc w:val="both"/>
              <w:rPr>
                <w:sz w:val="24"/>
                <w:szCs w:val="24"/>
              </w:rPr>
            </w:pPr>
            <w:r w:rsidRPr="00D80B00">
              <w:rPr>
                <w:sz w:val="24"/>
                <w:szCs w:val="24"/>
              </w:rPr>
              <w:t>Cost</w:t>
            </w:r>
          </w:p>
        </w:tc>
        <w:tc>
          <w:tcPr>
            <w:tcW w:w="8118" w:type="dxa"/>
            <w:gridSpan w:val="2"/>
            <w:shd w:val="clear" w:color="auto" w:fill="auto"/>
          </w:tcPr>
          <w:p w14:paraId="52DCDC9C" w14:textId="77777777" w:rsidR="00E958B1" w:rsidRPr="00D80B00" w:rsidRDefault="00E958B1" w:rsidP="00050E68">
            <w:pPr>
              <w:pStyle w:val="NoSpacing"/>
              <w:spacing w:line="259" w:lineRule="auto"/>
              <w:rPr>
                <w:sz w:val="24"/>
                <w:szCs w:val="24"/>
              </w:rPr>
            </w:pPr>
          </w:p>
          <w:p w14:paraId="28132AC9" w14:textId="77777777" w:rsidR="00E958B1" w:rsidRDefault="00E958B1" w:rsidP="00050E68">
            <w:pPr>
              <w:tabs>
                <w:tab w:val="left" w:pos="-720"/>
                <w:tab w:val="left" w:pos="0"/>
                <w:tab w:val="left" w:pos="720"/>
                <w:tab w:val="left" w:pos="1080"/>
                <w:tab w:val="left" w:pos="1440"/>
              </w:tabs>
              <w:suppressAutoHyphens/>
              <w:spacing w:after="0"/>
              <w:jc w:val="both"/>
              <w:rPr>
                <w:sz w:val="24"/>
                <w:szCs w:val="24"/>
              </w:rPr>
            </w:pPr>
            <w:r w:rsidRPr="00D80B00">
              <w:rPr>
                <w:sz w:val="24"/>
                <w:szCs w:val="24"/>
              </w:rPr>
              <w:t xml:space="preserve">$99,000,000 </w:t>
            </w:r>
          </w:p>
          <w:p w14:paraId="7E081D71" w14:textId="77777777" w:rsidR="00E958B1" w:rsidRPr="00D80B00" w:rsidRDefault="00E958B1" w:rsidP="00050E68">
            <w:pPr>
              <w:tabs>
                <w:tab w:val="left" w:pos="-720"/>
                <w:tab w:val="left" w:pos="0"/>
                <w:tab w:val="left" w:pos="720"/>
                <w:tab w:val="left" w:pos="1080"/>
                <w:tab w:val="left" w:pos="1440"/>
              </w:tabs>
              <w:suppressAutoHyphens/>
              <w:spacing w:after="0"/>
              <w:jc w:val="both"/>
              <w:rPr>
                <w:sz w:val="24"/>
                <w:szCs w:val="24"/>
              </w:rPr>
            </w:pPr>
          </w:p>
        </w:tc>
      </w:tr>
      <w:tr w:rsidR="00E958B1" w:rsidRPr="00E23708" w14:paraId="59CD1FAA" w14:textId="77777777" w:rsidTr="00397EC9">
        <w:trPr>
          <w:gridAfter w:val="1"/>
          <w:wAfter w:w="20" w:type="dxa"/>
          <w:trHeight w:val="333"/>
        </w:trPr>
        <w:tc>
          <w:tcPr>
            <w:tcW w:w="342" w:type="dxa"/>
          </w:tcPr>
          <w:p w14:paraId="7A1E7408" w14:textId="77777777" w:rsidR="00E958B1" w:rsidRPr="00D80B00" w:rsidRDefault="00E958B1" w:rsidP="00050E68">
            <w:pPr>
              <w:pStyle w:val="NoSpacing"/>
              <w:jc w:val="both"/>
              <w:rPr>
                <w:sz w:val="24"/>
                <w:szCs w:val="24"/>
              </w:rPr>
            </w:pPr>
          </w:p>
        </w:tc>
        <w:tc>
          <w:tcPr>
            <w:tcW w:w="990" w:type="dxa"/>
            <w:shd w:val="clear" w:color="auto" w:fill="auto"/>
          </w:tcPr>
          <w:p w14:paraId="7D564B7E" w14:textId="77777777" w:rsidR="00E958B1" w:rsidRPr="00D80B00" w:rsidRDefault="00E958B1" w:rsidP="00050E68">
            <w:pPr>
              <w:pStyle w:val="NoSpacing"/>
              <w:jc w:val="both"/>
              <w:rPr>
                <w:sz w:val="24"/>
                <w:szCs w:val="24"/>
              </w:rPr>
            </w:pPr>
            <w:r w:rsidRPr="00D80B00">
              <w:rPr>
                <w:sz w:val="24"/>
                <w:szCs w:val="24"/>
              </w:rPr>
              <w:t>Vendor</w:t>
            </w:r>
          </w:p>
        </w:tc>
        <w:tc>
          <w:tcPr>
            <w:tcW w:w="8118" w:type="dxa"/>
            <w:gridSpan w:val="2"/>
            <w:shd w:val="clear" w:color="auto" w:fill="auto"/>
          </w:tcPr>
          <w:p w14:paraId="729B12E3" w14:textId="520A0868" w:rsidR="00E958B1" w:rsidRPr="00D80B00" w:rsidRDefault="00E958B1" w:rsidP="00050E68">
            <w:pPr>
              <w:pStyle w:val="Heading2"/>
              <w:spacing w:before="0" w:after="0" w:line="259" w:lineRule="auto"/>
              <w:rPr>
                <w:rFonts w:ascii="Times New Roman" w:hAnsi="Times New Roman"/>
                <w:b w:val="0"/>
                <w:i w:val="0"/>
                <w:sz w:val="24"/>
                <w:szCs w:val="24"/>
              </w:rPr>
            </w:pPr>
            <w:bookmarkStart w:id="2" w:name="_Hlk181360505"/>
            <w:r w:rsidRPr="00D80B00">
              <w:rPr>
                <w:rFonts w:ascii="Times New Roman" w:hAnsi="Times New Roman"/>
                <w:b w:val="0"/>
                <w:i w:val="0"/>
                <w:sz w:val="24"/>
                <w:szCs w:val="24"/>
              </w:rPr>
              <w:t>Linde Kryotechnik AG</w:t>
            </w:r>
            <w:r w:rsidR="00DA5FF6">
              <w:rPr>
                <w:rFonts w:ascii="Times New Roman" w:hAnsi="Times New Roman"/>
                <w:b w:val="0"/>
                <w:i w:val="0"/>
                <w:sz w:val="24"/>
                <w:szCs w:val="24"/>
              </w:rPr>
              <w:t xml:space="preserve">                         </w:t>
            </w:r>
            <w:r w:rsidRPr="00D80B00">
              <w:rPr>
                <w:rFonts w:ascii="Times New Roman" w:hAnsi="Times New Roman"/>
                <w:b w:val="0"/>
                <w:i w:val="0"/>
                <w:sz w:val="24"/>
                <w:szCs w:val="24"/>
              </w:rPr>
              <w:t xml:space="preserve"> </w:t>
            </w:r>
            <w:bookmarkEnd w:id="2"/>
            <w:r w:rsidRPr="00D80B00">
              <w:rPr>
                <w:rFonts w:ascii="Times New Roman" w:hAnsi="Times New Roman"/>
                <w:b w:val="0"/>
                <w:i w:val="0"/>
                <w:sz w:val="24"/>
                <w:szCs w:val="24"/>
              </w:rPr>
              <w:t>Pfungen, Switzerland</w:t>
            </w:r>
            <w:r w:rsidR="00DA5FF6">
              <w:rPr>
                <w:rFonts w:ascii="Times New Roman" w:hAnsi="Times New Roman"/>
                <w:b w:val="0"/>
                <w:i w:val="0"/>
                <w:sz w:val="24"/>
                <w:szCs w:val="24"/>
              </w:rPr>
              <w:t xml:space="preserve">  </w:t>
            </w:r>
            <w:r w:rsidR="00DA5FF6">
              <w:rPr>
                <w:rFonts w:ascii="Times New Roman" w:hAnsi="Times New Roman"/>
                <w:sz w:val="24"/>
                <w:szCs w:val="24"/>
              </w:rPr>
              <w:t xml:space="preserve">  </w:t>
            </w:r>
          </w:p>
          <w:p w14:paraId="423080E1" w14:textId="77777777" w:rsidR="00E958B1" w:rsidRPr="00D80B00" w:rsidRDefault="00E958B1" w:rsidP="00050E68">
            <w:pPr>
              <w:spacing w:after="0"/>
              <w:jc w:val="both"/>
              <w:rPr>
                <w:sz w:val="24"/>
                <w:szCs w:val="24"/>
              </w:rPr>
            </w:pPr>
          </w:p>
        </w:tc>
      </w:tr>
      <w:tr w:rsidR="00E958B1" w:rsidRPr="00E23708" w14:paraId="4F618716" w14:textId="77777777" w:rsidTr="00397EC9">
        <w:trPr>
          <w:gridAfter w:val="1"/>
          <w:wAfter w:w="20" w:type="dxa"/>
          <w:trHeight w:val="333"/>
        </w:trPr>
        <w:tc>
          <w:tcPr>
            <w:tcW w:w="342" w:type="dxa"/>
          </w:tcPr>
          <w:p w14:paraId="2D449420" w14:textId="77777777" w:rsidR="00E958B1" w:rsidRPr="00D80B00" w:rsidRDefault="00E958B1" w:rsidP="00050E68">
            <w:pPr>
              <w:pStyle w:val="NoSpacing"/>
              <w:jc w:val="both"/>
              <w:rPr>
                <w:sz w:val="24"/>
                <w:szCs w:val="24"/>
              </w:rPr>
            </w:pPr>
          </w:p>
        </w:tc>
        <w:tc>
          <w:tcPr>
            <w:tcW w:w="990" w:type="dxa"/>
            <w:shd w:val="clear" w:color="auto" w:fill="auto"/>
          </w:tcPr>
          <w:p w14:paraId="3AF36186" w14:textId="77777777" w:rsidR="00E958B1" w:rsidRPr="00D80B00" w:rsidRDefault="00E958B1" w:rsidP="00050E68">
            <w:pPr>
              <w:pStyle w:val="NoSpacing"/>
              <w:rPr>
                <w:sz w:val="24"/>
                <w:szCs w:val="24"/>
              </w:rPr>
            </w:pPr>
          </w:p>
        </w:tc>
        <w:tc>
          <w:tcPr>
            <w:tcW w:w="8118" w:type="dxa"/>
            <w:gridSpan w:val="2"/>
            <w:shd w:val="clear" w:color="auto" w:fill="auto"/>
          </w:tcPr>
          <w:p w14:paraId="25F1199D" w14:textId="0EAF102E" w:rsidR="00E958B1" w:rsidRPr="00D80B00" w:rsidRDefault="00E958B1" w:rsidP="00050E68">
            <w:pPr>
              <w:spacing w:after="0"/>
              <w:rPr>
                <w:sz w:val="24"/>
                <w:szCs w:val="24"/>
              </w:rPr>
            </w:pPr>
            <w:r w:rsidRPr="00E23708">
              <w:rPr>
                <w:sz w:val="24"/>
                <w:szCs w:val="24"/>
              </w:rPr>
              <w:t>In August 2024, IQMP, LLC issued a request for proposals (“RFP”) for cryoplant resources, equipment</w:t>
            </w:r>
            <w:r w:rsidR="00A3649D">
              <w:rPr>
                <w:sz w:val="24"/>
                <w:szCs w:val="24"/>
              </w:rPr>
              <w:t>,</w:t>
            </w:r>
            <w:r w:rsidRPr="00E23708">
              <w:rPr>
                <w:sz w:val="24"/>
                <w:szCs w:val="24"/>
              </w:rPr>
              <w:t xml:space="preserve"> and facilities necessary to support the quantum computing facilities to be built in the Illinois Quantum and Microelectronics Park. The RFP evaluation team selected Linde as the winning bid from the proposals received to provide helium refrigeration systems for Cryoplant A and Cryoplant IL</w:t>
            </w:r>
            <w:r w:rsidR="00A3649D">
              <w:rPr>
                <w:sz w:val="24"/>
                <w:szCs w:val="24"/>
              </w:rPr>
              <w:t>,</w:t>
            </w:r>
            <w:r w:rsidRPr="00E23708">
              <w:rPr>
                <w:sz w:val="24"/>
                <w:szCs w:val="24"/>
              </w:rPr>
              <w:t xml:space="preserve"> as shared infrastructure to support quantum computing at IQMP. The anticipated contract amount is for $77,000,000. </w:t>
            </w:r>
          </w:p>
          <w:p w14:paraId="2D705DE6" w14:textId="77777777" w:rsidR="00E958B1" w:rsidRPr="00D80B00" w:rsidRDefault="00E958B1" w:rsidP="00050E68">
            <w:pPr>
              <w:spacing w:after="0"/>
              <w:rPr>
                <w:sz w:val="24"/>
                <w:szCs w:val="24"/>
              </w:rPr>
            </w:pPr>
          </w:p>
          <w:p w14:paraId="4ACF0D6E" w14:textId="50D8ABCA" w:rsidR="00E958B1" w:rsidRPr="00D80B00" w:rsidRDefault="00E958B1" w:rsidP="00050E68">
            <w:pPr>
              <w:spacing w:after="0"/>
              <w:rPr>
                <w:sz w:val="24"/>
                <w:szCs w:val="24"/>
              </w:rPr>
            </w:pPr>
            <w:r w:rsidRPr="00D80B00">
              <w:rPr>
                <w:sz w:val="24"/>
                <w:szCs w:val="24"/>
              </w:rPr>
              <w:t xml:space="preserve">To facilitate the IQMP, LLC’s ability to execute a contract with Linde Kryotechnik AG </w:t>
            </w:r>
            <w:r w:rsidR="00A3649D">
              <w:rPr>
                <w:sz w:val="24"/>
                <w:szCs w:val="24"/>
              </w:rPr>
              <w:t>(</w:t>
            </w:r>
            <w:r w:rsidRPr="00D80B00">
              <w:rPr>
                <w:sz w:val="24"/>
                <w:szCs w:val="24"/>
              </w:rPr>
              <w:t>Linde</w:t>
            </w:r>
            <w:r w:rsidR="00A3649D">
              <w:rPr>
                <w:sz w:val="24"/>
                <w:szCs w:val="24"/>
              </w:rPr>
              <w:t>),</w:t>
            </w:r>
            <w:r w:rsidRPr="00D80B00">
              <w:rPr>
                <w:sz w:val="24"/>
                <w:szCs w:val="24"/>
              </w:rPr>
              <w:t xml:space="preserve"> the State of Illinois is entering into a grant agreement with the Board of Trustees of the University of Illinois, as IQMP, LLC is designated as a disregarded entity for tax purposes.</w:t>
            </w:r>
            <w:r w:rsidR="00DA5FF6">
              <w:rPr>
                <w:sz w:val="24"/>
                <w:szCs w:val="24"/>
              </w:rPr>
              <w:t xml:space="preserve"> </w:t>
            </w:r>
            <w:r w:rsidRPr="00D80B00">
              <w:rPr>
                <w:sz w:val="24"/>
                <w:szCs w:val="24"/>
              </w:rPr>
              <w:t>Per the Illinois Office of the Comptroller, IDCEO may only issue funds to a taxable entity.</w:t>
            </w:r>
            <w:r w:rsidR="00DA5FF6">
              <w:rPr>
                <w:sz w:val="24"/>
                <w:szCs w:val="24"/>
              </w:rPr>
              <w:t xml:space="preserve"> </w:t>
            </w:r>
            <w:r w:rsidRPr="00D80B00">
              <w:rPr>
                <w:sz w:val="24"/>
                <w:szCs w:val="24"/>
              </w:rPr>
              <w:t xml:space="preserve">Accordingly, the Board of Trustees of the University of Illinois </w:t>
            </w:r>
            <w:r w:rsidR="002512A2">
              <w:rPr>
                <w:sz w:val="24"/>
                <w:szCs w:val="24"/>
              </w:rPr>
              <w:t xml:space="preserve">has been </w:t>
            </w:r>
            <w:r w:rsidRPr="00D80B00">
              <w:rPr>
                <w:sz w:val="24"/>
                <w:szCs w:val="24"/>
              </w:rPr>
              <w:t>designated as the Grantee of the IDCEO grant funds which will be sub-granted to IQMP, LLC in their entirety pursuant to a Subgrant Letter Agreement. Through that agreement, the State of Illinois will provide IQMP, LLC with funds to contract with Linde for helium refrigeration systems and front-end engineering design; affiliated auxiliary systems to operate the cryoplants; architectural and engineering services; and replacement parts.</w:t>
            </w:r>
          </w:p>
          <w:p w14:paraId="04431CBE" w14:textId="77777777" w:rsidR="00E958B1" w:rsidRPr="00D80B00" w:rsidRDefault="00E958B1" w:rsidP="00050E68">
            <w:pPr>
              <w:spacing w:after="0"/>
              <w:rPr>
                <w:sz w:val="24"/>
                <w:szCs w:val="24"/>
              </w:rPr>
            </w:pPr>
          </w:p>
          <w:p w14:paraId="28B1BADF" w14:textId="51E40148" w:rsidR="0047464C" w:rsidRDefault="00E958B1" w:rsidP="00050E68">
            <w:pPr>
              <w:spacing w:after="0"/>
              <w:rPr>
                <w:sz w:val="24"/>
                <w:szCs w:val="24"/>
              </w:rPr>
            </w:pPr>
            <w:r w:rsidRPr="00D80B00">
              <w:rPr>
                <w:sz w:val="24"/>
                <w:szCs w:val="24"/>
              </w:rPr>
              <w:t xml:space="preserve">The IQMP, LLC has entered into a Letter of Intent </w:t>
            </w:r>
            <w:r w:rsidR="00D83266">
              <w:rPr>
                <w:sz w:val="24"/>
                <w:szCs w:val="24"/>
              </w:rPr>
              <w:t xml:space="preserve">(LOI) </w:t>
            </w:r>
            <w:r w:rsidRPr="00D80B00">
              <w:rPr>
                <w:sz w:val="24"/>
                <w:szCs w:val="24"/>
              </w:rPr>
              <w:t>Agreement with Linde to maintain the necessary timeline established by the IQMP, LLC and its stakeholders. In accordance with this agreement, the University of Illinois has remitted the equivalent of CHF 2’000’000 (two million Swiss Francs)</w:t>
            </w:r>
            <w:r w:rsidR="009250AE">
              <w:rPr>
                <w:sz w:val="24"/>
                <w:szCs w:val="24"/>
              </w:rPr>
              <w:t xml:space="preserve"> in </w:t>
            </w:r>
            <w:r w:rsidR="009250AE" w:rsidRPr="001309E7">
              <w:rPr>
                <w:sz w:val="24"/>
                <w:szCs w:val="24"/>
              </w:rPr>
              <w:t>earnest money</w:t>
            </w:r>
            <w:r w:rsidRPr="001309E7">
              <w:rPr>
                <w:sz w:val="24"/>
                <w:szCs w:val="24"/>
              </w:rPr>
              <w:t>, wit</w:t>
            </w:r>
            <w:r w:rsidRPr="00D80B00">
              <w:rPr>
                <w:sz w:val="24"/>
                <w:szCs w:val="24"/>
              </w:rPr>
              <w:t>h an expectation to be reimbursed upon receipt of the grant funds.</w:t>
            </w:r>
          </w:p>
          <w:p w14:paraId="40C0CC0E" w14:textId="77777777" w:rsidR="0047464C" w:rsidRPr="00D80B00" w:rsidRDefault="0047464C" w:rsidP="00050E68">
            <w:pPr>
              <w:spacing w:after="0"/>
              <w:rPr>
                <w:sz w:val="24"/>
                <w:szCs w:val="24"/>
              </w:rPr>
            </w:pPr>
          </w:p>
          <w:p w14:paraId="5B84747E" w14:textId="77777777" w:rsidR="00E958B1" w:rsidRDefault="00E958B1" w:rsidP="00050E68">
            <w:pPr>
              <w:spacing w:after="0"/>
              <w:rPr>
                <w:sz w:val="24"/>
                <w:szCs w:val="24"/>
              </w:rPr>
            </w:pPr>
            <w:r w:rsidRPr="00D80B00">
              <w:rPr>
                <w:sz w:val="24"/>
                <w:szCs w:val="24"/>
              </w:rPr>
              <w:t>Subsequent to the Board’s approval, the proposed timeline of funding submitted by Linde is as follows:</w:t>
            </w:r>
          </w:p>
          <w:p w14:paraId="796A8B37" w14:textId="77777777" w:rsidR="0047464C" w:rsidRPr="00D80B00" w:rsidRDefault="0047464C" w:rsidP="00050E68">
            <w:pPr>
              <w:spacing w:after="0"/>
              <w:rPr>
                <w:sz w:val="24"/>
                <w:szCs w:val="24"/>
              </w:rPr>
            </w:pPr>
          </w:p>
          <w:tbl>
            <w:tblPr>
              <w:tblW w:w="8720" w:type="dxa"/>
              <w:tblLook w:val="04A0" w:firstRow="1" w:lastRow="0" w:firstColumn="1" w:lastColumn="0" w:noHBand="0" w:noVBand="1"/>
            </w:tblPr>
            <w:tblGrid>
              <w:gridCol w:w="4551"/>
              <w:gridCol w:w="3423"/>
            </w:tblGrid>
            <w:tr w:rsidR="00E958B1" w:rsidRPr="00E23708" w14:paraId="44F1D163" w14:textId="77777777" w:rsidTr="00050E68">
              <w:trPr>
                <w:trHeight w:val="315"/>
              </w:trPr>
              <w:tc>
                <w:tcPr>
                  <w:tcW w:w="4980" w:type="dxa"/>
                  <w:tcBorders>
                    <w:top w:val="nil"/>
                    <w:left w:val="nil"/>
                    <w:bottom w:val="single" w:sz="4" w:space="0" w:color="auto"/>
                    <w:right w:val="nil"/>
                  </w:tcBorders>
                  <w:shd w:val="clear" w:color="auto" w:fill="auto"/>
                  <w:noWrap/>
                  <w:vAlign w:val="bottom"/>
                  <w:hideMark/>
                </w:tcPr>
                <w:p w14:paraId="0375F353" w14:textId="77777777" w:rsidR="00E958B1" w:rsidRPr="00D80B00" w:rsidRDefault="00E958B1" w:rsidP="00050E68">
                  <w:pPr>
                    <w:spacing w:after="0"/>
                    <w:rPr>
                      <w:rFonts w:eastAsia="Times New Roman"/>
                      <w:color w:val="000000"/>
                      <w:sz w:val="24"/>
                      <w:szCs w:val="24"/>
                    </w:rPr>
                  </w:pPr>
                  <w:r w:rsidRPr="00D80B00">
                    <w:rPr>
                      <w:rFonts w:eastAsia="Times New Roman"/>
                      <w:color w:val="000000"/>
                      <w:sz w:val="24"/>
                      <w:szCs w:val="24"/>
                    </w:rPr>
                    <w:lastRenderedPageBreak/>
                    <w:t xml:space="preserve">Helium </w:t>
                  </w:r>
                  <w:r w:rsidRPr="00E23708">
                    <w:rPr>
                      <w:rFonts w:eastAsia="Times New Roman"/>
                      <w:color w:val="000000"/>
                      <w:sz w:val="24"/>
                      <w:szCs w:val="24"/>
                    </w:rPr>
                    <w:t>Refrigeration</w:t>
                  </w:r>
                  <w:r w:rsidRPr="00D80B00">
                    <w:rPr>
                      <w:rFonts w:eastAsia="Times New Roman"/>
                      <w:color w:val="000000"/>
                      <w:sz w:val="24"/>
                      <w:szCs w:val="24"/>
                    </w:rPr>
                    <w:t xml:space="preserve"> System</w:t>
                  </w:r>
                  <w:r>
                    <w:rPr>
                      <w:rFonts w:eastAsia="Times New Roman"/>
                      <w:color w:val="000000"/>
                      <w:sz w:val="24"/>
                      <w:szCs w:val="24"/>
                    </w:rPr>
                    <w:t>s</w:t>
                  </w:r>
                </w:p>
              </w:tc>
              <w:tc>
                <w:tcPr>
                  <w:tcW w:w="3740" w:type="dxa"/>
                  <w:tcBorders>
                    <w:top w:val="nil"/>
                    <w:left w:val="nil"/>
                    <w:bottom w:val="single" w:sz="4" w:space="0" w:color="auto"/>
                    <w:right w:val="nil"/>
                  </w:tcBorders>
                  <w:shd w:val="clear" w:color="auto" w:fill="auto"/>
                  <w:noWrap/>
                  <w:vAlign w:val="bottom"/>
                  <w:hideMark/>
                </w:tcPr>
                <w:p w14:paraId="5F0459B1" w14:textId="77777777" w:rsidR="00E958B1" w:rsidRPr="00D80B00" w:rsidRDefault="00E958B1" w:rsidP="00050E68">
                  <w:pPr>
                    <w:spacing w:after="0"/>
                    <w:rPr>
                      <w:rFonts w:eastAsia="Times New Roman"/>
                      <w:i/>
                      <w:iCs/>
                      <w:color w:val="000000"/>
                      <w:sz w:val="24"/>
                      <w:szCs w:val="24"/>
                    </w:rPr>
                  </w:pPr>
                  <w:r w:rsidRPr="00D80B00">
                    <w:rPr>
                      <w:rFonts w:eastAsia="Times New Roman"/>
                      <w:i/>
                      <w:iCs/>
                      <w:color w:val="000000"/>
                      <w:sz w:val="24"/>
                      <w:szCs w:val="24"/>
                    </w:rPr>
                    <w:t>(Estimated USD equivalent)</w:t>
                  </w:r>
                </w:p>
              </w:tc>
            </w:tr>
            <w:tr w:rsidR="00E958B1" w:rsidRPr="00E23708" w14:paraId="5C7801BF" w14:textId="77777777" w:rsidTr="00050E68">
              <w:trPr>
                <w:trHeight w:val="300"/>
              </w:trPr>
              <w:tc>
                <w:tcPr>
                  <w:tcW w:w="4980" w:type="dxa"/>
                  <w:tcBorders>
                    <w:top w:val="nil"/>
                    <w:left w:val="nil"/>
                    <w:bottom w:val="nil"/>
                    <w:right w:val="nil"/>
                  </w:tcBorders>
                  <w:shd w:val="clear" w:color="auto" w:fill="auto"/>
                  <w:noWrap/>
                  <w:vAlign w:val="bottom"/>
                  <w:hideMark/>
                </w:tcPr>
                <w:p w14:paraId="0BFAA6FF" w14:textId="41F63A8E" w:rsidR="00E958B1" w:rsidRPr="00D80B00" w:rsidRDefault="00E958B1" w:rsidP="00050E68">
                  <w:pPr>
                    <w:spacing w:after="0"/>
                    <w:rPr>
                      <w:rFonts w:eastAsia="Times New Roman"/>
                      <w:color w:val="000000"/>
                      <w:sz w:val="22"/>
                    </w:rPr>
                  </w:pPr>
                  <w:r w:rsidRPr="00D80B00">
                    <w:rPr>
                      <w:rFonts w:eastAsia="Times New Roman"/>
                      <w:color w:val="000000"/>
                      <w:sz w:val="22"/>
                    </w:rPr>
                    <w:t>Sign LOI on 10/28, pay within 10 days 11/6</w:t>
                  </w:r>
                  <w:r w:rsidR="009250AE">
                    <w:rPr>
                      <w:rFonts w:eastAsia="Times New Roman"/>
                      <w:color w:val="000000"/>
                      <w:sz w:val="22"/>
                    </w:rPr>
                    <w:t xml:space="preserve">      </w:t>
                  </w:r>
                  <w:r w:rsidR="009250AE" w:rsidRPr="001309E7">
                    <w:rPr>
                      <w:rFonts w:eastAsia="Times New Roman"/>
                      <w:color w:val="000000"/>
                      <w:sz w:val="22"/>
                    </w:rPr>
                    <w:t>(earnest money)</w:t>
                  </w:r>
                </w:p>
              </w:tc>
              <w:tc>
                <w:tcPr>
                  <w:tcW w:w="3740" w:type="dxa"/>
                  <w:tcBorders>
                    <w:top w:val="nil"/>
                    <w:left w:val="nil"/>
                    <w:bottom w:val="nil"/>
                    <w:right w:val="nil"/>
                  </w:tcBorders>
                  <w:shd w:val="clear" w:color="auto" w:fill="auto"/>
                  <w:noWrap/>
                  <w:vAlign w:val="bottom"/>
                  <w:hideMark/>
                </w:tcPr>
                <w:p w14:paraId="29E54AEC" w14:textId="130BEC6D"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2,310,240.00 </w:t>
                  </w:r>
                </w:p>
              </w:tc>
            </w:tr>
            <w:tr w:rsidR="00E958B1" w:rsidRPr="00E23708" w14:paraId="13379F10" w14:textId="77777777" w:rsidTr="00050E68">
              <w:trPr>
                <w:trHeight w:val="300"/>
              </w:trPr>
              <w:tc>
                <w:tcPr>
                  <w:tcW w:w="8720" w:type="dxa"/>
                  <w:gridSpan w:val="2"/>
                  <w:tcBorders>
                    <w:top w:val="nil"/>
                    <w:left w:val="nil"/>
                    <w:bottom w:val="nil"/>
                    <w:right w:val="nil"/>
                  </w:tcBorders>
                  <w:shd w:val="clear" w:color="auto" w:fill="auto"/>
                  <w:noWrap/>
                  <w:vAlign w:val="bottom"/>
                  <w:hideMark/>
                </w:tcPr>
                <w:p w14:paraId="02E7D734" w14:textId="77777777" w:rsidR="00E958B1" w:rsidRPr="00D80B00" w:rsidRDefault="00E958B1" w:rsidP="00050E68">
                  <w:pPr>
                    <w:spacing w:after="0"/>
                    <w:rPr>
                      <w:rFonts w:eastAsia="Times New Roman"/>
                      <w:color w:val="000000"/>
                      <w:sz w:val="22"/>
                    </w:rPr>
                  </w:pPr>
                  <w:r w:rsidRPr="00D80B00">
                    <w:rPr>
                      <w:rFonts w:eastAsia="Times New Roman"/>
                      <w:color w:val="000000"/>
                      <w:sz w:val="22"/>
                    </w:rPr>
                    <w:t>Cont</w:t>
                  </w:r>
                  <w:r>
                    <w:rPr>
                      <w:rFonts w:eastAsia="Times New Roman"/>
                      <w:color w:val="000000"/>
                      <w:sz w:val="22"/>
                    </w:rPr>
                    <w:t>r</w:t>
                  </w:r>
                  <w:r w:rsidRPr="00D80B00">
                    <w:rPr>
                      <w:rFonts w:eastAsia="Times New Roman"/>
                      <w:color w:val="000000"/>
                      <w:sz w:val="22"/>
                    </w:rPr>
                    <w:t>act within 30 days of LOI Signing: 11/28, then payment due within 30 days 12/27/24</w:t>
                  </w:r>
                </w:p>
              </w:tc>
            </w:tr>
            <w:tr w:rsidR="00E958B1" w:rsidRPr="00E23708" w14:paraId="74A8F224" w14:textId="77777777" w:rsidTr="00050E68">
              <w:trPr>
                <w:trHeight w:val="300"/>
              </w:trPr>
              <w:tc>
                <w:tcPr>
                  <w:tcW w:w="4980" w:type="dxa"/>
                  <w:tcBorders>
                    <w:top w:val="nil"/>
                    <w:left w:val="nil"/>
                    <w:bottom w:val="nil"/>
                    <w:right w:val="nil"/>
                  </w:tcBorders>
                  <w:shd w:val="clear" w:color="auto" w:fill="auto"/>
                  <w:noWrap/>
                  <w:vAlign w:val="bottom"/>
                  <w:hideMark/>
                </w:tcPr>
                <w:p w14:paraId="57DDF2FE" w14:textId="77777777" w:rsidR="00E958B1" w:rsidRPr="00D80B00" w:rsidRDefault="00E958B1" w:rsidP="00050E68">
                  <w:pPr>
                    <w:spacing w:after="0"/>
                    <w:rPr>
                      <w:rFonts w:eastAsia="Times New Roman"/>
                      <w:color w:val="000000"/>
                      <w:sz w:val="22"/>
                    </w:rPr>
                  </w:pPr>
                  <w:r w:rsidRPr="00D80B00">
                    <w:rPr>
                      <w:rFonts w:eastAsia="Times New Roman"/>
                      <w:color w:val="000000"/>
                      <w:sz w:val="22"/>
                    </w:rPr>
                    <w:t>Payment Due after contracting 12/27/24</w:t>
                  </w:r>
                </w:p>
              </w:tc>
              <w:tc>
                <w:tcPr>
                  <w:tcW w:w="3740" w:type="dxa"/>
                  <w:tcBorders>
                    <w:top w:val="nil"/>
                    <w:left w:val="nil"/>
                    <w:bottom w:val="nil"/>
                    <w:right w:val="nil"/>
                  </w:tcBorders>
                  <w:shd w:val="clear" w:color="auto" w:fill="auto"/>
                  <w:noWrap/>
                  <w:vAlign w:val="bottom"/>
                  <w:hideMark/>
                </w:tcPr>
                <w:p w14:paraId="78BFE45E" w14:textId="05603ED7"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28,489,760.00 </w:t>
                  </w:r>
                </w:p>
              </w:tc>
            </w:tr>
            <w:tr w:rsidR="00E958B1" w:rsidRPr="00E23708" w14:paraId="3A07FE35" w14:textId="77777777" w:rsidTr="00050E68">
              <w:trPr>
                <w:trHeight w:val="300"/>
              </w:trPr>
              <w:tc>
                <w:tcPr>
                  <w:tcW w:w="4980" w:type="dxa"/>
                  <w:tcBorders>
                    <w:top w:val="nil"/>
                    <w:left w:val="nil"/>
                    <w:bottom w:val="nil"/>
                    <w:right w:val="nil"/>
                  </w:tcBorders>
                  <w:shd w:val="clear" w:color="auto" w:fill="auto"/>
                  <w:noWrap/>
                  <w:vAlign w:val="bottom"/>
                  <w:hideMark/>
                </w:tcPr>
                <w:p w14:paraId="105E42FF" w14:textId="77777777" w:rsidR="00E958B1" w:rsidRPr="00D80B00" w:rsidRDefault="00E958B1" w:rsidP="00050E68">
                  <w:pPr>
                    <w:spacing w:after="0"/>
                    <w:rPr>
                      <w:rFonts w:eastAsia="Times New Roman"/>
                      <w:color w:val="000000"/>
                      <w:sz w:val="22"/>
                    </w:rPr>
                  </w:pPr>
                  <w:r w:rsidRPr="00D80B00">
                    <w:rPr>
                      <w:rFonts w:eastAsia="Times New Roman"/>
                      <w:color w:val="000000"/>
                      <w:sz w:val="22"/>
                    </w:rPr>
                    <w:t>Second installment 4/27/25</w:t>
                  </w:r>
                </w:p>
              </w:tc>
              <w:tc>
                <w:tcPr>
                  <w:tcW w:w="3740" w:type="dxa"/>
                  <w:tcBorders>
                    <w:top w:val="nil"/>
                    <w:left w:val="nil"/>
                    <w:bottom w:val="nil"/>
                    <w:right w:val="nil"/>
                  </w:tcBorders>
                  <w:shd w:val="clear" w:color="auto" w:fill="auto"/>
                  <w:noWrap/>
                  <w:vAlign w:val="bottom"/>
                  <w:hideMark/>
                </w:tcPr>
                <w:p w14:paraId="0B3CE41E" w14:textId="6195F5FB"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23,100,000.00 </w:t>
                  </w:r>
                </w:p>
              </w:tc>
            </w:tr>
            <w:tr w:rsidR="00E958B1" w:rsidRPr="00E23708" w14:paraId="16F23560" w14:textId="77777777" w:rsidTr="00050E68">
              <w:trPr>
                <w:trHeight w:val="300"/>
              </w:trPr>
              <w:tc>
                <w:tcPr>
                  <w:tcW w:w="4980" w:type="dxa"/>
                  <w:tcBorders>
                    <w:top w:val="nil"/>
                    <w:left w:val="nil"/>
                    <w:bottom w:val="nil"/>
                    <w:right w:val="nil"/>
                  </w:tcBorders>
                  <w:shd w:val="clear" w:color="auto" w:fill="auto"/>
                  <w:noWrap/>
                  <w:vAlign w:val="bottom"/>
                  <w:hideMark/>
                </w:tcPr>
                <w:p w14:paraId="5FB010A4" w14:textId="77777777" w:rsidR="00E958B1" w:rsidRPr="00D80B00" w:rsidRDefault="00E958B1" w:rsidP="00050E68">
                  <w:pPr>
                    <w:spacing w:after="0"/>
                    <w:rPr>
                      <w:rFonts w:eastAsia="Times New Roman"/>
                      <w:color w:val="000000"/>
                      <w:sz w:val="22"/>
                    </w:rPr>
                  </w:pPr>
                  <w:r w:rsidRPr="00D80B00">
                    <w:rPr>
                      <w:rFonts w:eastAsia="Times New Roman"/>
                      <w:color w:val="000000"/>
                      <w:sz w:val="22"/>
                    </w:rPr>
                    <w:t>Third installment 4/28/26</w:t>
                  </w:r>
                </w:p>
              </w:tc>
              <w:tc>
                <w:tcPr>
                  <w:tcW w:w="3740" w:type="dxa"/>
                  <w:tcBorders>
                    <w:top w:val="nil"/>
                    <w:left w:val="nil"/>
                    <w:bottom w:val="nil"/>
                    <w:right w:val="nil"/>
                  </w:tcBorders>
                  <w:shd w:val="clear" w:color="auto" w:fill="auto"/>
                  <w:noWrap/>
                  <w:vAlign w:val="bottom"/>
                  <w:hideMark/>
                </w:tcPr>
                <w:p w14:paraId="007B582C" w14:textId="0E2B1BC6"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11,550,000.00 </w:t>
                  </w:r>
                </w:p>
              </w:tc>
            </w:tr>
            <w:tr w:rsidR="00E958B1" w:rsidRPr="00E23708" w14:paraId="458D12F8" w14:textId="77777777" w:rsidTr="00050E68">
              <w:trPr>
                <w:trHeight w:val="300"/>
              </w:trPr>
              <w:tc>
                <w:tcPr>
                  <w:tcW w:w="4980" w:type="dxa"/>
                  <w:tcBorders>
                    <w:top w:val="nil"/>
                    <w:left w:val="nil"/>
                    <w:bottom w:val="single" w:sz="4" w:space="0" w:color="auto"/>
                    <w:right w:val="nil"/>
                  </w:tcBorders>
                  <w:shd w:val="clear" w:color="auto" w:fill="auto"/>
                  <w:noWrap/>
                  <w:vAlign w:val="bottom"/>
                  <w:hideMark/>
                </w:tcPr>
                <w:p w14:paraId="64F66FDA" w14:textId="77777777" w:rsidR="00E958B1" w:rsidRPr="00D80B00" w:rsidRDefault="00E958B1" w:rsidP="00050E68">
                  <w:pPr>
                    <w:spacing w:after="0"/>
                    <w:rPr>
                      <w:rFonts w:eastAsia="Times New Roman"/>
                      <w:color w:val="000000"/>
                      <w:sz w:val="22"/>
                    </w:rPr>
                  </w:pPr>
                  <w:r w:rsidRPr="00D80B00">
                    <w:rPr>
                      <w:rFonts w:eastAsia="Times New Roman"/>
                      <w:color w:val="000000"/>
                      <w:sz w:val="22"/>
                    </w:rPr>
                    <w:t>Last payment 10/28/26</w:t>
                  </w:r>
                </w:p>
              </w:tc>
              <w:tc>
                <w:tcPr>
                  <w:tcW w:w="3740" w:type="dxa"/>
                  <w:tcBorders>
                    <w:top w:val="nil"/>
                    <w:left w:val="nil"/>
                    <w:bottom w:val="single" w:sz="4" w:space="0" w:color="auto"/>
                    <w:right w:val="nil"/>
                  </w:tcBorders>
                  <w:shd w:val="clear" w:color="auto" w:fill="auto"/>
                  <w:noWrap/>
                  <w:vAlign w:val="bottom"/>
                  <w:hideMark/>
                </w:tcPr>
                <w:p w14:paraId="5D2DEA94" w14:textId="3C678511"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11,550,000.00 </w:t>
                  </w:r>
                </w:p>
              </w:tc>
            </w:tr>
            <w:tr w:rsidR="00E958B1" w:rsidRPr="00E23708" w14:paraId="2C73ACFA" w14:textId="77777777" w:rsidTr="00050E68">
              <w:trPr>
                <w:trHeight w:val="300"/>
              </w:trPr>
              <w:tc>
                <w:tcPr>
                  <w:tcW w:w="4980" w:type="dxa"/>
                  <w:tcBorders>
                    <w:top w:val="nil"/>
                    <w:left w:val="nil"/>
                    <w:bottom w:val="nil"/>
                    <w:right w:val="nil"/>
                  </w:tcBorders>
                  <w:shd w:val="clear" w:color="auto" w:fill="auto"/>
                  <w:noWrap/>
                  <w:vAlign w:val="bottom"/>
                  <w:hideMark/>
                </w:tcPr>
                <w:p w14:paraId="501DA0D0" w14:textId="77777777" w:rsidR="00E958B1" w:rsidRPr="00D80B00" w:rsidRDefault="00E958B1" w:rsidP="00050E68">
                  <w:pPr>
                    <w:spacing w:after="0"/>
                    <w:rPr>
                      <w:rFonts w:eastAsia="Times New Roman"/>
                      <w:color w:val="000000"/>
                      <w:sz w:val="22"/>
                    </w:rPr>
                  </w:pPr>
                </w:p>
              </w:tc>
              <w:tc>
                <w:tcPr>
                  <w:tcW w:w="3740" w:type="dxa"/>
                  <w:tcBorders>
                    <w:top w:val="nil"/>
                    <w:left w:val="nil"/>
                    <w:bottom w:val="nil"/>
                    <w:right w:val="nil"/>
                  </w:tcBorders>
                  <w:shd w:val="clear" w:color="auto" w:fill="auto"/>
                  <w:noWrap/>
                  <w:vAlign w:val="bottom"/>
                  <w:hideMark/>
                </w:tcPr>
                <w:p w14:paraId="1BAF3AE9" w14:textId="6C163894" w:rsidR="00E958B1" w:rsidRPr="00D80B00" w:rsidRDefault="00E958B1" w:rsidP="00050E68">
                  <w:pPr>
                    <w:spacing w:after="0"/>
                    <w:rPr>
                      <w:rFonts w:eastAsia="Times New Roman"/>
                      <w:color w:val="000000"/>
                      <w:sz w:val="22"/>
                    </w:rPr>
                  </w:pPr>
                  <w:r w:rsidRPr="00D80B00">
                    <w:rPr>
                      <w:rFonts w:eastAsia="Times New Roman"/>
                      <w:color w:val="000000"/>
                      <w:sz w:val="22"/>
                    </w:rPr>
                    <w:t xml:space="preserve"> $</w:t>
                  </w:r>
                  <w:r w:rsidR="00DA5FF6">
                    <w:rPr>
                      <w:rFonts w:eastAsia="Times New Roman"/>
                      <w:color w:val="000000"/>
                      <w:sz w:val="22"/>
                    </w:rPr>
                    <w:t xml:space="preserve">              </w:t>
                  </w:r>
                  <w:r w:rsidRPr="00D80B00">
                    <w:rPr>
                      <w:rFonts w:eastAsia="Times New Roman"/>
                      <w:color w:val="000000"/>
                      <w:sz w:val="22"/>
                    </w:rPr>
                    <w:t xml:space="preserve"> 77,000,000.00 </w:t>
                  </w:r>
                </w:p>
              </w:tc>
            </w:tr>
          </w:tbl>
          <w:p w14:paraId="6CBFAC5D" w14:textId="77777777" w:rsidR="00E958B1" w:rsidRPr="00D80B00" w:rsidRDefault="00E958B1" w:rsidP="00050E68">
            <w:pPr>
              <w:spacing w:after="0"/>
              <w:rPr>
                <w:sz w:val="24"/>
                <w:szCs w:val="24"/>
              </w:rPr>
            </w:pPr>
          </w:p>
          <w:p w14:paraId="75D77A19" w14:textId="62A6B6C2" w:rsidR="00B35B27" w:rsidRDefault="00D609D7" w:rsidP="00050E68">
            <w:pPr>
              <w:spacing w:after="0"/>
              <w:rPr>
                <w:sz w:val="24"/>
                <w:szCs w:val="24"/>
              </w:rPr>
            </w:pPr>
            <w:r w:rsidRPr="00D80B00">
              <w:rPr>
                <w:sz w:val="24"/>
                <w:szCs w:val="24"/>
              </w:rPr>
              <w:t>IQMP, LLC will negotiate and enter into separate agreement</w:t>
            </w:r>
            <w:r>
              <w:rPr>
                <w:sz w:val="24"/>
                <w:szCs w:val="24"/>
              </w:rPr>
              <w:t>s</w:t>
            </w:r>
            <w:r w:rsidRPr="00D80B00">
              <w:rPr>
                <w:sz w:val="24"/>
                <w:szCs w:val="24"/>
              </w:rPr>
              <w:t xml:space="preserve"> for affiliated auxiliary systems to operate the helium refrigeration systems (“cryoplants”); architectural and engineering services; construction and site development associated with IQMP designated </w:t>
            </w:r>
            <w:r>
              <w:rPr>
                <w:sz w:val="24"/>
                <w:szCs w:val="24"/>
              </w:rPr>
              <w:t>c</w:t>
            </w:r>
            <w:r w:rsidRPr="00D80B00">
              <w:rPr>
                <w:sz w:val="24"/>
                <w:szCs w:val="24"/>
              </w:rPr>
              <w:t>ryoplant operations; operations and maintenance; gases needed to operate the systems; utilities; and replacement parts.</w:t>
            </w:r>
            <w:r>
              <w:rPr>
                <w:sz w:val="24"/>
                <w:szCs w:val="24"/>
              </w:rPr>
              <w:t xml:space="preserve"> Therefore, the remaining $22,000,000 will be expended under these separate agreements and in accordance </w:t>
            </w:r>
            <w:r w:rsidR="00A3649D">
              <w:rPr>
                <w:sz w:val="24"/>
                <w:szCs w:val="24"/>
              </w:rPr>
              <w:t xml:space="preserve">with </w:t>
            </w:r>
            <w:r w:rsidRPr="00D80B00">
              <w:rPr>
                <w:sz w:val="24"/>
                <w:szCs w:val="24"/>
              </w:rPr>
              <w:t>the IQMP, LLC Signature Authority Policy</w:t>
            </w:r>
            <w:r>
              <w:rPr>
                <w:sz w:val="24"/>
                <w:szCs w:val="24"/>
              </w:rPr>
              <w:t>.</w:t>
            </w:r>
          </w:p>
          <w:p w14:paraId="6C916F35" w14:textId="77777777" w:rsidR="00B35B27" w:rsidRDefault="00B35B27" w:rsidP="00050E68">
            <w:pPr>
              <w:spacing w:after="0"/>
              <w:rPr>
                <w:sz w:val="24"/>
                <w:szCs w:val="24"/>
              </w:rPr>
            </w:pPr>
          </w:p>
          <w:p w14:paraId="104458CF" w14:textId="1FAFBBAA" w:rsidR="00E958B1" w:rsidRPr="00D80B00" w:rsidRDefault="00E958B1" w:rsidP="00050E68">
            <w:pPr>
              <w:spacing w:after="0"/>
              <w:rPr>
                <w:sz w:val="24"/>
                <w:szCs w:val="24"/>
              </w:rPr>
            </w:pPr>
            <w:r w:rsidRPr="00D80B00">
              <w:rPr>
                <w:sz w:val="24"/>
                <w:szCs w:val="24"/>
              </w:rPr>
              <w:t>Of the total grant agreement, $30,800,000 is expected to be released by December 27</w:t>
            </w:r>
            <w:r>
              <w:rPr>
                <w:sz w:val="24"/>
                <w:szCs w:val="24"/>
              </w:rPr>
              <w:t>, 2024</w:t>
            </w:r>
            <w:r w:rsidR="00D83266">
              <w:rPr>
                <w:sz w:val="24"/>
                <w:szCs w:val="24"/>
              </w:rPr>
              <w:t>,</w:t>
            </w:r>
            <w:r w:rsidRPr="00D80B00">
              <w:rPr>
                <w:sz w:val="24"/>
                <w:szCs w:val="24"/>
              </w:rPr>
              <w:t xml:space="preserve"> in the form of an advance working capital grant to fund the remaining deposit balance, less the </w:t>
            </w:r>
            <w:r w:rsidR="00D83266">
              <w:rPr>
                <w:sz w:val="24"/>
                <w:szCs w:val="24"/>
              </w:rPr>
              <w:t>LOI</w:t>
            </w:r>
            <w:r w:rsidR="001309E7" w:rsidRPr="001309E7">
              <w:rPr>
                <w:sz w:val="24"/>
                <w:szCs w:val="24"/>
              </w:rPr>
              <w:t xml:space="preserve"> </w:t>
            </w:r>
            <w:r w:rsidRPr="001309E7">
              <w:rPr>
                <w:sz w:val="24"/>
                <w:szCs w:val="24"/>
              </w:rPr>
              <w:t>earnest money (which will repay the System).</w:t>
            </w:r>
            <w:r w:rsidRPr="00D80B00">
              <w:rPr>
                <w:sz w:val="24"/>
                <w:szCs w:val="24"/>
              </w:rPr>
              <w:t xml:space="preserve"> The remaining installments will function as other grants do, where the Board will submit payment in accordance with the Linde contract and subsequently submit proof of payment to the IDCEO for reimbursement via the grant agreement.</w:t>
            </w:r>
          </w:p>
          <w:p w14:paraId="290FBBC4" w14:textId="77777777" w:rsidR="00E958B1" w:rsidRPr="00D80B00" w:rsidRDefault="00E958B1" w:rsidP="00050E68">
            <w:pPr>
              <w:spacing w:after="0"/>
              <w:rPr>
                <w:sz w:val="24"/>
                <w:szCs w:val="24"/>
              </w:rPr>
            </w:pPr>
          </w:p>
          <w:p w14:paraId="72428596" w14:textId="0A540DCA" w:rsidR="00B35B27" w:rsidRDefault="00E958B1" w:rsidP="00050E68">
            <w:pPr>
              <w:spacing w:after="0"/>
              <w:rPr>
                <w:sz w:val="24"/>
                <w:szCs w:val="24"/>
              </w:rPr>
            </w:pPr>
            <w:r w:rsidRPr="00D80B00">
              <w:rPr>
                <w:sz w:val="24"/>
                <w:szCs w:val="24"/>
              </w:rPr>
              <w:t>IQMP, LLC is subject to University of Illinois Board of Trustees procurement authorization for the cost of the systems and engineering design. The University of Illinois Board of Trustees authorizes IQMP, LLC to enter purchase agreements with Linde for helium refrigeration systems, front-end engineering design, replacement parts and A/E design fees</w:t>
            </w:r>
            <w:r w:rsidR="0047464C">
              <w:rPr>
                <w:sz w:val="24"/>
                <w:szCs w:val="24"/>
              </w:rPr>
              <w:t xml:space="preserve">, </w:t>
            </w:r>
            <w:r w:rsidR="0047464C" w:rsidRPr="008327CE">
              <w:rPr>
                <w:sz w:val="24"/>
                <w:szCs w:val="24"/>
              </w:rPr>
              <w:t>contingent on the execution of the underlying grant agreement between the University of Illinois Board of Trustees and IDCEO</w:t>
            </w:r>
            <w:r w:rsidRPr="008327CE">
              <w:rPr>
                <w:sz w:val="24"/>
                <w:szCs w:val="24"/>
              </w:rPr>
              <w:t>.</w:t>
            </w:r>
            <w:r w:rsidRPr="00D80B00">
              <w:rPr>
                <w:sz w:val="24"/>
                <w:szCs w:val="24"/>
              </w:rPr>
              <w:t xml:space="preserve"> </w:t>
            </w:r>
          </w:p>
          <w:p w14:paraId="668A958E" w14:textId="77777777" w:rsidR="00B35B27" w:rsidRDefault="00B35B27" w:rsidP="00050E68">
            <w:pPr>
              <w:spacing w:after="0"/>
              <w:rPr>
                <w:sz w:val="24"/>
                <w:szCs w:val="24"/>
              </w:rPr>
            </w:pPr>
          </w:p>
          <w:p w14:paraId="083834FE" w14:textId="77777777" w:rsidR="00E958B1" w:rsidRPr="00D80B00" w:rsidRDefault="00E958B1" w:rsidP="00050E68">
            <w:pPr>
              <w:spacing w:after="0"/>
              <w:rPr>
                <w:sz w:val="24"/>
                <w:szCs w:val="24"/>
              </w:rPr>
            </w:pPr>
            <w:r w:rsidRPr="00D80B00">
              <w:rPr>
                <w:sz w:val="24"/>
                <w:szCs w:val="24"/>
              </w:rPr>
              <w:t>The above-described contract[s] will be executed in accordance with the IQMP, LLC Signature Authority Policy. The funds for this contract are “State Funds” as defined in the Signature Authority Policy.</w:t>
            </w:r>
          </w:p>
          <w:p w14:paraId="6F55A98B" w14:textId="77777777" w:rsidR="00E958B1" w:rsidRPr="00D80B00" w:rsidRDefault="00E958B1" w:rsidP="00050E68">
            <w:pPr>
              <w:spacing w:after="0"/>
              <w:rPr>
                <w:sz w:val="24"/>
                <w:szCs w:val="24"/>
              </w:rPr>
            </w:pPr>
          </w:p>
          <w:p w14:paraId="44563F51" w14:textId="101CDD4E" w:rsidR="00E958B1" w:rsidRPr="00D80B00" w:rsidRDefault="00E958B1" w:rsidP="00050E68">
            <w:pPr>
              <w:spacing w:after="0"/>
              <w:rPr>
                <w:sz w:val="24"/>
                <w:szCs w:val="24"/>
              </w:rPr>
            </w:pPr>
          </w:p>
          <w:p w14:paraId="0054C6F6" w14:textId="77777777" w:rsidR="00E958B1" w:rsidRPr="00D80B00" w:rsidRDefault="00E958B1" w:rsidP="00050E68">
            <w:pPr>
              <w:spacing w:after="0"/>
              <w:rPr>
                <w:sz w:val="24"/>
                <w:szCs w:val="24"/>
              </w:rPr>
            </w:pPr>
          </w:p>
        </w:tc>
      </w:tr>
    </w:tbl>
    <w:p w14:paraId="06085382" w14:textId="77777777" w:rsidR="00E958B1" w:rsidRPr="00050E68" w:rsidRDefault="00E958B1" w:rsidP="00E958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 w:val="24"/>
          <w:szCs w:val="24"/>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809"/>
        <w:gridCol w:w="1902"/>
      </w:tblGrid>
      <w:tr w:rsidR="00E958B1" w:rsidRPr="00353536" w14:paraId="65146397" w14:textId="77777777" w:rsidTr="00050E68">
        <w:trPr>
          <w:trHeight w:val="394"/>
        </w:trPr>
        <w:tc>
          <w:tcPr>
            <w:tcW w:w="7711" w:type="dxa"/>
            <w:gridSpan w:val="2"/>
          </w:tcPr>
          <w:p w14:paraId="7CC9CEED" w14:textId="77777777" w:rsidR="00E958B1" w:rsidRPr="00353536" w:rsidRDefault="00E958B1" w:rsidP="00050E68">
            <w:pPr>
              <w:overflowPunct w:val="0"/>
              <w:autoSpaceDE w:val="0"/>
              <w:autoSpaceDN w:val="0"/>
              <w:adjustRightInd w:val="0"/>
              <w:spacing w:after="0" w:line="240" w:lineRule="auto"/>
              <w:jc w:val="center"/>
              <w:textAlignment w:val="baseline"/>
              <w:rPr>
                <w:rFonts w:eastAsia="Times New Roman"/>
                <w:szCs w:val="26"/>
                <w:highlight w:val="yellow"/>
              </w:rPr>
            </w:pPr>
            <w:r w:rsidRPr="00353536">
              <w:rPr>
                <w:rFonts w:eastAsia="Times New Roman"/>
                <w:b/>
                <w:szCs w:val="26"/>
              </w:rPr>
              <w:t>SUMMARY O</w:t>
            </w:r>
            <w:r>
              <w:rPr>
                <w:rFonts w:eastAsia="Times New Roman"/>
                <w:b/>
                <w:szCs w:val="26"/>
              </w:rPr>
              <w:t>F PURCHASES</w:t>
            </w:r>
          </w:p>
        </w:tc>
      </w:tr>
      <w:tr w:rsidR="00E958B1" w:rsidRPr="0097228A" w14:paraId="46D36A23" w14:textId="77777777" w:rsidTr="00050E68">
        <w:trPr>
          <w:trHeight w:val="394"/>
        </w:trPr>
        <w:tc>
          <w:tcPr>
            <w:tcW w:w="5809" w:type="dxa"/>
          </w:tcPr>
          <w:p w14:paraId="5A3D7DAF" w14:textId="77777777" w:rsidR="00E958B1" w:rsidRPr="00353536" w:rsidRDefault="00E958B1" w:rsidP="00050E68">
            <w:pPr>
              <w:overflowPunct w:val="0"/>
              <w:autoSpaceDE w:val="0"/>
              <w:autoSpaceDN w:val="0"/>
              <w:adjustRightInd w:val="0"/>
              <w:spacing w:after="0" w:line="240" w:lineRule="auto"/>
              <w:textAlignment w:val="baseline"/>
              <w:rPr>
                <w:rFonts w:eastAsia="Times New Roman"/>
                <w:szCs w:val="26"/>
              </w:rPr>
            </w:pPr>
            <w:r w:rsidRPr="00D6273A">
              <w:rPr>
                <w:rFonts w:eastAsia="Times New Roman"/>
                <w:bCs/>
                <w:szCs w:val="26"/>
              </w:rPr>
              <w:t xml:space="preserve">University of Illinois </w:t>
            </w:r>
            <w:r>
              <w:rPr>
                <w:rFonts w:eastAsia="Times New Roman"/>
                <w:bCs/>
                <w:szCs w:val="26"/>
              </w:rPr>
              <w:t>Urbana-Champaign</w:t>
            </w:r>
          </w:p>
        </w:tc>
        <w:tc>
          <w:tcPr>
            <w:tcW w:w="1902" w:type="dxa"/>
            <w:shd w:val="clear" w:color="auto" w:fill="auto"/>
          </w:tcPr>
          <w:p w14:paraId="040B76A6" w14:textId="53A4DD34" w:rsidR="00E958B1" w:rsidRPr="0097228A" w:rsidRDefault="00E958B1" w:rsidP="00050E68">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DA5FF6">
              <w:rPr>
                <w:rFonts w:eastAsia="Times New Roman"/>
                <w:szCs w:val="26"/>
              </w:rPr>
              <w:t>114</w:t>
            </w:r>
            <w:r>
              <w:rPr>
                <w:rFonts w:eastAsia="Times New Roman"/>
                <w:szCs w:val="26"/>
              </w:rPr>
              <w:t>,</w:t>
            </w:r>
            <w:r w:rsidR="00DA5FF6">
              <w:rPr>
                <w:rFonts w:eastAsia="Times New Roman"/>
                <w:szCs w:val="26"/>
              </w:rPr>
              <w:t>5</w:t>
            </w:r>
            <w:r>
              <w:rPr>
                <w:rFonts w:eastAsia="Times New Roman"/>
                <w:szCs w:val="26"/>
              </w:rPr>
              <w:t>00,000</w:t>
            </w:r>
          </w:p>
        </w:tc>
      </w:tr>
    </w:tbl>
    <w:p w14:paraId="7274DBAD" w14:textId="77777777" w:rsidR="00E958B1" w:rsidRPr="00811BDD" w:rsidRDefault="00E958B1"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 w:val="24"/>
          <w:szCs w:val="24"/>
        </w:rPr>
      </w:pPr>
    </w:p>
    <w:sectPr w:rsidR="00E958B1" w:rsidRPr="00811BDD" w:rsidSect="00A3649D">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8A5C" w14:textId="77777777" w:rsidR="009200BE" w:rsidRDefault="009200BE" w:rsidP="00A817DF">
      <w:pPr>
        <w:spacing w:after="0" w:line="240" w:lineRule="auto"/>
      </w:pPr>
      <w:r>
        <w:separator/>
      </w:r>
    </w:p>
  </w:endnote>
  <w:endnote w:type="continuationSeparator" w:id="0">
    <w:p w14:paraId="3B623E66" w14:textId="77777777" w:rsidR="009200BE" w:rsidRDefault="009200BE"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1495" w14:textId="77777777" w:rsidR="009200BE" w:rsidRDefault="009200BE" w:rsidP="00A817DF">
      <w:pPr>
        <w:spacing w:after="0" w:line="240" w:lineRule="auto"/>
      </w:pPr>
      <w:r>
        <w:separator/>
      </w:r>
    </w:p>
  </w:footnote>
  <w:footnote w:type="continuationSeparator" w:id="0">
    <w:p w14:paraId="5ED23763" w14:textId="77777777" w:rsidR="009200BE" w:rsidRDefault="009200BE"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1C6"/>
    <w:rsid w:val="000143EE"/>
    <w:rsid w:val="00015DC9"/>
    <w:rsid w:val="000279BD"/>
    <w:rsid w:val="00040E89"/>
    <w:rsid w:val="00044FA0"/>
    <w:rsid w:val="00045674"/>
    <w:rsid w:val="00050736"/>
    <w:rsid w:val="0005138D"/>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A72EA"/>
    <w:rsid w:val="000B04AB"/>
    <w:rsid w:val="000B3155"/>
    <w:rsid w:val="000B3742"/>
    <w:rsid w:val="000B5B85"/>
    <w:rsid w:val="000B69D6"/>
    <w:rsid w:val="000C2912"/>
    <w:rsid w:val="000C6006"/>
    <w:rsid w:val="000D35D5"/>
    <w:rsid w:val="000D5BC3"/>
    <w:rsid w:val="000D6281"/>
    <w:rsid w:val="000E15C9"/>
    <w:rsid w:val="000E51D1"/>
    <w:rsid w:val="000F1007"/>
    <w:rsid w:val="000F53D3"/>
    <w:rsid w:val="000F72ED"/>
    <w:rsid w:val="00112E2B"/>
    <w:rsid w:val="00114F6C"/>
    <w:rsid w:val="0012198B"/>
    <w:rsid w:val="00124B96"/>
    <w:rsid w:val="00125422"/>
    <w:rsid w:val="0013080B"/>
    <w:rsid w:val="001309E7"/>
    <w:rsid w:val="00130E3F"/>
    <w:rsid w:val="00141D9C"/>
    <w:rsid w:val="00151197"/>
    <w:rsid w:val="00152827"/>
    <w:rsid w:val="001610D8"/>
    <w:rsid w:val="00162A4C"/>
    <w:rsid w:val="00165B0B"/>
    <w:rsid w:val="00172D76"/>
    <w:rsid w:val="001730D7"/>
    <w:rsid w:val="00182841"/>
    <w:rsid w:val="00184765"/>
    <w:rsid w:val="00196069"/>
    <w:rsid w:val="001A08C5"/>
    <w:rsid w:val="001A0B41"/>
    <w:rsid w:val="001A31BF"/>
    <w:rsid w:val="001A33EE"/>
    <w:rsid w:val="001A4080"/>
    <w:rsid w:val="001A5F67"/>
    <w:rsid w:val="001B0A43"/>
    <w:rsid w:val="001B2AC1"/>
    <w:rsid w:val="001B4A24"/>
    <w:rsid w:val="001B4AC0"/>
    <w:rsid w:val="001B4D8B"/>
    <w:rsid w:val="001B762B"/>
    <w:rsid w:val="001B7A47"/>
    <w:rsid w:val="001C4602"/>
    <w:rsid w:val="001D3AA7"/>
    <w:rsid w:val="001D78B4"/>
    <w:rsid w:val="001E6078"/>
    <w:rsid w:val="001F257D"/>
    <w:rsid w:val="001F3416"/>
    <w:rsid w:val="001F3C70"/>
    <w:rsid w:val="001F55E7"/>
    <w:rsid w:val="001F5883"/>
    <w:rsid w:val="001F7A96"/>
    <w:rsid w:val="001F7E65"/>
    <w:rsid w:val="00212C6B"/>
    <w:rsid w:val="0021646C"/>
    <w:rsid w:val="002179D7"/>
    <w:rsid w:val="0022600D"/>
    <w:rsid w:val="00236489"/>
    <w:rsid w:val="00241688"/>
    <w:rsid w:val="0024234E"/>
    <w:rsid w:val="002450A1"/>
    <w:rsid w:val="00247931"/>
    <w:rsid w:val="00250572"/>
    <w:rsid w:val="002512A2"/>
    <w:rsid w:val="00252F86"/>
    <w:rsid w:val="00255F2C"/>
    <w:rsid w:val="002602E8"/>
    <w:rsid w:val="00264C63"/>
    <w:rsid w:val="002651EB"/>
    <w:rsid w:val="00271695"/>
    <w:rsid w:val="00271CE3"/>
    <w:rsid w:val="00274904"/>
    <w:rsid w:val="00274EEF"/>
    <w:rsid w:val="00276FA8"/>
    <w:rsid w:val="002814A1"/>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D4088"/>
    <w:rsid w:val="002E0B93"/>
    <w:rsid w:val="002E1375"/>
    <w:rsid w:val="002E31C2"/>
    <w:rsid w:val="002E44F4"/>
    <w:rsid w:val="002E675E"/>
    <w:rsid w:val="002F04D8"/>
    <w:rsid w:val="002F2D48"/>
    <w:rsid w:val="002F4DAF"/>
    <w:rsid w:val="003045AE"/>
    <w:rsid w:val="00306B06"/>
    <w:rsid w:val="00307B8F"/>
    <w:rsid w:val="00307D0C"/>
    <w:rsid w:val="00315A3D"/>
    <w:rsid w:val="003175D4"/>
    <w:rsid w:val="00317DD0"/>
    <w:rsid w:val="00321779"/>
    <w:rsid w:val="00333ECF"/>
    <w:rsid w:val="003376C9"/>
    <w:rsid w:val="00343729"/>
    <w:rsid w:val="00346ABB"/>
    <w:rsid w:val="00353536"/>
    <w:rsid w:val="00354DFE"/>
    <w:rsid w:val="00357D48"/>
    <w:rsid w:val="00361DE1"/>
    <w:rsid w:val="00366D6B"/>
    <w:rsid w:val="00372028"/>
    <w:rsid w:val="00380E12"/>
    <w:rsid w:val="003900FD"/>
    <w:rsid w:val="003907E9"/>
    <w:rsid w:val="00390FC0"/>
    <w:rsid w:val="0039204D"/>
    <w:rsid w:val="00395D90"/>
    <w:rsid w:val="00397EC9"/>
    <w:rsid w:val="003A079F"/>
    <w:rsid w:val="003A175C"/>
    <w:rsid w:val="003A2088"/>
    <w:rsid w:val="003A5B58"/>
    <w:rsid w:val="003B7D68"/>
    <w:rsid w:val="003C4265"/>
    <w:rsid w:val="003D06D9"/>
    <w:rsid w:val="003D1DBE"/>
    <w:rsid w:val="003D312D"/>
    <w:rsid w:val="003D5357"/>
    <w:rsid w:val="003D7C25"/>
    <w:rsid w:val="003E14BF"/>
    <w:rsid w:val="003E1FA3"/>
    <w:rsid w:val="003E42E4"/>
    <w:rsid w:val="003E5A9D"/>
    <w:rsid w:val="003E62CF"/>
    <w:rsid w:val="003F3C8D"/>
    <w:rsid w:val="003F4DDE"/>
    <w:rsid w:val="003F6C7A"/>
    <w:rsid w:val="00416087"/>
    <w:rsid w:val="00420B03"/>
    <w:rsid w:val="00422B37"/>
    <w:rsid w:val="00425BB7"/>
    <w:rsid w:val="00426458"/>
    <w:rsid w:val="00427DA3"/>
    <w:rsid w:val="00431751"/>
    <w:rsid w:val="00435F85"/>
    <w:rsid w:val="00437797"/>
    <w:rsid w:val="00450F9C"/>
    <w:rsid w:val="00457CDE"/>
    <w:rsid w:val="00464D6F"/>
    <w:rsid w:val="00467717"/>
    <w:rsid w:val="00470228"/>
    <w:rsid w:val="0047290A"/>
    <w:rsid w:val="00474452"/>
    <w:rsid w:val="0047464C"/>
    <w:rsid w:val="00477568"/>
    <w:rsid w:val="00480227"/>
    <w:rsid w:val="00481670"/>
    <w:rsid w:val="0048342A"/>
    <w:rsid w:val="00487510"/>
    <w:rsid w:val="004A1335"/>
    <w:rsid w:val="004A6CB4"/>
    <w:rsid w:val="004A7669"/>
    <w:rsid w:val="004A7B2E"/>
    <w:rsid w:val="004B23AD"/>
    <w:rsid w:val="004B2BDA"/>
    <w:rsid w:val="004C0608"/>
    <w:rsid w:val="004C43B8"/>
    <w:rsid w:val="004E2F4F"/>
    <w:rsid w:val="004E4D45"/>
    <w:rsid w:val="004F085E"/>
    <w:rsid w:val="004F31D7"/>
    <w:rsid w:val="004F787F"/>
    <w:rsid w:val="005122F2"/>
    <w:rsid w:val="005145D8"/>
    <w:rsid w:val="00517741"/>
    <w:rsid w:val="00525289"/>
    <w:rsid w:val="00525D4A"/>
    <w:rsid w:val="00526A44"/>
    <w:rsid w:val="00537F38"/>
    <w:rsid w:val="00540E60"/>
    <w:rsid w:val="00542702"/>
    <w:rsid w:val="005477DB"/>
    <w:rsid w:val="00552EB0"/>
    <w:rsid w:val="00555371"/>
    <w:rsid w:val="0057172C"/>
    <w:rsid w:val="005733AC"/>
    <w:rsid w:val="00573A23"/>
    <w:rsid w:val="005745EF"/>
    <w:rsid w:val="005917CC"/>
    <w:rsid w:val="005978EE"/>
    <w:rsid w:val="005C38D7"/>
    <w:rsid w:val="005C393C"/>
    <w:rsid w:val="005C45AE"/>
    <w:rsid w:val="005D08FB"/>
    <w:rsid w:val="005D66E5"/>
    <w:rsid w:val="005D6AAE"/>
    <w:rsid w:val="005D6E7E"/>
    <w:rsid w:val="005E0483"/>
    <w:rsid w:val="005E0799"/>
    <w:rsid w:val="005E6979"/>
    <w:rsid w:val="005E70D5"/>
    <w:rsid w:val="00602119"/>
    <w:rsid w:val="0060572F"/>
    <w:rsid w:val="006059B6"/>
    <w:rsid w:val="00606D2C"/>
    <w:rsid w:val="00610227"/>
    <w:rsid w:val="00621395"/>
    <w:rsid w:val="00631E2A"/>
    <w:rsid w:val="00640182"/>
    <w:rsid w:val="006405AB"/>
    <w:rsid w:val="00652AC9"/>
    <w:rsid w:val="00652B42"/>
    <w:rsid w:val="00652F1D"/>
    <w:rsid w:val="00660DBC"/>
    <w:rsid w:val="00663BBF"/>
    <w:rsid w:val="00664CE2"/>
    <w:rsid w:val="006718D0"/>
    <w:rsid w:val="006722F9"/>
    <w:rsid w:val="00683BA2"/>
    <w:rsid w:val="00694F56"/>
    <w:rsid w:val="00696A30"/>
    <w:rsid w:val="00697A43"/>
    <w:rsid w:val="006A2B59"/>
    <w:rsid w:val="006A4606"/>
    <w:rsid w:val="006A498C"/>
    <w:rsid w:val="006A4FD8"/>
    <w:rsid w:val="006A5B1A"/>
    <w:rsid w:val="006A77EA"/>
    <w:rsid w:val="006B4216"/>
    <w:rsid w:val="006C0830"/>
    <w:rsid w:val="006C5858"/>
    <w:rsid w:val="006D2677"/>
    <w:rsid w:val="006D4B9B"/>
    <w:rsid w:val="006D7B82"/>
    <w:rsid w:val="006E2C01"/>
    <w:rsid w:val="006F037C"/>
    <w:rsid w:val="006F4DF5"/>
    <w:rsid w:val="006F5147"/>
    <w:rsid w:val="006F53BA"/>
    <w:rsid w:val="00703E4D"/>
    <w:rsid w:val="0070538E"/>
    <w:rsid w:val="00711A18"/>
    <w:rsid w:val="007156B1"/>
    <w:rsid w:val="00725371"/>
    <w:rsid w:val="00725DF2"/>
    <w:rsid w:val="00735507"/>
    <w:rsid w:val="00735B2F"/>
    <w:rsid w:val="00755CE8"/>
    <w:rsid w:val="00760206"/>
    <w:rsid w:val="0076023D"/>
    <w:rsid w:val="0076251E"/>
    <w:rsid w:val="007666D1"/>
    <w:rsid w:val="0077417A"/>
    <w:rsid w:val="00777270"/>
    <w:rsid w:val="007801FE"/>
    <w:rsid w:val="00780A50"/>
    <w:rsid w:val="00790C45"/>
    <w:rsid w:val="007928FD"/>
    <w:rsid w:val="007955CD"/>
    <w:rsid w:val="00795EBC"/>
    <w:rsid w:val="00796B5E"/>
    <w:rsid w:val="007A02CB"/>
    <w:rsid w:val="007A129A"/>
    <w:rsid w:val="007A46D4"/>
    <w:rsid w:val="007B49EB"/>
    <w:rsid w:val="007C715E"/>
    <w:rsid w:val="007D2DAF"/>
    <w:rsid w:val="007D384F"/>
    <w:rsid w:val="007D44F4"/>
    <w:rsid w:val="007E11BA"/>
    <w:rsid w:val="007E3CBB"/>
    <w:rsid w:val="007E5C88"/>
    <w:rsid w:val="007F0D35"/>
    <w:rsid w:val="007F1BA7"/>
    <w:rsid w:val="007F2C48"/>
    <w:rsid w:val="007F7F56"/>
    <w:rsid w:val="00800461"/>
    <w:rsid w:val="00802220"/>
    <w:rsid w:val="00803F05"/>
    <w:rsid w:val="00804CCE"/>
    <w:rsid w:val="00806DE8"/>
    <w:rsid w:val="00811BDD"/>
    <w:rsid w:val="0081669D"/>
    <w:rsid w:val="00821EB7"/>
    <w:rsid w:val="00822060"/>
    <w:rsid w:val="00824193"/>
    <w:rsid w:val="008327CE"/>
    <w:rsid w:val="008327E0"/>
    <w:rsid w:val="008331ED"/>
    <w:rsid w:val="00833E5D"/>
    <w:rsid w:val="00834684"/>
    <w:rsid w:val="00837CEB"/>
    <w:rsid w:val="00840758"/>
    <w:rsid w:val="0084499C"/>
    <w:rsid w:val="00850E03"/>
    <w:rsid w:val="00852D8E"/>
    <w:rsid w:val="00856201"/>
    <w:rsid w:val="0086174B"/>
    <w:rsid w:val="00862ECF"/>
    <w:rsid w:val="00866607"/>
    <w:rsid w:val="008667B4"/>
    <w:rsid w:val="0088073D"/>
    <w:rsid w:val="00881246"/>
    <w:rsid w:val="008856C6"/>
    <w:rsid w:val="00896404"/>
    <w:rsid w:val="008A0A3A"/>
    <w:rsid w:val="008A49BE"/>
    <w:rsid w:val="008A5F5A"/>
    <w:rsid w:val="008A76F6"/>
    <w:rsid w:val="008B1803"/>
    <w:rsid w:val="008C5291"/>
    <w:rsid w:val="008D3D78"/>
    <w:rsid w:val="008E48B9"/>
    <w:rsid w:val="008E5A77"/>
    <w:rsid w:val="008F0B3B"/>
    <w:rsid w:val="0090482B"/>
    <w:rsid w:val="009112AA"/>
    <w:rsid w:val="009140AC"/>
    <w:rsid w:val="00916E9E"/>
    <w:rsid w:val="0091703F"/>
    <w:rsid w:val="009200BE"/>
    <w:rsid w:val="009208B6"/>
    <w:rsid w:val="0092193D"/>
    <w:rsid w:val="00923084"/>
    <w:rsid w:val="009239A5"/>
    <w:rsid w:val="009250AE"/>
    <w:rsid w:val="0093137B"/>
    <w:rsid w:val="00932F29"/>
    <w:rsid w:val="00934E68"/>
    <w:rsid w:val="00934FC6"/>
    <w:rsid w:val="00937704"/>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08D3"/>
    <w:rsid w:val="009B1FAA"/>
    <w:rsid w:val="009C04C5"/>
    <w:rsid w:val="009C37EA"/>
    <w:rsid w:val="009C42A4"/>
    <w:rsid w:val="009C502B"/>
    <w:rsid w:val="009D191D"/>
    <w:rsid w:val="009D210B"/>
    <w:rsid w:val="009D6C8E"/>
    <w:rsid w:val="009E6403"/>
    <w:rsid w:val="009E6426"/>
    <w:rsid w:val="009F0658"/>
    <w:rsid w:val="009F4C20"/>
    <w:rsid w:val="009F54F9"/>
    <w:rsid w:val="009F7098"/>
    <w:rsid w:val="009F7C35"/>
    <w:rsid w:val="00A0065A"/>
    <w:rsid w:val="00A036DB"/>
    <w:rsid w:val="00A0766E"/>
    <w:rsid w:val="00A10CC8"/>
    <w:rsid w:val="00A11DA2"/>
    <w:rsid w:val="00A15B6B"/>
    <w:rsid w:val="00A16291"/>
    <w:rsid w:val="00A273C9"/>
    <w:rsid w:val="00A33C67"/>
    <w:rsid w:val="00A3649D"/>
    <w:rsid w:val="00A36B77"/>
    <w:rsid w:val="00A37123"/>
    <w:rsid w:val="00A40C2E"/>
    <w:rsid w:val="00A44D7C"/>
    <w:rsid w:val="00A4617C"/>
    <w:rsid w:val="00A4643B"/>
    <w:rsid w:val="00A46510"/>
    <w:rsid w:val="00A53454"/>
    <w:rsid w:val="00A565DF"/>
    <w:rsid w:val="00A57ABA"/>
    <w:rsid w:val="00A612B3"/>
    <w:rsid w:val="00A6468A"/>
    <w:rsid w:val="00A72D4D"/>
    <w:rsid w:val="00A817DF"/>
    <w:rsid w:val="00A84579"/>
    <w:rsid w:val="00A86CF1"/>
    <w:rsid w:val="00A9006A"/>
    <w:rsid w:val="00A90EE7"/>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C7534"/>
    <w:rsid w:val="00AD1DD3"/>
    <w:rsid w:val="00AD2247"/>
    <w:rsid w:val="00AD2AF9"/>
    <w:rsid w:val="00AD6BCE"/>
    <w:rsid w:val="00AE5100"/>
    <w:rsid w:val="00AE655F"/>
    <w:rsid w:val="00AE6FCA"/>
    <w:rsid w:val="00AE7E41"/>
    <w:rsid w:val="00AF1920"/>
    <w:rsid w:val="00AF2C22"/>
    <w:rsid w:val="00AF7580"/>
    <w:rsid w:val="00AF7A7C"/>
    <w:rsid w:val="00B070EB"/>
    <w:rsid w:val="00B07E57"/>
    <w:rsid w:val="00B16D5F"/>
    <w:rsid w:val="00B175A3"/>
    <w:rsid w:val="00B32B03"/>
    <w:rsid w:val="00B34107"/>
    <w:rsid w:val="00B35B27"/>
    <w:rsid w:val="00B37520"/>
    <w:rsid w:val="00B42172"/>
    <w:rsid w:val="00B42D4C"/>
    <w:rsid w:val="00B42F01"/>
    <w:rsid w:val="00B46C60"/>
    <w:rsid w:val="00B51B04"/>
    <w:rsid w:val="00B53ECD"/>
    <w:rsid w:val="00B557C9"/>
    <w:rsid w:val="00B55900"/>
    <w:rsid w:val="00B57AE3"/>
    <w:rsid w:val="00B61B60"/>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31FA"/>
    <w:rsid w:val="00BB45D5"/>
    <w:rsid w:val="00BC6780"/>
    <w:rsid w:val="00BD1631"/>
    <w:rsid w:val="00BD5FE0"/>
    <w:rsid w:val="00BE6129"/>
    <w:rsid w:val="00BF045D"/>
    <w:rsid w:val="00BF0F74"/>
    <w:rsid w:val="00BF29E2"/>
    <w:rsid w:val="00BF79DF"/>
    <w:rsid w:val="00C16DFA"/>
    <w:rsid w:val="00C279B8"/>
    <w:rsid w:val="00C411D8"/>
    <w:rsid w:val="00C413AA"/>
    <w:rsid w:val="00C41497"/>
    <w:rsid w:val="00C4531C"/>
    <w:rsid w:val="00C54A45"/>
    <w:rsid w:val="00C56EDF"/>
    <w:rsid w:val="00C62C76"/>
    <w:rsid w:val="00C70B26"/>
    <w:rsid w:val="00C71135"/>
    <w:rsid w:val="00C71A9F"/>
    <w:rsid w:val="00C754ED"/>
    <w:rsid w:val="00CA1216"/>
    <w:rsid w:val="00CA6A48"/>
    <w:rsid w:val="00CA7D87"/>
    <w:rsid w:val="00CB17B7"/>
    <w:rsid w:val="00CB625C"/>
    <w:rsid w:val="00CC0310"/>
    <w:rsid w:val="00CD33D1"/>
    <w:rsid w:val="00CD3429"/>
    <w:rsid w:val="00CD4B28"/>
    <w:rsid w:val="00CE657C"/>
    <w:rsid w:val="00CF0EC5"/>
    <w:rsid w:val="00CF6C35"/>
    <w:rsid w:val="00CF7DF5"/>
    <w:rsid w:val="00D0051A"/>
    <w:rsid w:val="00D058D4"/>
    <w:rsid w:val="00D1519C"/>
    <w:rsid w:val="00D20528"/>
    <w:rsid w:val="00D20988"/>
    <w:rsid w:val="00D2252D"/>
    <w:rsid w:val="00D23363"/>
    <w:rsid w:val="00D30961"/>
    <w:rsid w:val="00D33D9D"/>
    <w:rsid w:val="00D37906"/>
    <w:rsid w:val="00D452DC"/>
    <w:rsid w:val="00D4686B"/>
    <w:rsid w:val="00D609D7"/>
    <w:rsid w:val="00D6273A"/>
    <w:rsid w:val="00D71BB4"/>
    <w:rsid w:val="00D80C25"/>
    <w:rsid w:val="00D83266"/>
    <w:rsid w:val="00D8403A"/>
    <w:rsid w:val="00D86A58"/>
    <w:rsid w:val="00D87860"/>
    <w:rsid w:val="00D87F39"/>
    <w:rsid w:val="00D92467"/>
    <w:rsid w:val="00DA3B25"/>
    <w:rsid w:val="00DA5FF6"/>
    <w:rsid w:val="00DB1DE3"/>
    <w:rsid w:val="00DB4DB5"/>
    <w:rsid w:val="00DC158F"/>
    <w:rsid w:val="00DC1E5A"/>
    <w:rsid w:val="00DC284D"/>
    <w:rsid w:val="00DC4151"/>
    <w:rsid w:val="00DC772D"/>
    <w:rsid w:val="00DC7C81"/>
    <w:rsid w:val="00DD2502"/>
    <w:rsid w:val="00DD2A90"/>
    <w:rsid w:val="00DD6334"/>
    <w:rsid w:val="00DE6846"/>
    <w:rsid w:val="00DF4C72"/>
    <w:rsid w:val="00DF4DBC"/>
    <w:rsid w:val="00E026AB"/>
    <w:rsid w:val="00E11F13"/>
    <w:rsid w:val="00E31D29"/>
    <w:rsid w:val="00E3408D"/>
    <w:rsid w:val="00E44C01"/>
    <w:rsid w:val="00E44D3C"/>
    <w:rsid w:val="00E50F57"/>
    <w:rsid w:val="00E612F0"/>
    <w:rsid w:val="00E6220F"/>
    <w:rsid w:val="00E6345C"/>
    <w:rsid w:val="00E65C97"/>
    <w:rsid w:val="00E678BD"/>
    <w:rsid w:val="00E757FE"/>
    <w:rsid w:val="00E7643A"/>
    <w:rsid w:val="00E805DA"/>
    <w:rsid w:val="00E805FF"/>
    <w:rsid w:val="00E859F8"/>
    <w:rsid w:val="00E94B0E"/>
    <w:rsid w:val="00E958B1"/>
    <w:rsid w:val="00EA78BD"/>
    <w:rsid w:val="00EB675E"/>
    <w:rsid w:val="00EC160D"/>
    <w:rsid w:val="00EC188D"/>
    <w:rsid w:val="00EC4354"/>
    <w:rsid w:val="00EC5861"/>
    <w:rsid w:val="00EC746E"/>
    <w:rsid w:val="00ED1A35"/>
    <w:rsid w:val="00ED2FEE"/>
    <w:rsid w:val="00ED57F4"/>
    <w:rsid w:val="00EF06B3"/>
    <w:rsid w:val="00EF100E"/>
    <w:rsid w:val="00EF2B70"/>
    <w:rsid w:val="00EF33AD"/>
    <w:rsid w:val="00EF47C6"/>
    <w:rsid w:val="00F03156"/>
    <w:rsid w:val="00F04E44"/>
    <w:rsid w:val="00F052D8"/>
    <w:rsid w:val="00F073A6"/>
    <w:rsid w:val="00F076EC"/>
    <w:rsid w:val="00F122AF"/>
    <w:rsid w:val="00F13CFE"/>
    <w:rsid w:val="00F17643"/>
    <w:rsid w:val="00F20188"/>
    <w:rsid w:val="00F22646"/>
    <w:rsid w:val="00F23B9C"/>
    <w:rsid w:val="00F3108F"/>
    <w:rsid w:val="00F32041"/>
    <w:rsid w:val="00F33945"/>
    <w:rsid w:val="00F33E3E"/>
    <w:rsid w:val="00F3539B"/>
    <w:rsid w:val="00F35A06"/>
    <w:rsid w:val="00F36B9A"/>
    <w:rsid w:val="00F376EB"/>
    <w:rsid w:val="00F37A72"/>
    <w:rsid w:val="00F41ABD"/>
    <w:rsid w:val="00F4322A"/>
    <w:rsid w:val="00F47925"/>
    <w:rsid w:val="00F53080"/>
    <w:rsid w:val="00F53616"/>
    <w:rsid w:val="00F53FA1"/>
    <w:rsid w:val="00F563D3"/>
    <w:rsid w:val="00F56D6E"/>
    <w:rsid w:val="00F601A3"/>
    <w:rsid w:val="00F61739"/>
    <w:rsid w:val="00F61FB1"/>
    <w:rsid w:val="00F6377E"/>
    <w:rsid w:val="00F671E8"/>
    <w:rsid w:val="00F7418C"/>
    <w:rsid w:val="00F75E58"/>
    <w:rsid w:val="00F76F2F"/>
    <w:rsid w:val="00F76FEF"/>
    <w:rsid w:val="00F77A9C"/>
    <w:rsid w:val="00F85E11"/>
    <w:rsid w:val="00F87EE6"/>
    <w:rsid w:val="00F91A54"/>
    <w:rsid w:val="00F9536A"/>
    <w:rsid w:val="00FA423B"/>
    <w:rsid w:val="00FB647F"/>
    <w:rsid w:val="00FB766B"/>
    <w:rsid w:val="00FC4CA9"/>
    <w:rsid w:val="00FC5D5F"/>
    <w:rsid w:val="00FD10D6"/>
    <w:rsid w:val="00FD438A"/>
    <w:rsid w:val="00FE3653"/>
    <w:rsid w:val="00FE4204"/>
    <w:rsid w:val="00FE476C"/>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8240">
      <w:bodyDiv w:val="1"/>
      <w:marLeft w:val="0"/>
      <w:marRight w:val="0"/>
      <w:marTop w:val="0"/>
      <w:marBottom w:val="0"/>
      <w:divBdr>
        <w:top w:val="none" w:sz="0" w:space="0" w:color="auto"/>
        <w:left w:val="none" w:sz="0" w:space="0" w:color="auto"/>
        <w:bottom w:val="none" w:sz="0" w:space="0" w:color="auto"/>
        <w:right w:val="none" w:sz="0" w:space="0" w:color="auto"/>
      </w:divBdr>
    </w:div>
    <w:div w:id="794955461">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194879947">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260260922">
      <w:bodyDiv w:val="1"/>
      <w:marLeft w:val="0"/>
      <w:marRight w:val="0"/>
      <w:marTop w:val="0"/>
      <w:marBottom w:val="0"/>
      <w:divBdr>
        <w:top w:val="none" w:sz="0" w:space="0" w:color="auto"/>
        <w:left w:val="none" w:sz="0" w:space="0" w:color="auto"/>
        <w:bottom w:val="none" w:sz="0" w:space="0" w:color="auto"/>
        <w:right w:val="none" w:sz="0" w:space="0" w:color="auto"/>
      </w:divBdr>
    </w:div>
    <w:div w:id="1398434108">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3</cp:revision>
  <cp:lastPrinted>2024-11-05T16:06:00Z</cp:lastPrinted>
  <dcterms:created xsi:type="dcterms:W3CDTF">2024-11-07T23:01:00Z</dcterms:created>
  <dcterms:modified xsi:type="dcterms:W3CDTF">2024-11-14T17:48:00Z</dcterms:modified>
</cp:coreProperties>
</file>