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1B16" w14:textId="77777777" w:rsidR="00C21988" w:rsidRDefault="00C21988" w:rsidP="00C2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5A60059D" w14:textId="77777777" w:rsidR="00C21988" w:rsidRDefault="00C21988" w:rsidP="00C2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November 16, 2023</w:t>
      </w:r>
    </w:p>
    <w:p w14:paraId="7F44E60A" w14:textId="636EF4A1" w:rsidR="00C474C6" w:rsidRPr="002D7BC8" w:rsidRDefault="002D7BC8" w:rsidP="00FF7A5D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  <w:r w:rsidRPr="002D7BC8">
        <w:rPr>
          <w:rFonts w:ascii="Times New Roman" w:hAnsi="Times New Roman" w:cs="Times New Roman"/>
          <w:b/>
          <w:bCs/>
          <w:color w:val="auto"/>
          <w:sz w:val="60"/>
          <w:szCs w:val="60"/>
        </w:rPr>
        <w:t>09</w:t>
      </w:r>
    </w:p>
    <w:p w14:paraId="1139F869" w14:textId="77777777" w:rsidR="00FF7A5D" w:rsidRDefault="00FF7A5D" w:rsidP="00FF7A5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7A65F424" w14:textId="77777777" w:rsidR="002D7BC8" w:rsidRDefault="002D7BC8" w:rsidP="00FF7A5D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41017645" w14:textId="77777777" w:rsidR="0077707A" w:rsidRDefault="0077707A" w:rsidP="0077707A">
      <w:pPr>
        <w:pStyle w:val="BodyText"/>
        <w:ind w:left="7200"/>
      </w:pPr>
      <w:r w:rsidRPr="007F09C5">
        <w:t xml:space="preserve">Board Meeting </w:t>
      </w:r>
    </w:p>
    <w:p w14:paraId="7022FDF8" w14:textId="77777777" w:rsidR="0077707A" w:rsidRPr="007F09C5" w:rsidRDefault="0077707A" w:rsidP="0077707A">
      <w:pPr>
        <w:pStyle w:val="BodyText"/>
        <w:ind w:left="7200"/>
      </w:pPr>
      <w:r>
        <w:t>November 16</w:t>
      </w:r>
      <w:r w:rsidRPr="007F09C5">
        <w:t>, 2023</w:t>
      </w:r>
    </w:p>
    <w:p w14:paraId="358580AE" w14:textId="4174CE90" w:rsidR="00C474C6" w:rsidRPr="00B21A82" w:rsidRDefault="00C474C6" w:rsidP="0077707A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5DA66914" w14:textId="77777777" w:rsidR="00C474C6" w:rsidRPr="00B21A82" w:rsidRDefault="00C474C6" w:rsidP="0077707A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41A043F" w14:textId="77777777" w:rsidR="00C474C6" w:rsidRPr="009D669A" w:rsidRDefault="00C474C6" w:rsidP="009D669A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D669A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0521D8E1" w14:textId="77777777" w:rsidR="00C474C6" w:rsidRPr="009D669A" w:rsidRDefault="00C474C6" w:rsidP="009D669A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0BE6FAC2" w14:textId="67539F8D" w:rsidR="00C474C6" w:rsidRPr="009D669A" w:rsidRDefault="000B3A85" w:rsidP="009D669A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D669A">
        <w:rPr>
          <w:rFonts w:ascii="Times New Roman" w:hAnsi="Times New Roman" w:cs="Times New Roman"/>
          <w:color w:val="auto"/>
          <w:sz w:val="26"/>
          <w:szCs w:val="26"/>
        </w:rPr>
        <w:t>AWARD CONSTRUCTION CONTRACT</w:t>
      </w:r>
      <w:r w:rsidR="0077707A" w:rsidRPr="009D669A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A85138" w:rsidRPr="009D669A">
        <w:rPr>
          <w:rFonts w:ascii="Times New Roman" w:hAnsi="Times New Roman" w:cs="Times New Roman"/>
          <w:color w:val="auto"/>
          <w:sz w:val="26"/>
          <w:szCs w:val="26"/>
        </w:rPr>
        <w:t xml:space="preserve">KRANNERT CENTER FOR </w:t>
      </w:r>
      <w:r w:rsidR="00695A52" w:rsidRPr="009D669A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A85138" w:rsidRPr="009D669A">
        <w:rPr>
          <w:rFonts w:ascii="Times New Roman" w:hAnsi="Times New Roman" w:cs="Times New Roman"/>
          <w:color w:val="auto"/>
          <w:sz w:val="26"/>
          <w:szCs w:val="26"/>
        </w:rPr>
        <w:t>PERFORMING ART</w:t>
      </w:r>
      <w:r w:rsidR="00695A52" w:rsidRPr="009D669A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50795B" w:rsidRPr="009D669A">
        <w:rPr>
          <w:rFonts w:ascii="Times New Roman" w:hAnsi="Times New Roman" w:cs="Times New Roman"/>
          <w:color w:val="auto"/>
          <w:sz w:val="26"/>
          <w:szCs w:val="26"/>
        </w:rPr>
        <w:t xml:space="preserve"> -</w:t>
      </w:r>
      <w:r w:rsidR="00A85138" w:rsidRPr="009D669A">
        <w:rPr>
          <w:rFonts w:ascii="Times New Roman" w:hAnsi="Times New Roman" w:cs="Times New Roman"/>
          <w:color w:val="auto"/>
          <w:sz w:val="26"/>
          <w:szCs w:val="26"/>
        </w:rPr>
        <w:t xml:space="preserve"> ACCESSIBILITY AND ELEVATOR UPGRADES</w:t>
      </w:r>
      <w:r w:rsidR="00443427" w:rsidRPr="009D669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85138" w:rsidRPr="009D669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474C6" w:rsidRPr="009D669A">
        <w:rPr>
          <w:rFonts w:ascii="Times New Roman" w:hAnsi="Times New Roman" w:cs="Times New Roman"/>
          <w:color w:val="auto"/>
          <w:sz w:val="26"/>
          <w:szCs w:val="26"/>
        </w:rPr>
        <w:t>URBANA</w:t>
      </w:r>
    </w:p>
    <w:p w14:paraId="372E9C26" w14:textId="77777777" w:rsidR="00C474C6" w:rsidRPr="00B21A82" w:rsidRDefault="00C474C6" w:rsidP="001B40BA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2293613" w14:textId="77777777" w:rsidR="00C474C6" w:rsidRPr="00B21A82" w:rsidRDefault="00C474C6" w:rsidP="001B40BA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20C2954" w14:textId="0E1CC855" w:rsidR="00C474C6" w:rsidRPr="00B21A82" w:rsidRDefault="00C474C6" w:rsidP="001B40BA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B21A8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Action: </w:t>
      </w:r>
      <w:r w:rsidR="00FF7A5D" w:rsidRPr="00B21A82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bookmarkStart w:id="2" w:name="_Hlk149224876"/>
      <w:r w:rsidR="00CC2572" w:rsidRPr="00B21A82">
        <w:rPr>
          <w:rFonts w:ascii="Times New Roman" w:hAnsi="Times New Roman" w:cs="Times New Roman"/>
          <w:color w:val="auto"/>
          <w:sz w:val="26"/>
          <w:szCs w:val="26"/>
        </w:rPr>
        <w:t>Award Construction Contract</w:t>
      </w:r>
      <w:r w:rsidR="0077707A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CC2572"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85138"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Krannert Center </w:t>
      </w:r>
      <w:r w:rsidR="001B40BA">
        <w:rPr>
          <w:rFonts w:ascii="Times New Roman" w:hAnsi="Times New Roman" w:cs="Times New Roman"/>
          <w:color w:val="auto"/>
          <w:sz w:val="26"/>
          <w:szCs w:val="26"/>
        </w:rPr>
        <w:t>f</w:t>
      </w:r>
      <w:r w:rsidR="00A85138"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or </w:t>
      </w:r>
      <w:r w:rsidR="00695A52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A85138" w:rsidRPr="00B21A82">
        <w:rPr>
          <w:rFonts w:ascii="Times New Roman" w:hAnsi="Times New Roman" w:cs="Times New Roman"/>
          <w:color w:val="auto"/>
          <w:sz w:val="26"/>
          <w:szCs w:val="26"/>
        </w:rPr>
        <w:t>Performing Arts</w:t>
      </w:r>
      <w:r w:rsidR="00695A5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795B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85138"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Accessibility </w:t>
      </w:r>
      <w:r w:rsidR="001B40BA">
        <w:rPr>
          <w:rFonts w:ascii="Times New Roman" w:hAnsi="Times New Roman" w:cs="Times New Roman"/>
          <w:color w:val="auto"/>
          <w:sz w:val="26"/>
          <w:szCs w:val="26"/>
        </w:rPr>
        <w:t>a</w:t>
      </w:r>
      <w:r w:rsidR="00A85138"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nd Elevator Upgrades </w:t>
      </w:r>
      <w:bookmarkEnd w:id="2"/>
    </w:p>
    <w:p w14:paraId="379A5EB9" w14:textId="77777777" w:rsidR="00C474C6" w:rsidRPr="00B21A82" w:rsidRDefault="00C474C6" w:rsidP="001B40BA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3D4C74A8" w14:textId="6F65E6B4" w:rsidR="002168D6" w:rsidRPr="00B21A82" w:rsidRDefault="00C474C6" w:rsidP="001B40BA">
      <w:pPr>
        <w:pStyle w:val="bdstyle1"/>
        <w:tabs>
          <w:tab w:val="clear" w:pos="720"/>
        </w:tabs>
        <w:ind w:left="0" w:firstLine="0"/>
        <w:rPr>
          <w:color w:val="FF0000"/>
          <w:szCs w:val="26"/>
        </w:rPr>
      </w:pPr>
      <w:r w:rsidRPr="00B21A82">
        <w:rPr>
          <w:b/>
          <w:bCs/>
          <w:szCs w:val="26"/>
        </w:rPr>
        <w:t xml:space="preserve">Funding: </w:t>
      </w:r>
      <w:r w:rsidR="00FF7A5D" w:rsidRPr="00B21A82">
        <w:rPr>
          <w:b/>
          <w:bCs/>
          <w:szCs w:val="26"/>
        </w:rPr>
        <w:tab/>
      </w:r>
      <w:r w:rsidR="002168D6" w:rsidRPr="00AD0A5C">
        <w:rPr>
          <w:szCs w:val="26"/>
        </w:rPr>
        <w:t>Institutional Funds</w:t>
      </w:r>
      <w:r w:rsidR="003B32CC" w:rsidRPr="00AD0A5C">
        <w:rPr>
          <w:szCs w:val="26"/>
        </w:rPr>
        <w:t xml:space="preserve"> Operating Budget</w:t>
      </w:r>
      <w:r w:rsidR="003B32CC" w:rsidRPr="00B21A82">
        <w:rPr>
          <w:szCs w:val="26"/>
        </w:rPr>
        <w:t xml:space="preserve"> </w:t>
      </w:r>
    </w:p>
    <w:p w14:paraId="392427B9" w14:textId="77777777" w:rsidR="00C474C6" w:rsidRPr="00B21A82" w:rsidRDefault="002168D6" w:rsidP="001B40BA">
      <w:pPr>
        <w:tabs>
          <w:tab w:val="left" w:pos="1440"/>
        </w:tabs>
        <w:rPr>
          <w:szCs w:val="26"/>
        </w:rPr>
      </w:pPr>
      <w:r w:rsidRPr="00B21A82">
        <w:rPr>
          <w:szCs w:val="26"/>
        </w:rPr>
        <w:tab/>
      </w:r>
      <w:r w:rsidR="00C474C6" w:rsidRPr="00B21A82">
        <w:rPr>
          <w:szCs w:val="26"/>
        </w:rPr>
        <w:t xml:space="preserve"> </w:t>
      </w:r>
    </w:p>
    <w:p w14:paraId="3B14C41E" w14:textId="77777777" w:rsidR="00C474C6" w:rsidRPr="00B21A82" w:rsidRDefault="00C474C6" w:rsidP="001B40BA">
      <w:pPr>
        <w:pStyle w:val="Default"/>
        <w:tabs>
          <w:tab w:val="left" w:pos="1440"/>
        </w:tabs>
        <w:rPr>
          <w:rFonts w:ascii="Times New Roman" w:hAnsi="Times New Roman" w:cs="Times New Roman"/>
          <w:color w:val="auto"/>
          <w:sz w:val="26"/>
          <w:szCs w:val="26"/>
        </w:rPr>
      </w:pPr>
      <w:r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83F7DB5" w14:textId="654D96A9" w:rsidR="00CA1BD6" w:rsidRDefault="00FF7A5D" w:rsidP="0077707A">
      <w:pPr>
        <w:pStyle w:val="NormalWeb"/>
        <w:tabs>
          <w:tab w:val="left" w:pos="1440"/>
        </w:tabs>
        <w:spacing w:before="0" w:beforeAutospacing="0" w:after="0" w:afterAutospacing="0" w:line="480" w:lineRule="auto"/>
        <w:rPr>
          <w:rStyle w:val="Strong"/>
          <w:b w:val="0"/>
          <w:bCs w:val="0"/>
          <w:sz w:val="26"/>
          <w:szCs w:val="26"/>
        </w:rPr>
      </w:pPr>
      <w:r w:rsidRPr="00B21A82">
        <w:rPr>
          <w:sz w:val="26"/>
          <w:szCs w:val="26"/>
        </w:rPr>
        <w:tab/>
      </w:r>
      <w:r w:rsidR="00B21A82">
        <w:rPr>
          <w:sz w:val="26"/>
          <w:szCs w:val="26"/>
        </w:rPr>
        <w:t xml:space="preserve">The </w:t>
      </w:r>
      <w:r w:rsidR="004E1642" w:rsidRPr="00B21A82">
        <w:rPr>
          <w:sz w:val="26"/>
          <w:szCs w:val="26"/>
        </w:rPr>
        <w:t xml:space="preserve">Krannert Center for </w:t>
      </w:r>
      <w:r w:rsidR="00695A52">
        <w:rPr>
          <w:sz w:val="26"/>
          <w:szCs w:val="26"/>
        </w:rPr>
        <w:t xml:space="preserve">the </w:t>
      </w:r>
      <w:r w:rsidR="004E1642" w:rsidRPr="00B21A82">
        <w:rPr>
          <w:sz w:val="26"/>
          <w:szCs w:val="26"/>
        </w:rPr>
        <w:t xml:space="preserve">Performing Arts </w:t>
      </w:r>
      <w:r w:rsidR="00B21A82">
        <w:rPr>
          <w:sz w:val="26"/>
          <w:szCs w:val="26"/>
        </w:rPr>
        <w:t xml:space="preserve">(KCPA) </w:t>
      </w:r>
      <w:r w:rsidR="004E1642" w:rsidRPr="00B21A82">
        <w:rPr>
          <w:sz w:val="26"/>
          <w:szCs w:val="26"/>
        </w:rPr>
        <w:t xml:space="preserve">is </w:t>
      </w:r>
      <w:r w:rsidR="00A52FD9">
        <w:rPr>
          <w:sz w:val="26"/>
          <w:szCs w:val="26"/>
        </w:rPr>
        <w:t>a vital</w:t>
      </w:r>
      <w:r w:rsidR="004E1642" w:rsidRPr="00B21A82">
        <w:rPr>
          <w:sz w:val="26"/>
          <w:szCs w:val="26"/>
        </w:rPr>
        <w:t xml:space="preserve"> cultural resource for </w:t>
      </w:r>
      <w:r w:rsidR="00A52FD9">
        <w:rPr>
          <w:sz w:val="26"/>
          <w:szCs w:val="26"/>
        </w:rPr>
        <w:t xml:space="preserve">the </w:t>
      </w:r>
      <w:r w:rsidR="004E1642" w:rsidRPr="00B21A82">
        <w:rPr>
          <w:sz w:val="26"/>
          <w:szCs w:val="26"/>
        </w:rPr>
        <w:t>campus and the surrounding communities.</w:t>
      </w:r>
      <w:r w:rsidR="0077707A">
        <w:rPr>
          <w:sz w:val="26"/>
          <w:szCs w:val="26"/>
        </w:rPr>
        <w:t xml:space="preserve"> </w:t>
      </w:r>
      <w:r w:rsidR="00B21A82">
        <w:rPr>
          <w:rStyle w:val="Strong"/>
          <w:b w:val="0"/>
          <w:bCs w:val="0"/>
          <w:sz w:val="26"/>
          <w:szCs w:val="26"/>
        </w:rPr>
        <w:t>KCPA</w:t>
      </w:r>
      <w:r w:rsidR="004E1642" w:rsidRPr="00727E26">
        <w:rPr>
          <w:rStyle w:val="Strong"/>
          <w:b w:val="0"/>
          <w:bCs w:val="0"/>
          <w:sz w:val="26"/>
          <w:szCs w:val="26"/>
        </w:rPr>
        <w:t xml:space="preserve"> is dedicated to </w:t>
      </w:r>
      <w:r w:rsidR="00A52FD9">
        <w:rPr>
          <w:rStyle w:val="Strong"/>
          <w:b w:val="0"/>
          <w:bCs w:val="0"/>
          <w:sz w:val="26"/>
          <w:szCs w:val="26"/>
        </w:rPr>
        <w:t>advancing</w:t>
      </w:r>
      <w:r w:rsidR="004E1642" w:rsidRPr="00727E26">
        <w:rPr>
          <w:rStyle w:val="Strong"/>
          <w:b w:val="0"/>
          <w:bCs w:val="0"/>
          <w:sz w:val="26"/>
          <w:szCs w:val="26"/>
        </w:rPr>
        <w:t xml:space="preserve"> education, research, and public engagement through the pursuit of excellence and innovation in the performing arts.</w:t>
      </w:r>
      <w:r w:rsidR="0077707A">
        <w:rPr>
          <w:rStyle w:val="Strong"/>
          <w:b w:val="0"/>
          <w:bCs w:val="0"/>
          <w:sz w:val="26"/>
          <w:szCs w:val="26"/>
        </w:rPr>
        <w:t xml:space="preserve"> </w:t>
      </w:r>
      <w:r w:rsidR="00E56906">
        <w:rPr>
          <w:rStyle w:val="Strong"/>
          <w:b w:val="0"/>
          <w:bCs w:val="0"/>
          <w:sz w:val="26"/>
          <w:szCs w:val="26"/>
        </w:rPr>
        <w:t>With</w:t>
      </w:r>
      <w:r w:rsidR="00E56906" w:rsidRPr="00727E26">
        <w:rPr>
          <w:rStyle w:val="Strong"/>
          <w:b w:val="0"/>
          <w:bCs w:val="0"/>
          <w:sz w:val="26"/>
          <w:szCs w:val="26"/>
        </w:rPr>
        <w:t xml:space="preserve"> </w:t>
      </w:r>
      <w:r w:rsidR="004E1642" w:rsidRPr="00727E26">
        <w:rPr>
          <w:rStyle w:val="Strong"/>
          <w:b w:val="0"/>
          <w:bCs w:val="0"/>
          <w:sz w:val="26"/>
          <w:szCs w:val="26"/>
        </w:rPr>
        <w:t xml:space="preserve">its multiple and integrated </w:t>
      </w:r>
      <w:r w:rsidR="00A52FD9">
        <w:rPr>
          <w:rStyle w:val="Strong"/>
          <w:b w:val="0"/>
          <w:bCs w:val="0"/>
          <w:sz w:val="26"/>
          <w:szCs w:val="26"/>
        </w:rPr>
        <w:t>classroom, laboratory, and public square roles</w:t>
      </w:r>
      <w:r w:rsidR="004E1642" w:rsidRPr="00727E26">
        <w:rPr>
          <w:rStyle w:val="Strong"/>
          <w:b w:val="0"/>
          <w:bCs w:val="0"/>
          <w:sz w:val="26"/>
          <w:szCs w:val="26"/>
        </w:rPr>
        <w:t xml:space="preserve">, </w:t>
      </w:r>
      <w:r w:rsidR="00B21A82">
        <w:rPr>
          <w:rStyle w:val="Strong"/>
          <w:b w:val="0"/>
          <w:bCs w:val="0"/>
          <w:sz w:val="26"/>
          <w:szCs w:val="26"/>
        </w:rPr>
        <w:t>KCPA</w:t>
      </w:r>
      <w:r w:rsidR="004E1642" w:rsidRPr="00727E26">
        <w:rPr>
          <w:rStyle w:val="Strong"/>
          <w:b w:val="0"/>
          <w:bCs w:val="0"/>
          <w:sz w:val="26"/>
          <w:szCs w:val="26"/>
        </w:rPr>
        <w:t xml:space="preserve"> serves as a touchstone for </w:t>
      </w:r>
      <w:r w:rsidR="00A52FD9">
        <w:rPr>
          <w:rStyle w:val="Strong"/>
          <w:b w:val="0"/>
          <w:bCs w:val="0"/>
          <w:sz w:val="26"/>
          <w:szCs w:val="26"/>
        </w:rPr>
        <w:t>exploring and expanding</w:t>
      </w:r>
      <w:r w:rsidR="004E1642" w:rsidRPr="00727E26">
        <w:rPr>
          <w:rStyle w:val="Strong"/>
          <w:b w:val="0"/>
          <w:bCs w:val="0"/>
          <w:sz w:val="26"/>
          <w:szCs w:val="26"/>
        </w:rPr>
        <w:t xml:space="preserve"> human experience.</w:t>
      </w:r>
      <w:r w:rsidR="0077707A">
        <w:rPr>
          <w:rStyle w:val="Strong"/>
          <w:b w:val="0"/>
          <w:bCs w:val="0"/>
          <w:sz w:val="26"/>
          <w:szCs w:val="26"/>
        </w:rPr>
        <w:t xml:space="preserve"> </w:t>
      </w:r>
    </w:p>
    <w:p w14:paraId="7117B242" w14:textId="30C508D5" w:rsidR="00E61FC7" w:rsidRDefault="001B40BA" w:rsidP="0077707A">
      <w:pPr>
        <w:pStyle w:val="NormalWeb"/>
        <w:tabs>
          <w:tab w:val="left" w:pos="1440"/>
        </w:tabs>
        <w:spacing w:before="0" w:beforeAutospacing="0" w:after="0" w:afterAutospacing="0" w:line="480" w:lineRule="auto"/>
        <w:rPr>
          <w:sz w:val="26"/>
          <w:szCs w:val="26"/>
        </w:rPr>
      </w:pPr>
      <w:r>
        <w:rPr>
          <w:rStyle w:val="Strong"/>
          <w:b w:val="0"/>
          <w:bCs w:val="0"/>
          <w:sz w:val="26"/>
          <w:szCs w:val="26"/>
        </w:rPr>
        <w:tab/>
      </w:r>
      <w:r w:rsidR="00E56906">
        <w:rPr>
          <w:rStyle w:val="Strong"/>
          <w:b w:val="0"/>
          <w:bCs w:val="0"/>
          <w:sz w:val="26"/>
          <w:szCs w:val="26"/>
        </w:rPr>
        <w:t>To further advance the mission of KCPA and expand access to its offerings, t</w:t>
      </w:r>
      <w:r w:rsidR="00CA1BD6">
        <w:rPr>
          <w:rStyle w:val="Strong"/>
          <w:b w:val="0"/>
          <w:bCs w:val="0"/>
          <w:sz w:val="26"/>
          <w:szCs w:val="26"/>
        </w:rPr>
        <w:t>his project</w:t>
      </w:r>
      <w:r w:rsidR="00E50B54">
        <w:rPr>
          <w:rStyle w:val="Strong"/>
          <w:b w:val="0"/>
          <w:bCs w:val="0"/>
          <w:sz w:val="26"/>
          <w:szCs w:val="26"/>
        </w:rPr>
        <w:t>, with a budget of $</w:t>
      </w:r>
      <w:r w:rsidR="00E50B54" w:rsidRPr="00E50B54">
        <w:rPr>
          <w:rStyle w:val="Strong"/>
          <w:b w:val="0"/>
          <w:bCs w:val="0"/>
          <w:sz w:val="26"/>
          <w:szCs w:val="26"/>
        </w:rPr>
        <w:t>4,981,065.50</w:t>
      </w:r>
      <w:r w:rsidR="00E50B54">
        <w:rPr>
          <w:rStyle w:val="Strong"/>
          <w:b w:val="0"/>
          <w:bCs w:val="0"/>
          <w:sz w:val="26"/>
          <w:szCs w:val="26"/>
        </w:rPr>
        <w:t>,</w:t>
      </w:r>
      <w:r w:rsidR="00CA1BD6">
        <w:rPr>
          <w:rStyle w:val="Strong"/>
          <w:b w:val="0"/>
          <w:bCs w:val="0"/>
          <w:sz w:val="26"/>
          <w:szCs w:val="26"/>
        </w:rPr>
        <w:t xml:space="preserve"> </w:t>
      </w:r>
      <w:r w:rsidR="00E56906">
        <w:rPr>
          <w:rStyle w:val="Strong"/>
          <w:b w:val="0"/>
          <w:bCs w:val="0"/>
          <w:sz w:val="26"/>
          <w:szCs w:val="26"/>
        </w:rPr>
        <w:t xml:space="preserve">will </w:t>
      </w:r>
      <w:r w:rsidR="00CA1BD6">
        <w:rPr>
          <w:rStyle w:val="Strong"/>
          <w:b w:val="0"/>
          <w:bCs w:val="0"/>
          <w:sz w:val="26"/>
          <w:szCs w:val="26"/>
        </w:rPr>
        <w:t>improve accessibility in one of the large theaters in KCPA, the Colwell Playhouse.</w:t>
      </w:r>
      <w:r w:rsidR="0077707A">
        <w:rPr>
          <w:sz w:val="26"/>
          <w:szCs w:val="26"/>
        </w:rPr>
        <w:t xml:space="preserve"> </w:t>
      </w:r>
      <w:r w:rsidR="00540807">
        <w:rPr>
          <w:sz w:val="26"/>
          <w:szCs w:val="26"/>
        </w:rPr>
        <w:t>The project upgrades elevators 1 and 2 for improved functionality and adds a n</w:t>
      </w:r>
      <w:r w:rsidR="00443427" w:rsidRPr="00727E26">
        <w:rPr>
          <w:sz w:val="26"/>
          <w:szCs w:val="26"/>
        </w:rPr>
        <w:t xml:space="preserve">ew elevator east of the </w:t>
      </w:r>
      <w:r w:rsidR="000D49BB">
        <w:rPr>
          <w:sz w:val="26"/>
          <w:szCs w:val="26"/>
        </w:rPr>
        <w:t>p</w:t>
      </w:r>
      <w:r w:rsidR="00443427" w:rsidRPr="00727E26">
        <w:rPr>
          <w:sz w:val="26"/>
          <w:szCs w:val="26"/>
        </w:rPr>
        <w:t xml:space="preserve">layhouse to connect the </w:t>
      </w:r>
      <w:r w:rsidR="000D49BB">
        <w:rPr>
          <w:sz w:val="26"/>
          <w:szCs w:val="26"/>
        </w:rPr>
        <w:t>m</w:t>
      </w:r>
      <w:r w:rsidR="00443427" w:rsidRPr="00727E26">
        <w:rPr>
          <w:sz w:val="26"/>
          <w:szCs w:val="26"/>
        </w:rPr>
        <w:t xml:space="preserve">ain </w:t>
      </w:r>
      <w:r w:rsidR="000D49BB">
        <w:rPr>
          <w:sz w:val="26"/>
          <w:szCs w:val="26"/>
        </w:rPr>
        <w:t>l</w:t>
      </w:r>
      <w:r w:rsidR="00443427" w:rsidRPr="00727E26">
        <w:rPr>
          <w:sz w:val="26"/>
          <w:szCs w:val="26"/>
        </w:rPr>
        <w:t xml:space="preserve">obby, </w:t>
      </w:r>
      <w:r w:rsidR="000D49BB">
        <w:rPr>
          <w:sz w:val="26"/>
          <w:szCs w:val="26"/>
        </w:rPr>
        <w:t>l</w:t>
      </w:r>
      <w:r w:rsidR="00443427" w:rsidRPr="00727E26">
        <w:rPr>
          <w:sz w:val="26"/>
          <w:szCs w:val="26"/>
        </w:rPr>
        <w:t xml:space="preserve">ower </w:t>
      </w:r>
      <w:r w:rsidR="000D49BB">
        <w:rPr>
          <w:sz w:val="26"/>
          <w:szCs w:val="26"/>
        </w:rPr>
        <w:t>l</w:t>
      </w:r>
      <w:r w:rsidR="00443427" w:rsidRPr="00727E26">
        <w:rPr>
          <w:sz w:val="26"/>
          <w:szCs w:val="26"/>
        </w:rPr>
        <w:t>obby</w:t>
      </w:r>
      <w:r w:rsidR="00A52FD9">
        <w:rPr>
          <w:sz w:val="26"/>
          <w:szCs w:val="26"/>
        </w:rPr>
        <w:t>,</w:t>
      </w:r>
      <w:r w:rsidR="00443427" w:rsidRPr="00727E26">
        <w:rPr>
          <w:sz w:val="26"/>
          <w:szCs w:val="26"/>
        </w:rPr>
        <w:t xml:space="preserve"> and </w:t>
      </w:r>
      <w:r w:rsidR="000D49BB">
        <w:rPr>
          <w:sz w:val="26"/>
          <w:szCs w:val="26"/>
        </w:rPr>
        <w:t>s</w:t>
      </w:r>
      <w:r w:rsidR="00443427" w:rsidRPr="00727E26">
        <w:rPr>
          <w:sz w:val="26"/>
          <w:szCs w:val="26"/>
        </w:rPr>
        <w:t xml:space="preserve">tudent </w:t>
      </w:r>
      <w:r w:rsidR="000D49BB">
        <w:rPr>
          <w:sz w:val="26"/>
          <w:szCs w:val="26"/>
        </w:rPr>
        <w:t>l</w:t>
      </w:r>
      <w:r w:rsidR="00443427" w:rsidRPr="00727E26">
        <w:rPr>
          <w:sz w:val="26"/>
          <w:szCs w:val="26"/>
        </w:rPr>
        <w:t>evels.</w:t>
      </w:r>
      <w:r w:rsidR="0077707A">
        <w:rPr>
          <w:sz w:val="26"/>
          <w:szCs w:val="26"/>
        </w:rPr>
        <w:t xml:space="preserve"> </w:t>
      </w:r>
      <w:r w:rsidR="00443427" w:rsidRPr="00727E26">
        <w:rPr>
          <w:sz w:val="26"/>
          <w:szCs w:val="26"/>
        </w:rPr>
        <w:t xml:space="preserve">The monumental stairs at the </w:t>
      </w:r>
      <w:r w:rsidR="000D49BB">
        <w:rPr>
          <w:sz w:val="26"/>
          <w:szCs w:val="26"/>
        </w:rPr>
        <w:t>m</w:t>
      </w:r>
      <w:r w:rsidR="00443427" w:rsidRPr="00727E26">
        <w:rPr>
          <w:sz w:val="26"/>
          <w:szCs w:val="26"/>
        </w:rPr>
        <w:t xml:space="preserve">ain </w:t>
      </w:r>
      <w:r w:rsidR="000D49BB">
        <w:rPr>
          <w:sz w:val="26"/>
          <w:szCs w:val="26"/>
        </w:rPr>
        <w:t>l</w:t>
      </w:r>
      <w:r w:rsidR="00443427" w:rsidRPr="00727E26">
        <w:rPr>
          <w:sz w:val="26"/>
          <w:szCs w:val="26"/>
        </w:rPr>
        <w:t xml:space="preserve">obby will </w:t>
      </w:r>
      <w:r w:rsidR="00540807">
        <w:rPr>
          <w:sz w:val="26"/>
          <w:szCs w:val="26"/>
        </w:rPr>
        <w:t xml:space="preserve">also </w:t>
      </w:r>
      <w:r w:rsidR="00443427" w:rsidRPr="00727E26">
        <w:rPr>
          <w:sz w:val="26"/>
          <w:szCs w:val="26"/>
        </w:rPr>
        <w:t xml:space="preserve">be reworked and extended to the </w:t>
      </w:r>
      <w:r w:rsidR="00540807">
        <w:rPr>
          <w:sz w:val="26"/>
          <w:szCs w:val="26"/>
        </w:rPr>
        <w:t xml:space="preserve">new </w:t>
      </w:r>
      <w:r w:rsidR="00443427" w:rsidRPr="00727E26">
        <w:rPr>
          <w:sz w:val="26"/>
          <w:szCs w:val="26"/>
        </w:rPr>
        <w:t>elevator.</w:t>
      </w:r>
      <w:r w:rsidR="0077707A">
        <w:rPr>
          <w:sz w:val="26"/>
          <w:szCs w:val="26"/>
        </w:rPr>
        <w:t xml:space="preserve"> </w:t>
      </w:r>
      <w:r w:rsidR="00443427" w:rsidRPr="00727E26">
        <w:rPr>
          <w:sz w:val="26"/>
          <w:szCs w:val="26"/>
        </w:rPr>
        <w:t xml:space="preserve">Seating configurations inside the </w:t>
      </w:r>
      <w:r w:rsidR="000D49BB">
        <w:rPr>
          <w:sz w:val="26"/>
          <w:szCs w:val="26"/>
        </w:rPr>
        <w:lastRenderedPageBreak/>
        <w:t>p</w:t>
      </w:r>
      <w:r w:rsidR="00443427" w:rsidRPr="00727E26">
        <w:rPr>
          <w:sz w:val="26"/>
          <w:szCs w:val="26"/>
        </w:rPr>
        <w:t>layhouse will be modified to create an accessible cross-aisle</w:t>
      </w:r>
      <w:r w:rsidR="00540807">
        <w:rPr>
          <w:sz w:val="26"/>
          <w:szCs w:val="26"/>
        </w:rPr>
        <w:t>,</w:t>
      </w:r>
      <w:r w:rsidR="00443427" w:rsidRPr="00727E26">
        <w:rPr>
          <w:sz w:val="26"/>
          <w:szCs w:val="26"/>
        </w:rPr>
        <w:t xml:space="preserve"> accommodating multiple A</w:t>
      </w:r>
      <w:r w:rsidR="00695A52">
        <w:rPr>
          <w:sz w:val="26"/>
          <w:szCs w:val="26"/>
        </w:rPr>
        <w:t>mericans with Disabilities Act</w:t>
      </w:r>
      <w:r w:rsidR="00443427" w:rsidRPr="00727E26">
        <w:rPr>
          <w:sz w:val="26"/>
          <w:szCs w:val="26"/>
        </w:rPr>
        <w:t xml:space="preserve"> seating locations.</w:t>
      </w:r>
      <w:r w:rsidR="0077707A">
        <w:rPr>
          <w:sz w:val="26"/>
          <w:szCs w:val="26"/>
        </w:rPr>
        <w:t xml:space="preserve"> </w:t>
      </w:r>
      <w:r w:rsidR="00443427" w:rsidRPr="00727E26">
        <w:rPr>
          <w:sz w:val="26"/>
          <w:szCs w:val="26"/>
        </w:rPr>
        <w:t xml:space="preserve">The existing </w:t>
      </w:r>
      <w:r w:rsidR="00A52FD9">
        <w:rPr>
          <w:sz w:val="26"/>
          <w:szCs w:val="26"/>
        </w:rPr>
        <w:t>building</w:t>
      </w:r>
      <w:r w:rsidR="00695A52">
        <w:rPr>
          <w:sz w:val="26"/>
          <w:szCs w:val="26"/>
        </w:rPr>
        <w:t>’</w:t>
      </w:r>
      <w:r w:rsidR="00A52FD9">
        <w:rPr>
          <w:sz w:val="26"/>
          <w:szCs w:val="26"/>
        </w:rPr>
        <w:t>s</w:t>
      </w:r>
      <w:r w:rsidR="00443427" w:rsidRPr="00727E26">
        <w:rPr>
          <w:sz w:val="26"/>
          <w:szCs w:val="26"/>
        </w:rPr>
        <w:t xml:space="preserve"> </w:t>
      </w:r>
      <w:r w:rsidR="00E56906">
        <w:rPr>
          <w:sz w:val="26"/>
          <w:szCs w:val="26"/>
        </w:rPr>
        <w:t>mechanical, electrical</w:t>
      </w:r>
      <w:r w:rsidR="00A52FD9">
        <w:rPr>
          <w:sz w:val="26"/>
          <w:szCs w:val="26"/>
        </w:rPr>
        <w:t>,</w:t>
      </w:r>
      <w:r w:rsidR="00E56906">
        <w:rPr>
          <w:sz w:val="26"/>
          <w:szCs w:val="26"/>
        </w:rPr>
        <w:t xml:space="preserve"> and plumbing</w:t>
      </w:r>
      <w:r w:rsidR="00E56906" w:rsidRPr="00727E26">
        <w:rPr>
          <w:sz w:val="26"/>
          <w:szCs w:val="26"/>
        </w:rPr>
        <w:t xml:space="preserve"> </w:t>
      </w:r>
      <w:r w:rsidR="00443427" w:rsidRPr="00727E26">
        <w:rPr>
          <w:sz w:val="26"/>
          <w:szCs w:val="26"/>
        </w:rPr>
        <w:t>systems will be reconfigured to serve the remodeled areas</w:t>
      </w:r>
      <w:r w:rsidR="00310220" w:rsidRPr="00B21A82">
        <w:rPr>
          <w:sz w:val="26"/>
          <w:szCs w:val="26"/>
        </w:rPr>
        <w:t>.</w:t>
      </w:r>
    </w:p>
    <w:p w14:paraId="5C65BFD1" w14:textId="7E7BC095" w:rsidR="00E50B54" w:rsidRDefault="001B40BA" w:rsidP="0077707A">
      <w:pPr>
        <w:pStyle w:val="NormalWeb"/>
        <w:tabs>
          <w:tab w:val="left" w:pos="1440"/>
        </w:tabs>
        <w:spacing w:before="0" w:beforeAutospacing="0" w:after="0" w:afterAutospacing="0"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540807" w:rsidRPr="00E103FB">
        <w:rPr>
          <w:sz w:val="26"/>
          <w:szCs w:val="26"/>
        </w:rPr>
        <w:t>Construction contracts for Bid Package 1 to upgrade elevators 1 and 2, totaling $</w:t>
      </w:r>
      <w:r w:rsidR="00E103FB" w:rsidRPr="00E103FB">
        <w:rPr>
          <w:sz w:val="26"/>
          <w:szCs w:val="26"/>
        </w:rPr>
        <w:t>914,941</w:t>
      </w:r>
      <w:r w:rsidR="00E103FB" w:rsidRPr="001B40BA" w:rsidDel="00E103FB">
        <w:rPr>
          <w:sz w:val="26"/>
          <w:szCs w:val="26"/>
        </w:rPr>
        <w:t xml:space="preserve"> </w:t>
      </w:r>
      <w:r>
        <w:rPr>
          <w:sz w:val="26"/>
          <w:szCs w:val="26"/>
        </w:rPr>
        <w:t>were</w:t>
      </w:r>
      <w:r w:rsidR="00540807" w:rsidRPr="00540807">
        <w:rPr>
          <w:sz w:val="26"/>
          <w:szCs w:val="26"/>
        </w:rPr>
        <w:t xml:space="preserve"> awarded in January 2021.</w:t>
      </w:r>
      <w:r w:rsidR="0077707A">
        <w:rPr>
          <w:sz w:val="26"/>
          <w:szCs w:val="26"/>
        </w:rPr>
        <w:t xml:space="preserve"> </w:t>
      </w:r>
      <w:r w:rsidR="00DF6429" w:rsidRPr="00DF6429">
        <w:rPr>
          <w:sz w:val="26"/>
          <w:szCs w:val="26"/>
        </w:rPr>
        <w:t xml:space="preserve">Bids for construction work </w:t>
      </w:r>
      <w:r w:rsidR="00DF6429">
        <w:rPr>
          <w:sz w:val="26"/>
          <w:szCs w:val="26"/>
        </w:rPr>
        <w:t xml:space="preserve">under Bid Package 2 </w:t>
      </w:r>
      <w:r w:rsidR="00DF6429" w:rsidRPr="00DF6429">
        <w:rPr>
          <w:sz w:val="26"/>
          <w:szCs w:val="26"/>
        </w:rPr>
        <w:t xml:space="preserve">were received in </w:t>
      </w:r>
      <w:r w:rsidR="00DF6429">
        <w:rPr>
          <w:sz w:val="26"/>
          <w:szCs w:val="26"/>
        </w:rPr>
        <w:t>March</w:t>
      </w:r>
      <w:r w:rsidR="00DF6429" w:rsidRPr="00DF6429">
        <w:rPr>
          <w:sz w:val="26"/>
          <w:szCs w:val="26"/>
        </w:rPr>
        <w:t xml:space="preserve"> 2023</w:t>
      </w:r>
      <w:r w:rsidR="00A52FD9">
        <w:rPr>
          <w:sz w:val="26"/>
          <w:szCs w:val="26"/>
        </w:rPr>
        <w:t>, were significantly higher than the project budget,</w:t>
      </w:r>
      <w:r w:rsidR="00DF6429" w:rsidRPr="00DF6429">
        <w:rPr>
          <w:sz w:val="26"/>
          <w:szCs w:val="26"/>
        </w:rPr>
        <w:t xml:space="preserve"> and were not awarded.</w:t>
      </w:r>
      <w:r w:rsidR="0077707A">
        <w:rPr>
          <w:sz w:val="26"/>
          <w:szCs w:val="26"/>
        </w:rPr>
        <w:t xml:space="preserve"> </w:t>
      </w:r>
      <w:r w:rsidR="00DF6429" w:rsidRPr="00DF6429">
        <w:rPr>
          <w:sz w:val="26"/>
          <w:szCs w:val="26"/>
        </w:rPr>
        <w:t xml:space="preserve">Subsequently, the project team revised the design to reduce the </w:t>
      </w:r>
      <w:r w:rsidR="00A52FD9">
        <w:rPr>
          <w:sz w:val="26"/>
          <w:szCs w:val="26"/>
        </w:rPr>
        <w:t>project cost</w:t>
      </w:r>
      <w:r w:rsidR="00DF6429" w:rsidRPr="00DF6429">
        <w:rPr>
          <w:sz w:val="26"/>
          <w:szCs w:val="26"/>
        </w:rPr>
        <w:t xml:space="preserve"> while still delivering the programmatic needs for </w:t>
      </w:r>
      <w:r w:rsidR="00DF6429">
        <w:rPr>
          <w:sz w:val="26"/>
          <w:szCs w:val="26"/>
        </w:rPr>
        <w:t>KCPA</w:t>
      </w:r>
      <w:r w:rsidR="00DF6429" w:rsidRPr="00DF6429">
        <w:rPr>
          <w:sz w:val="26"/>
          <w:szCs w:val="26"/>
        </w:rPr>
        <w:t>.</w:t>
      </w:r>
      <w:r w:rsidR="0077707A">
        <w:rPr>
          <w:sz w:val="26"/>
          <w:szCs w:val="26"/>
        </w:rPr>
        <w:t xml:space="preserve"> </w:t>
      </w:r>
    </w:p>
    <w:p w14:paraId="3CD1E941" w14:textId="3E53F2FC" w:rsidR="00E17659" w:rsidRDefault="00E50B54" w:rsidP="00247F71">
      <w:pPr>
        <w:tabs>
          <w:tab w:val="left" w:pos="1440"/>
          <w:tab w:val="left" w:pos="2070"/>
        </w:tabs>
        <w:spacing w:line="480" w:lineRule="auto"/>
        <w:ind w:right="81"/>
        <w:rPr>
          <w:szCs w:val="26"/>
        </w:rPr>
      </w:pPr>
      <w:r>
        <w:rPr>
          <w:szCs w:val="26"/>
        </w:rPr>
        <w:tab/>
      </w:r>
      <w:r w:rsidR="00DF6429" w:rsidRPr="00DF6429">
        <w:rPr>
          <w:szCs w:val="26"/>
        </w:rPr>
        <w:t>In September 2023, bids for the revised scope were received</w:t>
      </w:r>
      <w:r>
        <w:rPr>
          <w:szCs w:val="26"/>
        </w:rPr>
        <w:t xml:space="preserve"> for a total of $3,114,000</w:t>
      </w:r>
      <w:r w:rsidR="00DF6429" w:rsidRPr="00DF6429">
        <w:rPr>
          <w:szCs w:val="26"/>
        </w:rPr>
        <w:t xml:space="preserve"> </w:t>
      </w:r>
      <w:r w:rsidR="00E103FB">
        <w:rPr>
          <w:szCs w:val="26"/>
        </w:rPr>
        <w:t>and are within the funds available for construction.</w:t>
      </w:r>
      <w:r w:rsidR="0077707A">
        <w:rPr>
          <w:szCs w:val="26"/>
        </w:rPr>
        <w:t xml:space="preserve"> </w:t>
      </w:r>
      <w:r w:rsidR="00247F71" w:rsidRPr="00E103FB">
        <w:rPr>
          <w:szCs w:val="26"/>
        </w:rPr>
        <w:t>Accordingly</w:t>
      </w:r>
      <w:r w:rsidR="00247F71">
        <w:rPr>
          <w:szCs w:val="26"/>
        </w:rPr>
        <w:t>, with the concurrence of the appropriate administrative officers, the chancellor, University of Illinois Urbana-Champaign, and vice president, University of Illinois System, recommends</w:t>
      </w:r>
      <w:r w:rsidR="00247F71" w:rsidRPr="00E103FB">
        <w:rPr>
          <w:szCs w:val="26"/>
        </w:rPr>
        <w:t xml:space="preserve"> that the Board approve </w:t>
      </w:r>
      <w:r w:rsidR="00247F71" w:rsidRPr="001B40BA">
        <w:rPr>
          <w:szCs w:val="26"/>
        </w:rPr>
        <w:t>the</w:t>
      </w:r>
      <w:r w:rsidR="00247F71">
        <w:rPr>
          <w:szCs w:val="26"/>
        </w:rPr>
        <w:t xml:space="preserve"> following single-prime</w:t>
      </w:r>
      <w:r w:rsidR="00247F71" w:rsidRPr="001B40BA">
        <w:rPr>
          <w:szCs w:val="26"/>
        </w:rPr>
        <w:t xml:space="preserve"> contract.</w:t>
      </w:r>
      <w:r w:rsidR="00247F71">
        <w:rPr>
          <w:szCs w:val="26"/>
        </w:rPr>
        <w:t xml:space="preserve"> </w:t>
      </w:r>
      <w:r w:rsidR="00E17659" w:rsidRPr="001B40BA">
        <w:rPr>
          <w:szCs w:val="26"/>
        </w:rPr>
        <w:t>Competitive bidding procedures in accordance with the Illinois Procurement Code were followed</w:t>
      </w:r>
      <w:r w:rsidR="00310220" w:rsidRPr="001B40BA">
        <w:rPr>
          <w:szCs w:val="26"/>
        </w:rPr>
        <w:t xml:space="preserve">, </w:t>
      </w:r>
      <w:r w:rsidR="00E17659" w:rsidRPr="001B40BA">
        <w:rPr>
          <w:szCs w:val="26"/>
        </w:rPr>
        <w:t>and the award</w:t>
      </w:r>
      <w:r w:rsidR="00310220" w:rsidRPr="001B40BA">
        <w:rPr>
          <w:szCs w:val="26"/>
        </w:rPr>
        <w:t xml:space="preserve"> is to the </w:t>
      </w:r>
      <w:r w:rsidR="00E17659" w:rsidRPr="001B40BA">
        <w:rPr>
          <w:szCs w:val="26"/>
        </w:rPr>
        <w:t>lowest responsible bidder on the basis of its base bi</w:t>
      </w:r>
      <w:r w:rsidR="00EA2D24" w:rsidRPr="001B40BA">
        <w:rPr>
          <w:szCs w:val="26"/>
        </w:rPr>
        <w:t>d</w:t>
      </w:r>
      <w:r w:rsidR="00E17659" w:rsidRPr="001B40BA">
        <w:rPr>
          <w:szCs w:val="26"/>
        </w:rPr>
        <w:t>:</w:t>
      </w:r>
    </w:p>
    <w:p w14:paraId="060FE7EF" w14:textId="77777777" w:rsidR="00695A52" w:rsidRDefault="00E56906" w:rsidP="00695A52">
      <w:pPr>
        <w:pStyle w:val="NormalWeb"/>
        <w:tabs>
          <w:tab w:val="left" w:pos="144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Broeren Russo Builders, Inc.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Base Bid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$3,114,000</w:t>
      </w:r>
    </w:p>
    <w:p w14:paraId="10B27412" w14:textId="50812908" w:rsidR="00E56906" w:rsidRDefault="00E56906" w:rsidP="00695A52">
      <w:pPr>
        <w:pStyle w:val="NormalWeb"/>
        <w:tabs>
          <w:tab w:val="left" w:pos="144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Champaign, 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No Alterna</w:t>
      </w:r>
      <w:r w:rsidR="006229B1">
        <w:rPr>
          <w:sz w:val="26"/>
          <w:szCs w:val="26"/>
        </w:rPr>
        <w:t>tives</w:t>
      </w:r>
      <w:r w:rsidR="006229B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E1A48">
        <w:rPr>
          <w:sz w:val="26"/>
          <w:szCs w:val="26"/>
          <w:u w:val="single"/>
        </w:rPr>
        <w:tab/>
      </w:r>
      <w:r w:rsidR="0077707A">
        <w:rPr>
          <w:sz w:val="26"/>
          <w:szCs w:val="26"/>
          <w:u w:val="single"/>
        </w:rPr>
        <w:t xml:space="preserve">   </w:t>
      </w:r>
      <w:r w:rsidR="006229B1">
        <w:rPr>
          <w:sz w:val="26"/>
          <w:szCs w:val="26"/>
          <w:u w:val="single"/>
        </w:rPr>
        <w:t>-</w:t>
      </w:r>
    </w:p>
    <w:p w14:paraId="14CA3435" w14:textId="7F0AB718" w:rsidR="00E56906" w:rsidRDefault="00E56906" w:rsidP="00695A52">
      <w:pPr>
        <w:pStyle w:val="NormalWeb"/>
        <w:tabs>
          <w:tab w:val="left" w:pos="1440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Total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$3,114,000</w:t>
      </w:r>
    </w:p>
    <w:p w14:paraId="66EE1DC5" w14:textId="77777777" w:rsidR="00695A52" w:rsidRDefault="00695A52" w:rsidP="00695A52">
      <w:pPr>
        <w:pStyle w:val="NormalWeb"/>
        <w:tabs>
          <w:tab w:val="left" w:pos="1440"/>
        </w:tabs>
        <w:spacing w:before="0" w:beforeAutospacing="0" w:after="0" w:afterAutospacing="0"/>
        <w:rPr>
          <w:sz w:val="26"/>
          <w:szCs w:val="26"/>
        </w:rPr>
      </w:pPr>
    </w:p>
    <w:p w14:paraId="0DFBA4D5" w14:textId="3CA89C31" w:rsidR="00FC39E9" w:rsidRPr="00B21A82" w:rsidRDefault="001B40BA" w:rsidP="0077707A">
      <w:pPr>
        <w:tabs>
          <w:tab w:val="left" w:pos="1440"/>
          <w:tab w:val="left" w:pos="2070"/>
        </w:tabs>
        <w:spacing w:line="480" w:lineRule="auto"/>
        <w:ind w:right="81"/>
        <w:rPr>
          <w:szCs w:val="26"/>
        </w:rPr>
      </w:pPr>
      <w:r>
        <w:rPr>
          <w:szCs w:val="26"/>
        </w:rPr>
        <w:tab/>
      </w:r>
      <w:r w:rsidR="00E17659" w:rsidRPr="00B21A82">
        <w:rPr>
          <w:szCs w:val="26"/>
        </w:rPr>
        <w:t>The Board action recommended in this item complies in all</w:t>
      </w:r>
      <w:r w:rsidR="00E17659" w:rsidRPr="00B21A82">
        <w:rPr>
          <w:spacing w:val="-13"/>
          <w:szCs w:val="26"/>
        </w:rPr>
        <w:t xml:space="preserve"> </w:t>
      </w:r>
      <w:r w:rsidR="00E17659" w:rsidRPr="00B21A82">
        <w:rPr>
          <w:szCs w:val="26"/>
        </w:rPr>
        <w:t>material</w:t>
      </w:r>
      <w:r w:rsidR="00E17659" w:rsidRPr="00B21A82">
        <w:rPr>
          <w:w w:val="99"/>
          <w:szCs w:val="26"/>
        </w:rPr>
        <w:t xml:space="preserve"> </w:t>
      </w:r>
      <w:r w:rsidR="00E17659" w:rsidRPr="00B21A82">
        <w:rPr>
          <w:szCs w:val="26"/>
        </w:rPr>
        <w:t>resp</w:t>
      </w:r>
      <w:r w:rsidR="00AB18F1" w:rsidRPr="00B21A82">
        <w:rPr>
          <w:szCs w:val="26"/>
        </w:rPr>
        <w:t xml:space="preserve">ects with applicable State and </w:t>
      </w:r>
      <w:r w:rsidR="0077707A">
        <w:rPr>
          <w:szCs w:val="26"/>
        </w:rPr>
        <w:t>f</w:t>
      </w:r>
      <w:r w:rsidR="00E17659" w:rsidRPr="00B21A82">
        <w:rPr>
          <w:szCs w:val="26"/>
        </w:rPr>
        <w:t xml:space="preserve">ederal laws, University of Illinois </w:t>
      </w:r>
      <w:r w:rsidR="00E17659" w:rsidRPr="00B21A82">
        <w:rPr>
          <w:i/>
          <w:szCs w:val="26"/>
        </w:rPr>
        <w:t>Statutes</w:t>
      </w:r>
      <w:r w:rsidR="00E17659" w:rsidRPr="00B21A82">
        <w:rPr>
          <w:szCs w:val="26"/>
        </w:rPr>
        <w:t>,</w:t>
      </w:r>
      <w:r w:rsidR="00E17659" w:rsidRPr="00B21A82">
        <w:rPr>
          <w:spacing w:val="-14"/>
          <w:szCs w:val="26"/>
        </w:rPr>
        <w:t xml:space="preserve"> </w:t>
      </w:r>
      <w:r w:rsidR="00E17659" w:rsidRPr="00B21A82">
        <w:rPr>
          <w:i/>
          <w:szCs w:val="26"/>
        </w:rPr>
        <w:t>The General Rules Concerning University Organization and Procedure</w:t>
      </w:r>
      <w:r w:rsidR="00E17659" w:rsidRPr="00B21A82">
        <w:rPr>
          <w:szCs w:val="26"/>
        </w:rPr>
        <w:t>, and Board</w:t>
      </w:r>
      <w:r w:rsidR="00E17659" w:rsidRPr="00B21A82">
        <w:rPr>
          <w:spacing w:val="-15"/>
          <w:szCs w:val="26"/>
        </w:rPr>
        <w:t xml:space="preserve"> </w:t>
      </w:r>
      <w:r w:rsidR="00E17659" w:rsidRPr="00B21A82">
        <w:rPr>
          <w:szCs w:val="26"/>
        </w:rPr>
        <w:t>of</w:t>
      </w:r>
      <w:r w:rsidR="00E17659" w:rsidRPr="00B21A82">
        <w:rPr>
          <w:w w:val="99"/>
          <w:szCs w:val="26"/>
        </w:rPr>
        <w:t xml:space="preserve"> </w:t>
      </w:r>
      <w:r w:rsidR="00E17659" w:rsidRPr="00B21A82">
        <w:rPr>
          <w:szCs w:val="26"/>
        </w:rPr>
        <w:t>Trustees policies and</w:t>
      </w:r>
      <w:r w:rsidR="00E17659" w:rsidRPr="00B21A82">
        <w:rPr>
          <w:spacing w:val="-7"/>
          <w:szCs w:val="26"/>
        </w:rPr>
        <w:t xml:space="preserve"> </w:t>
      </w:r>
      <w:r w:rsidR="00E17659" w:rsidRPr="00B21A82">
        <w:rPr>
          <w:szCs w:val="26"/>
        </w:rPr>
        <w:t>directives.</w:t>
      </w:r>
    </w:p>
    <w:p w14:paraId="09EF3FF9" w14:textId="59BED266" w:rsidR="00FF7A5D" w:rsidRPr="00B21A82" w:rsidRDefault="00FF7A5D" w:rsidP="0077707A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21A8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AD0A5C" w:rsidRPr="00AD0A5C">
        <w:rPr>
          <w:rFonts w:ascii="Times New Roman" w:hAnsi="Times New Roman" w:cs="Times New Roman"/>
          <w:color w:val="auto"/>
          <w:sz w:val="26"/>
          <w:szCs w:val="26"/>
        </w:rPr>
        <w:t xml:space="preserve">Funds for this project are available from institutional funds operating </w:t>
      </w:r>
      <w:r w:rsidR="00AD0A5C" w:rsidRPr="00AD0A5C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budget for the University of Illinois Urbana-Champaign. </w:t>
      </w:r>
    </w:p>
    <w:p w14:paraId="51DE3734" w14:textId="56BE7388" w:rsidR="00E56906" w:rsidRDefault="00FF7A5D" w:rsidP="0077707A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21A82">
        <w:rPr>
          <w:rFonts w:ascii="Times New Roman" w:hAnsi="Times New Roman" w:cs="Times New Roman"/>
          <w:color w:val="auto"/>
          <w:sz w:val="26"/>
          <w:szCs w:val="26"/>
        </w:rPr>
        <w:tab/>
      </w:r>
      <w:r w:rsidR="00C474C6"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 w:rsidR="0077707A">
        <w:rPr>
          <w:rFonts w:ascii="Times New Roman" w:hAnsi="Times New Roman" w:cs="Times New Roman"/>
          <w:color w:val="auto"/>
          <w:sz w:val="26"/>
          <w:szCs w:val="26"/>
        </w:rPr>
        <w:t>p</w:t>
      </w:r>
      <w:r w:rsidR="00C474C6" w:rsidRPr="00B21A82">
        <w:rPr>
          <w:rFonts w:ascii="Times New Roman" w:hAnsi="Times New Roman" w:cs="Times New Roman"/>
          <w:color w:val="auto"/>
          <w:sz w:val="26"/>
          <w:szCs w:val="26"/>
        </w:rPr>
        <w:t xml:space="preserve">resident of the University </w:t>
      </w:r>
      <w:r w:rsidR="00B21A82">
        <w:rPr>
          <w:rFonts w:ascii="Times New Roman" w:hAnsi="Times New Roman" w:cs="Times New Roman"/>
          <w:color w:val="auto"/>
          <w:sz w:val="26"/>
          <w:szCs w:val="26"/>
        </w:rPr>
        <w:t xml:space="preserve">of Illinois System </w:t>
      </w:r>
      <w:r w:rsidR="00C474C6" w:rsidRPr="00B21A82">
        <w:rPr>
          <w:rFonts w:ascii="Times New Roman" w:hAnsi="Times New Roman" w:cs="Times New Roman"/>
          <w:color w:val="auto"/>
          <w:sz w:val="26"/>
          <w:szCs w:val="26"/>
        </w:rPr>
        <w:t>concurs.</w:t>
      </w:r>
    </w:p>
    <w:p w14:paraId="438E7A0D" w14:textId="77777777" w:rsidR="00E56906" w:rsidRDefault="00E56906" w:rsidP="001B40BA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14:paraId="163F4242" w14:textId="77777777" w:rsidR="00E56906" w:rsidRDefault="00E56906" w:rsidP="001B40BA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  <w:sectPr w:rsidR="00E56906" w:rsidSect="004F2D6E">
          <w:headerReference w:type="default" r:id="rId7"/>
          <w:type w:val="continuous"/>
          <w:pgSz w:w="12240" w:h="15840"/>
          <w:pgMar w:top="720" w:right="1440" w:bottom="1440" w:left="1440" w:header="720" w:footer="720" w:gutter="0"/>
          <w:cols w:space="720"/>
          <w:noEndnote/>
          <w:titlePg/>
          <w:docGrid w:linePitch="354"/>
        </w:sectPr>
      </w:pPr>
    </w:p>
    <w:p w14:paraId="402B9E08" w14:textId="77777777" w:rsidR="00E50B54" w:rsidRDefault="00E50B54" w:rsidP="00E50B54">
      <w:pPr>
        <w:pStyle w:val="BodyText"/>
        <w:spacing w:before="4"/>
      </w:pPr>
      <w:r w:rsidRPr="00E76BCE">
        <w:lastRenderedPageBreak/>
        <w:t>Table 1: Diverse Vendor Participation</w:t>
      </w:r>
    </w:p>
    <w:tbl>
      <w:tblPr>
        <w:tblpPr w:leftFromText="180" w:rightFromText="180" w:vertAnchor="page" w:horzAnchor="margin" w:tblpY="1921"/>
        <w:tblW w:w="0" w:type="auto"/>
        <w:tblLayout w:type="fixed"/>
        <w:tblLook w:val="04A0" w:firstRow="1" w:lastRow="0" w:firstColumn="1" w:lastColumn="0" w:noHBand="0" w:noVBand="1"/>
      </w:tblPr>
      <w:tblGrid>
        <w:gridCol w:w="1947"/>
        <w:gridCol w:w="1913"/>
        <w:gridCol w:w="1530"/>
        <w:gridCol w:w="1350"/>
        <w:gridCol w:w="1890"/>
        <w:gridCol w:w="2685"/>
        <w:gridCol w:w="1625"/>
      </w:tblGrid>
      <w:tr w:rsidR="00D70747" w:rsidRPr="00E76BCE" w14:paraId="5558290B" w14:textId="77777777" w:rsidTr="008E1A48">
        <w:trPr>
          <w:trHeight w:val="494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D3AB70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Division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64BF5A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Awarded Vendor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0DCD76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 xml:space="preserve">Prime </w:t>
            </w:r>
            <w:r>
              <w:rPr>
                <w:color w:val="000000"/>
                <w:szCs w:val="26"/>
              </w:rPr>
              <w:t>C</w:t>
            </w:r>
            <w:r w:rsidRPr="00E76BCE">
              <w:rPr>
                <w:color w:val="000000"/>
                <w:szCs w:val="26"/>
              </w:rPr>
              <w:t>ontract Value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902C1D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Prime Diversity?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BF9454D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Diverse Subcontractor Contract Value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E4830D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Diverse Subcontractor % of Work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6D8448BC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Diverse Classification</w:t>
            </w:r>
          </w:p>
        </w:tc>
      </w:tr>
      <w:tr w:rsidR="00D70747" w:rsidRPr="00E76BCE" w14:paraId="7DF36DFE" w14:textId="77777777" w:rsidTr="00D70747">
        <w:trPr>
          <w:trHeight w:val="427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F414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Division 1: General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384D3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Broeren Russo Builders, Inc.</w:t>
            </w:r>
            <w:r w:rsidRPr="00E76BCE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Champaign</w:t>
            </w:r>
            <w:r w:rsidRPr="00E76BCE">
              <w:rPr>
                <w:color w:val="000000"/>
                <w:szCs w:val="26"/>
              </w:rPr>
              <w:t>, IL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594F" w14:textId="22EE874F" w:rsidR="00E56906" w:rsidRPr="00562C06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 xml:space="preserve"> $ </w:t>
            </w:r>
            <w:r w:rsidRPr="00562C06">
              <w:rPr>
                <w:color w:val="000000"/>
                <w:szCs w:val="26"/>
              </w:rPr>
              <w:t>3,114,000</w:t>
            </w:r>
          </w:p>
          <w:p w14:paraId="76EE108D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DCC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MBE (HA)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63B" w14:textId="7BAAAEB1" w:rsidR="00E56906" w:rsidRPr="00E76BCE" w:rsidRDefault="00D70747" w:rsidP="00E5690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  <w:r w:rsidR="00E56906" w:rsidRPr="00562C06">
              <w:rPr>
                <w:color w:val="000000"/>
                <w:szCs w:val="26"/>
              </w:rPr>
              <w:t>$</w:t>
            </w:r>
            <w:r w:rsidR="0077707A">
              <w:rPr>
                <w:color w:val="000000"/>
                <w:szCs w:val="26"/>
              </w:rPr>
              <w:t xml:space="preserve">    </w:t>
            </w:r>
            <w:r w:rsidR="00E56906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750</w:t>
            </w:r>
            <w:r w:rsidR="00E56906" w:rsidRPr="00562C06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>000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4FA" w14:textId="30F37270" w:rsidR="00E56906" w:rsidRPr="00E76BCE" w:rsidRDefault="00D70747" w:rsidP="00E56906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24</w:t>
            </w:r>
            <w:r w:rsidR="00E56906" w:rsidRPr="00E76BCE">
              <w:rPr>
                <w:color w:val="000000"/>
                <w:szCs w:val="26"/>
              </w:rPr>
              <w:t>%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36F7F" w14:textId="067A0D48" w:rsidR="00E56906" w:rsidRPr="00E76BCE" w:rsidRDefault="00D70747" w:rsidP="00E5690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MBE (HA)</w:t>
            </w:r>
          </w:p>
        </w:tc>
      </w:tr>
      <w:tr w:rsidR="00D70747" w:rsidRPr="00E76BCE" w14:paraId="7042D8E7" w14:textId="77777777" w:rsidTr="008E1A48">
        <w:trPr>
          <w:trHeight w:val="427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3959" w14:textId="77777777" w:rsidR="00D70747" w:rsidRPr="00E76BCE" w:rsidRDefault="00D70747" w:rsidP="00E56906">
            <w:pPr>
              <w:rPr>
                <w:color w:val="000000"/>
                <w:szCs w:val="26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F9B4" w14:textId="77777777" w:rsidR="00D70747" w:rsidRDefault="00D70747" w:rsidP="00E56906">
            <w:pPr>
              <w:rPr>
                <w:color w:val="000000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374C" w14:textId="77777777" w:rsidR="00D70747" w:rsidRPr="00E76BCE" w:rsidRDefault="00D70747" w:rsidP="00E56906">
            <w:pPr>
              <w:rPr>
                <w:color w:val="000000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2E56" w14:textId="77777777" w:rsidR="00D70747" w:rsidRDefault="00D70747" w:rsidP="00E5690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56E8" w14:textId="3F55950A" w:rsidR="00D70747" w:rsidRPr="00E76BCE" w:rsidRDefault="00D70747" w:rsidP="00E5690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$</w:t>
            </w:r>
            <w:r w:rsidR="0077707A">
              <w:rPr>
                <w:color w:val="000000"/>
                <w:szCs w:val="26"/>
              </w:rPr>
              <w:t xml:space="preserve">    </w:t>
            </w:r>
            <w:r>
              <w:rPr>
                <w:color w:val="000000"/>
                <w:szCs w:val="26"/>
              </w:rPr>
              <w:t xml:space="preserve"> 228,925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EEEE" w14:textId="08BDC3AA" w:rsidR="00D70747" w:rsidRPr="00562C06" w:rsidRDefault="00D70747" w:rsidP="00E56906">
            <w:pPr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8E27A" w14:textId="5AECE2D5" w:rsidR="00D70747" w:rsidRDefault="00D70747" w:rsidP="00E5690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WBE</w:t>
            </w:r>
          </w:p>
        </w:tc>
      </w:tr>
      <w:tr w:rsidR="00D70747" w:rsidRPr="00E76BCE" w14:paraId="0377E6D9" w14:textId="77777777" w:rsidTr="00D70747">
        <w:trPr>
          <w:trHeight w:val="491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0CC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2C654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4A6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0FDF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9024" w14:textId="681D6CA3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$</w:t>
            </w:r>
            <w:r w:rsidR="0077707A">
              <w:rPr>
                <w:color w:val="000000"/>
                <w:szCs w:val="26"/>
              </w:rPr>
              <w:t xml:space="preserve">    </w:t>
            </w:r>
            <w:r>
              <w:rPr>
                <w:color w:val="000000"/>
                <w:szCs w:val="26"/>
              </w:rPr>
              <w:t xml:space="preserve"> 100,000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7C69" w14:textId="135C276D" w:rsidR="00E56906" w:rsidRPr="00E76BCE" w:rsidRDefault="00E56906" w:rsidP="00E56906">
            <w:pPr>
              <w:jc w:val="right"/>
              <w:rPr>
                <w:color w:val="000000"/>
                <w:szCs w:val="26"/>
              </w:rPr>
            </w:pPr>
            <w:r w:rsidRPr="00562C06">
              <w:rPr>
                <w:color w:val="000000"/>
                <w:szCs w:val="26"/>
              </w:rPr>
              <w:t>3%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D9EFC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 xml:space="preserve">VBE </w:t>
            </w:r>
          </w:p>
        </w:tc>
      </w:tr>
      <w:tr w:rsidR="00D70747" w:rsidRPr="00E76BCE" w14:paraId="30C171B3" w14:textId="77777777" w:rsidTr="00D70747">
        <w:trPr>
          <w:trHeight w:val="222"/>
        </w:trPr>
        <w:tc>
          <w:tcPr>
            <w:tcW w:w="1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3C1C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BD6A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Division 1: General 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4AAD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870C" w14:textId="77777777" w:rsidR="00E56906" w:rsidRPr="00E76BCE" w:rsidRDefault="00E56906" w:rsidP="00E56906">
            <w:pPr>
              <w:jc w:val="center"/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93AE" w14:textId="7C90C43B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562C06">
              <w:rPr>
                <w:color w:val="000000"/>
                <w:szCs w:val="26"/>
              </w:rPr>
              <w:t xml:space="preserve"> $</w:t>
            </w:r>
            <w:r w:rsidR="0077707A">
              <w:rPr>
                <w:color w:val="000000"/>
                <w:szCs w:val="26"/>
              </w:rPr>
              <w:t xml:space="preserve">   </w:t>
            </w:r>
            <w:r w:rsidRPr="00562C06">
              <w:rPr>
                <w:color w:val="000000"/>
                <w:szCs w:val="26"/>
              </w:rPr>
              <w:t>1,078,925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4D28" w14:textId="0C1C2198" w:rsidR="00E56906" w:rsidRPr="00E76BCE" w:rsidRDefault="0077707A" w:rsidP="00E56906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        </w:t>
            </w:r>
            <w:r w:rsidR="00E56906">
              <w:rPr>
                <w:color w:val="000000"/>
                <w:szCs w:val="26"/>
              </w:rPr>
              <w:t>34%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4D44A" w14:textId="77777777" w:rsidR="00E56906" w:rsidRPr="00E76BCE" w:rsidRDefault="00E56906" w:rsidP="00E56906">
            <w:pPr>
              <w:rPr>
                <w:color w:val="000000"/>
                <w:szCs w:val="26"/>
              </w:rPr>
            </w:pPr>
            <w:r w:rsidRPr="00E76BCE">
              <w:rPr>
                <w:color w:val="000000"/>
                <w:szCs w:val="26"/>
              </w:rPr>
              <w:t> </w:t>
            </w:r>
          </w:p>
        </w:tc>
      </w:tr>
    </w:tbl>
    <w:p w14:paraId="3B0EC63D" w14:textId="77777777" w:rsidR="00E50B54" w:rsidRPr="003730C3" w:rsidRDefault="00E50B54" w:rsidP="00E50B54">
      <w:pPr>
        <w:pStyle w:val="BodyText"/>
        <w:rPr>
          <w:sz w:val="28"/>
          <w:highlight w:val="cyan"/>
        </w:rPr>
      </w:pPr>
    </w:p>
    <w:p w14:paraId="43B77FB8" w14:textId="77777777" w:rsidR="003E5BF1" w:rsidRPr="00B21A82" w:rsidRDefault="003E5BF1" w:rsidP="001B40BA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sectPr w:rsidR="003E5BF1" w:rsidRPr="00B21A82" w:rsidSect="008E1A48">
      <w:pgSz w:w="15840" w:h="12240" w:orient="landscape"/>
      <w:pgMar w:top="1440" w:right="1440" w:bottom="1440" w:left="144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3F15" w14:textId="77777777" w:rsidR="00F546FD" w:rsidRDefault="00F546FD" w:rsidP="00E17659">
      <w:r>
        <w:separator/>
      </w:r>
    </w:p>
  </w:endnote>
  <w:endnote w:type="continuationSeparator" w:id="0">
    <w:p w14:paraId="2BD7D496" w14:textId="77777777" w:rsidR="00F546FD" w:rsidRDefault="00F546FD" w:rsidP="00E1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6BE1" w14:textId="77777777" w:rsidR="00F546FD" w:rsidRDefault="00F546FD" w:rsidP="00E17659">
      <w:r>
        <w:separator/>
      </w:r>
    </w:p>
  </w:footnote>
  <w:footnote w:type="continuationSeparator" w:id="0">
    <w:p w14:paraId="7D73E221" w14:textId="77777777" w:rsidR="00F546FD" w:rsidRDefault="00F546FD" w:rsidP="00E1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3443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5CD94C" w14:textId="3CDDC969" w:rsidR="004F2D6E" w:rsidRDefault="004F2D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0A654" w14:textId="77777777" w:rsidR="004F2D6E" w:rsidRDefault="004F2D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5D"/>
    <w:rsid w:val="000138AA"/>
    <w:rsid w:val="00023E79"/>
    <w:rsid w:val="00030B5B"/>
    <w:rsid w:val="000A376C"/>
    <w:rsid w:val="000A447C"/>
    <w:rsid w:val="000B3A85"/>
    <w:rsid w:val="000B7AEE"/>
    <w:rsid w:val="000D49BB"/>
    <w:rsid w:val="000E0BB6"/>
    <w:rsid w:val="000F022A"/>
    <w:rsid w:val="000F2F28"/>
    <w:rsid w:val="00117F4C"/>
    <w:rsid w:val="001B40BA"/>
    <w:rsid w:val="001B613B"/>
    <w:rsid w:val="001C6016"/>
    <w:rsid w:val="001F66DD"/>
    <w:rsid w:val="001F68FE"/>
    <w:rsid w:val="002147C0"/>
    <w:rsid w:val="002168D6"/>
    <w:rsid w:val="00247F71"/>
    <w:rsid w:val="00265811"/>
    <w:rsid w:val="002B2A99"/>
    <w:rsid w:val="002C49E6"/>
    <w:rsid w:val="002C7535"/>
    <w:rsid w:val="002D7BC8"/>
    <w:rsid w:val="002F64E0"/>
    <w:rsid w:val="00310220"/>
    <w:rsid w:val="003149BA"/>
    <w:rsid w:val="00341192"/>
    <w:rsid w:val="003803BE"/>
    <w:rsid w:val="0038086F"/>
    <w:rsid w:val="00385208"/>
    <w:rsid w:val="003A1A23"/>
    <w:rsid w:val="003B32CC"/>
    <w:rsid w:val="003C52A6"/>
    <w:rsid w:val="003D486E"/>
    <w:rsid w:val="003E5BF1"/>
    <w:rsid w:val="003E5E3D"/>
    <w:rsid w:val="003F2FD8"/>
    <w:rsid w:val="0041208A"/>
    <w:rsid w:val="00414D2B"/>
    <w:rsid w:val="00430BE2"/>
    <w:rsid w:val="00443427"/>
    <w:rsid w:val="004853C3"/>
    <w:rsid w:val="004858B4"/>
    <w:rsid w:val="00492285"/>
    <w:rsid w:val="004968A5"/>
    <w:rsid w:val="004B44D1"/>
    <w:rsid w:val="004E1642"/>
    <w:rsid w:val="004F2D6E"/>
    <w:rsid w:val="0050795B"/>
    <w:rsid w:val="00514606"/>
    <w:rsid w:val="0053682D"/>
    <w:rsid w:val="005368F3"/>
    <w:rsid w:val="00540807"/>
    <w:rsid w:val="00562C06"/>
    <w:rsid w:val="005A0AC1"/>
    <w:rsid w:val="005A3D4B"/>
    <w:rsid w:val="006159B4"/>
    <w:rsid w:val="006229B1"/>
    <w:rsid w:val="006328FD"/>
    <w:rsid w:val="00636BC3"/>
    <w:rsid w:val="00667E6B"/>
    <w:rsid w:val="00673DFF"/>
    <w:rsid w:val="00695A52"/>
    <w:rsid w:val="006D7A8F"/>
    <w:rsid w:val="00702F4C"/>
    <w:rsid w:val="00727E26"/>
    <w:rsid w:val="00742895"/>
    <w:rsid w:val="0077707A"/>
    <w:rsid w:val="007839CC"/>
    <w:rsid w:val="007A0759"/>
    <w:rsid w:val="007C49F1"/>
    <w:rsid w:val="007C5C4F"/>
    <w:rsid w:val="007E05ED"/>
    <w:rsid w:val="00802338"/>
    <w:rsid w:val="008662C3"/>
    <w:rsid w:val="00872F2D"/>
    <w:rsid w:val="008B3A93"/>
    <w:rsid w:val="008E1A48"/>
    <w:rsid w:val="008E4515"/>
    <w:rsid w:val="00950533"/>
    <w:rsid w:val="00993A71"/>
    <w:rsid w:val="009D05B0"/>
    <w:rsid w:val="009D2DFF"/>
    <w:rsid w:val="009D669A"/>
    <w:rsid w:val="00A52FD9"/>
    <w:rsid w:val="00A71163"/>
    <w:rsid w:val="00A85138"/>
    <w:rsid w:val="00A85E21"/>
    <w:rsid w:val="00A91D67"/>
    <w:rsid w:val="00AB18F1"/>
    <w:rsid w:val="00AD0A5C"/>
    <w:rsid w:val="00AD5E2F"/>
    <w:rsid w:val="00AE06F1"/>
    <w:rsid w:val="00AE3461"/>
    <w:rsid w:val="00B21A82"/>
    <w:rsid w:val="00B631A3"/>
    <w:rsid w:val="00BB3134"/>
    <w:rsid w:val="00BF43C4"/>
    <w:rsid w:val="00C110E1"/>
    <w:rsid w:val="00C11D91"/>
    <w:rsid w:val="00C21988"/>
    <w:rsid w:val="00C474C6"/>
    <w:rsid w:val="00CA1BD6"/>
    <w:rsid w:val="00CB23D2"/>
    <w:rsid w:val="00CC2572"/>
    <w:rsid w:val="00CE1FA7"/>
    <w:rsid w:val="00D02EDC"/>
    <w:rsid w:val="00D20BE8"/>
    <w:rsid w:val="00D65153"/>
    <w:rsid w:val="00D70747"/>
    <w:rsid w:val="00D71260"/>
    <w:rsid w:val="00D71FED"/>
    <w:rsid w:val="00D80EEB"/>
    <w:rsid w:val="00D911BA"/>
    <w:rsid w:val="00DB5E25"/>
    <w:rsid w:val="00DD2B8E"/>
    <w:rsid w:val="00DF6429"/>
    <w:rsid w:val="00E103FB"/>
    <w:rsid w:val="00E17659"/>
    <w:rsid w:val="00E2145F"/>
    <w:rsid w:val="00E41D41"/>
    <w:rsid w:val="00E45600"/>
    <w:rsid w:val="00E50B54"/>
    <w:rsid w:val="00E56906"/>
    <w:rsid w:val="00E61FC7"/>
    <w:rsid w:val="00E63E6A"/>
    <w:rsid w:val="00E74BAE"/>
    <w:rsid w:val="00EA2D24"/>
    <w:rsid w:val="00EF6B6D"/>
    <w:rsid w:val="00F00B41"/>
    <w:rsid w:val="00F4531B"/>
    <w:rsid w:val="00F546FD"/>
    <w:rsid w:val="00F6156E"/>
    <w:rsid w:val="00FC39E9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034009"/>
  <w14:defaultImageDpi w14:val="0"/>
  <w15:chartTrackingRefBased/>
  <w15:docId w15:val="{DA067F86-9B8A-4DDF-8F1A-C7C677AF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overflowPunct w:val="0"/>
      <w:autoSpaceDE w:val="0"/>
      <w:autoSpaceDN w:val="0"/>
      <w:adjustRightInd w:val="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rsid w:val="002168D6"/>
    <w:pPr>
      <w:tabs>
        <w:tab w:val="left" w:pos="720"/>
        <w:tab w:val="left" w:pos="1440"/>
      </w:tabs>
      <w:ind w:left="1440" w:hanging="1440"/>
    </w:pPr>
  </w:style>
  <w:style w:type="character" w:styleId="CommentReference">
    <w:name w:val="annotation reference"/>
    <w:uiPriority w:val="99"/>
    <w:rsid w:val="003B3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32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2CC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3B32C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B32CC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B3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3B32CC"/>
    <w:rPr>
      <w:rFonts w:ascii="Segoe UI" w:hAnsi="Segoe UI" w:cs="Segoe UI"/>
      <w:sz w:val="18"/>
      <w:szCs w:val="18"/>
    </w:rPr>
  </w:style>
  <w:style w:type="paragraph" w:customStyle="1" w:styleId="bdstyle2">
    <w:name w:val="bdstyle2"/>
    <w:basedOn w:val="Normal"/>
    <w:rsid w:val="00E17659"/>
    <w:pPr>
      <w:tabs>
        <w:tab w:val="left" w:pos="720"/>
        <w:tab w:val="left" w:pos="1440"/>
      </w:tabs>
      <w:spacing w:line="480" w:lineRule="auto"/>
      <w:ind w:firstLine="1440"/>
      <w:textAlignment w:val="baseline"/>
    </w:pPr>
  </w:style>
  <w:style w:type="paragraph" w:styleId="FootnoteText">
    <w:name w:val="footnote text"/>
    <w:basedOn w:val="Normal"/>
    <w:link w:val="FootnoteTextChar"/>
    <w:rsid w:val="00E17659"/>
    <w:pPr>
      <w:textAlignment w:val="baseline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659"/>
  </w:style>
  <w:style w:type="character" w:styleId="FootnoteReference">
    <w:name w:val="footnote reference"/>
    <w:rsid w:val="00E1765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E17659"/>
    <w:pPr>
      <w:widowControl w:val="0"/>
      <w:overflowPunct/>
      <w:autoSpaceDE/>
      <w:autoSpaceDN/>
      <w:adjustRightInd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BF4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C4"/>
    <w:rPr>
      <w:sz w:val="26"/>
    </w:rPr>
  </w:style>
  <w:style w:type="paragraph" w:styleId="Footer">
    <w:name w:val="footer"/>
    <w:basedOn w:val="Normal"/>
    <w:link w:val="FooterChar"/>
    <w:uiPriority w:val="99"/>
    <w:rsid w:val="00BF4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C4"/>
    <w:rPr>
      <w:sz w:val="26"/>
    </w:rPr>
  </w:style>
  <w:style w:type="paragraph" w:styleId="Revision">
    <w:name w:val="Revision"/>
    <w:hidden/>
    <w:uiPriority w:val="99"/>
    <w:semiHidden/>
    <w:rsid w:val="004E1642"/>
    <w:rPr>
      <w:sz w:val="26"/>
    </w:rPr>
  </w:style>
  <w:style w:type="character" w:styleId="Strong">
    <w:name w:val="Strong"/>
    <w:basedOn w:val="DefaultParagraphFont"/>
    <w:uiPriority w:val="22"/>
    <w:qFormat/>
    <w:rsid w:val="004E1642"/>
    <w:rPr>
      <w:b/>
      <w:bCs/>
    </w:rPr>
  </w:style>
  <w:style w:type="paragraph" w:styleId="NormalWeb">
    <w:name w:val="Normal (Web)"/>
    <w:basedOn w:val="Normal"/>
    <w:uiPriority w:val="99"/>
    <w:unhideWhenUsed/>
    <w:rsid w:val="004E164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50B54"/>
    <w:pPr>
      <w:widowControl w:val="0"/>
      <w:overflowPunct/>
      <w:adjustRightInd/>
    </w:pPr>
    <w:rPr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50B54"/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D6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2E39-E72B-4869-AA8D-980B1ACC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</cp:lastModifiedBy>
  <cp:revision>8</cp:revision>
  <cp:lastPrinted>2008-08-11T14:51:00Z</cp:lastPrinted>
  <dcterms:created xsi:type="dcterms:W3CDTF">2023-10-26T17:06:00Z</dcterms:created>
  <dcterms:modified xsi:type="dcterms:W3CDTF">2023-11-16T17:38:00Z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ff7eb104c1b330a091eb03bd83bf739f76c0f76a119a9fbdd8af30c4b593c018</vt:lpwstr>
  </property>
</Properties>
</file>