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B691" w14:textId="3FFDA05D" w:rsidR="00790C45" w:rsidRPr="00865175" w:rsidRDefault="00865175" w:rsidP="0086517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ascii="Times New Roman" w:eastAsia="Times New Roman" w:hAnsi="Times New Roman"/>
          <w:b/>
          <w:color w:val="000000"/>
          <w:sz w:val="60"/>
          <w:szCs w:val="60"/>
        </w:rPr>
      </w:pPr>
      <w:r>
        <w:rPr>
          <w:rFonts w:ascii="Times New Roman" w:eastAsia="Times New Roman" w:hAnsi="Times New Roman"/>
          <w:color w:val="FF0000"/>
          <w:sz w:val="26"/>
          <w:szCs w:val="26"/>
        </w:rPr>
        <w:tab/>
      </w:r>
      <w:r>
        <w:rPr>
          <w:rFonts w:ascii="Times New Roman" w:eastAsia="Times New Roman" w:hAnsi="Times New Roman"/>
          <w:color w:val="FF0000"/>
          <w:sz w:val="26"/>
          <w:szCs w:val="26"/>
        </w:rPr>
        <w:tab/>
      </w:r>
      <w:r>
        <w:rPr>
          <w:rFonts w:ascii="Times New Roman" w:eastAsia="Times New Roman" w:hAnsi="Times New Roman"/>
          <w:color w:val="FF0000"/>
          <w:sz w:val="26"/>
          <w:szCs w:val="26"/>
        </w:rPr>
        <w:tab/>
      </w:r>
      <w:r>
        <w:rPr>
          <w:rFonts w:ascii="Times New Roman" w:eastAsia="Times New Roman" w:hAnsi="Times New Roman"/>
          <w:color w:val="FF0000"/>
          <w:sz w:val="26"/>
          <w:szCs w:val="26"/>
        </w:rPr>
        <w:tab/>
      </w:r>
      <w:r>
        <w:rPr>
          <w:rFonts w:ascii="Times New Roman" w:eastAsia="Times New Roman" w:hAnsi="Times New Roman"/>
          <w:color w:val="FF0000"/>
          <w:sz w:val="26"/>
          <w:szCs w:val="26"/>
        </w:rPr>
        <w:tab/>
      </w:r>
      <w:r>
        <w:rPr>
          <w:rFonts w:ascii="Times New Roman" w:eastAsia="Times New Roman" w:hAnsi="Times New Roman"/>
          <w:color w:val="FF0000"/>
          <w:sz w:val="26"/>
          <w:szCs w:val="26"/>
        </w:rPr>
        <w:tab/>
      </w:r>
      <w:r>
        <w:rPr>
          <w:rFonts w:ascii="Times New Roman" w:eastAsia="Times New Roman" w:hAnsi="Times New Roman"/>
          <w:color w:val="FF0000"/>
          <w:sz w:val="26"/>
          <w:szCs w:val="26"/>
        </w:rPr>
        <w:tab/>
      </w:r>
      <w:r w:rsidR="007B30DA">
        <w:rPr>
          <w:rFonts w:ascii="Times New Roman" w:eastAsia="Times New Roman" w:hAnsi="Times New Roman"/>
          <w:b/>
          <w:color w:val="000000"/>
          <w:sz w:val="60"/>
          <w:szCs w:val="60"/>
        </w:rPr>
        <w:t>13</w:t>
      </w:r>
    </w:p>
    <w:p w14:paraId="4BABADE5" w14:textId="77777777" w:rsidR="00865175" w:rsidRDefault="0086517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ascii="Times New Roman" w:eastAsia="Times New Roman" w:hAnsi="Times New Roman"/>
          <w:color w:val="000000"/>
          <w:sz w:val="26"/>
          <w:szCs w:val="26"/>
        </w:rPr>
      </w:pPr>
    </w:p>
    <w:p w14:paraId="35110FDC" w14:textId="77777777" w:rsidR="00865175" w:rsidRDefault="0086517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ascii="Times New Roman" w:eastAsia="Times New Roman" w:hAnsi="Times New Roman"/>
          <w:color w:val="000000"/>
          <w:sz w:val="26"/>
          <w:szCs w:val="26"/>
        </w:rPr>
      </w:pPr>
    </w:p>
    <w:p w14:paraId="7366C73E" w14:textId="143AF68C" w:rsidR="00790C45" w:rsidRPr="00353536"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ascii="Times New Roman" w:eastAsia="Times New Roman" w:hAnsi="Times New Roman"/>
          <w:color w:val="000000"/>
          <w:sz w:val="26"/>
          <w:szCs w:val="26"/>
        </w:rPr>
      </w:pPr>
      <w:r w:rsidRPr="00353536">
        <w:rPr>
          <w:rFonts w:ascii="Times New Roman" w:eastAsia="Times New Roman" w:hAnsi="Times New Roman"/>
          <w:color w:val="000000"/>
          <w:sz w:val="26"/>
          <w:szCs w:val="26"/>
        </w:rPr>
        <w:t>Board Meeting</w:t>
      </w:r>
    </w:p>
    <w:p w14:paraId="48F69593" w14:textId="20D26EB0" w:rsidR="00790C45" w:rsidRDefault="00467717"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ascii="Times New Roman" w:eastAsia="Times New Roman" w:hAnsi="Times New Roman"/>
          <w:sz w:val="26"/>
          <w:szCs w:val="26"/>
        </w:rPr>
      </w:pPr>
      <w:r w:rsidRPr="00865175">
        <w:rPr>
          <w:rFonts w:ascii="Times New Roman" w:eastAsia="Times New Roman" w:hAnsi="Times New Roman"/>
          <w:sz w:val="26"/>
          <w:szCs w:val="26"/>
        </w:rPr>
        <w:t>November 16</w:t>
      </w:r>
      <w:r w:rsidR="00010EA7" w:rsidRPr="00865175">
        <w:rPr>
          <w:rFonts w:ascii="Times New Roman" w:eastAsia="Times New Roman" w:hAnsi="Times New Roman"/>
          <w:sz w:val="26"/>
          <w:szCs w:val="26"/>
        </w:rPr>
        <w:t>, 2023</w:t>
      </w:r>
    </w:p>
    <w:p w14:paraId="7703C3A0" w14:textId="77777777" w:rsidR="00865175" w:rsidRDefault="0086517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ascii="Times New Roman" w:eastAsia="Times New Roman" w:hAnsi="Times New Roman"/>
          <w:sz w:val="26"/>
          <w:szCs w:val="26"/>
        </w:rPr>
      </w:pPr>
    </w:p>
    <w:p w14:paraId="2AD1725D" w14:textId="77777777" w:rsidR="00865175" w:rsidRPr="00865175" w:rsidRDefault="0086517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ascii="Times New Roman" w:eastAsia="Times New Roman" w:hAnsi="Times New Roman"/>
          <w:sz w:val="26"/>
          <w:szCs w:val="26"/>
        </w:rPr>
      </w:pPr>
    </w:p>
    <w:p w14:paraId="6FF341B7" w14:textId="5CF19D48" w:rsidR="00790C45" w:rsidRPr="0087285D" w:rsidRDefault="00790C45" w:rsidP="0087285D">
      <w:pPr>
        <w:pStyle w:val="Heading1"/>
        <w:jc w:val="center"/>
        <w:rPr>
          <w:rFonts w:ascii="Times New Roman" w:eastAsia="Times New Roman" w:hAnsi="Times New Roman" w:cs="Times New Roman"/>
          <w:color w:val="auto"/>
          <w:sz w:val="26"/>
          <w:szCs w:val="26"/>
        </w:rPr>
      </w:pPr>
      <w:r w:rsidRPr="0087285D">
        <w:rPr>
          <w:rFonts w:ascii="Times New Roman" w:eastAsia="Times New Roman" w:hAnsi="Times New Roman" w:cs="Times New Roman"/>
          <w:color w:val="auto"/>
          <w:sz w:val="26"/>
          <w:szCs w:val="26"/>
        </w:rPr>
        <w:t>ROLL CALL</w:t>
      </w:r>
    </w:p>
    <w:p w14:paraId="622D0303" w14:textId="77777777" w:rsidR="00790C45" w:rsidRPr="0087285D" w:rsidRDefault="00790C45" w:rsidP="0087285D">
      <w:pPr>
        <w:pStyle w:val="Heading1"/>
        <w:jc w:val="center"/>
        <w:rPr>
          <w:rFonts w:ascii="Times New Roman" w:eastAsia="Times New Roman" w:hAnsi="Times New Roman" w:cs="Times New Roman"/>
          <w:color w:val="auto"/>
          <w:sz w:val="26"/>
          <w:szCs w:val="26"/>
        </w:rPr>
      </w:pPr>
      <w:r w:rsidRPr="0087285D">
        <w:rPr>
          <w:rFonts w:ascii="Times New Roman" w:eastAsia="Times New Roman" w:hAnsi="Times New Roman" w:cs="Times New Roman"/>
          <w:color w:val="auto"/>
          <w:sz w:val="26"/>
          <w:szCs w:val="26"/>
        </w:rPr>
        <w:t>PURCHASE RECOMMENDATIONS</w:t>
      </w:r>
    </w:p>
    <w:p w14:paraId="73D97BE7" w14:textId="77777777" w:rsidR="00790C45" w:rsidRPr="00353536"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p>
    <w:p w14:paraId="74086052" w14:textId="1883FF51" w:rsidR="009C37EA" w:rsidRPr="00165B0B" w:rsidRDefault="00964369" w:rsidP="009C37E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ascii="Bookman Old Style" w:eastAsia="Times New Roman" w:hAnsi="Bookman Old Style"/>
          <w:i/>
          <w:color w:val="000000"/>
          <w:sz w:val="24"/>
          <w:szCs w:val="24"/>
        </w:rPr>
      </w:pPr>
      <w:proofErr w:type="gramStart"/>
      <w:r w:rsidRPr="00165B0B">
        <w:rPr>
          <w:rFonts w:ascii="Bookman Old Style" w:eastAsia="Times New Roman" w:hAnsi="Bookman Old Style"/>
          <w:color w:val="000000"/>
          <w:sz w:val="24"/>
          <w:szCs w:val="24"/>
        </w:rPr>
        <w:t>Following</w:t>
      </w:r>
      <w:proofErr w:type="gramEnd"/>
      <w:r w:rsidRPr="00165B0B">
        <w:rPr>
          <w:rFonts w:ascii="Bookman Old Style" w:eastAsia="Times New Roman" w:hAnsi="Bookman Old Style"/>
          <w:color w:val="000000"/>
          <w:sz w:val="24"/>
          <w:szCs w:val="24"/>
        </w:rPr>
        <w:t xml:space="preserve"> are purchase recommendations proposed </w:t>
      </w:r>
      <w:r w:rsidR="009C37EA" w:rsidRPr="00165B0B">
        <w:rPr>
          <w:rFonts w:ascii="Bookman Old Style" w:eastAsia="Times New Roman" w:hAnsi="Bookman Old Style"/>
          <w:color w:val="000000"/>
          <w:sz w:val="24"/>
          <w:szCs w:val="24"/>
        </w:rPr>
        <w:t xml:space="preserve">by </w:t>
      </w:r>
      <w:r w:rsidRPr="00165B0B">
        <w:rPr>
          <w:rFonts w:ascii="Bookman Old Style" w:eastAsia="Times New Roman" w:hAnsi="Bookman Old Style"/>
          <w:color w:val="000000"/>
          <w:sz w:val="24"/>
          <w:szCs w:val="24"/>
        </w:rPr>
        <w:t xml:space="preserve">each </w:t>
      </w:r>
      <w:r w:rsidR="009C37EA" w:rsidRPr="00165B0B">
        <w:rPr>
          <w:rFonts w:ascii="Bookman Old Style" w:eastAsia="Times New Roman" w:hAnsi="Bookman Old Style"/>
          <w:color w:val="000000"/>
          <w:sz w:val="24"/>
          <w:szCs w:val="24"/>
        </w:rPr>
        <w:t xml:space="preserve">University and </w:t>
      </w:r>
      <w:r w:rsidRPr="00165B0B">
        <w:rPr>
          <w:rFonts w:ascii="Bookman Old Style" w:eastAsia="Times New Roman" w:hAnsi="Bookman Old Style"/>
          <w:color w:val="000000"/>
          <w:sz w:val="24"/>
          <w:szCs w:val="24"/>
        </w:rPr>
        <w:t>the System Office.  The purchases are to be funded</w:t>
      </w:r>
      <w:r w:rsidR="009C37EA" w:rsidRPr="00165B0B">
        <w:rPr>
          <w:rFonts w:ascii="Bookman Old Style" w:eastAsia="Times New Roman" w:hAnsi="Bookman Old Style"/>
          <w:color w:val="000000"/>
          <w:sz w:val="24"/>
          <w:szCs w:val="24"/>
        </w:rPr>
        <w:t xml:space="preserve"> from State </w:t>
      </w:r>
      <w:r w:rsidRPr="00165B0B">
        <w:rPr>
          <w:rFonts w:ascii="Bookman Old Style" w:eastAsia="Times New Roman" w:hAnsi="Bookman Old Style"/>
          <w:color w:val="000000"/>
          <w:sz w:val="24"/>
          <w:szCs w:val="24"/>
        </w:rPr>
        <w:t>ap</w:t>
      </w:r>
      <w:r w:rsidR="009C37EA" w:rsidRPr="00165B0B">
        <w:rPr>
          <w:rFonts w:ascii="Bookman Old Style" w:eastAsia="Times New Roman" w:hAnsi="Bookman Old Style"/>
          <w:color w:val="000000"/>
          <w:sz w:val="24"/>
          <w:szCs w:val="24"/>
        </w:rPr>
        <w:t xml:space="preserve">propriations </w:t>
      </w:r>
      <w:r w:rsidRPr="00165B0B">
        <w:rPr>
          <w:rFonts w:ascii="Bookman Old Style" w:eastAsia="Times New Roman" w:hAnsi="Bookman Old Style"/>
          <w:color w:val="000000"/>
          <w:sz w:val="24"/>
          <w:szCs w:val="24"/>
        </w:rPr>
        <w:t>or institutional funds as appropriate</w:t>
      </w:r>
      <w:r w:rsidR="009C37EA" w:rsidRPr="00165B0B">
        <w:rPr>
          <w:rFonts w:ascii="Bookman Old Style" w:eastAsia="Times New Roman" w:hAnsi="Bookman Old Style"/>
          <w:color w:val="000000"/>
          <w:sz w:val="24"/>
          <w:szCs w:val="24"/>
        </w:rPr>
        <w:t xml:space="preserve">.  </w:t>
      </w:r>
      <w:r w:rsidRPr="00165B0B">
        <w:rPr>
          <w:rFonts w:ascii="Bookman Old Style" w:eastAsia="Times New Roman" w:hAnsi="Bookman Old Style"/>
          <w:color w:val="000000"/>
          <w:sz w:val="24"/>
          <w:szCs w:val="24"/>
        </w:rPr>
        <w:t xml:space="preserve">Unless otherwise specified or indicated, purchases are based on the lowest acceptable bid.  The Vice President, Chief Financial Officer and Comptroller has approved all purchases to be funded from State appropriations in accordance with the </w:t>
      </w:r>
      <w:r w:rsidRPr="00165B0B">
        <w:rPr>
          <w:rFonts w:ascii="Bookman Old Style" w:eastAsia="Times New Roman" w:hAnsi="Bookman Old Style"/>
          <w:i/>
          <w:color w:val="000000"/>
          <w:sz w:val="24"/>
          <w:szCs w:val="24"/>
        </w:rPr>
        <w:t xml:space="preserve">Bylaws of the Board of Trustees </w:t>
      </w:r>
      <w:r w:rsidRPr="00165B0B">
        <w:rPr>
          <w:rFonts w:ascii="Bookman Old Style" w:eastAsia="Times New Roman" w:hAnsi="Bookman Old Style"/>
          <w:color w:val="000000"/>
          <w:sz w:val="24"/>
          <w:szCs w:val="24"/>
        </w:rPr>
        <w:t xml:space="preserve">and the </w:t>
      </w:r>
      <w:r w:rsidRPr="00165B0B">
        <w:rPr>
          <w:rFonts w:ascii="Bookman Old Style" w:eastAsia="Times New Roman" w:hAnsi="Bookman Old Style"/>
          <w:i/>
          <w:color w:val="000000"/>
          <w:sz w:val="24"/>
          <w:szCs w:val="24"/>
        </w:rPr>
        <w:t>General Rules Concerning University Organization and Procedure.</w:t>
      </w:r>
    </w:p>
    <w:p w14:paraId="6AF2B166" w14:textId="77777777" w:rsidR="009C37EA" w:rsidRPr="00165B0B" w:rsidRDefault="009C37EA"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ascii="Bookman Old Style" w:eastAsia="Times New Roman" w:hAnsi="Bookman Old Style"/>
          <w:color w:val="000000"/>
          <w:sz w:val="24"/>
          <w:szCs w:val="24"/>
        </w:rPr>
      </w:pPr>
    </w:p>
    <w:p w14:paraId="6141300F" w14:textId="60065BEB" w:rsidR="009C37EA" w:rsidRPr="00165B0B" w:rsidRDefault="009C37EA" w:rsidP="00795EBC">
      <w:pPr>
        <w:tabs>
          <w:tab w:val="left" w:pos="-1440"/>
          <w:tab w:val="left" w:pos="-720"/>
        </w:tabs>
        <w:overflowPunct w:val="0"/>
        <w:autoSpaceDE w:val="0"/>
        <w:autoSpaceDN w:val="0"/>
        <w:adjustRightInd w:val="0"/>
        <w:spacing w:after="0" w:line="240" w:lineRule="auto"/>
        <w:jc w:val="both"/>
        <w:textAlignment w:val="baseline"/>
        <w:rPr>
          <w:rFonts w:ascii="Bookman Old Style" w:eastAsia="Times New Roman" w:hAnsi="Bookman Old Style"/>
          <w:color w:val="000000"/>
          <w:sz w:val="24"/>
          <w:szCs w:val="24"/>
        </w:rPr>
      </w:pPr>
      <w:r w:rsidRPr="00165B0B">
        <w:rPr>
          <w:rFonts w:ascii="Bookman Old Style" w:eastAsia="Times New Roman" w:hAnsi="Bookman Old Style"/>
          <w:color w:val="000000"/>
          <w:sz w:val="24"/>
          <w:szCs w:val="24"/>
        </w:rPr>
        <w:t xml:space="preserve">The Board action recommended in this item complies in all material respects with applicable State and </w:t>
      </w:r>
      <w:r w:rsidR="00865175">
        <w:rPr>
          <w:rFonts w:ascii="Bookman Old Style" w:eastAsia="Times New Roman" w:hAnsi="Bookman Old Style"/>
          <w:color w:val="000000"/>
          <w:sz w:val="24"/>
          <w:szCs w:val="24"/>
        </w:rPr>
        <w:t>f</w:t>
      </w:r>
      <w:r w:rsidRPr="00165B0B">
        <w:rPr>
          <w:rFonts w:ascii="Bookman Old Style" w:eastAsia="Times New Roman" w:hAnsi="Bookman Old Style"/>
          <w:color w:val="000000"/>
          <w:sz w:val="24"/>
          <w:szCs w:val="24"/>
        </w:rPr>
        <w:t xml:space="preserve">ederal laws, University of Illinois </w:t>
      </w:r>
      <w:r w:rsidRPr="00165B0B">
        <w:rPr>
          <w:rFonts w:ascii="Bookman Old Style" w:eastAsia="Times New Roman" w:hAnsi="Bookman Old Style"/>
          <w:i/>
          <w:color w:val="000000"/>
          <w:sz w:val="24"/>
          <w:szCs w:val="24"/>
        </w:rPr>
        <w:t>Statutes</w:t>
      </w:r>
      <w:r w:rsidRPr="00865175">
        <w:rPr>
          <w:rFonts w:ascii="Bookman Old Style" w:eastAsia="Times New Roman" w:hAnsi="Bookman Old Style"/>
          <w:iCs/>
          <w:color w:val="000000"/>
          <w:sz w:val="24"/>
          <w:szCs w:val="24"/>
        </w:rPr>
        <w:t>,</w:t>
      </w:r>
      <w:r w:rsidRPr="00165B0B">
        <w:rPr>
          <w:rFonts w:ascii="Bookman Old Style" w:eastAsia="Times New Roman" w:hAnsi="Bookman Old Style"/>
          <w:i/>
          <w:color w:val="000000"/>
          <w:sz w:val="24"/>
          <w:szCs w:val="24"/>
        </w:rPr>
        <w:t xml:space="preserve"> The General Rules Concerning University Organization and Procedure</w:t>
      </w:r>
      <w:r w:rsidRPr="00865175">
        <w:rPr>
          <w:rFonts w:ascii="Bookman Old Style" w:eastAsia="Times New Roman" w:hAnsi="Bookman Old Style"/>
          <w:color w:val="000000"/>
          <w:sz w:val="24"/>
          <w:szCs w:val="24"/>
        </w:rPr>
        <w:t xml:space="preserve">, </w:t>
      </w:r>
      <w:r w:rsidR="00964369" w:rsidRPr="00165B0B">
        <w:rPr>
          <w:rFonts w:ascii="Bookman Old Style" w:eastAsia="Times New Roman" w:hAnsi="Bookman Old Style"/>
          <w:color w:val="000000"/>
          <w:sz w:val="24"/>
          <w:szCs w:val="24"/>
        </w:rPr>
        <w:t xml:space="preserve">and Board of Trustees </w:t>
      </w:r>
      <w:r w:rsidRPr="00165B0B">
        <w:rPr>
          <w:rFonts w:ascii="Bookman Old Style" w:eastAsia="Times New Roman" w:hAnsi="Bookman Old Style"/>
          <w:color w:val="000000"/>
          <w:sz w:val="24"/>
          <w:szCs w:val="24"/>
        </w:rPr>
        <w:t>policies and directives.</w:t>
      </w:r>
    </w:p>
    <w:p w14:paraId="16608FBC" w14:textId="77777777" w:rsidR="00790C45" w:rsidRPr="00165B0B"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ascii="Bookman Old Style" w:eastAsia="Times New Roman" w:hAnsi="Bookman Old Style"/>
          <w:color w:val="000000"/>
          <w:sz w:val="24"/>
          <w:szCs w:val="24"/>
        </w:rPr>
      </w:pPr>
    </w:p>
    <w:p w14:paraId="70A15680" w14:textId="4E3EF922" w:rsidR="00790C45" w:rsidRPr="00165B0B"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ascii="Bookman Old Style" w:eastAsia="Times New Roman" w:hAnsi="Bookman Old Style"/>
          <w:color w:val="000000"/>
          <w:sz w:val="24"/>
          <w:szCs w:val="24"/>
        </w:rPr>
      </w:pPr>
      <w:r w:rsidRPr="00165B0B">
        <w:rPr>
          <w:rFonts w:ascii="Bookman Old Style" w:eastAsia="Times New Roman" w:hAnsi="Bookman Old Style"/>
          <w:color w:val="000000"/>
          <w:sz w:val="24"/>
          <w:szCs w:val="24"/>
        </w:rPr>
        <w:t xml:space="preserve">The </w:t>
      </w:r>
      <w:r w:rsidR="00865175">
        <w:rPr>
          <w:rFonts w:ascii="Bookman Old Style" w:eastAsia="Times New Roman" w:hAnsi="Bookman Old Style"/>
          <w:color w:val="000000"/>
          <w:sz w:val="24"/>
          <w:szCs w:val="24"/>
        </w:rPr>
        <w:t>p</w:t>
      </w:r>
      <w:r w:rsidRPr="00165B0B">
        <w:rPr>
          <w:rFonts w:ascii="Bookman Old Style" w:eastAsia="Times New Roman" w:hAnsi="Bookman Old Style"/>
          <w:color w:val="000000"/>
          <w:sz w:val="24"/>
          <w:szCs w:val="24"/>
        </w:rPr>
        <w:t xml:space="preserve">resident of the University </w:t>
      </w:r>
      <w:r w:rsidR="00865175">
        <w:rPr>
          <w:rFonts w:ascii="Bookman Old Style" w:eastAsia="Times New Roman" w:hAnsi="Bookman Old Style"/>
          <w:color w:val="000000"/>
          <w:sz w:val="24"/>
          <w:szCs w:val="24"/>
        </w:rPr>
        <w:t xml:space="preserve">of Illinois System </w:t>
      </w:r>
      <w:r w:rsidRPr="00165B0B">
        <w:rPr>
          <w:rFonts w:ascii="Bookman Old Style" w:eastAsia="Times New Roman" w:hAnsi="Bookman Old Style"/>
          <w:color w:val="000000"/>
          <w:sz w:val="24"/>
          <w:szCs w:val="24"/>
        </w:rPr>
        <w:t>concurs.</w:t>
      </w:r>
    </w:p>
    <w:p w14:paraId="19EA8323" w14:textId="54B584C5" w:rsidR="00252F86" w:rsidRPr="00353536" w:rsidRDefault="00252F86"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ascii="Times New Roman" w:eastAsia="Times New Roman" w:hAnsi="Times New Roman"/>
          <w:color w:val="000000"/>
          <w:sz w:val="26"/>
          <w:szCs w:val="26"/>
        </w:rPr>
      </w:pPr>
    </w:p>
    <w:p w14:paraId="0BDB4969" w14:textId="7ECED5C2" w:rsidR="00EB675E" w:rsidRPr="0087285D" w:rsidRDefault="00252F86" w:rsidP="00381F6B">
      <w:pPr>
        <w:pStyle w:val="Heading2"/>
        <w:spacing w:before="0" w:after="0"/>
        <w:jc w:val="center"/>
        <w:rPr>
          <w:rFonts w:ascii="Times New Roman" w:hAnsi="Times New Roman"/>
          <w:i w:val="0"/>
          <w:iCs w:val="0"/>
          <w:sz w:val="26"/>
          <w:szCs w:val="26"/>
        </w:rPr>
      </w:pPr>
      <w:r w:rsidRPr="0087285D">
        <w:rPr>
          <w:rFonts w:ascii="Times New Roman" w:hAnsi="Times New Roman"/>
          <w:i w:val="0"/>
          <w:iCs w:val="0"/>
          <w:sz w:val="26"/>
          <w:szCs w:val="26"/>
        </w:rPr>
        <w:t>PURCHASES RECOMMENDED</w:t>
      </w:r>
    </w:p>
    <w:p w14:paraId="5FEB6345" w14:textId="77777777" w:rsidR="006722F9" w:rsidRDefault="006722F9" w:rsidP="00381F6B">
      <w:pPr>
        <w:spacing w:after="0" w:line="240" w:lineRule="auto"/>
        <w:jc w:val="center"/>
        <w:rPr>
          <w:rFonts w:ascii="Times New Roman" w:hAnsi="Times New Roman"/>
          <w:b/>
          <w:sz w:val="26"/>
          <w:szCs w:val="26"/>
        </w:rPr>
      </w:pPr>
    </w:p>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6722F9" w:rsidRPr="00353536" w14:paraId="41874E2C" w14:textId="77777777" w:rsidTr="00BC0630">
        <w:trPr>
          <w:trHeight w:val="114"/>
        </w:trPr>
        <w:tc>
          <w:tcPr>
            <w:tcW w:w="9454" w:type="dxa"/>
            <w:tcBorders>
              <w:top w:val="single" w:sz="18" w:space="0" w:color="auto"/>
              <w:bottom w:val="single" w:sz="18" w:space="0" w:color="auto"/>
            </w:tcBorders>
          </w:tcPr>
          <w:p w14:paraId="5CA859BB" w14:textId="3346A194" w:rsidR="006722F9" w:rsidRPr="00353536" w:rsidRDefault="006722F9" w:rsidP="00381F6B">
            <w:pPr>
              <w:tabs>
                <w:tab w:val="left" w:pos="-720"/>
                <w:tab w:val="left" w:pos="9090"/>
              </w:tabs>
              <w:suppressAutoHyphens/>
              <w:overflowPunct w:val="0"/>
              <w:autoSpaceDE w:val="0"/>
              <w:autoSpaceDN w:val="0"/>
              <w:adjustRightInd w:val="0"/>
              <w:spacing w:after="0" w:line="240" w:lineRule="auto"/>
              <w:jc w:val="center"/>
              <w:textAlignment w:val="baseline"/>
              <w:rPr>
                <w:rFonts w:ascii="Times New Roman" w:eastAsia="Times New Roman" w:hAnsi="Times New Roman"/>
                <w:b/>
                <w:sz w:val="26"/>
                <w:szCs w:val="26"/>
              </w:rPr>
            </w:pPr>
            <w:r w:rsidRPr="00353536">
              <w:rPr>
                <w:rFonts w:ascii="Times New Roman" w:eastAsia="Times New Roman" w:hAnsi="Times New Roman"/>
                <w:b/>
                <w:sz w:val="26"/>
                <w:szCs w:val="26"/>
              </w:rPr>
              <w:t xml:space="preserve">University of Illinois at </w:t>
            </w:r>
            <w:r w:rsidR="00467717">
              <w:rPr>
                <w:rFonts w:ascii="Times New Roman" w:eastAsia="Times New Roman" w:hAnsi="Times New Roman"/>
                <w:b/>
                <w:sz w:val="26"/>
                <w:szCs w:val="26"/>
              </w:rPr>
              <w:t>Chicago</w:t>
            </w:r>
          </w:p>
        </w:tc>
      </w:tr>
    </w:tbl>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361DE1" w:rsidRPr="00F53616" w14:paraId="6B434E82" w14:textId="77777777" w:rsidTr="00361DE1">
        <w:trPr>
          <w:trHeight w:val="120"/>
        </w:trPr>
        <w:tc>
          <w:tcPr>
            <w:tcW w:w="342" w:type="dxa"/>
            <w:tcBorders>
              <w:bottom w:val="double" w:sz="4" w:space="0" w:color="auto"/>
            </w:tcBorders>
          </w:tcPr>
          <w:p w14:paraId="7D79ACDF" w14:textId="4F1BE330" w:rsidR="00361DE1" w:rsidRPr="00381F6B" w:rsidRDefault="00361DE1" w:rsidP="00381F6B">
            <w:pPr>
              <w:pStyle w:val="Heading3"/>
              <w:spacing w:before="0"/>
              <w:rPr>
                <w:rFonts w:ascii="Times New Roman" w:hAnsi="Times New Roman" w:cs="Times New Roman"/>
                <w:color w:val="auto"/>
                <w:sz w:val="26"/>
                <w:szCs w:val="26"/>
              </w:rPr>
            </w:pPr>
            <w:r w:rsidRPr="00381F6B">
              <w:rPr>
                <w:rFonts w:ascii="Times New Roman" w:hAnsi="Times New Roman" w:cs="Times New Roman"/>
                <w:color w:val="auto"/>
                <w:sz w:val="26"/>
                <w:szCs w:val="26"/>
              </w:rPr>
              <w:t>1</w:t>
            </w:r>
          </w:p>
        </w:tc>
        <w:tc>
          <w:tcPr>
            <w:tcW w:w="990" w:type="dxa"/>
            <w:tcBorders>
              <w:bottom w:val="double" w:sz="4" w:space="0" w:color="auto"/>
            </w:tcBorders>
          </w:tcPr>
          <w:p w14:paraId="3FE9D0E3" w14:textId="7BE79A8D" w:rsidR="00361DE1" w:rsidRPr="00381F6B" w:rsidRDefault="00361DE1" w:rsidP="00381F6B">
            <w:pPr>
              <w:pStyle w:val="Heading3"/>
              <w:spacing w:before="0"/>
              <w:rPr>
                <w:rFonts w:ascii="Times New Roman" w:hAnsi="Times New Roman" w:cs="Times New Roman"/>
                <w:color w:val="auto"/>
                <w:sz w:val="26"/>
                <w:szCs w:val="26"/>
              </w:rPr>
            </w:pPr>
            <w:r w:rsidRPr="00381F6B">
              <w:rPr>
                <w:rFonts w:ascii="Times New Roman" w:hAnsi="Times New Roman" w:cs="Times New Roman"/>
                <w:color w:val="auto"/>
                <w:sz w:val="26"/>
                <w:szCs w:val="26"/>
              </w:rPr>
              <w:t>Unit</w:t>
            </w:r>
          </w:p>
        </w:tc>
        <w:tc>
          <w:tcPr>
            <w:tcW w:w="8118" w:type="dxa"/>
            <w:tcBorders>
              <w:bottom w:val="double" w:sz="4" w:space="0" w:color="auto"/>
            </w:tcBorders>
          </w:tcPr>
          <w:p w14:paraId="07FF6145" w14:textId="7BADBE8E" w:rsidR="00361DE1" w:rsidRPr="00381F6B" w:rsidRDefault="00467717" w:rsidP="00381F6B">
            <w:pPr>
              <w:pStyle w:val="Heading3"/>
              <w:spacing w:before="0"/>
              <w:rPr>
                <w:rFonts w:ascii="Times New Roman" w:hAnsi="Times New Roman" w:cs="Times New Roman"/>
                <w:color w:val="auto"/>
                <w:spacing w:val="-3"/>
                <w:sz w:val="26"/>
                <w:szCs w:val="26"/>
              </w:rPr>
            </w:pPr>
            <w:r w:rsidRPr="00381F6B">
              <w:rPr>
                <w:rFonts w:ascii="Times New Roman" w:hAnsi="Times New Roman" w:cs="Times New Roman"/>
                <w:color w:val="auto"/>
                <w:spacing w:val="-3"/>
                <w:sz w:val="26"/>
                <w:szCs w:val="26"/>
              </w:rPr>
              <w:t>UIC Student Affairs Campus Auxiliary Services (CAS)</w:t>
            </w:r>
          </w:p>
        </w:tc>
      </w:tr>
      <w:tr w:rsidR="00361DE1" w:rsidRPr="00F53616" w14:paraId="09C10832" w14:textId="77777777" w:rsidTr="00361DE1">
        <w:trPr>
          <w:trHeight w:val="120"/>
        </w:trPr>
        <w:tc>
          <w:tcPr>
            <w:tcW w:w="342" w:type="dxa"/>
            <w:tcBorders>
              <w:top w:val="double" w:sz="4" w:space="0" w:color="auto"/>
            </w:tcBorders>
          </w:tcPr>
          <w:p w14:paraId="3250AD33" w14:textId="77777777" w:rsidR="00361DE1" w:rsidRPr="00F53616" w:rsidRDefault="00361DE1" w:rsidP="00361DE1">
            <w:pPr>
              <w:pStyle w:val="NoSpacing"/>
              <w:rPr>
                <w:rFonts w:ascii="Times New Roman" w:hAnsi="Times New Roman"/>
                <w:sz w:val="26"/>
                <w:szCs w:val="26"/>
              </w:rPr>
            </w:pPr>
          </w:p>
        </w:tc>
        <w:tc>
          <w:tcPr>
            <w:tcW w:w="990" w:type="dxa"/>
            <w:tcBorders>
              <w:top w:val="double" w:sz="4" w:space="0" w:color="auto"/>
            </w:tcBorders>
          </w:tcPr>
          <w:p w14:paraId="30DF4659" w14:textId="77777777" w:rsidR="00361DE1" w:rsidRPr="00F53616" w:rsidRDefault="00361DE1" w:rsidP="00361DE1">
            <w:pPr>
              <w:pStyle w:val="NoSpacing"/>
              <w:rPr>
                <w:rFonts w:ascii="Times New Roman" w:hAnsi="Times New Roman"/>
                <w:sz w:val="26"/>
                <w:szCs w:val="26"/>
              </w:rPr>
            </w:pPr>
          </w:p>
          <w:p w14:paraId="5C1155A4" w14:textId="009A8081" w:rsidR="00361DE1" w:rsidRPr="00F53616" w:rsidRDefault="00361DE1" w:rsidP="00361DE1">
            <w:pPr>
              <w:pStyle w:val="NoSpacing"/>
              <w:rPr>
                <w:rFonts w:ascii="Times New Roman" w:hAnsi="Times New Roman"/>
                <w:sz w:val="26"/>
                <w:szCs w:val="26"/>
              </w:rPr>
            </w:pPr>
            <w:r w:rsidRPr="00F53616">
              <w:rPr>
                <w:rFonts w:ascii="Times New Roman" w:hAnsi="Times New Roman"/>
                <w:sz w:val="26"/>
                <w:szCs w:val="26"/>
              </w:rPr>
              <w:t xml:space="preserve">Item      </w:t>
            </w:r>
          </w:p>
        </w:tc>
        <w:tc>
          <w:tcPr>
            <w:tcW w:w="8118" w:type="dxa"/>
            <w:tcBorders>
              <w:top w:val="double" w:sz="4" w:space="0" w:color="auto"/>
            </w:tcBorders>
          </w:tcPr>
          <w:p w14:paraId="424082DF" w14:textId="77777777" w:rsidR="00361DE1" w:rsidRPr="00F53616" w:rsidRDefault="00361DE1" w:rsidP="00361DE1">
            <w:pPr>
              <w:pStyle w:val="NoSpacing"/>
              <w:rPr>
                <w:rFonts w:ascii="Times New Roman" w:hAnsi="Times New Roman"/>
                <w:sz w:val="26"/>
                <w:szCs w:val="26"/>
              </w:rPr>
            </w:pPr>
          </w:p>
          <w:p w14:paraId="200F65CC" w14:textId="519C7C5F" w:rsidR="00361DE1" w:rsidRPr="00F53616" w:rsidRDefault="00467717" w:rsidP="00467717">
            <w:pPr>
              <w:rPr>
                <w:rFonts w:ascii="Times New Roman" w:hAnsi="Times New Roman"/>
                <w:sz w:val="26"/>
                <w:szCs w:val="26"/>
              </w:rPr>
            </w:pPr>
            <w:r>
              <w:rPr>
                <w:rFonts w:ascii="Times New Roman" w:hAnsi="Times New Roman"/>
                <w:sz w:val="26"/>
                <w:szCs w:val="26"/>
              </w:rPr>
              <w:t xml:space="preserve">Dining Services for </w:t>
            </w:r>
            <w:bookmarkStart w:id="0" w:name="_Hlk144394411"/>
            <w:r w:rsidRPr="00BA41F5">
              <w:rPr>
                <w:rFonts w:ascii="Times New Roman" w:hAnsi="Times New Roman"/>
                <w:sz w:val="26"/>
                <w:szCs w:val="26"/>
              </w:rPr>
              <w:t xml:space="preserve">UIC Student Affairs Campus Auxiliary Services </w:t>
            </w:r>
            <w:bookmarkEnd w:id="0"/>
            <w:r w:rsidRPr="00BA41F5">
              <w:rPr>
                <w:rFonts w:ascii="Times New Roman" w:hAnsi="Times New Roman"/>
                <w:sz w:val="26"/>
                <w:szCs w:val="26"/>
              </w:rPr>
              <w:t>(CAS)</w:t>
            </w:r>
            <w:r w:rsidR="00075885">
              <w:rPr>
                <w:rFonts w:ascii="Times New Roman" w:hAnsi="Times New Roman"/>
                <w:sz w:val="26"/>
                <w:szCs w:val="26"/>
              </w:rPr>
              <w:t xml:space="preserve"> for </w:t>
            </w:r>
            <w:r w:rsidR="000628A6">
              <w:rPr>
                <w:rFonts w:ascii="Times New Roman" w:hAnsi="Times New Roman"/>
                <w:sz w:val="26"/>
                <w:szCs w:val="26"/>
              </w:rPr>
              <w:t>a six-month</w:t>
            </w:r>
            <w:r w:rsidR="00075885" w:rsidRPr="00F53616">
              <w:rPr>
                <w:rFonts w:ascii="Times New Roman" w:hAnsi="Times New Roman"/>
                <w:sz w:val="26"/>
                <w:szCs w:val="26"/>
              </w:rPr>
              <w:t xml:space="preserve"> period</w:t>
            </w:r>
            <w:r w:rsidR="000628A6">
              <w:rPr>
                <w:rFonts w:ascii="Times New Roman" w:hAnsi="Times New Roman"/>
                <w:sz w:val="26"/>
                <w:szCs w:val="26"/>
              </w:rPr>
              <w:t xml:space="preserve"> beginning</w:t>
            </w:r>
            <w:r w:rsidR="00075885" w:rsidRPr="00F53616">
              <w:rPr>
                <w:rFonts w:ascii="Times New Roman" w:hAnsi="Times New Roman"/>
                <w:sz w:val="26"/>
                <w:szCs w:val="26"/>
              </w:rPr>
              <w:t xml:space="preserve"> </w:t>
            </w:r>
            <w:r w:rsidR="00075885">
              <w:rPr>
                <w:rFonts w:ascii="Times New Roman" w:hAnsi="Times New Roman"/>
                <w:sz w:val="26"/>
                <w:szCs w:val="26"/>
              </w:rPr>
              <w:t xml:space="preserve">December 28, </w:t>
            </w:r>
            <w:proofErr w:type="gramStart"/>
            <w:r w:rsidR="00075885">
              <w:rPr>
                <w:rFonts w:ascii="Times New Roman" w:hAnsi="Times New Roman"/>
                <w:sz w:val="26"/>
                <w:szCs w:val="26"/>
              </w:rPr>
              <w:t>2023</w:t>
            </w:r>
            <w:proofErr w:type="gramEnd"/>
            <w:r w:rsidR="00075885" w:rsidRPr="00F53616">
              <w:rPr>
                <w:rFonts w:ascii="Times New Roman" w:hAnsi="Times New Roman"/>
                <w:sz w:val="26"/>
                <w:szCs w:val="26"/>
              </w:rPr>
              <w:t xml:space="preserve"> through </w:t>
            </w:r>
            <w:r w:rsidR="00075885">
              <w:rPr>
                <w:rFonts w:ascii="Times New Roman" w:hAnsi="Times New Roman"/>
                <w:sz w:val="26"/>
                <w:szCs w:val="26"/>
              </w:rPr>
              <w:t>March 26</w:t>
            </w:r>
            <w:r w:rsidR="00075885" w:rsidRPr="00F53616">
              <w:rPr>
                <w:rFonts w:ascii="Times New Roman" w:hAnsi="Times New Roman"/>
                <w:sz w:val="26"/>
                <w:szCs w:val="26"/>
              </w:rPr>
              <w:t>, 2024.</w:t>
            </w:r>
            <w:r w:rsidR="000628A6" w:rsidRPr="000628A6">
              <w:rPr>
                <w:rFonts w:ascii="Times New Roman" w:hAnsi="Times New Roman"/>
                <w:spacing w:val="-3"/>
                <w:sz w:val="26"/>
                <w:szCs w:val="26"/>
              </w:rPr>
              <w:t xml:space="preserve"> The full six-month term will be contingent upon the state's approval of an emergency extension after 90 days, in accordance with applicable state of Illinois procurement regulations</w:t>
            </w:r>
          </w:p>
        </w:tc>
      </w:tr>
      <w:tr w:rsidR="00361DE1" w:rsidRPr="00F53616" w14:paraId="6CDCB241" w14:textId="77777777" w:rsidTr="00361DE1">
        <w:trPr>
          <w:trHeight w:val="120"/>
        </w:trPr>
        <w:tc>
          <w:tcPr>
            <w:tcW w:w="342" w:type="dxa"/>
          </w:tcPr>
          <w:p w14:paraId="599951B9" w14:textId="78FCADA0" w:rsidR="00361DE1" w:rsidRPr="00F53616" w:rsidRDefault="00361DE1" w:rsidP="00361DE1">
            <w:pPr>
              <w:pStyle w:val="NoSpacing"/>
              <w:rPr>
                <w:rFonts w:ascii="Times New Roman" w:hAnsi="Times New Roman"/>
                <w:sz w:val="26"/>
                <w:szCs w:val="26"/>
              </w:rPr>
            </w:pPr>
            <w:r w:rsidRPr="00F53616">
              <w:rPr>
                <w:rFonts w:ascii="Times New Roman" w:hAnsi="Times New Roman"/>
                <w:sz w:val="26"/>
                <w:szCs w:val="26"/>
              </w:rPr>
              <w:t xml:space="preserve"> </w:t>
            </w:r>
          </w:p>
        </w:tc>
        <w:tc>
          <w:tcPr>
            <w:tcW w:w="990" w:type="dxa"/>
          </w:tcPr>
          <w:p w14:paraId="109DCAB7" w14:textId="77777777" w:rsidR="00361DE1" w:rsidRPr="00F53616" w:rsidRDefault="00361DE1" w:rsidP="00361DE1">
            <w:pPr>
              <w:pStyle w:val="NoSpacing"/>
              <w:rPr>
                <w:rFonts w:ascii="Times New Roman" w:hAnsi="Times New Roman"/>
                <w:sz w:val="26"/>
                <w:szCs w:val="26"/>
              </w:rPr>
            </w:pPr>
          </w:p>
          <w:p w14:paraId="69E10C68" w14:textId="10767E10" w:rsidR="00361DE1" w:rsidRPr="00F53616" w:rsidRDefault="00361DE1" w:rsidP="00361DE1">
            <w:pPr>
              <w:pStyle w:val="NoSpacing"/>
              <w:rPr>
                <w:rFonts w:ascii="Times New Roman" w:hAnsi="Times New Roman"/>
                <w:sz w:val="26"/>
                <w:szCs w:val="26"/>
              </w:rPr>
            </w:pPr>
            <w:r w:rsidRPr="00F53616">
              <w:rPr>
                <w:rFonts w:ascii="Times New Roman" w:hAnsi="Times New Roman"/>
                <w:sz w:val="26"/>
                <w:szCs w:val="26"/>
              </w:rPr>
              <w:t>Cost</w:t>
            </w:r>
          </w:p>
        </w:tc>
        <w:tc>
          <w:tcPr>
            <w:tcW w:w="8118" w:type="dxa"/>
          </w:tcPr>
          <w:p w14:paraId="2CCEEC67" w14:textId="77777777" w:rsidR="00361DE1" w:rsidRPr="00F53616" w:rsidRDefault="00361DE1" w:rsidP="00361DE1">
            <w:pPr>
              <w:pStyle w:val="NoSpacing"/>
              <w:rPr>
                <w:rFonts w:ascii="Times New Roman" w:hAnsi="Times New Roman"/>
                <w:sz w:val="26"/>
                <w:szCs w:val="26"/>
              </w:rPr>
            </w:pPr>
          </w:p>
          <w:p w14:paraId="7EEE4B42" w14:textId="7B5C342E" w:rsidR="000628A6" w:rsidRDefault="000628A6" w:rsidP="000628A6">
            <w:pPr>
              <w:pStyle w:val="NoSpacing"/>
              <w:rPr>
                <w:rFonts w:ascii="Times New Roman" w:hAnsi="Times New Roman"/>
                <w:spacing w:val="-3"/>
                <w:sz w:val="26"/>
                <w:szCs w:val="26"/>
              </w:rPr>
            </w:pPr>
            <w:r w:rsidRPr="000628A6">
              <w:rPr>
                <w:rFonts w:ascii="Times New Roman" w:hAnsi="Times New Roman"/>
                <w:spacing w:val="-3"/>
                <w:sz w:val="26"/>
                <w:szCs w:val="26"/>
              </w:rPr>
              <w:t xml:space="preserve">$10,000,000 (estimated) </w:t>
            </w:r>
          </w:p>
          <w:p w14:paraId="1F246985" w14:textId="77777777" w:rsidR="000628A6" w:rsidRPr="000628A6" w:rsidRDefault="000628A6" w:rsidP="000628A6">
            <w:pPr>
              <w:pStyle w:val="NoSpacing"/>
              <w:rPr>
                <w:rFonts w:ascii="Times New Roman" w:hAnsi="Times New Roman"/>
                <w:spacing w:val="-3"/>
                <w:sz w:val="26"/>
                <w:szCs w:val="26"/>
              </w:rPr>
            </w:pPr>
          </w:p>
          <w:p w14:paraId="7A26C9FE" w14:textId="77777777" w:rsidR="000628A6" w:rsidRDefault="000628A6" w:rsidP="000628A6">
            <w:pPr>
              <w:pStyle w:val="NoSpacing"/>
              <w:rPr>
                <w:rFonts w:ascii="Times New Roman" w:eastAsia="Times New Roman" w:hAnsi="Times New Roman"/>
                <w:spacing w:val="-3"/>
                <w:sz w:val="26"/>
                <w:szCs w:val="26"/>
              </w:rPr>
            </w:pPr>
            <w:r w:rsidRPr="000628A6">
              <w:rPr>
                <w:rFonts w:ascii="Times New Roman" w:eastAsia="Times New Roman" w:hAnsi="Times New Roman"/>
                <w:spacing w:val="-3"/>
                <w:sz w:val="26"/>
                <w:szCs w:val="26"/>
              </w:rPr>
              <w:t>Payments to Chartwells result from money collected by the university from students and others from the purchase of meal plans and Flames Fare (declining balance associated with retail food and convenient stores), as well as the catering revenue from campus departments who pay for catering services using their respective C-FOAP).</w:t>
            </w:r>
            <w:r>
              <w:rPr>
                <w:rFonts w:ascii="Times New Roman" w:eastAsia="Times New Roman" w:hAnsi="Times New Roman"/>
                <w:spacing w:val="-3"/>
                <w:sz w:val="26"/>
                <w:szCs w:val="26"/>
              </w:rPr>
              <w:t> </w:t>
            </w:r>
          </w:p>
          <w:p w14:paraId="79A5E8B0" w14:textId="52F0C79E" w:rsidR="00361DE1" w:rsidRPr="00F53616" w:rsidRDefault="000628A6" w:rsidP="000628A6">
            <w:pPr>
              <w:pStyle w:val="NoSpacing"/>
              <w:rPr>
                <w:rFonts w:ascii="Times New Roman" w:hAnsi="Times New Roman"/>
                <w:sz w:val="26"/>
                <w:szCs w:val="26"/>
              </w:rPr>
            </w:pPr>
            <w:r>
              <w:rPr>
                <w:rFonts w:ascii="Times New Roman" w:eastAsia="Times New Roman" w:hAnsi="Times New Roman"/>
                <w:spacing w:val="-3"/>
                <w:sz w:val="26"/>
                <w:szCs w:val="26"/>
              </w:rPr>
              <w:lastRenderedPageBreak/>
              <w:t>    </w:t>
            </w:r>
          </w:p>
        </w:tc>
      </w:tr>
      <w:tr w:rsidR="00361DE1" w:rsidRPr="00F53616" w14:paraId="32EDBEA7" w14:textId="77777777" w:rsidTr="00361DE1">
        <w:trPr>
          <w:trHeight w:val="120"/>
        </w:trPr>
        <w:tc>
          <w:tcPr>
            <w:tcW w:w="342" w:type="dxa"/>
          </w:tcPr>
          <w:p w14:paraId="0F4AE71C" w14:textId="77777777" w:rsidR="00361DE1" w:rsidRPr="00F53616" w:rsidRDefault="00361DE1" w:rsidP="00361DE1">
            <w:pPr>
              <w:pStyle w:val="NoSpacing"/>
              <w:rPr>
                <w:rFonts w:ascii="Times New Roman" w:hAnsi="Times New Roman"/>
                <w:sz w:val="26"/>
                <w:szCs w:val="26"/>
              </w:rPr>
            </w:pPr>
          </w:p>
        </w:tc>
        <w:tc>
          <w:tcPr>
            <w:tcW w:w="990" w:type="dxa"/>
          </w:tcPr>
          <w:p w14:paraId="4790D525" w14:textId="2B73E2D8" w:rsidR="00361DE1" w:rsidRPr="00F53616" w:rsidRDefault="00361DE1" w:rsidP="00361DE1">
            <w:pPr>
              <w:pStyle w:val="NoSpacing"/>
              <w:rPr>
                <w:rFonts w:ascii="Times New Roman" w:hAnsi="Times New Roman"/>
                <w:sz w:val="26"/>
                <w:szCs w:val="26"/>
              </w:rPr>
            </w:pPr>
            <w:r w:rsidRPr="00F53616">
              <w:rPr>
                <w:rFonts w:ascii="Times New Roman" w:hAnsi="Times New Roman"/>
                <w:sz w:val="26"/>
                <w:szCs w:val="26"/>
              </w:rPr>
              <w:t>Vendor</w:t>
            </w:r>
          </w:p>
        </w:tc>
        <w:tc>
          <w:tcPr>
            <w:tcW w:w="8118" w:type="dxa"/>
          </w:tcPr>
          <w:p w14:paraId="1058B7D4" w14:textId="77777777" w:rsidR="00467717" w:rsidRDefault="00467717" w:rsidP="00467717">
            <w:pPr>
              <w:pStyle w:val="NoSpacing"/>
              <w:jc w:val="both"/>
              <w:rPr>
                <w:rFonts w:ascii="Times New Roman" w:hAnsi="Times New Roman"/>
                <w:sz w:val="26"/>
                <w:szCs w:val="26"/>
              </w:rPr>
            </w:pPr>
            <w:r w:rsidRPr="002830EF">
              <w:rPr>
                <w:rFonts w:ascii="Times New Roman" w:hAnsi="Times New Roman"/>
                <w:bCs/>
                <w:sz w:val="26"/>
                <w:szCs w:val="26"/>
              </w:rPr>
              <w:t>Compass Group USA - Chartwells Division</w:t>
            </w:r>
            <w:r>
              <w:rPr>
                <w:rFonts w:ascii="Times New Roman" w:hAnsi="Times New Roman"/>
                <w:bCs/>
                <w:sz w:val="26"/>
                <w:szCs w:val="26"/>
              </w:rPr>
              <w:t xml:space="preserve">          </w:t>
            </w:r>
            <w:r w:rsidRPr="00E42C5B">
              <w:rPr>
                <w:rFonts w:ascii="Times New Roman" w:hAnsi="Times New Roman"/>
                <w:bCs/>
                <w:sz w:val="26"/>
                <w:szCs w:val="26"/>
              </w:rPr>
              <w:t xml:space="preserve">     </w:t>
            </w:r>
            <w:r>
              <w:rPr>
                <w:rFonts w:ascii="Times New Roman" w:hAnsi="Times New Roman"/>
                <w:bCs/>
                <w:sz w:val="26"/>
                <w:szCs w:val="26"/>
              </w:rPr>
              <w:t>Charlotte, North Carolina</w:t>
            </w:r>
          </w:p>
          <w:p w14:paraId="1A4DBA38" w14:textId="3D01FD21" w:rsidR="00361DE1" w:rsidRPr="00F53616" w:rsidRDefault="00361DE1" w:rsidP="00467717">
            <w:pPr>
              <w:pStyle w:val="NoSpacing"/>
              <w:jc w:val="both"/>
              <w:rPr>
                <w:rFonts w:ascii="Times New Roman" w:hAnsi="Times New Roman"/>
                <w:sz w:val="26"/>
                <w:szCs w:val="26"/>
              </w:rPr>
            </w:pPr>
            <w:r w:rsidRPr="00F53616">
              <w:rPr>
                <w:rFonts w:ascii="Times New Roman" w:hAnsi="Times New Roman"/>
                <w:sz w:val="26"/>
                <w:szCs w:val="26"/>
              </w:rPr>
              <w:t xml:space="preserve"> </w:t>
            </w:r>
          </w:p>
        </w:tc>
      </w:tr>
      <w:tr w:rsidR="00361DE1" w:rsidRPr="00F53616" w14:paraId="4BA02A42" w14:textId="77777777" w:rsidTr="00361DE1">
        <w:trPr>
          <w:trHeight w:val="120"/>
        </w:trPr>
        <w:tc>
          <w:tcPr>
            <w:tcW w:w="342" w:type="dxa"/>
          </w:tcPr>
          <w:p w14:paraId="759E7995" w14:textId="77777777" w:rsidR="00361DE1" w:rsidRPr="00F53616" w:rsidRDefault="00361DE1" w:rsidP="00361DE1">
            <w:pPr>
              <w:pStyle w:val="NoSpacing"/>
              <w:rPr>
                <w:rFonts w:ascii="Times New Roman" w:hAnsi="Times New Roman"/>
                <w:sz w:val="26"/>
                <w:szCs w:val="26"/>
              </w:rPr>
            </w:pPr>
          </w:p>
        </w:tc>
        <w:tc>
          <w:tcPr>
            <w:tcW w:w="990" w:type="dxa"/>
          </w:tcPr>
          <w:p w14:paraId="5BAB3B18" w14:textId="77777777" w:rsidR="00361DE1" w:rsidRPr="00F53616" w:rsidRDefault="00361DE1" w:rsidP="00361DE1">
            <w:pPr>
              <w:pStyle w:val="NoSpacing"/>
              <w:rPr>
                <w:rFonts w:ascii="Times New Roman" w:hAnsi="Times New Roman"/>
                <w:sz w:val="26"/>
                <w:szCs w:val="26"/>
              </w:rPr>
            </w:pPr>
          </w:p>
        </w:tc>
        <w:tc>
          <w:tcPr>
            <w:tcW w:w="8118" w:type="dxa"/>
          </w:tcPr>
          <w:p w14:paraId="346D2613" w14:textId="77777777" w:rsidR="00834684" w:rsidRPr="00834684" w:rsidRDefault="00834684" w:rsidP="00834684">
            <w:pPr>
              <w:tabs>
                <w:tab w:val="left" w:pos="-1440"/>
                <w:tab w:val="left" w:pos="-720"/>
              </w:tabs>
              <w:overflowPunct w:val="0"/>
              <w:autoSpaceDE w:val="0"/>
              <w:autoSpaceDN w:val="0"/>
              <w:adjustRightInd w:val="0"/>
              <w:spacing w:after="0" w:line="240" w:lineRule="auto"/>
              <w:textAlignment w:val="baseline"/>
              <w:rPr>
                <w:rFonts w:ascii="Times New Roman" w:hAnsi="Times New Roman"/>
                <w:sz w:val="26"/>
                <w:szCs w:val="26"/>
              </w:rPr>
            </w:pPr>
            <w:r w:rsidRPr="00834684">
              <w:rPr>
                <w:rFonts w:ascii="Times New Roman" w:hAnsi="Times New Roman"/>
                <w:sz w:val="26"/>
                <w:szCs w:val="26"/>
              </w:rPr>
              <w:t xml:space="preserve">A previously issued competitive solicitation for UIC Campus Dining Services (including Residential, Retail, Catering, Vending, &amp; Concessions) was cancelled with the concurrence of the Chief Procurement Officer for Higher Education on April 20, 2023.  While a new competitive solicitation is being prepared and a new contract awarded, it is necessary for UIC Student Affairs Campus Auxiliary Services to continue the partnership. Chartwells provides board and block plan dining, retail dining and catering services to the campus.  The previous contract with Chartwells could not be extended, as it already met the maximum duration of 10 years set by the Illinois Procurement Code Sec. 20-60.  </w:t>
            </w:r>
          </w:p>
          <w:p w14:paraId="5A5A7341" w14:textId="77777777" w:rsidR="00834684" w:rsidRPr="00834684" w:rsidRDefault="00834684" w:rsidP="00834684">
            <w:pPr>
              <w:tabs>
                <w:tab w:val="left" w:pos="-1440"/>
                <w:tab w:val="left" w:pos="-720"/>
              </w:tabs>
              <w:overflowPunct w:val="0"/>
              <w:autoSpaceDE w:val="0"/>
              <w:autoSpaceDN w:val="0"/>
              <w:adjustRightInd w:val="0"/>
              <w:spacing w:after="0" w:line="240" w:lineRule="auto"/>
              <w:textAlignment w:val="baseline"/>
              <w:rPr>
                <w:rFonts w:ascii="Times New Roman" w:hAnsi="Times New Roman"/>
                <w:sz w:val="26"/>
                <w:szCs w:val="26"/>
              </w:rPr>
            </w:pPr>
          </w:p>
          <w:p w14:paraId="5B0461F9" w14:textId="77777777" w:rsidR="00834684" w:rsidRPr="00834684" w:rsidRDefault="00834684" w:rsidP="00834684">
            <w:pPr>
              <w:tabs>
                <w:tab w:val="left" w:pos="-1440"/>
                <w:tab w:val="left" w:pos="-720"/>
              </w:tabs>
              <w:overflowPunct w:val="0"/>
              <w:autoSpaceDE w:val="0"/>
              <w:autoSpaceDN w:val="0"/>
              <w:adjustRightInd w:val="0"/>
              <w:spacing w:after="0" w:line="240" w:lineRule="auto"/>
              <w:textAlignment w:val="baseline"/>
              <w:rPr>
                <w:rFonts w:ascii="Times New Roman" w:hAnsi="Times New Roman"/>
                <w:i/>
                <w:iCs/>
                <w:sz w:val="26"/>
                <w:szCs w:val="26"/>
              </w:rPr>
            </w:pPr>
            <w:r w:rsidRPr="00834684">
              <w:rPr>
                <w:rFonts w:ascii="Times New Roman" w:hAnsi="Times New Roman"/>
                <w:sz w:val="26"/>
                <w:szCs w:val="26"/>
              </w:rPr>
              <w:t xml:space="preserve">This is an Emergency Purchase in accordance with Illinois Procurement Code Sec. 20-30. The Illinois Procurement Code defines an emergency purchase as </w:t>
            </w:r>
            <w:r w:rsidRPr="00834684">
              <w:rPr>
                <w:rFonts w:ascii="Times New Roman" w:hAnsi="Times New Roman"/>
                <w:i/>
                <w:iCs/>
                <w:sz w:val="26"/>
                <w:szCs w:val="26"/>
              </w:rPr>
              <w:t>a procurement without competitive sealed bidding or prior notice when there exists a threat to public health or public safety, or when immediate expenditure is necessary for repairs to State property in order to protect against further loss of or damage to State property, to prevent or minimize serious disruption in critical State services that affect health, safety, or collection of substantial State revenues, or to ensure the integrity of State records.</w:t>
            </w:r>
          </w:p>
          <w:p w14:paraId="522F73BC" w14:textId="77777777" w:rsidR="00834684" w:rsidRPr="00834684" w:rsidRDefault="00834684" w:rsidP="00834684">
            <w:pPr>
              <w:tabs>
                <w:tab w:val="left" w:pos="-1440"/>
                <w:tab w:val="left" w:pos="-720"/>
              </w:tabs>
              <w:overflowPunct w:val="0"/>
              <w:autoSpaceDE w:val="0"/>
              <w:autoSpaceDN w:val="0"/>
              <w:adjustRightInd w:val="0"/>
              <w:spacing w:after="0" w:line="240" w:lineRule="auto"/>
              <w:textAlignment w:val="baseline"/>
              <w:rPr>
                <w:rFonts w:ascii="Times New Roman" w:hAnsi="Times New Roman"/>
                <w:sz w:val="26"/>
                <w:szCs w:val="26"/>
              </w:rPr>
            </w:pPr>
          </w:p>
          <w:p w14:paraId="0177CAD1" w14:textId="77777777" w:rsidR="00834684" w:rsidRPr="00834684" w:rsidRDefault="00834684" w:rsidP="00834684">
            <w:pPr>
              <w:tabs>
                <w:tab w:val="left" w:pos="-1440"/>
                <w:tab w:val="left" w:pos="-720"/>
              </w:tabs>
              <w:overflowPunct w:val="0"/>
              <w:autoSpaceDE w:val="0"/>
              <w:autoSpaceDN w:val="0"/>
              <w:adjustRightInd w:val="0"/>
              <w:spacing w:after="0" w:line="240" w:lineRule="auto"/>
              <w:textAlignment w:val="baseline"/>
              <w:rPr>
                <w:rFonts w:ascii="Times New Roman" w:hAnsi="Times New Roman"/>
                <w:sz w:val="26"/>
                <w:szCs w:val="26"/>
              </w:rPr>
            </w:pPr>
            <w:r w:rsidRPr="00834684">
              <w:rPr>
                <w:rFonts w:ascii="Times New Roman" w:hAnsi="Times New Roman"/>
                <w:sz w:val="26"/>
                <w:szCs w:val="26"/>
              </w:rPr>
              <w:t xml:space="preserve">An Emergency Purchase requires that we utilize our best efforts to include BEP-certified contractors.  Chartwells was asked if they would utilize BEP-certified subcontractors and if they have a supplier diversity program in place. Chartwells indicated that they have a supplier diversity program.  Recent examples of Chartwells’ increased supplier diversity at UIC </w:t>
            </w:r>
            <w:proofErr w:type="gramStart"/>
            <w:r w:rsidRPr="00834684">
              <w:rPr>
                <w:rFonts w:ascii="Times New Roman" w:hAnsi="Times New Roman"/>
                <w:sz w:val="26"/>
                <w:szCs w:val="26"/>
              </w:rPr>
              <w:t>include:</w:t>
            </w:r>
            <w:proofErr w:type="gramEnd"/>
            <w:r w:rsidRPr="00834684">
              <w:rPr>
                <w:rFonts w:ascii="Times New Roman" w:hAnsi="Times New Roman"/>
                <w:sz w:val="26"/>
                <w:szCs w:val="26"/>
              </w:rPr>
              <w:t xml:space="preserve"> Asiana </w:t>
            </w:r>
            <w:proofErr w:type="spellStart"/>
            <w:r w:rsidRPr="00834684">
              <w:rPr>
                <w:rFonts w:ascii="Times New Roman" w:hAnsi="Times New Roman"/>
                <w:sz w:val="26"/>
                <w:szCs w:val="26"/>
              </w:rPr>
              <w:t>Foodville</w:t>
            </w:r>
            <w:proofErr w:type="spellEnd"/>
            <w:r w:rsidRPr="00834684">
              <w:rPr>
                <w:rFonts w:ascii="Times New Roman" w:hAnsi="Times New Roman"/>
                <w:sz w:val="26"/>
                <w:szCs w:val="26"/>
              </w:rPr>
              <w:t xml:space="preserve">, a WBE and BEP-certified business (and UIC alumna), in Student Centers East and West Campus; Chicago French Press, a WBE and BEP-certified business located in University Hall; Ca Phe Da and </w:t>
            </w:r>
            <w:proofErr w:type="spellStart"/>
            <w:r w:rsidRPr="00834684">
              <w:rPr>
                <w:rFonts w:ascii="Times New Roman" w:hAnsi="Times New Roman"/>
                <w:sz w:val="26"/>
                <w:szCs w:val="26"/>
              </w:rPr>
              <w:t>Wazwan</w:t>
            </w:r>
            <w:proofErr w:type="spellEnd"/>
            <w:r w:rsidRPr="00834684">
              <w:rPr>
                <w:rFonts w:ascii="Times New Roman" w:hAnsi="Times New Roman"/>
                <w:sz w:val="26"/>
                <w:szCs w:val="26"/>
              </w:rPr>
              <w:t xml:space="preserve">, two minority-owned business with BEP certifications in process.  </w:t>
            </w:r>
            <w:proofErr w:type="gramStart"/>
            <w:r w:rsidRPr="00834684">
              <w:rPr>
                <w:rFonts w:ascii="Times New Roman" w:hAnsi="Times New Roman"/>
                <w:sz w:val="26"/>
                <w:szCs w:val="26"/>
              </w:rPr>
              <w:t>All of</w:t>
            </w:r>
            <w:proofErr w:type="gramEnd"/>
            <w:r w:rsidRPr="00834684">
              <w:rPr>
                <w:rFonts w:ascii="Times New Roman" w:hAnsi="Times New Roman"/>
                <w:sz w:val="26"/>
                <w:szCs w:val="26"/>
              </w:rPr>
              <w:t xml:space="preserve"> these businesses have restaurant headquarters locations in Chicago.  Another recent example of Chartwells Supplier diversity initiatives </w:t>
            </w:r>
            <w:proofErr w:type="gramStart"/>
            <w:r w:rsidRPr="00834684">
              <w:rPr>
                <w:rFonts w:ascii="Times New Roman" w:hAnsi="Times New Roman"/>
                <w:sz w:val="26"/>
                <w:szCs w:val="26"/>
              </w:rPr>
              <w:t>involve</w:t>
            </w:r>
            <w:proofErr w:type="gramEnd"/>
            <w:r w:rsidRPr="00834684">
              <w:rPr>
                <w:rFonts w:ascii="Times New Roman" w:hAnsi="Times New Roman"/>
                <w:sz w:val="26"/>
                <w:szCs w:val="26"/>
              </w:rPr>
              <w:t xml:space="preserve"> a project at a Chicago-area University to emphasize social responsibility by partnering with hyper-local minority and women-owned businesses, sourcing dairy products, fresh produce, baked goods, and more.  </w:t>
            </w:r>
          </w:p>
          <w:p w14:paraId="4762EA89" w14:textId="77777777" w:rsidR="00834684" w:rsidRPr="00834684" w:rsidRDefault="00834684" w:rsidP="00834684">
            <w:pPr>
              <w:tabs>
                <w:tab w:val="left" w:pos="-1440"/>
                <w:tab w:val="left" w:pos="-720"/>
              </w:tabs>
              <w:overflowPunct w:val="0"/>
              <w:autoSpaceDE w:val="0"/>
              <w:autoSpaceDN w:val="0"/>
              <w:adjustRightInd w:val="0"/>
              <w:spacing w:after="0" w:line="240" w:lineRule="auto"/>
              <w:textAlignment w:val="baseline"/>
              <w:rPr>
                <w:rFonts w:ascii="Times New Roman" w:hAnsi="Times New Roman"/>
                <w:sz w:val="26"/>
                <w:szCs w:val="26"/>
              </w:rPr>
            </w:pPr>
          </w:p>
          <w:p w14:paraId="38CC74EB" w14:textId="00702E4A" w:rsidR="00834684" w:rsidRDefault="00834684" w:rsidP="00834684">
            <w:pPr>
              <w:tabs>
                <w:tab w:val="left" w:pos="-1440"/>
                <w:tab w:val="left" w:pos="-720"/>
              </w:tabs>
              <w:overflowPunct w:val="0"/>
              <w:autoSpaceDE w:val="0"/>
              <w:autoSpaceDN w:val="0"/>
              <w:adjustRightInd w:val="0"/>
              <w:spacing w:after="0" w:line="240" w:lineRule="auto"/>
              <w:textAlignment w:val="baseline"/>
              <w:rPr>
                <w:rFonts w:ascii="Times New Roman" w:hAnsi="Times New Roman"/>
                <w:sz w:val="26"/>
                <w:szCs w:val="26"/>
              </w:rPr>
            </w:pPr>
            <w:r w:rsidRPr="00834684">
              <w:rPr>
                <w:rFonts w:ascii="Times New Roman" w:hAnsi="Times New Roman"/>
                <w:sz w:val="26"/>
                <w:szCs w:val="26"/>
              </w:rPr>
              <w:t>To promote a successful solicitation and award</w:t>
            </w:r>
            <w:r w:rsidR="003E5FC5">
              <w:rPr>
                <w:rFonts w:ascii="Times New Roman" w:hAnsi="Times New Roman"/>
                <w:sz w:val="26"/>
                <w:szCs w:val="26"/>
              </w:rPr>
              <w:t xml:space="preserve"> and maximize opportunities to create a diverse and inclusive vendor pool, UIC Purchasing has worked the past few months to engage national providers and</w:t>
            </w:r>
            <w:r w:rsidRPr="00834684">
              <w:rPr>
                <w:rFonts w:ascii="Times New Roman" w:hAnsi="Times New Roman"/>
                <w:sz w:val="26"/>
                <w:szCs w:val="26"/>
              </w:rPr>
              <w:t xml:space="preserve"> local, women, and diverse-owned businesses. UIC has sought to raise awareness and reinforce expectations that proposers have a robust BEP Utilization Plan. Additionally, UIC Purchasing collaborated with the Office of Procurement Diversity and held a Dining Services Diversity Meet-and-Greet and matchmaking event on campus on July 26, 2023, to further highlight </w:t>
            </w:r>
            <w:r w:rsidR="003E5FC5">
              <w:rPr>
                <w:rFonts w:ascii="Times New Roman" w:hAnsi="Times New Roman"/>
                <w:sz w:val="26"/>
                <w:szCs w:val="26"/>
              </w:rPr>
              <w:t xml:space="preserve">the </w:t>
            </w:r>
            <w:r w:rsidRPr="00834684">
              <w:rPr>
                <w:rFonts w:ascii="Times New Roman" w:hAnsi="Times New Roman"/>
                <w:sz w:val="26"/>
                <w:szCs w:val="26"/>
              </w:rPr>
              <w:lastRenderedPageBreak/>
              <w:t xml:space="preserve">availability of diverse firms and encourage </w:t>
            </w:r>
            <w:r w:rsidR="003E5FC5">
              <w:rPr>
                <w:rFonts w:ascii="Times New Roman" w:hAnsi="Times New Roman"/>
                <w:sz w:val="26"/>
                <w:szCs w:val="26"/>
              </w:rPr>
              <w:t xml:space="preserve">the </w:t>
            </w:r>
            <w:r w:rsidRPr="00834684">
              <w:rPr>
                <w:rFonts w:ascii="Times New Roman" w:hAnsi="Times New Roman"/>
                <w:sz w:val="26"/>
                <w:szCs w:val="26"/>
              </w:rPr>
              <w:t xml:space="preserve">development of supplier relationships.  </w:t>
            </w:r>
          </w:p>
          <w:p w14:paraId="65879A90" w14:textId="77777777" w:rsidR="00075885" w:rsidRDefault="00075885" w:rsidP="00834684">
            <w:pPr>
              <w:tabs>
                <w:tab w:val="left" w:pos="-1440"/>
                <w:tab w:val="left" w:pos="-720"/>
              </w:tabs>
              <w:overflowPunct w:val="0"/>
              <w:autoSpaceDE w:val="0"/>
              <w:autoSpaceDN w:val="0"/>
              <w:adjustRightInd w:val="0"/>
              <w:spacing w:after="0" w:line="240" w:lineRule="auto"/>
              <w:textAlignment w:val="baseline"/>
              <w:rPr>
                <w:rFonts w:ascii="Times New Roman" w:hAnsi="Times New Roman"/>
                <w:sz w:val="26"/>
                <w:szCs w:val="26"/>
              </w:rPr>
            </w:pPr>
          </w:p>
          <w:p w14:paraId="4EB07737" w14:textId="77777777" w:rsidR="00934FC6" w:rsidRDefault="00934FC6" w:rsidP="00834684">
            <w:pPr>
              <w:tabs>
                <w:tab w:val="left" w:pos="-1440"/>
                <w:tab w:val="left" w:pos="-720"/>
              </w:tabs>
              <w:overflowPunct w:val="0"/>
              <w:autoSpaceDE w:val="0"/>
              <w:autoSpaceDN w:val="0"/>
              <w:adjustRightInd w:val="0"/>
              <w:spacing w:after="0" w:line="240" w:lineRule="auto"/>
              <w:textAlignment w:val="baseline"/>
              <w:rPr>
                <w:rFonts w:ascii="Times New Roman" w:hAnsi="Times New Roman"/>
                <w:sz w:val="26"/>
                <w:szCs w:val="26"/>
              </w:rPr>
            </w:pPr>
          </w:p>
          <w:p w14:paraId="5306EC32" w14:textId="6A40C23D" w:rsidR="00934FC6" w:rsidRPr="00834684" w:rsidRDefault="00934FC6" w:rsidP="00834684">
            <w:pPr>
              <w:tabs>
                <w:tab w:val="left" w:pos="-1440"/>
                <w:tab w:val="left" w:pos="-720"/>
              </w:tabs>
              <w:overflowPunct w:val="0"/>
              <w:autoSpaceDE w:val="0"/>
              <w:autoSpaceDN w:val="0"/>
              <w:adjustRightInd w:val="0"/>
              <w:spacing w:after="0" w:line="240" w:lineRule="auto"/>
              <w:textAlignment w:val="baseline"/>
              <w:rPr>
                <w:rFonts w:ascii="Times New Roman" w:hAnsi="Times New Roman"/>
                <w:sz w:val="26"/>
                <w:szCs w:val="26"/>
              </w:rPr>
            </w:pPr>
          </w:p>
        </w:tc>
      </w:tr>
      <w:tr w:rsidR="00091CFA" w:rsidRPr="00F53616" w14:paraId="44C2F956" w14:textId="77777777" w:rsidTr="00934FC6">
        <w:trPr>
          <w:trHeight w:val="120"/>
        </w:trPr>
        <w:tc>
          <w:tcPr>
            <w:tcW w:w="342" w:type="dxa"/>
          </w:tcPr>
          <w:p w14:paraId="25D330A8" w14:textId="77777777" w:rsidR="00091CFA" w:rsidRPr="00091CFA" w:rsidRDefault="00091CFA" w:rsidP="00381F6B">
            <w:pPr>
              <w:pStyle w:val="NoSpacing"/>
              <w:rPr>
                <w:rFonts w:ascii="Times New Roman" w:hAnsi="Times New Roman"/>
                <w:sz w:val="26"/>
                <w:szCs w:val="26"/>
                <w:highlight w:val="yellow"/>
              </w:rPr>
            </w:pPr>
          </w:p>
        </w:tc>
        <w:tc>
          <w:tcPr>
            <w:tcW w:w="990" w:type="dxa"/>
          </w:tcPr>
          <w:p w14:paraId="31FE73E0" w14:textId="77777777" w:rsidR="00091CFA" w:rsidRPr="00091CFA" w:rsidRDefault="00091CFA" w:rsidP="00381F6B">
            <w:pPr>
              <w:pStyle w:val="NoSpacing"/>
              <w:rPr>
                <w:rFonts w:ascii="Times New Roman" w:hAnsi="Times New Roman"/>
                <w:sz w:val="26"/>
                <w:szCs w:val="26"/>
                <w:highlight w:val="yellow"/>
              </w:rPr>
            </w:pPr>
          </w:p>
        </w:tc>
        <w:tc>
          <w:tcPr>
            <w:tcW w:w="8118" w:type="dxa"/>
          </w:tcPr>
          <w:p w14:paraId="09B01FDC" w14:textId="77777777" w:rsidR="00091CFA" w:rsidRPr="005B255C" w:rsidRDefault="00091CFA" w:rsidP="00381F6B">
            <w:pPr>
              <w:pStyle w:val="NoSpacing"/>
              <w:rPr>
                <w:rFonts w:ascii="Times New Roman" w:hAnsi="Times New Roman"/>
                <w:spacing w:val="-3"/>
                <w:sz w:val="26"/>
                <w:szCs w:val="26"/>
              </w:rPr>
            </w:pPr>
          </w:p>
        </w:tc>
      </w:tr>
      <w:tr w:rsidR="00091CFA" w:rsidRPr="00F53616" w14:paraId="6CB6C2B8" w14:textId="77777777" w:rsidTr="00091CFA">
        <w:trPr>
          <w:trHeight w:val="120"/>
        </w:trPr>
        <w:tc>
          <w:tcPr>
            <w:tcW w:w="342" w:type="dxa"/>
            <w:tcBorders>
              <w:bottom w:val="double" w:sz="4" w:space="0" w:color="auto"/>
            </w:tcBorders>
          </w:tcPr>
          <w:p w14:paraId="15B90A6E" w14:textId="3A20B8DD" w:rsidR="00091CFA" w:rsidRPr="00381F6B" w:rsidRDefault="00091CFA" w:rsidP="00381F6B">
            <w:pPr>
              <w:pStyle w:val="Heading3"/>
              <w:spacing w:before="0" w:line="240" w:lineRule="auto"/>
              <w:rPr>
                <w:rFonts w:ascii="Times New Roman" w:hAnsi="Times New Roman" w:cs="Times New Roman"/>
                <w:color w:val="auto"/>
                <w:sz w:val="26"/>
                <w:szCs w:val="26"/>
              </w:rPr>
            </w:pPr>
            <w:r w:rsidRPr="00381F6B">
              <w:rPr>
                <w:rFonts w:ascii="Times New Roman" w:hAnsi="Times New Roman" w:cs="Times New Roman"/>
                <w:color w:val="auto"/>
                <w:sz w:val="26"/>
                <w:szCs w:val="26"/>
              </w:rPr>
              <w:t>2</w:t>
            </w:r>
          </w:p>
        </w:tc>
        <w:tc>
          <w:tcPr>
            <w:tcW w:w="990" w:type="dxa"/>
            <w:tcBorders>
              <w:bottom w:val="double" w:sz="4" w:space="0" w:color="auto"/>
            </w:tcBorders>
          </w:tcPr>
          <w:p w14:paraId="76D1DBC6" w14:textId="6D94A48B" w:rsidR="00091CFA" w:rsidRPr="00381F6B" w:rsidRDefault="00091CFA" w:rsidP="00381F6B">
            <w:pPr>
              <w:pStyle w:val="Heading3"/>
              <w:spacing w:before="0" w:line="240" w:lineRule="auto"/>
              <w:rPr>
                <w:rFonts w:ascii="Times New Roman" w:hAnsi="Times New Roman" w:cs="Times New Roman"/>
                <w:color w:val="auto"/>
                <w:sz w:val="26"/>
                <w:szCs w:val="26"/>
              </w:rPr>
            </w:pPr>
            <w:r w:rsidRPr="00381F6B">
              <w:rPr>
                <w:rFonts w:ascii="Times New Roman" w:hAnsi="Times New Roman" w:cs="Times New Roman"/>
                <w:color w:val="auto"/>
                <w:sz w:val="26"/>
                <w:szCs w:val="26"/>
              </w:rPr>
              <w:t>Unit</w:t>
            </w:r>
          </w:p>
        </w:tc>
        <w:tc>
          <w:tcPr>
            <w:tcW w:w="8118" w:type="dxa"/>
            <w:tcBorders>
              <w:bottom w:val="double" w:sz="4" w:space="0" w:color="auto"/>
            </w:tcBorders>
          </w:tcPr>
          <w:p w14:paraId="6BE93583" w14:textId="7A796985" w:rsidR="00091CFA" w:rsidRPr="00381F6B" w:rsidRDefault="00091CFA" w:rsidP="00381F6B">
            <w:pPr>
              <w:pStyle w:val="Heading3"/>
              <w:spacing w:before="0" w:line="240" w:lineRule="auto"/>
              <w:rPr>
                <w:rFonts w:ascii="Times New Roman" w:hAnsi="Times New Roman" w:cs="Times New Roman"/>
                <w:color w:val="auto"/>
                <w:sz w:val="26"/>
                <w:szCs w:val="26"/>
              </w:rPr>
            </w:pPr>
            <w:r w:rsidRPr="00381F6B">
              <w:rPr>
                <w:rFonts w:ascii="Times New Roman" w:hAnsi="Times New Roman" w:cs="Times New Roman"/>
                <w:color w:val="auto"/>
                <w:sz w:val="26"/>
                <w:szCs w:val="26"/>
              </w:rPr>
              <w:t xml:space="preserve">Office of the Vice Chancellor for Research </w:t>
            </w:r>
          </w:p>
        </w:tc>
      </w:tr>
      <w:tr w:rsidR="00091CFA" w:rsidRPr="00F53616" w14:paraId="4362F27E" w14:textId="77777777" w:rsidTr="00091CFA">
        <w:trPr>
          <w:trHeight w:val="120"/>
        </w:trPr>
        <w:tc>
          <w:tcPr>
            <w:tcW w:w="342" w:type="dxa"/>
            <w:tcBorders>
              <w:top w:val="double" w:sz="4" w:space="0" w:color="auto"/>
            </w:tcBorders>
          </w:tcPr>
          <w:p w14:paraId="01E25982" w14:textId="77777777" w:rsidR="00091CFA" w:rsidRPr="00F53616" w:rsidRDefault="00091CFA" w:rsidP="00091CFA">
            <w:pPr>
              <w:pStyle w:val="NoSpacing"/>
              <w:rPr>
                <w:rFonts w:ascii="Times New Roman" w:hAnsi="Times New Roman"/>
                <w:sz w:val="26"/>
                <w:szCs w:val="26"/>
              </w:rPr>
            </w:pPr>
          </w:p>
        </w:tc>
        <w:tc>
          <w:tcPr>
            <w:tcW w:w="990" w:type="dxa"/>
            <w:tcBorders>
              <w:top w:val="double" w:sz="4" w:space="0" w:color="auto"/>
            </w:tcBorders>
          </w:tcPr>
          <w:p w14:paraId="1ED20B6E" w14:textId="77777777" w:rsidR="00091CFA" w:rsidRPr="00C77C31" w:rsidRDefault="00091CFA" w:rsidP="00091CFA">
            <w:pPr>
              <w:pStyle w:val="NoSpacing"/>
              <w:rPr>
                <w:rFonts w:ascii="Times New Roman" w:hAnsi="Times New Roman"/>
                <w:sz w:val="26"/>
                <w:szCs w:val="26"/>
              </w:rPr>
            </w:pPr>
          </w:p>
          <w:p w14:paraId="63908FD7" w14:textId="7B0D3507" w:rsidR="00091CFA" w:rsidRPr="00F53616" w:rsidRDefault="00091CFA" w:rsidP="00091CFA">
            <w:pPr>
              <w:pStyle w:val="NoSpacing"/>
              <w:rPr>
                <w:rFonts w:ascii="Times New Roman" w:hAnsi="Times New Roman"/>
                <w:sz w:val="26"/>
                <w:szCs w:val="26"/>
              </w:rPr>
            </w:pPr>
            <w:r w:rsidRPr="00C77C31">
              <w:rPr>
                <w:rFonts w:ascii="Times New Roman" w:hAnsi="Times New Roman"/>
                <w:sz w:val="26"/>
                <w:szCs w:val="26"/>
              </w:rPr>
              <w:t>Item</w:t>
            </w:r>
          </w:p>
        </w:tc>
        <w:tc>
          <w:tcPr>
            <w:tcW w:w="8118" w:type="dxa"/>
            <w:tcBorders>
              <w:top w:val="double" w:sz="4" w:space="0" w:color="auto"/>
            </w:tcBorders>
          </w:tcPr>
          <w:p w14:paraId="44B844FB" w14:textId="77777777" w:rsidR="00091CFA" w:rsidRDefault="00091CFA" w:rsidP="00091CFA">
            <w:pPr>
              <w:pStyle w:val="NoSpacing"/>
              <w:jc w:val="both"/>
              <w:rPr>
                <w:rFonts w:ascii="Times New Roman" w:hAnsi="Times New Roman"/>
                <w:sz w:val="26"/>
                <w:szCs w:val="26"/>
              </w:rPr>
            </w:pPr>
          </w:p>
          <w:p w14:paraId="3BEB0D1D" w14:textId="01D518B9" w:rsidR="00091CFA" w:rsidRPr="00F53616" w:rsidRDefault="00091CFA" w:rsidP="00091CFA">
            <w:pPr>
              <w:pStyle w:val="NoSpacing"/>
              <w:rPr>
                <w:rFonts w:ascii="Times New Roman" w:hAnsi="Times New Roman"/>
                <w:spacing w:val="-3"/>
                <w:sz w:val="26"/>
                <w:szCs w:val="26"/>
              </w:rPr>
            </w:pPr>
            <w:r w:rsidRPr="005B255C">
              <w:rPr>
                <w:rFonts w:ascii="Times New Roman" w:hAnsi="Times New Roman"/>
                <w:sz w:val="26"/>
                <w:szCs w:val="26"/>
              </w:rPr>
              <w:t>Institutional</w:t>
            </w:r>
            <w:r>
              <w:rPr>
                <w:rFonts w:ascii="Times New Roman" w:hAnsi="Times New Roman"/>
                <w:sz w:val="26"/>
                <w:szCs w:val="26"/>
              </w:rPr>
              <w:t xml:space="preserve"> </w:t>
            </w:r>
            <w:r w:rsidRPr="005B255C">
              <w:rPr>
                <w:rFonts w:ascii="Times New Roman" w:hAnsi="Times New Roman"/>
                <w:sz w:val="26"/>
                <w:szCs w:val="26"/>
              </w:rPr>
              <w:t>Animal</w:t>
            </w:r>
            <w:r>
              <w:rPr>
                <w:rFonts w:ascii="Times New Roman" w:hAnsi="Times New Roman"/>
                <w:sz w:val="26"/>
                <w:szCs w:val="26"/>
              </w:rPr>
              <w:t xml:space="preserve"> </w:t>
            </w:r>
            <w:r w:rsidRPr="005B255C">
              <w:rPr>
                <w:rFonts w:ascii="Times New Roman" w:hAnsi="Times New Roman"/>
                <w:sz w:val="26"/>
                <w:szCs w:val="26"/>
              </w:rPr>
              <w:t>Care</w:t>
            </w:r>
            <w:r>
              <w:rPr>
                <w:rFonts w:ascii="Times New Roman" w:hAnsi="Times New Roman"/>
                <w:sz w:val="26"/>
                <w:szCs w:val="26"/>
              </w:rPr>
              <w:t xml:space="preserve"> </w:t>
            </w:r>
            <w:r w:rsidRPr="005B255C">
              <w:rPr>
                <w:rFonts w:ascii="Times New Roman" w:hAnsi="Times New Roman"/>
                <w:sz w:val="26"/>
                <w:szCs w:val="26"/>
              </w:rPr>
              <w:t>&amp;</w:t>
            </w:r>
            <w:r>
              <w:rPr>
                <w:rFonts w:ascii="Times New Roman" w:hAnsi="Times New Roman"/>
                <w:sz w:val="26"/>
                <w:szCs w:val="26"/>
              </w:rPr>
              <w:t xml:space="preserve"> </w:t>
            </w:r>
            <w:r w:rsidRPr="005B255C">
              <w:rPr>
                <w:rFonts w:ascii="Times New Roman" w:hAnsi="Times New Roman"/>
                <w:sz w:val="26"/>
                <w:szCs w:val="26"/>
              </w:rPr>
              <w:t>Use</w:t>
            </w:r>
            <w:r>
              <w:rPr>
                <w:rFonts w:ascii="Times New Roman" w:hAnsi="Times New Roman"/>
                <w:sz w:val="26"/>
                <w:szCs w:val="26"/>
              </w:rPr>
              <w:t xml:space="preserve"> </w:t>
            </w:r>
            <w:r w:rsidRPr="005B255C">
              <w:rPr>
                <w:rFonts w:ascii="Times New Roman" w:hAnsi="Times New Roman"/>
                <w:sz w:val="26"/>
                <w:szCs w:val="26"/>
              </w:rPr>
              <w:t>Committee</w:t>
            </w:r>
            <w:r>
              <w:rPr>
                <w:rFonts w:ascii="Times New Roman" w:hAnsi="Times New Roman"/>
                <w:sz w:val="26"/>
                <w:szCs w:val="26"/>
              </w:rPr>
              <w:t xml:space="preserve"> </w:t>
            </w:r>
            <w:r w:rsidRPr="005B255C">
              <w:rPr>
                <w:rFonts w:ascii="Times New Roman" w:hAnsi="Times New Roman"/>
                <w:sz w:val="26"/>
                <w:szCs w:val="26"/>
              </w:rPr>
              <w:t>(IACUC)</w:t>
            </w:r>
            <w:r>
              <w:rPr>
                <w:rFonts w:ascii="Times New Roman" w:hAnsi="Times New Roman"/>
                <w:sz w:val="26"/>
                <w:szCs w:val="26"/>
              </w:rPr>
              <w:t xml:space="preserve"> </w:t>
            </w:r>
            <w:r w:rsidRPr="005B255C">
              <w:rPr>
                <w:rFonts w:ascii="Times New Roman" w:hAnsi="Times New Roman"/>
                <w:sz w:val="26"/>
                <w:szCs w:val="26"/>
              </w:rPr>
              <w:t>and</w:t>
            </w:r>
            <w:r>
              <w:rPr>
                <w:rFonts w:ascii="Times New Roman" w:hAnsi="Times New Roman"/>
                <w:sz w:val="26"/>
                <w:szCs w:val="26"/>
              </w:rPr>
              <w:t xml:space="preserve"> </w:t>
            </w:r>
            <w:r w:rsidRPr="005B255C">
              <w:rPr>
                <w:rFonts w:ascii="Times New Roman" w:hAnsi="Times New Roman"/>
                <w:sz w:val="26"/>
                <w:szCs w:val="26"/>
              </w:rPr>
              <w:t>Animal</w:t>
            </w:r>
            <w:r>
              <w:rPr>
                <w:rFonts w:ascii="Times New Roman" w:hAnsi="Times New Roman"/>
                <w:sz w:val="26"/>
                <w:szCs w:val="26"/>
              </w:rPr>
              <w:t xml:space="preserve"> </w:t>
            </w:r>
            <w:r w:rsidRPr="005B255C">
              <w:rPr>
                <w:rFonts w:ascii="Times New Roman" w:hAnsi="Times New Roman"/>
                <w:sz w:val="26"/>
                <w:szCs w:val="26"/>
              </w:rPr>
              <w:t>Operations (AOPS)</w:t>
            </w:r>
            <w:r>
              <w:rPr>
                <w:rFonts w:ascii="Times New Roman" w:hAnsi="Times New Roman"/>
                <w:sz w:val="26"/>
                <w:szCs w:val="26"/>
              </w:rPr>
              <w:t xml:space="preserve"> </w:t>
            </w:r>
            <w:r w:rsidRPr="005B255C">
              <w:rPr>
                <w:rFonts w:ascii="Times New Roman" w:hAnsi="Times New Roman"/>
                <w:sz w:val="26"/>
                <w:szCs w:val="26"/>
              </w:rPr>
              <w:t>modules</w:t>
            </w:r>
            <w:r>
              <w:rPr>
                <w:rFonts w:ascii="Times New Roman" w:hAnsi="Times New Roman"/>
                <w:sz w:val="26"/>
                <w:szCs w:val="26"/>
              </w:rPr>
              <w:t xml:space="preserve"> and implementation for the period December 1, </w:t>
            </w:r>
            <w:proofErr w:type="gramStart"/>
            <w:r>
              <w:rPr>
                <w:rFonts w:ascii="Times New Roman" w:hAnsi="Times New Roman"/>
                <w:sz w:val="26"/>
                <w:szCs w:val="26"/>
              </w:rPr>
              <w:t>2023</w:t>
            </w:r>
            <w:proofErr w:type="gramEnd"/>
            <w:r>
              <w:rPr>
                <w:rFonts w:ascii="Times New Roman" w:hAnsi="Times New Roman"/>
                <w:sz w:val="26"/>
                <w:szCs w:val="26"/>
              </w:rPr>
              <w:t xml:space="preserve"> through August 31, 2026. </w:t>
            </w:r>
          </w:p>
        </w:tc>
      </w:tr>
      <w:tr w:rsidR="00091CFA" w:rsidRPr="00F53616" w14:paraId="52815EFA" w14:textId="77777777" w:rsidTr="00361DE1">
        <w:trPr>
          <w:trHeight w:val="120"/>
        </w:trPr>
        <w:tc>
          <w:tcPr>
            <w:tcW w:w="342" w:type="dxa"/>
          </w:tcPr>
          <w:p w14:paraId="027A0422" w14:textId="77777777" w:rsidR="00091CFA" w:rsidRPr="00F53616" w:rsidRDefault="00091CFA" w:rsidP="00091CFA">
            <w:pPr>
              <w:pStyle w:val="NoSpacing"/>
              <w:rPr>
                <w:rFonts w:ascii="Times New Roman" w:hAnsi="Times New Roman"/>
                <w:sz w:val="26"/>
                <w:szCs w:val="26"/>
              </w:rPr>
            </w:pPr>
          </w:p>
        </w:tc>
        <w:tc>
          <w:tcPr>
            <w:tcW w:w="990" w:type="dxa"/>
          </w:tcPr>
          <w:p w14:paraId="3247F560" w14:textId="77777777" w:rsidR="00091CFA" w:rsidRPr="00C77C31" w:rsidRDefault="00091CFA" w:rsidP="00091CFA">
            <w:pPr>
              <w:pStyle w:val="NoSpacing"/>
              <w:rPr>
                <w:rFonts w:ascii="Times New Roman" w:hAnsi="Times New Roman"/>
                <w:sz w:val="26"/>
                <w:szCs w:val="26"/>
              </w:rPr>
            </w:pPr>
          </w:p>
          <w:p w14:paraId="1DFD30FE" w14:textId="0D9D248B" w:rsidR="00091CFA" w:rsidRPr="00F53616" w:rsidRDefault="00091CFA" w:rsidP="00091CFA">
            <w:pPr>
              <w:pStyle w:val="NoSpacing"/>
              <w:rPr>
                <w:rFonts w:ascii="Times New Roman" w:hAnsi="Times New Roman"/>
                <w:sz w:val="26"/>
                <w:szCs w:val="26"/>
              </w:rPr>
            </w:pPr>
            <w:r w:rsidRPr="00DE7E8E">
              <w:rPr>
                <w:rFonts w:ascii="Times New Roman" w:hAnsi="Times New Roman"/>
                <w:sz w:val="26"/>
                <w:szCs w:val="26"/>
              </w:rPr>
              <w:t>Cost</w:t>
            </w:r>
          </w:p>
        </w:tc>
        <w:tc>
          <w:tcPr>
            <w:tcW w:w="8118" w:type="dxa"/>
          </w:tcPr>
          <w:p w14:paraId="608F929B" w14:textId="77777777" w:rsidR="00091CFA" w:rsidRPr="00DE7E8E" w:rsidRDefault="00091CFA" w:rsidP="00091CFA">
            <w:pPr>
              <w:pStyle w:val="NoSpacing"/>
              <w:rPr>
                <w:rFonts w:ascii="Times New Roman" w:hAnsi="Times New Roman"/>
                <w:sz w:val="26"/>
                <w:szCs w:val="26"/>
              </w:rPr>
            </w:pPr>
          </w:p>
          <w:p w14:paraId="154D534D" w14:textId="38B8364E" w:rsidR="00091CFA" w:rsidRPr="00F53616" w:rsidRDefault="00091CFA" w:rsidP="00091CFA">
            <w:pPr>
              <w:pStyle w:val="NoSpacing"/>
              <w:rPr>
                <w:rFonts w:ascii="Times New Roman" w:hAnsi="Times New Roman"/>
                <w:spacing w:val="-3"/>
                <w:sz w:val="26"/>
                <w:szCs w:val="26"/>
              </w:rPr>
            </w:pPr>
            <w:r w:rsidRPr="00DE7E8E">
              <w:rPr>
                <w:rFonts w:ascii="Times New Roman" w:hAnsi="Times New Roman"/>
                <w:spacing w:val="-3"/>
                <w:sz w:val="26"/>
                <w:szCs w:val="26"/>
              </w:rPr>
              <w:t>$</w:t>
            </w:r>
            <w:r>
              <w:t xml:space="preserve"> </w:t>
            </w:r>
            <w:r>
              <w:rPr>
                <w:rFonts w:ascii="Times New Roman" w:hAnsi="Times New Roman"/>
                <w:spacing w:val="-3"/>
                <w:sz w:val="26"/>
                <w:szCs w:val="26"/>
              </w:rPr>
              <w:t xml:space="preserve">1,565,134 </w:t>
            </w:r>
            <w:r w:rsidR="00F87EE6">
              <w:rPr>
                <w:rFonts w:ascii="Times New Roman" w:hAnsi="Times New Roman"/>
                <w:spacing w:val="-3"/>
                <w:sz w:val="26"/>
                <w:szCs w:val="26"/>
              </w:rPr>
              <w:t>(estimated)</w:t>
            </w:r>
          </w:p>
        </w:tc>
      </w:tr>
      <w:tr w:rsidR="00091CFA" w:rsidRPr="00F53616" w14:paraId="49949874" w14:textId="77777777" w:rsidTr="00361DE1">
        <w:trPr>
          <w:trHeight w:val="120"/>
        </w:trPr>
        <w:tc>
          <w:tcPr>
            <w:tcW w:w="342" w:type="dxa"/>
          </w:tcPr>
          <w:p w14:paraId="37642BA6" w14:textId="77777777" w:rsidR="00091CFA" w:rsidRPr="00F53616" w:rsidRDefault="00091CFA" w:rsidP="00091CFA">
            <w:pPr>
              <w:pStyle w:val="NoSpacing"/>
              <w:rPr>
                <w:rFonts w:ascii="Times New Roman" w:hAnsi="Times New Roman"/>
                <w:sz w:val="26"/>
                <w:szCs w:val="26"/>
              </w:rPr>
            </w:pPr>
          </w:p>
        </w:tc>
        <w:tc>
          <w:tcPr>
            <w:tcW w:w="990" w:type="dxa"/>
          </w:tcPr>
          <w:p w14:paraId="08CDA61F" w14:textId="77777777" w:rsidR="00091CFA" w:rsidRPr="00C77C31" w:rsidRDefault="00091CFA" w:rsidP="00091CFA">
            <w:pPr>
              <w:pStyle w:val="NoSpacing"/>
              <w:rPr>
                <w:rFonts w:ascii="Times New Roman" w:hAnsi="Times New Roman"/>
                <w:sz w:val="26"/>
                <w:szCs w:val="26"/>
              </w:rPr>
            </w:pPr>
          </w:p>
          <w:p w14:paraId="18EB534D" w14:textId="546AAADC" w:rsidR="00091CFA" w:rsidRPr="00F53616" w:rsidRDefault="00091CFA" w:rsidP="00091CFA">
            <w:pPr>
              <w:pStyle w:val="NoSpacing"/>
              <w:rPr>
                <w:rFonts w:ascii="Times New Roman" w:hAnsi="Times New Roman"/>
                <w:sz w:val="26"/>
                <w:szCs w:val="26"/>
              </w:rPr>
            </w:pPr>
            <w:r w:rsidRPr="00C77C31">
              <w:rPr>
                <w:rFonts w:ascii="Times New Roman" w:hAnsi="Times New Roman"/>
                <w:sz w:val="26"/>
                <w:szCs w:val="26"/>
              </w:rPr>
              <w:t>Vendor</w:t>
            </w:r>
          </w:p>
        </w:tc>
        <w:tc>
          <w:tcPr>
            <w:tcW w:w="8118" w:type="dxa"/>
          </w:tcPr>
          <w:p w14:paraId="1B298B39" w14:textId="77777777" w:rsidR="00091CFA" w:rsidRPr="00C77C31" w:rsidRDefault="00091CFA" w:rsidP="00091CFA">
            <w:pPr>
              <w:pStyle w:val="NoSpacing"/>
              <w:rPr>
                <w:rFonts w:ascii="Times New Roman" w:hAnsi="Times New Roman"/>
                <w:sz w:val="26"/>
                <w:szCs w:val="26"/>
              </w:rPr>
            </w:pPr>
            <w:r>
              <w:rPr>
                <w:rFonts w:ascii="Times New Roman" w:hAnsi="Times New Roman"/>
                <w:sz w:val="26"/>
                <w:szCs w:val="26"/>
              </w:rPr>
              <w:t xml:space="preserve">            </w:t>
            </w:r>
          </w:p>
          <w:p w14:paraId="23CEC042" w14:textId="77777777" w:rsidR="00091CFA" w:rsidRDefault="00091CFA" w:rsidP="00091CFA">
            <w:pPr>
              <w:pStyle w:val="NoSpacing"/>
              <w:jc w:val="both"/>
              <w:rPr>
                <w:rFonts w:ascii="Times New Roman" w:hAnsi="Times New Roman"/>
                <w:sz w:val="26"/>
                <w:szCs w:val="26"/>
              </w:rPr>
            </w:pPr>
            <w:r w:rsidRPr="005B255C">
              <w:rPr>
                <w:rFonts w:ascii="Times New Roman" w:hAnsi="Times New Roman"/>
                <w:bCs/>
                <w:sz w:val="26"/>
                <w:szCs w:val="26"/>
              </w:rPr>
              <w:t>Huron Consulting Group Inc.</w:t>
            </w:r>
            <w:r>
              <w:rPr>
                <w:rFonts w:ascii="Times New Roman" w:hAnsi="Times New Roman"/>
                <w:bCs/>
                <w:sz w:val="26"/>
                <w:szCs w:val="26"/>
              </w:rPr>
              <w:t xml:space="preserve">                                     Chicago, Illinois</w:t>
            </w:r>
          </w:p>
          <w:p w14:paraId="16E77C34" w14:textId="77777777" w:rsidR="00091CFA" w:rsidRPr="00F53616" w:rsidRDefault="00091CFA" w:rsidP="00091CFA">
            <w:pPr>
              <w:pStyle w:val="NoSpacing"/>
              <w:rPr>
                <w:rFonts w:ascii="Times New Roman" w:hAnsi="Times New Roman"/>
                <w:spacing w:val="-3"/>
                <w:sz w:val="26"/>
                <w:szCs w:val="26"/>
              </w:rPr>
            </w:pPr>
          </w:p>
        </w:tc>
      </w:tr>
      <w:tr w:rsidR="00091CFA" w:rsidRPr="00F53616" w14:paraId="165586AA" w14:textId="77777777" w:rsidTr="00361DE1">
        <w:trPr>
          <w:trHeight w:val="120"/>
        </w:trPr>
        <w:tc>
          <w:tcPr>
            <w:tcW w:w="342" w:type="dxa"/>
          </w:tcPr>
          <w:p w14:paraId="1F2340D0" w14:textId="77777777" w:rsidR="00091CFA" w:rsidRPr="00F53616" w:rsidRDefault="00091CFA" w:rsidP="00091CFA">
            <w:pPr>
              <w:pStyle w:val="NoSpacing"/>
              <w:rPr>
                <w:rFonts w:ascii="Times New Roman" w:hAnsi="Times New Roman"/>
                <w:sz w:val="26"/>
                <w:szCs w:val="26"/>
              </w:rPr>
            </w:pPr>
          </w:p>
        </w:tc>
        <w:tc>
          <w:tcPr>
            <w:tcW w:w="990" w:type="dxa"/>
          </w:tcPr>
          <w:p w14:paraId="267A3871" w14:textId="77777777" w:rsidR="00091CFA" w:rsidRPr="00F53616" w:rsidRDefault="00091CFA" w:rsidP="00091CFA">
            <w:pPr>
              <w:pStyle w:val="NoSpacing"/>
              <w:rPr>
                <w:rFonts w:ascii="Times New Roman" w:hAnsi="Times New Roman"/>
                <w:sz w:val="26"/>
                <w:szCs w:val="26"/>
              </w:rPr>
            </w:pPr>
          </w:p>
        </w:tc>
        <w:tc>
          <w:tcPr>
            <w:tcW w:w="8118" w:type="dxa"/>
          </w:tcPr>
          <w:p w14:paraId="040874F5" w14:textId="4A3E5225" w:rsidR="00091CFA" w:rsidRPr="00FC4F9D" w:rsidRDefault="00091CFA" w:rsidP="00091CFA">
            <w:pPr>
              <w:pStyle w:val="ListParagraph"/>
              <w:tabs>
                <w:tab w:val="left" w:pos="-1440"/>
                <w:tab w:val="left" w:pos="-720"/>
              </w:tabs>
              <w:overflowPunct w:val="0"/>
              <w:autoSpaceDE w:val="0"/>
              <w:autoSpaceDN w:val="0"/>
              <w:adjustRightInd w:val="0"/>
              <w:spacing w:after="0" w:line="240" w:lineRule="auto"/>
              <w:ind w:left="40"/>
              <w:jc w:val="both"/>
              <w:textAlignment w:val="baseline"/>
              <w:rPr>
                <w:rFonts w:ascii="Times New Roman" w:hAnsi="Times New Roman"/>
                <w:bCs/>
                <w:sz w:val="26"/>
                <w:szCs w:val="26"/>
              </w:rPr>
            </w:pPr>
            <w:r w:rsidRPr="00095288">
              <w:rPr>
                <w:rFonts w:ascii="Times New Roman" w:hAnsi="Times New Roman"/>
                <w:bCs/>
                <w:sz w:val="26"/>
                <w:szCs w:val="26"/>
              </w:rPr>
              <w:t>Th</w:t>
            </w:r>
            <w:r>
              <w:rPr>
                <w:rFonts w:ascii="Times New Roman" w:hAnsi="Times New Roman"/>
                <w:bCs/>
                <w:sz w:val="26"/>
                <w:szCs w:val="26"/>
              </w:rPr>
              <w:t>is procurement is for the</w:t>
            </w:r>
            <w:r w:rsidRPr="00095288">
              <w:rPr>
                <w:rFonts w:ascii="Times New Roman" w:hAnsi="Times New Roman"/>
                <w:bCs/>
                <w:sz w:val="26"/>
                <w:szCs w:val="26"/>
              </w:rPr>
              <w:t xml:space="preserve"> </w:t>
            </w:r>
            <w:r w:rsidRPr="002728DB">
              <w:rPr>
                <w:rFonts w:ascii="Times New Roman" w:hAnsi="Times New Roman"/>
                <w:bCs/>
                <w:sz w:val="26"/>
                <w:szCs w:val="26"/>
              </w:rPr>
              <w:t xml:space="preserve">Institutional Animal Care &amp; Use Committee (IACUC) and Animal Operations (AOPS) </w:t>
            </w:r>
            <w:r w:rsidRPr="00095288">
              <w:rPr>
                <w:rFonts w:ascii="Times New Roman" w:hAnsi="Times New Roman"/>
                <w:bCs/>
                <w:sz w:val="26"/>
                <w:szCs w:val="26"/>
              </w:rPr>
              <w:t>modules developed by Huro</w:t>
            </w:r>
            <w:r>
              <w:rPr>
                <w:rFonts w:ascii="Times New Roman" w:hAnsi="Times New Roman"/>
                <w:bCs/>
                <w:sz w:val="26"/>
                <w:szCs w:val="26"/>
              </w:rPr>
              <w:t xml:space="preserve">n, for use with the </w:t>
            </w:r>
            <w:r w:rsidRPr="002728DB">
              <w:rPr>
                <w:rFonts w:ascii="Times New Roman" w:hAnsi="Times New Roman"/>
                <w:bCs/>
                <w:sz w:val="26"/>
                <w:szCs w:val="26"/>
              </w:rPr>
              <w:t xml:space="preserve">current Effort Reporting and Conflict of Interest (COI) </w:t>
            </w:r>
            <w:r>
              <w:rPr>
                <w:rFonts w:ascii="Times New Roman" w:hAnsi="Times New Roman"/>
                <w:bCs/>
                <w:sz w:val="26"/>
                <w:szCs w:val="26"/>
              </w:rPr>
              <w:t xml:space="preserve">software </w:t>
            </w:r>
            <w:r w:rsidRPr="002728DB">
              <w:rPr>
                <w:rFonts w:ascii="Times New Roman" w:hAnsi="Times New Roman"/>
                <w:bCs/>
                <w:sz w:val="26"/>
                <w:szCs w:val="26"/>
              </w:rPr>
              <w:t xml:space="preserve">management systems already provided by this vendor. The additional modules will </w:t>
            </w:r>
            <w:r w:rsidR="003E5FC5">
              <w:rPr>
                <w:rFonts w:ascii="Times New Roman" w:hAnsi="Times New Roman"/>
                <w:bCs/>
                <w:sz w:val="26"/>
                <w:szCs w:val="26"/>
              </w:rPr>
              <w:t>complement</w:t>
            </w:r>
            <w:r w:rsidRPr="002728DB">
              <w:rPr>
                <w:rFonts w:ascii="Times New Roman" w:hAnsi="Times New Roman"/>
                <w:bCs/>
                <w:sz w:val="26"/>
                <w:szCs w:val="26"/>
              </w:rPr>
              <w:t xml:space="preserve"> the needs and access requests among the software for the researchers</w:t>
            </w:r>
            <w:r w:rsidRPr="00095288">
              <w:rPr>
                <w:rFonts w:ascii="Times New Roman" w:hAnsi="Times New Roman"/>
                <w:bCs/>
                <w:sz w:val="26"/>
                <w:szCs w:val="26"/>
              </w:rPr>
              <w:t xml:space="preserve"> and </w:t>
            </w:r>
            <w:r w:rsidR="003E5FC5">
              <w:rPr>
                <w:rFonts w:ascii="Times New Roman" w:hAnsi="Times New Roman"/>
                <w:bCs/>
                <w:sz w:val="26"/>
                <w:szCs w:val="26"/>
              </w:rPr>
              <w:t>be</w:t>
            </w:r>
            <w:r w:rsidRPr="00095288">
              <w:rPr>
                <w:rFonts w:ascii="Times New Roman" w:hAnsi="Times New Roman"/>
                <w:bCs/>
                <w:sz w:val="26"/>
                <w:szCs w:val="26"/>
              </w:rPr>
              <w:t xml:space="preserve"> used nationally by other academic research facilities for the same purpose. In addition, Huron will be consulting/facilitating the installation and implementation along with OVCR staff. </w:t>
            </w:r>
            <w:r>
              <w:rPr>
                <w:rFonts w:ascii="Times New Roman" w:hAnsi="Times New Roman"/>
                <w:bCs/>
                <w:sz w:val="26"/>
                <w:szCs w:val="26"/>
              </w:rPr>
              <w:t>The</w:t>
            </w:r>
            <w:r w:rsidRPr="00095288">
              <w:rPr>
                <w:rFonts w:ascii="Times New Roman" w:hAnsi="Times New Roman"/>
                <w:bCs/>
                <w:sz w:val="26"/>
                <w:szCs w:val="26"/>
              </w:rPr>
              <w:t xml:space="preserve"> purchase of the subscription </w:t>
            </w:r>
            <w:r>
              <w:rPr>
                <w:rFonts w:ascii="Times New Roman" w:hAnsi="Times New Roman"/>
                <w:bCs/>
                <w:sz w:val="26"/>
                <w:szCs w:val="26"/>
              </w:rPr>
              <w:t xml:space="preserve">license for </w:t>
            </w:r>
            <w:r w:rsidRPr="00095288">
              <w:rPr>
                <w:rFonts w:ascii="Times New Roman" w:hAnsi="Times New Roman"/>
                <w:bCs/>
                <w:sz w:val="26"/>
                <w:szCs w:val="26"/>
              </w:rPr>
              <w:t xml:space="preserve">the new modules is included in the licensing and maintenance. </w:t>
            </w:r>
          </w:p>
          <w:p w14:paraId="537B7FCB" w14:textId="77777777" w:rsidR="00091CFA" w:rsidRDefault="00091CFA" w:rsidP="00091CFA">
            <w:pPr>
              <w:tabs>
                <w:tab w:val="left" w:pos="-1440"/>
                <w:tab w:val="left" w:pos="-720"/>
              </w:tabs>
              <w:overflowPunct w:val="0"/>
              <w:autoSpaceDE w:val="0"/>
              <w:autoSpaceDN w:val="0"/>
              <w:adjustRightInd w:val="0"/>
              <w:spacing w:after="0" w:line="240" w:lineRule="auto"/>
              <w:ind w:left="40"/>
              <w:textAlignment w:val="baseline"/>
              <w:rPr>
                <w:rFonts w:ascii="Times New Roman" w:eastAsia="Times New Roman" w:hAnsi="Times New Roman"/>
                <w:bCs/>
                <w:color w:val="000000"/>
                <w:sz w:val="26"/>
                <w:szCs w:val="26"/>
              </w:rPr>
            </w:pPr>
            <w:r>
              <w:rPr>
                <w:rFonts w:ascii="Times New Roman" w:eastAsia="Times New Roman" w:hAnsi="Times New Roman"/>
                <w:bCs/>
                <w:color w:val="000000"/>
                <w:sz w:val="26"/>
                <w:szCs w:val="26"/>
              </w:rPr>
              <w:t xml:space="preserve">  </w:t>
            </w:r>
          </w:p>
          <w:p w14:paraId="43E26FB4" w14:textId="77777777" w:rsidR="00091CFA" w:rsidRDefault="00091CFA" w:rsidP="00091CFA">
            <w:pPr>
              <w:tabs>
                <w:tab w:val="left" w:pos="-1440"/>
                <w:tab w:val="left" w:pos="-720"/>
              </w:tabs>
              <w:overflowPunct w:val="0"/>
              <w:autoSpaceDE w:val="0"/>
              <w:autoSpaceDN w:val="0"/>
              <w:adjustRightInd w:val="0"/>
              <w:spacing w:after="0" w:line="240" w:lineRule="auto"/>
              <w:ind w:left="40"/>
              <w:textAlignment w:val="baseline"/>
              <w:rPr>
                <w:rFonts w:ascii="Times New Roman" w:eastAsia="Times New Roman" w:hAnsi="Times New Roman"/>
                <w:bCs/>
                <w:color w:val="000000"/>
                <w:sz w:val="26"/>
                <w:szCs w:val="26"/>
              </w:rPr>
            </w:pPr>
            <w:r w:rsidRPr="00B81BC3">
              <w:rPr>
                <w:rFonts w:ascii="Times New Roman" w:eastAsia="Times New Roman" w:hAnsi="Times New Roman"/>
                <w:bCs/>
                <w:color w:val="000000"/>
                <w:sz w:val="26"/>
                <w:szCs w:val="26"/>
              </w:rPr>
              <w:t xml:space="preserve">This purchase is a sole source procurement in accordance with Illinois Procurement Code 30 ILCS 500/20-25 because the unique items are required </w:t>
            </w:r>
            <w:r>
              <w:rPr>
                <w:rFonts w:ascii="Times New Roman" w:eastAsia="Times New Roman" w:hAnsi="Times New Roman"/>
                <w:bCs/>
                <w:color w:val="000000"/>
                <w:sz w:val="26"/>
                <w:szCs w:val="26"/>
              </w:rPr>
              <w:t xml:space="preserve">from </w:t>
            </w:r>
            <w:r w:rsidRPr="00B81BC3">
              <w:rPr>
                <w:rFonts w:ascii="Times New Roman" w:eastAsia="Times New Roman" w:hAnsi="Times New Roman"/>
                <w:bCs/>
                <w:color w:val="000000"/>
                <w:sz w:val="26"/>
                <w:szCs w:val="26"/>
              </w:rPr>
              <w:t>Huron Consulting Group Inc., and no other source can meet the documented need.</w:t>
            </w:r>
          </w:p>
          <w:p w14:paraId="60E427E0" w14:textId="77777777" w:rsidR="00091CFA" w:rsidRDefault="00091CFA" w:rsidP="00091CFA">
            <w:pPr>
              <w:tabs>
                <w:tab w:val="left" w:pos="-1440"/>
                <w:tab w:val="left" w:pos="-720"/>
              </w:tabs>
              <w:overflowPunct w:val="0"/>
              <w:autoSpaceDE w:val="0"/>
              <w:autoSpaceDN w:val="0"/>
              <w:adjustRightInd w:val="0"/>
              <w:spacing w:after="0" w:line="240" w:lineRule="auto"/>
              <w:ind w:left="40"/>
              <w:textAlignment w:val="baseline"/>
              <w:rPr>
                <w:rFonts w:ascii="Times New Roman" w:eastAsia="Times New Roman" w:hAnsi="Times New Roman"/>
                <w:bCs/>
                <w:color w:val="000000"/>
                <w:sz w:val="26"/>
                <w:szCs w:val="26"/>
              </w:rPr>
            </w:pPr>
          </w:p>
          <w:p w14:paraId="2BDAB443" w14:textId="77777777" w:rsidR="00091CFA" w:rsidRDefault="00091CFA" w:rsidP="00091CFA">
            <w:pPr>
              <w:tabs>
                <w:tab w:val="left" w:pos="-1440"/>
                <w:tab w:val="left" w:pos="-720"/>
              </w:tabs>
              <w:overflowPunct w:val="0"/>
              <w:autoSpaceDE w:val="0"/>
              <w:autoSpaceDN w:val="0"/>
              <w:adjustRightInd w:val="0"/>
              <w:spacing w:after="0" w:line="240" w:lineRule="auto"/>
              <w:ind w:left="40"/>
              <w:textAlignment w:val="baseline"/>
            </w:pPr>
            <w:r w:rsidRPr="00B725DA">
              <w:rPr>
                <w:rFonts w:ascii="Times New Roman" w:eastAsia="Times New Roman" w:hAnsi="Times New Roman"/>
                <w:bCs/>
                <w:color w:val="000000"/>
                <w:sz w:val="26"/>
                <w:szCs w:val="26"/>
              </w:rPr>
              <w:t xml:space="preserve">In accordance with standards set by </w:t>
            </w:r>
            <w:r>
              <w:rPr>
                <w:rFonts w:ascii="Times New Roman" w:eastAsia="Times New Roman" w:hAnsi="Times New Roman"/>
                <w:bCs/>
                <w:color w:val="000000"/>
                <w:sz w:val="26"/>
                <w:szCs w:val="26"/>
              </w:rPr>
              <w:t>Administrative Rule</w:t>
            </w:r>
            <w:r w:rsidRPr="00B725DA">
              <w:rPr>
                <w:rFonts w:ascii="Times New Roman" w:eastAsia="Times New Roman" w:hAnsi="Times New Roman"/>
                <w:bCs/>
                <w:color w:val="000000"/>
                <w:sz w:val="26"/>
                <w:szCs w:val="26"/>
              </w:rPr>
              <w:t xml:space="preserve">, contracts may be awarded without use of the </w:t>
            </w:r>
            <w:r>
              <w:rPr>
                <w:rFonts w:ascii="Times New Roman" w:eastAsia="Times New Roman" w:hAnsi="Times New Roman"/>
                <w:bCs/>
                <w:color w:val="000000"/>
                <w:sz w:val="26"/>
                <w:szCs w:val="26"/>
              </w:rPr>
              <w:t>competitive</w:t>
            </w:r>
            <w:r w:rsidRPr="00B725DA">
              <w:rPr>
                <w:rFonts w:ascii="Times New Roman" w:eastAsia="Times New Roman" w:hAnsi="Times New Roman"/>
                <w:bCs/>
                <w:color w:val="000000"/>
                <w:sz w:val="26"/>
                <w:szCs w:val="26"/>
              </w:rPr>
              <w:t xml:space="preserve"> method of source selection when there is only one economically feasible source for the item. A State contract may be awarded as a sole source contract unless an interested party submits a written request for a public hearing at which the chief procurement officer and purchasing agency present written justification for the procurement method. Any interested party may present </w:t>
            </w:r>
            <w:proofErr w:type="gramStart"/>
            <w:r w:rsidRPr="00B725DA">
              <w:rPr>
                <w:rFonts w:ascii="Times New Roman" w:eastAsia="Times New Roman" w:hAnsi="Times New Roman"/>
                <w:bCs/>
                <w:color w:val="000000"/>
                <w:sz w:val="26"/>
                <w:szCs w:val="26"/>
              </w:rPr>
              <w:t>testimony</w:t>
            </w:r>
            <w:proofErr w:type="gramEnd"/>
            <w:r w:rsidRPr="00B725DA">
              <w:rPr>
                <w:rFonts w:ascii="Times New Roman" w:eastAsia="Times New Roman" w:hAnsi="Times New Roman"/>
                <w:bCs/>
                <w:color w:val="000000"/>
                <w:sz w:val="26"/>
                <w:szCs w:val="26"/>
              </w:rPr>
              <w:t>. A sole source contract where a hearing was requested by an interested party may be awarded after the hearing is conducted with the approval of the chief procurement officer.</w:t>
            </w:r>
            <w:r w:rsidRPr="00B725DA">
              <w:t xml:space="preserve"> </w:t>
            </w:r>
          </w:p>
          <w:p w14:paraId="004239CC" w14:textId="77777777" w:rsidR="00091CFA" w:rsidRDefault="00091CFA" w:rsidP="00091CF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360"/>
              <w:textAlignment w:val="baseline"/>
            </w:pPr>
          </w:p>
          <w:p w14:paraId="67704A41" w14:textId="77777777" w:rsidR="00091CFA" w:rsidRPr="00F53616" w:rsidRDefault="00091CFA" w:rsidP="00091CFA">
            <w:pPr>
              <w:pStyle w:val="NoSpacing"/>
              <w:rPr>
                <w:rFonts w:ascii="Times New Roman" w:hAnsi="Times New Roman"/>
                <w:sz w:val="26"/>
                <w:szCs w:val="26"/>
              </w:rPr>
            </w:pPr>
            <w:bookmarkStart w:id="1" w:name="_Hlk147870966"/>
            <w:r w:rsidRPr="007E11BA">
              <w:rPr>
                <w:rFonts w:ascii="Times New Roman" w:hAnsi="Times New Roman"/>
                <w:b/>
                <w:bCs/>
                <w:sz w:val="26"/>
                <w:szCs w:val="26"/>
              </w:rPr>
              <w:t>Business Enterprise Program (BEP)</w:t>
            </w:r>
            <w:r w:rsidRPr="00F53616">
              <w:rPr>
                <w:rFonts w:ascii="Times New Roman" w:hAnsi="Times New Roman"/>
                <w:sz w:val="26"/>
                <w:szCs w:val="26"/>
              </w:rPr>
              <w:t xml:space="preserve"> goals are not established for contracts which are exempt from the competitive solicitation process requirements of the IL Procurement Code.</w:t>
            </w:r>
          </w:p>
          <w:bookmarkEnd w:id="1"/>
          <w:p w14:paraId="39D40877" w14:textId="77777777" w:rsidR="00091CFA" w:rsidRPr="00F53616" w:rsidRDefault="00091CFA" w:rsidP="00091CFA">
            <w:pPr>
              <w:pStyle w:val="NoSpacing"/>
              <w:rPr>
                <w:rFonts w:ascii="Times New Roman" w:hAnsi="Times New Roman"/>
                <w:spacing w:val="-3"/>
                <w:sz w:val="26"/>
                <w:szCs w:val="26"/>
              </w:rPr>
            </w:pPr>
          </w:p>
        </w:tc>
      </w:tr>
      <w:tr w:rsidR="00091CFA" w:rsidRPr="00F53616" w14:paraId="434E2894" w14:textId="77777777" w:rsidTr="00361DE1">
        <w:trPr>
          <w:trHeight w:val="120"/>
        </w:trPr>
        <w:tc>
          <w:tcPr>
            <w:tcW w:w="342" w:type="dxa"/>
          </w:tcPr>
          <w:p w14:paraId="401F0F7F" w14:textId="77777777" w:rsidR="00091CFA" w:rsidRPr="00F53616" w:rsidRDefault="00091CFA" w:rsidP="00091CFA">
            <w:pPr>
              <w:pStyle w:val="NoSpacing"/>
              <w:rPr>
                <w:rFonts w:ascii="Times New Roman" w:hAnsi="Times New Roman"/>
                <w:sz w:val="26"/>
                <w:szCs w:val="26"/>
              </w:rPr>
            </w:pPr>
          </w:p>
        </w:tc>
        <w:tc>
          <w:tcPr>
            <w:tcW w:w="990" w:type="dxa"/>
          </w:tcPr>
          <w:p w14:paraId="02A261B8" w14:textId="77777777" w:rsidR="00091CFA" w:rsidRPr="00F53616" w:rsidRDefault="00091CFA" w:rsidP="00091CFA">
            <w:pPr>
              <w:pStyle w:val="NoSpacing"/>
              <w:rPr>
                <w:rFonts w:ascii="Times New Roman" w:hAnsi="Times New Roman"/>
                <w:sz w:val="26"/>
                <w:szCs w:val="26"/>
              </w:rPr>
            </w:pPr>
          </w:p>
        </w:tc>
        <w:tc>
          <w:tcPr>
            <w:tcW w:w="8118" w:type="dxa"/>
          </w:tcPr>
          <w:p w14:paraId="2A8B7682" w14:textId="77777777" w:rsidR="00091CFA" w:rsidRPr="00F53616" w:rsidRDefault="00091CFA" w:rsidP="00091CFA">
            <w:pPr>
              <w:pStyle w:val="NoSpacing"/>
              <w:rPr>
                <w:rFonts w:ascii="Times New Roman" w:hAnsi="Times New Roman"/>
                <w:spacing w:val="-3"/>
                <w:sz w:val="26"/>
                <w:szCs w:val="26"/>
              </w:rPr>
            </w:pPr>
          </w:p>
        </w:tc>
      </w:tr>
      <w:tr w:rsidR="00091CFA" w:rsidRPr="00F53616" w14:paraId="3E8AF208" w14:textId="77777777" w:rsidTr="00F21A6D">
        <w:trPr>
          <w:trHeight w:val="120"/>
        </w:trPr>
        <w:tc>
          <w:tcPr>
            <w:tcW w:w="9450" w:type="dxa"/>
            <w:gridSpan w:val="3"/>
          </w:tcPr>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091CFA" w:rsidRPr="00F53616" w14:paraId="209C5A9A" w14:textId="77777777" w:rsidTr="0025577D">
              <w:trPr>
                <w:trHeight w:val="114"/>
              </w:trPr>
              <w:tc>
                <w:tcPr>
                  <w:tcW w:w="9454" w:type="dxa"/>
                  <w:tcBorders>
                    <w:top w:val="single" w:sz="18" w:space="0" w:color="auto"/>
                    <w:bottom w:val="single" w:sz="18" w:space="0" w:color="auto"/>
                  </w:tcBorders>
                </w:tcPr>
                <w:p w14:paraId="55B87639" w14:textId="190ECE49" w:rsidR="00091CFA" w:rsidRPr="00F53616" w:rsidRDefault="00091CFA" w:rsidP="00091CFA">
                  <w:pPr>
                    <w:tabs>
                      <w:tab w:val="left" w:pos="-720"/>
                      <w:tab w:val="left" w:pos="9090"/>
                    </w:tabs>
                    <w:suppressAutoHyphens/>
                    <w:overflowPunct w:val="0"/>
                    <w:autoSpaceDE w:val="0"/>
                    <w:autoSpaceDN w:val="0"/>
                    <w:adjustRightInd w:val="0"/>
                    <w:spacing w:after="0" w:line="240" w:lineRule="auto"/>
                    <w:jc w:val="center"/>
                    <w:textAlignment w:val="baseline"/>
                    <w:rPr>
                      <w:rFonts w:ascii="Times New Roman" w:eastAsia="Times New Roman" w:hAnsi="Times New Roman"/>
                      <w:b/>
                      <w:sz w:val="26"/>
                      <w:szCs w:val="26"/>
                    </w:rPr>
                  </w:pPr>
                  <w:r w:rsidRPr="00F53616">
                    <w:rPr>
                      <w:rFonts w:ascii="Times New Roman" w:eastAsia="Times New Roman" w:hAnsi="Times New Roman"/>
                      <w:b/>
                      <w:sz w:val="26"/>
                      <w:szCs w:val="26"/>
                    </w:rPr>
                    <w:lastRenderedPageBreak/>
                    <w:t xml:space="preserve">University of Illinois at </w:t>
                  </w:r>
                  <w:r>
                    <w:rPr>
                      <w:rFonts w:ascii="Times New Roman" w:eastAsia="Times New Roman" w:hAnsi="Times New Roman"/>
                      <w:b/>
                      <w:sz w:val="26"/>
                      <w:szCs w:val="26"/>
                    </w:rPr>
                    <w:t>Urbana- Champaign</w:t>
                  </w:r>
                </w:p>
              </w:tc>
            </w:tr>
          </w:tbl>
          <w:p w14:paraId="107DA0B5" w14:textId="77777777" w:rsidR="00091CFA" w:rsidRPr="00F53616" w:rsidRDefault="00091CFA" w:rsidP="00091CFA">
            <w:pPr>
              <w:pStyle w:val="NoSpacing"/>
              <w:rPr>
                <w:rFonts w:ascii="Times New Roman" w:hAnsi="Times New Roman"/>
                <w:spacing w:val="-3"/>
                <w:sz w:val="26"/>
                <w:szCs w:val="26"/>
              </w:rPr>
            </w:pPr>
          </w:p>
        </w:tc>
      </w:tr>
      <w:tr w:rsidR="00091CFA" w:rsidRPr="00F53616" w14:paraId="0E86D7C9" w14:textId="77777777" w:rsidTr="00361DE1">
        <w:trPr>
          <w:trHeight w:val="120"/>
        </w:trPr>
        <w:tc>
          <w:tcPr>
            <w:tcW w:w="342" w:type="dxa"/>
            <w:tcBorders>
              <w:bottom w:val="double" w:sz="6" w:space="0" w:color="auto"/>
            </w:tcBorders>
          </w:tcPr>
          <w:p w14:paraId="2A853B15" w14:textId="169B2F85" w:rsidR="00091CFA" w:rsidRPr="00381F6B" w:rsidRDefault="00834684" w:rsidP="00381F6B">
            <w:pPr>
              <w:pStyle w:val="Heading3"/>
              <w:spacing w:before="0" w:line="240" w:lineRule="auto"/>
              <w:rPr>
                <w:rFonts w:ascii="Times New Roman" w:hAnsi="Times New Roman" w:cs="Times New Roman"/>
                <w:color w:val="auto"/>
                <w:sz w:val="26"/>
                <w:szCs w:val="26"/>
              </w:rPr>
            </w:pPr>
            <w:r w:rsidRPr="00381F6B">
              <w:rPr>
                <w:rFonts w:ascii="Times New Roman" w:hAnsi="Times New Roman" w:cs="Times New Roman"/>
                <w:color w:val="auto"/>
                <w:sz w:val="26"/>
                <w:szCs w:val="26"/>
              </w:rPr>
              <w:t>3</w:t>
            </w:r>
          </w:p>
        </w:tc>
        <w:tc>
          <w:tcPr>
            <w:tcW w:w="990" w:type="dxa"/>
            <w:tcBorders>
              <w:bottom w:val="double" w:sz="6" w:space="0" w:color="auto"/>
            </w:tcBorders>
          </w:tcPr>
          <w:p w14:paraId="54386F5E" w14:textId="77777777" w:rsidR="00091CFA" w:rsidRPr="00381F6B" w:rsidRDefault="00091CFA" w:rsidP="00381F6B">
            <w:pPr>
              <w:pStyle w:val="Heading3"/>
              <w:spacing w:before="0" w:line="240" w:lineRule="auto"/>
              <w:rPr>
                <w:rFonts w:ascii="Times New Roman" w:hAnsi="Times New Roman" w:cs="Times New Roman"/>
                <w:color w:val="auto"/>
                <w:sz w:val="26"/>
                <w:szCs w:val="26"/>
              </w:rPr>
            </w:pPr>
            <w:r w:rsidRPr="00381F6B">
              <w:rPr>
                <w:rFonts w:ascii="Times New Roman" w:hAnsi="Times New Roman" w:cs="Times New Roman"/>
                <w:color w:val="auto"/>
                <w:sz w:val="26"/>
                <w:szCs w:val="26"/>
              </w:rPr>
              <w:t>Unit</w:t>
            </w:r>
          </w:p>
        </w:tc>
        <w:tc>
          <w:tcPr>
            <w:tcW w:w="8118" w:type="dxa"/>
            <w:tcBorders>
              <w:bottom w:val="double" w:sz="6" w:space="0" w:color="auto"/>
            </w:tcBorders>
          </w:tcPr>
          <w:p w14:paraId="141541B7" w14:textId="692F7084" w:rsidR="00091CFA" w:rsidRPr="00381F6B" w:rsidRDefault="00091CFA" w:rsidP="00381F6B">
            <w:pPr>
              <w:pStyle w:val="Heading3"/>
              <w:spacing w:before="0" w:line="240" w:lineRule="auto"/>
              <w:rPr>
                <w:rFonts w:ascii="Times New Roman" w:hAnsi="Times New Roman" w:cs="Times New Roman"/>
                <w:color w:val="auto"/>
                <w:sz w:val="26"/>
                <w:szCs w:val="26"/>
              </w:rPr>
            </w:pPr>
            <w:r w:rsidRPr="00381F6B">
              <w:rPr>
                <w:rFonts w:ascii="Times New Roman" w:hAnsi="Times New Roman" w:cs="Times New Roman"/>
                <w:color w:val="auto"/>
                <w:sz w:val="26"/>
                <w:szCs w:val="26"/>
              </w:rPr>
              <w:t>Electrical &amp; Computer Engineering</w:t>
            </w:r>
          </w:p>
        </w:tc>
      </w:tr>
      <w:tr w:rsidR="00091CFA" w:rsidRPr="00F53616" w14:paraId="16D04378" w14:textId="77777777" w:rsidTr="00BC0630">
        <w:trPr>
          <w:trHeight w:val="648"/>
        </w:trPr>
        <w:tc>
          <w:tcPr>
            <w:tcW w:w="342" w:type="dxa"/>
          </w:tcPr>
          <w:p w14:paraId="6610E660" w14:textId="77777777" w:rsidR="00091CFA" w:rsidRPr="00F53616" w:rsidRDefault="00091CFA" w:rsidP="00091CFA">
            <w:pPr>
              <w:pStyle w:val="NoSpacing"/>
              <w:rPr>
                <w:rFonts w:ascii="Times New Roman" w:hAnsi="Times New Roman"/>
                <w:sz w:val="26"/>
                <w:szCs w:val="26"/>
              </w:rPr>
            </w:pPr>
          </w:p>
        </w:tc>
        <w:tc>
          <w:tcPr>
            <w:tcW w:w="990" w:type="dxa"/>
          </w:tcPr>
          <w:p w14:paraId="3162DF19" w14:textId="77777777" w:rsidR="00091CFA" w:rsidRPr="00F53616" w:rsidRDefault="00091CFA" w:rsidP="00091CFA">
            <w:pPr>
              <w:pStyle w:val="NoSpacing"/>
              <w:rPr>
                <w:rFonts w:ascii="Times New Roman" w:hAnsi="Times New Roman"/>
                <w:sz w:val="26"/>
                <w:szCs w:val="26"/>
              </w:rPr>
            </w:pPr>
          </w:p>
          <w:p w14:paraId="39157CFA" w14:textId="77777777" w:rsidR="00091CFA" w:rsidRPr="00F53616" w:rsidRDefault="00091CFA" w:rsidP="00091CFA">
            <w:pPr>
              <w:pStyle w:val="NoSpacing"/>
              <w:rPr>
                <w:rFonts w:ascii="Times New Roman" w:hAnsi="Times New Roman"/>
                <w:sz w:val="26"/>
                <w:szCs w:val="26"/>
              </w:rPr>
            </w:pPr>
            <w:r w:rsidRPr="00F53616">
              <w:rPr>
                <w:rFonts w:ascii="Times New Roman" w:hAnsi="Times New Roman"/>
                <w:sz w:val="26"/>
                <w:szCs w:val="26"/>
              </w:rPr>
              <w:t xml:space="preserve">Item      </w:t>
            </w:r>
          </w:p>
        </w:tc>
        <w:tc>
          <w:tcPr>
            <w:tcW w:w="8118" w:type="dxa"/>
          </w:tcPr>
          <w:p w14:paraId="1AFF3086" w14:textId="77777777" w:rsidR="00091CFA" w:rsidRPr="00F53616" w:rsidRDefault="00091CFA" w:rsidP="00091CFA">
            <w:pPr>
              <w:pStyle w:val="NoSpacing"/>
              <w:rPr>
                <w:rFonts w:ascii="Times New Roman" w:hAnsi="Times New Roman"/>
                <w:sz w:val="26"/>
                <w:szCs w:val="26"/>
              </w:rPr>
            </w:pPr>
          </w:p>
          <w:p w14:paraId="25646054" w14:textId="7A17E596" w:rsidR="00091CFA" w:rsidRPr="00F53616" w:rsidRDefault="00091CFA" w:rsidP="00091CFA">
            <w:pPr>
              <w:pStyle w:val="NoSpacing"/>
              <w:rPr>
                <w:rFonts w:ascii="Times New Roman" w:hAnsi="Times New Roman"/>
                <w:spacing w:val="-3"/>
                <w:sz w:val="26"/>
                <w:szCs w:val="26"/>
              </w:rPr>
            </w:pPr>
            <w:r w:rsidRPr="00075885">
              <w:rPr>
                <w:rFonts w:ascii="Times New Roman" w:hAnsi="Times New Roman"/>
                <w:sz w:val="26"/>
                <w:szCs w:val="26"/>
              </w:rPr>
              <w:t>Metal-Organic Vapor Phase Epitaxy (MOVPE) System</w:t>
            </w:r>
            <w:r>
              <w:rPr>
                <w:rFonts w:ascii="Times New Roman" w:hAnsi="Times New Roman"/>
                <w:sz w:val="26"/>
                <w:szCs w:val="26"/>
              </w:rPr>
              <w:t xml:space="preserve"> </w:t>
            </w:r>
          </w:p>
        </w:tc>
      </w:tr>
      <w:tr w:rsidR="00091CFA" w:rsidRPr="00F53616" w14:paraId="65073756" w14:textId="77777777" w:rsidTr="00BC0630">
        <w:trPr>
          <w:trHeight w:val="315"/>
        </w:trPr>
        <w:tc>
          <w:tcPr>
            <w:tcW w:w="342" w:type="dxa"/>
          </w:tcPr>
          <w:p w14:paraId="4EB91AF9" w14:textId="77777777" w:rsidR="00091CFA" w:rsidRPr="00F53616" w:rsidRDefault="00091CFA" w:rsidP="00091CFA">
            <w:pPr>
              <w:pStyle w:val="NoSpacing"/>
              <w:rPr>
                <w:rFonts w:ascii="Times New Roman" w:hAnsi="Times New Roman"/>
                <w:sz w:val="26"/>
                <w:szCs w:val="26"/>
              </w:rPr>
            </w:pPr>
            <w:r w:rsidRPr="00F53616">
              <w:rPr>
                <w:rFonts w:ascii="Times New Roman" w:hAnsi="Times New Roman"/>
                <w:sz w:val="26"/>
                <w:szCs w:val="26"/>
              </w:rPr>
              <w:t xml:space="preserve"> </w:t>
            </w:r>
          </w:p>
        </w:tc>
        <w:tc>
          <w:tcPr>
            <w:tcW w:w="990" w:type="dxa"/>
          </w:tcPr>
          <w:p w14:paraId="2E4CAE21" w14:textId="77777777" w:rsidR="00091CFA" w:rsidRPr="00F53616" w:rsidRDefault="00091CFA" w:rsidP="00091CFA">
            <w:pPr>
              <w:pStyle w:val="NoSpacing"/>
              <w:rPr>
                <w:rFonts w:ascii="Times New Roman" w:hAnsi="Times New Roman"/>
                <w:sz w:val="26"/>
                <w:szCs w:val="26"/>
              </w:rPr>
            </w:pPr>
          </w:p>
          <w:p w14:paraId="4EC10280" w14:textId="77777777" w:rsidR="00091CFA" w:rsidRPr="00F53616" w:rsidRDefault="00091CFA" w:rsidP="00091CFA">
            <w:pPr>
              <w:pStyle w:val="NoSpacing"/>
              <w:rPr>
                <w:rFonts w:ascii="Times New Roman" w:hAnsi="Times New Roman"/>
                <w:sz w:val="26"/>
                <w:szCs w:val="26"/>
              </w:rPr>
            </w:pPr>
            <w:r w:rsidRPr="00F53616">
              <w:rPr>
                <w:rFonts w:ascii="Times New Roman" w:hAnsi="Times New Roman"/>
                <w:sz w:val="26"/>
                <w:szCs w:val="26"/>
              </w:rPr>
              <w:t>Cost</w:t>
            </w:r>
          </w:p>
        </w:tc>
        <w:tc>
          <w:tcPr>
            <w:tcW w:w="8118" w:type="dxa"/>
          </w:tcPr>
          <w:p w14:paraId="5D89D286" w14:textId="77777777" w:rsidR="00091CFA" w:rsidRPr="00F53616" w:rsidRDefault="00091CFA" w:rsidP="00091CFA">
            <w:pPr>
              <w:pStyle w:val="NoSpacing"/>
              <w:rPr>
                <w:rFonts w:ascii="Times New Roman" w:hAnsi="Times New Roman"/>
                <w:sz w:val="26"/>
                <w:szCs w:val="26"/>
              </w:rPr>
            </w:pPr>
          </w:p>
          <w:p w14:paraId="509E280D" w14:textId="6DF5305E" w:rsidR="00091CFA" w:rsidRDefault="00091CFA" w:rsidP="00091CFA">
            <w:pPr>
              <w:pStyle w:val="NoSpacing"/>
              <w:rPr>
                <w:rFonts w:ascii="Times New Roman" w:hAnsi="Times New Roman"/>
                <w:spacing w:val="-3"/>
                <w:sz w:val="26"/>
                <w:szCs w:val="26"/>
              </w:rPr>
            </w:pPr>
            <w:r w:rsidRPr="00F53616">
              <w:rPr>
                <w:rFonts w:ascii="Times New Roman" w:hAnsi="Times New Roman"/>
                <w:spacing w:val="-3"/>
                <w:sz w:val="26"/>
                <w:szCs w:val="26"/>
              </w:rPr>
              <w:t>$</w:t>
            </w:r>
            <w:r w:rsidR="00EC188D">
              <w:rPr>
                <w:rFonts w:ascii="Times New Roman" w:hAnsi="Times New Roman"/>
                <w:spacing w:val="-3"/>
                <w:sz w:val="26"/>
                <w:szCs w:val="26"/>
              </w:rPr>
              <w:t>1,484</w:t>
            </w:r>
            <w:r w:rsidRPr="00F53616">
              <w:rPr>
                <w:rFonts w:ascii="Times New Roman" w:hAnsi="Times New Roman"/>
                <w:spacing w:val="-3"/>
                <w:sz w:val="26"/>
                <w:szCs w:val="26"/>
              </w:rPr>
              <w:t xml:space="preserve">,000 (estimated) </w:t>
            </w:r>
            <w:r>
              <w:rPr>
                <w:rFonts w:ascii="Times New Roman" w:hAnsi="Times New Roman"/>
                <w:spacing w:val="-3"/>
                <w:sz w:val="26"/>
                <w:szCs w:val="26"/>
              </w:rPr>
              <w:t>One-time Purchase</w:t>
            </w:r>
          </w:p>
          <w:p w14:paraId="2112B06E" w14:textId="6F22823D" w:rsidR="00934FC6" w:rsidRPr="00F53616" w:rsidRDefault="00934FC6" w:rsidP="00091CFA">
            <w:pPr>
              <w:pStyle w:val="NoSpacing"/>
              <w:rPr>
                <w:rFonts w:ascii="Times New Roman" w:hAnsi="Times New Roman"/>
                <w:spacing w:val="-3"/>
                <w:sz w:val="26"/>
                <w:szCs w:val="26"/>
              </w:rPr>
            </w:pPr>
          </w:p>
        </w:tc>
      </w:tr>
      <w:tr w:rsidR="00934FC6" w:rsidRPr="00F53616" w14:paraId="2DD649F2" w14:textId="77777777" w:rsidTr="00934FC6">
        <w:trPr>
          <w:trHeight w:val="657"/>
        </w:trPr>
        <w:tc>
          <w:tcPr>
            <w:tcW w:w="342" w:type="dxa"/>
          </w:tcPr>
          <w:p w14:paraId="6B4C7E29" w14:textId="77777777" w:rsidR="00934FC6" w:rsidRPr="00F53616" w:rsidRDefault="00934FC6" w:rsidP="00091CFA">
            <w:pPr>
              <w:pStyle w:val="NoSpacing"/>
              <w:rPr>
                <w:rFonts w:ascii="Times New Roman" w:hAnsi="Times New Roman"/>
                <w:sz w:val="26"/>
                <w:szCs w:val="26"/>
              </w:rPr>
            </w:pPr>
          </w:p>
        </w:tc>
        <w:tc>
          <w:tcPr>
            <w:tcW w:w="990" w:type="dxa"/>
            <w:shd w:val="clear" w:color="auto" w:fill="auto"/>
          </w:tcPr>
          <w:p w14:paraId="7090DF1B" w14:textId="30741569" w:rsidR="00934FC6" w:rsidRPr="00F53616" w:rsidRDefault="00934FC6" w:rsidP="00091CFA">
            <w:pPr>
              <w:pStyle w:val="NoSpacing"/>
              <w:rPr>
                <w:rFonts w:ascii="Times New Roman" w:hAnsi="Times New Roman"/>
                <w:sz w:val="26"/>
                <w:szCs w:val="26"/>
              </w:rPr>
            </w:pPr>
            <w:r>
              <w:rPr>
                <w:rFonts w:ascii="Times New Roman" w:hAnsi="Times New Roman"/>
                <w:sz w:val="26"/>
                <w:szCs w:val="26"/>
              </w:rPr>
              <w:t>Vendor</w:t>
            </w:r>
          </w:p>
        </w:tc>
        <w:tc>
          <w:tcPr>
            <w:tcW w:w="8118" w:type="dxa"/>
            <w:shd w:val="clear" w:color="auto" w:fill="auto"/>
          </w:tcPr>
          <w:p w14:paraId="00CC0486" w14:textId="0401E611" w:rsidR="00934FC6" w:rsidRPr="007E11BA" w:rsidRDefault="00934FC6" w:rsidP="00091CFA">
            <w:pPr>
              <w:rPr>
                <w:rFonts w:ascii="Times New Roman" w:hAnsi="Times New Roman"/>
                <w:sz w:val="26"/>
                <w:szCs w:val="26"/>
              </w:rPr>
            </w:pPr>
            <w:proofErr w:type="spellStart"/>
            <w:r>
              <w:rPr>
                <w:rFonts w:ascii="Times New Roman" w:hAnsi="Times New Roman"/>
                <w:sz w:val="26"/>
                <w:szCs w:val="26"/>
              </w:rPr>
              <w:t>Aixtron</w:t>
            </w:r>
            <w:proofErr w:type="spellEnd"/>
            <w:r>
              <w:rPr>
                <w:rFonts w:ascii="Times New Roman" w:hAnsi="Times New Roman"/>
                <w:sz w:val="26"/>
                <w:szCs w:val="26"/>
              </w:rPr>
              <w:t>, Inc.                                                                         Santa Clara, CA</w:t>
            </w:r>
          </w:p>
        </w:tc>
      </w:tr>
      <w:tr w:rsidR="00091CFA" w:rsidRPr="00F53616" w14:paraId="2DE86FAC" w14:textId="77777777" w:rsidTr="0009228A">
        <w:trPr>
          <w:trHeight w:val="990"/>
        </w:trPr>
        <w:tc>
          <w:tcPr>
            <w:tcW w:w="342" w:type="dxa"/>
          </w:tcPr>
          <w:p w14:paraId="259A8EB8" w14:textId="77777777" w:rsidR="00091CFA" w:rsidRPr="00F53616" w:rsidRDefault="00091CFA" w:rsidP="00091CFA">
            <w:pPr>
              <w:pStyle w:val="NoSpacing"/>
              <w:rPr>
                <w:rFonts w:ascii="Times New Roman" w:hAnsi="Times New Roman"/>
                <w:sz w:val="26"/>
                <w:szCs w:val="26"/>
              </w:rPr>
            </w:pPr>
          </w:p>
        </w:tc>
        <w:tc>
          <w:tcPr>
            <w:tcW w:w="990" w:type="dxa"/>
            <w:shd w:val="clear" w:color="auto" w:fill="auto"/>
          </w:tcPr>
          <w:p w14:paraId="3561F559" w14:textId="77777777" w:rsidR="00091CFA" w:rsidRPr="00F53616" w:rsidRDefault="00091CFA" w:rsidP="00091CFA">
            <w:pPr>
              <w:pStyle w:val="NoSpacing"/>
              <w:rPr>
                <w:rFonts w:ascii="Times New Roman" w:hAnsi="Times New Roman"/>
                <w:sz w:val="26"/>
                <w:szCs w:val="26"/>
              </w:rPr>
            </w:pPr>
          </w:p>
        </w:tc>
        <w:tc>
          <w:tcPr>
            <w:tcW w:w="8118" w:type="dxa"/>
            <w:shd w:val="clear" w:color="auto" w:fill="auto"/>
          </w:tcPr>
          <w:p w14:paraId="5052B861" w14:textId="77777777" w:rsidR="00091CFA" w:rsidRPr="007E11BA" w:rsidRDefault="00091CFA" w:rsidP="00091CFA">
            <w:pPr>
              <w:rPr>
                <w:rFonts w:ascii="Times New Roman" w:hAnsi="Times New Roman"/>
                <w:sz w:val="26"/>
                <w:szCs w:val="26"/>
              </w:rPr>
            </w:pPr>
            <w:r w:rsidRPr="007E11BA">
              <w:rPr>
                <w:rFonts w:ascii="Times New Roman" w:hAnsi="Times New Roman"/>
                <w:sz w:val="26"/>
                <w:szCs w:val="26"/>
              </w:rPr>
              <w:t>Sole Source procurement procedures were followed in accordance with the Illinois Procurement Code, 30 ILCS 500/20-25.</w:t>
            </w:r>
          </w:p>
          <w:p w14:paraId="6D9C55A9" w14:textId="77777777" w:rsidR="00091CFA" w:rsidRPr="007E11BA" w:rsidRDefault="00091CFA" w:rsidP="00091CFA">
            <w:pPr>
              <w:rPr>
                <w:rFonts w:ascii="Times New Roman" w:hAnsi="Times New Roman"/>
                <w:sz w:val="26"/>
                <w:szCs w:val="26"/>
              </w:rPr>
            </w:pPr>
            <w:r w:rsidRPr="007E11BA">
              <w:rPr>
                <w:rFonts w:ascii="Times New Roman" w:hAnsi="Times New Roman"/>
                <w:sz w:val="26"/>
                <w:szCs w:val="26"/>
              </w:rPr>
              <w:t>This purchase is considered a sole source because items are required for research and no other source can meet the researcher’s documented need.</w:t>
            </w:r>
          </w:p>
          <w:p w14:paraId="0E156101" w14:textId="28D7D357" w:rsidR="00091CFA" w:rsidRPr="007E11BA" w:rsidRDefault="00091CFA" w:rsidP="00091CFA">
            <w:pPr>
              <w:rPr>
                <w:rFonts w:ascii="Times New Roman" w:hAnsi="Times New Roman"/>
                <w:sz w:val="26"/>
                <w:szCs w:val="26"/>
              </w:rPr>
            </w:pPr>
            <w:r w:rsidRPr="007E11BA">
              <w:rPr>
                <w:rFonts w:ascii="Times New Roman" w:hAnsi="Times New Roman"/>
                <w:sz w:val="26"/>
                <w:szCs w:val="26"/>
              </w:rPr>
              <w:t>The MOVPE system will allow for the development of various semiconductor devices composed of single-crystalline thin films and layered structures.  The MOVPE will enable the formation of III-V materials (such as gallium arsenide (GaAs) and indium phosphide (</w:t>
            </w:r>
            <w:proofErr w:type="spellStart"/>
            <w:r w:rsidRPr="007E11BA">
              <w:rPr>
                <w:rFonts w:ascii="Times New Roman" w:hAnsi="Times New Roman"/>
                <w:sz w:val="26"/>
                <w:szCs w:val="26"/>
              </w:rPr>
              <w:t>InP</w:t>
            </w:r>
            <w:proofErr w:type="spellEnd"/>
            <w:r w:rsidRPr="007E11BA">
              <w:rPr>
                <w:rFonts w:ascii="Times New Roman" w:hAnsi="Times New Roman"/>
                <w:sz w:val="26"/>
                <w:szCs w:val="26"/>
              </w:rPr>
              <w:t xml:space="preserve">)) together with 2D materials (such as graphene and transition metal dichalcogenides).  Based on such capability, novel heterostructures can be made and utilized for electronic, optoelectronic, and photonic devices.  The system will also allow fundamental study of novel scientific phenomena involving layered van der Waals materials, bulk thin films, quantum wells, and quantum dots.  University faculty recently submitted a proposal to industry to develop micro-LED displays based on III-V/2D materials, and this MOVPE system is crucial for realizing proposed ideas.  Future proposals for NSF and DARPA for infrared-wavelength optoelectronic devices with new functionalities will be based on </w:t>
            </w:r>
            <w:r w:rsidR="003E5FC5">
              <w:rPr>
                <w:rFonts w:ascii="Times New Roman" w:hAnsi="Times New Roman"/>
                <w:sz w:val="26"/>
                <w:szCs w:val="26"/>
              </w:rPr>
              <w:t>this system's synthesized materials</w:t>
            </w:r>
            <w:r w:rsidRPr="007E11BA">
              <w:rPr>
                <w:rFonts w:ascii="Times New Roman" w:hAnsi="Times New Roman"/>
                <w:sz w:val="26"/>
                <w:szCs w:val="26"/>
              </w:rPr>
              <w:t>.</w:t>
            </w:r>
          </w:p>
          <w:p w14:paraId="4F9504B3" w14:textId="77777777" w:rsidR="00091CFA" w:rsidRPr="00F53616" w:rsidRDefault="00091CFA" w:rsidP="00091CFA">
            <w:pPr>
              <w:pStyle w:val="NoSpacing"/>
              <w:rPr>
                <w:rFonts w:ascii="Times New Roman" w:hAnsi="Times New Roman"/>
                <w:sz w:val="26"/>
                <w:szCs w:val="26"/>
              </w:rPr>
            </w:pPr>
          </w:p>
          <w:p w14:paraId="4902D4C6" w14:textId="1CF23170" w:rsidR="00091CFA" w:rsidRPr="00F53616" w:rsidRDefault="00091CFA" w:rsidP="00091CFA">
            <w:pPr>
              <w:pStyle w:val="NoSpacing"/>
              <w:rPr>
                <w:rFonts w:ascii="Times New Roman" w:hAnsi="Times New Roman"/>
                <w:sz w:val="26"/>
                <w:szCs w:val="26"/>
              </w:rPr>
            </w:pPr>
            <w:r w:rsidRPr="007E11BA">
              <w:rPr>
                <w:rFonts w:ascii="Times New Roman" w:hAnsi="Times New Roman"/>
                <w:b/>
                <w:bCs/>
                <w:sz w:val="26"/>
                <w:szCs w:val="26"/>
              </w:rPr>
              <w:t>Business Enterprise Program (BEP)</w:t>
            </w:r>
            <w:r w:rsidRPr="00F53616">
              <w:rPr>
                <w:rFonts w:ascii="Times New Roman" w:hAnsi="Times New Roman"/>
                <w:sz w:val="26"/>
                <w:szCs w:val="26"/>
              </w:rPr>
              <w:t xml:space="preserve"> goals are not established for contracts </w:t>
            </w:r>
            <w:r w:rsidR="003E5FC5">
              <w:rPr>
                <w:rFonts w:ascii="Times New Roman" w:hAnsi="Times New Roman"/>
                <w:sz w:val="26"/>
                <w:szCs w:val="26"/>
              </w:rPr>
              <w:t>that</w:t>
            </w:r>
            <w:r w:rsidRPr="00F53616">
              <w:rPr>
                <w:rFonts w:ascii="Times New Roman" w:hAnsi="Times New Roman"/>
                <w:sz w:val="26"/>
                <w:szCs w:val="26"/>
              </w:rPr>
              <w:t xml:space="preserve"> are exempt from the competitive solicitation process requirements of the IL Procurement Code.</w:t>
            </w:r>
          </w:p>
          <w:p w14:paraId="1DF728E4" w14:textId="342F0E6D" w:rsidR="00091CFA" w:rsidRPr="00F53616" w:rsidRDefault="00091CFA" w:rsidP="00091CFA">
            <w:pPr>
              <w:rPr>
                <w:rFonts w:ascii="Times New Roman" w:hAnsi="Times New Roman"/>
                <w:sz w:val="26"/>
                <w:szCs w:val="26"/>
              </w:rPr>
            </w:pPr>
          </w:p>
        </w:tc>
      </w:tr>
      <w:tr w:rsidR="00091CFA" w:rsidRPr="00353536" w14:paraId="314337C2" w14:textId="77777777" w:rsidTr="0009228A">
        <w:trPr>
          <w:trHeight w:val="150"/>
        </w:trPr>
        <w:tc>
          <w:tcPr>
            <w:tcW w:w="342" w:type="dxa"/>
          </w:tcPr>
          <w:p w14:paraId="28A9E94F" w14:textId="77777777" w:rsidR="00091CFA" w:rsidRPr="00F53616" w:rsidRDefault="00091CFA" w:rsidP="00091CFA">
            <w:pPr>
              <w:pStyle w:val="NoSpacing"/>
              <w:rPr>
                <w:rFonts w:ascii="Times New Roman" w:hAnsi="Times New Roman"/>
                <w:sz w:val="26"/>
                <w:szCs w:val="26"/>
              </w:rPr>
            </w:pPr>
          </w:p>
        </w:tc>
        <w:tc>
          <w:tcPr>
            <w:tcW w:w="990" w:type="dxa"/>
            <w:shd w:val="clear" w:color="auto" w:fill="auto"/>
          </w:tcPr>
          <w:p w14:paraId="19683399" w14:textId="77777777" w:rsidR="00091CFA" w:rsidRPr="00F53616" w:rsidRDefault="00091CFA" w:rsidP="00091CFA">
            <w:pPr>
              <w:pStyle w:val="NoSpacing"/>
              <w:rPr>
                <w:rFonts w:ascii="Times New Roman" w:hAnsi="Times New Roman"/>
                <w:sz w:val="26"/>
                <w:szCs w:val="26"/>
              </w:rPr>
            </w:pPr>
          </w:p>
        </w:tc>
        <w:tc>
          <w:tcPr>
            <w:tcW w:w="8118" w:type="dxa"/>
            <w:shd w:val="clear" w:color="auto" w:fill="auto"/>
          </w:tcPr>
          <w:p w14:paraId="4D903B64" w14:textId="77777777" w:rsidR="00091CFA" w:rsidRPr="00075885" w:rsidRDefault="00091CFA" w:rsidP="00091CFA">
            <w:pPr>
              <w:spacing w:after="0" w:line="240" w:lineRule="auto"/>
              <w:ind w:left="1478"/>
              <w:rPr>
                <w:rFonts w:ascii="Times New Roman" w:hAnsi="Times New Roman"/>
                <w:sz w:val="26"/>
                <w:szCs w:val="26"/>
              </w:rPr>
            </w:pPr>
          </w:p>
        </w:tc>
      </w:tr>
      <w:tr w:rsidR="00091CFA" w:rsidRPr="00353536" w14:paraId="6FAD3153" w14:textId="77777777" w:rsidTr="0009228A">
        <w:trPr>
          <w:trHeight w:val="150"/>
        </w:trPr>
        <w:tc>
          <w:tcPr>
            <w:tcW w:w="342" w:type="dxa"/>
            <w:tcBorders>
              <w:bottom w:val="double" w:sz="4" w:space="0" w:color="auto"/>
            </w:tcBorders>
          </w:tcPr>
          <w:p w14:paraId="414628F7" w14:textId="56A69017" w:rsidR="00091CFA" w:rsidRPr="00381F6B" w:rsidRDefault="00834684" w:rsidP="00381F6B">
            <w:pPr>
              <w:pStyle w:val="Heading3"/>
              <w:spacing w:before="0" w:line="240" w:lineRule="auto"/>
              <w:rPr>
                <w:rFonts w:ascii="Times New Roman" w:hAnsi="Times New Roman" w:cs="Times New Roman"/>
                <w:color w:val="auto"/>
                <w:sz w:val="26"/>
                <w:szCs w:val="26"/>
              </w:rPr>
            </w:pPr>
            <w:r w:rsidRPr="00381F6B">
              <w:rPr>
                <w:rFonts w:ascii="Times New Roman" w:hAnsi="Times New Roman" w:cs="Times New Roman"/>
                <w:color w:val="auto"/>
                <w:sz w:val="26"/>
                <w:szCs w:val="26"/>
              </w:rPr>
              <w:t>4</w:t>
            </w:r>
          </w:p>
        </w:tc>
        <w:tc>
          <w:tcPr>
            <w:tcW w:w="990" w:type="dxa"/>
            <w:tcBorders>
              <w:bottom w:val="double" w:sz="4" w:space="0" w:color="auto"/>
            </w:tcBorders>
            <w:shd w:val="clear" w:color="auto" w:fill="auto"/>
          </w:tcPr>
          <w:p w14:paraId="3B9E5490" w14:textId="4969B5B4" w:rsidR="00091CFA" w:rsidRPr="00381F6B" w:rsidRDefault="00091CFA" w:rsidP="00381F6B">
            <w:pPr>
              <w:pStyle w:val="Heading3"/>
              <w:spacing w:before="0" w:line="240" w:lineRule="auto"/>
              <w:rPr>
                <w:rFonts w:ascii="Times New Roman" w:hAnsi="Times New Roman" w:cs="Times New Roman"/>
                <w:color w:val="auto"/>
                <w:sz w:val="26"/>
                <w:szCs w:val="26"/>
              </w:rPr>
            </w:pPr>
            <w:r w:rsidRPr="00381F6B">
              <w:rPr>
                <w:rFonts w:ascii="Times New Roman" w:hAnsi="Times New Roman" w:cs="Times New Roman"/>
                <w:color w:val="auto"/>
                <w:sz w:val="26"/>
                <w:szCs w:val="26"/>
              </w:rPr>
              <w:t>Unit</w:t>
            </w:r>
          </w:p>
        </w:tc>
        <w:tc>
          <w:tcPr>
            <w:tcW w:w="8118" w:type="dxa"/>
            <w:tcBorders>
              <w:bottom w:val="double" w:sz="4" w:space="0" w:color="auto"/>
            </w:tcBorders>
            <w:shd w:val="clear" w:color="auto" w:fill="auto"/>
          </w:tcPr>
          <w:p w14:paraId="441EE111" w14:textId="271F64A4" w:rsidR="00091CFA" w:rsidRPr="00381F6B" w:rsidRDefault="00091CFA" w:rsidP="00381F6B">
            <w:pPr>
              <w:pStyle w:val="Heading3"/>
              <w:spacing w:before="0" w:line="240" w:lineRule="auto"/>
              <w:rPr>
                <w:rFonts w:ascii="Times New Roman" w:eastAsia="Times New Roman" w:hAnsi="Times New Roman" w:cs="Times New Roman"/>
                <w:b/>
                <w:color w:val="auto"/>
                <w:sz w:val="26"/>
                <w:szCs w:val="26"/>
              </w:rPr>
            </w:pPr>
            <w:r w:rsidRPr="00381F6B">
              <w:rPr>
                <w:rFonts w:ascii="Times New Roman" w:hAnsi="Times New Roman" w:cs="Times New Roman"/>
                <w:color w:val="auto"/>
                <w:sz w:val="26"/>
                <w:szCs w:val="26"/>
              </w:rPr>
              <w:t>University Library</w:t>
            </w:r>
          </w:p>
        </w:tc>
      </w:tr>
      <w:tr w:rsidR="00091CFA" w:rsidRPr="00353536" w14:paraId="56000687" w14:textId="77777777" w:rsidTr="0009228A">
        <w:trPr>
          <w:trHeight w:val="150"/>
        </w:trPr>
        <w:tc>
          <w:tcPr>
            <w:tcW w:w="342" w:type="dxa"/>
            <w:tcBorders>
              <w:top w:val="double" w:sz="4" w:space="0" w:color="auto"/>
            </w:tcBorders>
          </w:tcPr>
          <w:p w14:paraId="3242B2D0" w14:textId="77777777" w:rsidR="00091CFA" w:rsidRPr="00F53616" w:rsidRDefault="00091CFA" w:rsidP="00091CFA">
            <w:pPr>
              <w:pStyle w:val="NoSpacing"/>
              <w:rPr>
                <w:rFonts w:ascii="Times New Roman" w:hAnsi="Times New Roman"/>
                <w:sz w:val="26"/>
                <w:szCs w:val="26"/>
              </w:rPr>
            </w:pPr>
          </w:p>
        </w:tc>
        <w:tc>
          <w:tcPr>
            <w:tcW w:w="990" w:type="dxa"/>
            <w:tcBorders>
              <w:top w:val="double" w:sz="4" w:space="0" w:color="auto"/>
            </w:tcBorders>
            <w:shd w:val="clear" w:color="auto" w:fill="auto"/>
          </w:tcPr>
          <w:p w14:paraId="1E792AD6" w14:textId="77777777" w:rsidR="00091CFA" w:rsidRPr="00F53616" w:rsidRDefault="00091CFA" w:rsidP="00091CFA">
            <w:pPr>
              <w:pStyle w:val="NoSpacing"/>
              <w:rPr>
                <w:rFonts w:ascii="Times New Roman" w:hAnsi="Times New Roman"/>
                <w:sz w:val="26"/>
                <w:szCs w:val="26"/>
              </w:rPr>
            </w:pPr>
          </w:p>
          <w:p w14:paraId="43D29374" w14:textId="296D1B4D" w:rsidR="00091CFA" w:rsidRPr="00F53616" w:rsidRDefault="00091CFA" w:rsidP="00091CFA">
            <w:pPr>
              <w:pStyle w:val="NoSpacing"/>
              <w:rPr>
                <w:rFonts w:ascii="Times New Roman" w:hAnsi="Times New Roman"/>
                <w:sz w:val="26"/>
                <w:szCs w:val="26"/>
              </w:rPr>
            </w:pPr>
            <w:r w:rsidRPr="00F53616">
              <w:rPr>
                <w:rFonts w:ascii="Times New Roman" w:hAnsi="Times New Roman"/>
                <w:sz w:val="26"/>
                <w:szCs w:val="26"/>
              </w:rPr>
              <w:t xml:space="preserve">Item      </w:t>
            </w:r>
          </w:p>
        </w:tc>
        <w:tc>
          <w:tcPr>
            <w:tcW w:w="8118" w:type="dxa"/>
            <w:tcBorders>
              <w:top w:val="double" w:sz="4" w:space="0" w:color="auto"/>
            </w:tcBorders>
            <w:shd w:val="clear" w:color="auto" w:fill="auto"/>
          </w:tcPr>
          <w:p w14:paraId="59BD1E5B" w14:textId="77777777" w:rsidR="00091CFA" w:rsidRPr="00F53616" w:rsidRDefault="00091CFA" w:rsidP="00091CFA">
            <w:pPr>
              <w:pStyle w:val="NoSpacing"/>
              <w:rPr>
                <w:rFonts w:ascii="Times New Roman" w:hAnsi="Times New Roman"/>
                <w:sz w:val="26"/>
                <w:szCs w:val="26"/>
              </w:rPr>
            </w:pPr>
          </w:p>
          <w:p w14:paraId="006FA455" w14:textId="61B22A26" w:rsidR="00091CFA" w:rsidRPr="00353536" w:rsidRDefault="00091CFA" w:rsidP="00091CFA">
            <w:pPr>
              <w:spacing w:after="0" w:line="240" w:lineRule="auto"/>
              <w:rPr>
                <w:rFonts w:ascii="Times New Roman" w:eastAsia="Times New Roman" w:hAnsi="Times New Roman"/>
                <w:b/>
                <w:color w:val="000000"/>
                <w:sz w:val="26"/>
                <w:szCs w:val="26"/>
              </w:rPr>
            </w:pPr>
            <w:r w:rsidRPr="0009228A">
              <w:rPr>
                <w:rFonts w:ascii="Times New Roman" w:hAnsi="Times New Roman"/>
                <w:spacing w:val="-3"/>
                <w:sz w:val="26"/>
                <w:szCs w:val="26"/>
              </w:rPr>
              <w:t xml:space="preserve">Subscription to electronic journals for all three University campus libraries for the period of January 1, </w:t>
            </w:r>
            <w:proofErr w:type="gramStart"/>
            <w:r w:rsidRPr="0009228A">
              <w:rPr>
                <w:rFonts w:ascii="Times New Roman" w:hAnsi="Times New Roman"/>
                <w:spacing w:val="-3"/>
                <w:sz w:val="26"/>
                <w:szCs w:val="26"/>
              </w:rPr>
              <w:t>2024</w:t>
            </w:r>
            <w:proofErr w:type="gramEnd"/>
            <w:r w:rsidRPr="0009228A">
              <w:rPr>
                <w:rFonts w:ascii="Times New Roman" w:hAnsi="Times New Roman"/>
                <w:spacing w:val="-3"/>
                <w:sz w:val="26"/>
                <w:szCs w:val="26"/>
              </w:rPr>
              <w:t xml:space="preserve"> through December 31, 2028.</w:t>
            </w:r>
          </w:p>
        </w:tc>
      </w:tr>
      <w:tr w:rsidR="00091CFA" w:rsidRPr="00353536" w14:paraId="156E60B7" w14:textId="77777777" w:rsidTr="005274CF">
        <w:trPr>
          <w:trHeight w:val="150"/>
        </w:trPr>
        <w:tc>
          <w:tcPr>
            <w:tcW w:w="342" w:type="dxa"/>
          </w:tcPr>
          <w:p w14:paraId="07998497" w14:textId="59FE1609" w:rsidR="00091CFA" w:rsidRPr="00F53616" w:rsidRDefault="00091CFA" w:rsidP="00091CFA">
            <w:pPr>
              <w:pStyle w:val="NoSpacing"/>
              <w:rPr>
                <w:rFonts w:ascii="Times New Roman" w:hAnsi="Times New Roman"/>
                <w:sz w:val="26"/>
                <w:szCs w:val="26"/>
              </w:rPr>
            </w:pPr>
            <w:r w:rsidRPr="00F53616">
              <w:rPr>
                <w:rFonts w:ascii="Times New Roman" w:hAnsi="Times New Roman"/>
                <w:sz w:val="26"/>
                <w:szCs w:val="26"/>
              </w:rPr>
              <w:t xml:space="preserve"> </w:t>
            </w:r>
          </w:p>
        </w:tc>
        <w:tc>
          <w:tcPr>
            <w:tcW w:w="990" w:type="dxa"/>
            <w:shd w:val="clear" w:color="auto" w:fill="auto"/>
          </w:tcPr>
          <w:p w14:paraId="03A03250" w14:textId="77777777" w:rsidR="00091CFA" w:rsidRPr="00F53616" w:rsidRDefault="00091CFA" w:rsidP="00091CFA">
            <w:pPr>
              <w:pStyle w:val="NoSpacing"/>
              <w:rPr>
                <w:rFonts w:ascii="Times New Roman" w:hAnsi="Times New Roman"/>
                <w:sz w:val="26"/>
                <w:szCs w:val="26"/>
              </w:rPr>
            </w:pPr>
          </w:p>
          <w:p w14:paraId="278055F8" w14:textId="33B6CEC7" w:rsidR="00091CFA" w:rsidRPr="00F53616" w:rsidRDefault="00091CFA" w:rsidP="00091CFA">
            <w:pPr>
              <w:pStyle w:val="NoSpacing"/>
              <w:rPr>
                <w:rFonts w:ascii="Times New Roman" w:hAnsi="Times New Roman"/>
                <w:sz w:val="26"/>
                <w:szCs w:val="26"/>
              </w:rPr>
            </w:pPr>
            <w:r w:rsidRPr="00F53616">
              <w:rPr>
                <w:rFonts w:ascii="Times New Roman" w:hAnsi="Times New Roman"/>
                <w:sz w:val="26"/>
                <w:szCs w:val="26"/>
              </w:rPr>
              <w:t>Cost</w:t>
            </w:r>
          </w:p>
        </w:tc>
        <w:tc>
          <w:tcPr>
            <w:tcW w:w="8118" w:type="dxa"/>
            <w:shd w:val="clear" w:color="auto" w:fill="auto"/>
          </w:tcPr>
          <w:p w14:paraId="0727661D" w14:textId="77777777" w:rsidR="00091CFA" w:rsidRPr="00F53616" w:rsidRDefault="00091CFA" w:rsidP="00091CFA">
            <w:pPr>
              <w:pStyle w:val="NoSpacing"/>
              <w:rPr>
                <w:rFonts w:ascii="Times New Roman" w:hAnsi="Times New Roman"/>
                <w:sz w:val="26"/>
                <w:szCs w:val="26"/>
              </w:rPr>
            </w:pPr>
          </w:p>
          <w:p w14:paraId="4C874A02" w14:textId="77777777" w:rsidR="00091CFA" w:rsidRDefault="00091CFA" w:rsidP="00091CFA">
            <w:pPr>
              <w:spacing w:after="0" w:line="240" w:lineRule="auto"/>
              <w:rPr>
                <w:rFonts w:ascii="Times New Roman" w:hAnsi="Times New Roman"/>
                <w:spacing w:val="-3"/>
                <w:sz w:val="26"/>
                <w:szCs w:val="26"/>
              </w:rPr>
            </w:pPr>
            <w:r w:rsidRPr="00F53616">
              <w:rPr>
                <w:rFonts w:ascii="Times New Roman" w:hAnsi="Times New Roman"/>
                <w:spacing w:val="-3"/>
                <w:sz w:val="26"/>
                <w:szCs w:val="26"/>
              </w:rPr>
              <w:t>$2</w:t>
            </w:r>
            <w:r>
              <w:rPr>
                <w:rFonts w:ascii="Times New Roman" w:hAnsi="Times New Roman"/>
                <w:spacing w:val="-3"/>
                <w:sz w:val="26"/>
                <w:szCs w:val="26"/>
              </w:rPr>
              <w:t>2,510,980 (estimated)</w:t>
            </w:r>
          </w:p>
          <w:p w14:paraId="016EDF05" w14:textId="690A3FA9" w:rsidR="00934FC6" w:rsidRPr="00353536" w:rsidRDefault="00934FC6" w:rsidP="00091CFA">
            <w:pPr>
              <w:spacing w:after="0" w:line="240" w:lineRule="auto"/>
              <w:rPr>
                <w:rFonts w:ascii="Times New Roman" w:eastAsia="Times New Roman" w:hAnsi="Times New Roman"/>
                <w:b/>
                <w:color w:val="000000"/>
                <w:sz w:val="26"/>
                <w:szCs w:val="26"/>
              </w:rPr>
            </w:pPr>
          </w:p>
        </w:tc>
      </w:tr>
      <w:tr w:rsidR="00934FC6" w:rsidRPr="00353536" w14:paraId="305870E5" w14:textId="77777777" w:rsidTr="005274CF">
        <w:trPr>
          <w:trHeight w:val="150"/>
        </w:trPr>
        <w:tc>
          <w:tcPr>
            <w:tcW w:w="342" w:type="dxa"/>
          </w:tcPr>
          <w:p w14:paraId="6DAC217B" w14:textId="77777777" w:rsidR="00934FC6" w:rsidRPr="00F53616" w:rsidRDefault="00934FC6" w:rsidP="00091CFA">
            <w:pPr>
              <w:pStyle w:val="NoSpacing"/>
              <w:rPr>
                <w:rFonts w:ascii="Times New Roman" w:hAnsi="Times New Roman"/>
                <w:sz w:val="26"/>
                <w:szCs w:val="26"/>
              </w:rPr>
            </w:pPr>
          </w:p>
        </w:tc>
        <w:tc>
          <w:tcPr>
            <w:tcW w:w="990" w:type="dxa"/>
            <w:shd w:val="clear" w:color="auto" w:fill="auto"/>
          </w:tcPr>
          <w:p w14:paraId="7F8D6EBB" w14:textId="58E05C92" w:rsidR="00934FC6" w:rsidRPr="00F53616" w:rsidRDefault="00934FC6" w:rsidP="00091CFA">
            <w:pPr>
              <w:pStyle w:val="NoSpacing"/>
              <w:rPr>
                <w:rFonts w:ascii="Times New Roman" w:hAnsi="Times New Roman"/>
                <w:sz w:val="26"/>
                <w:szCs w:val="26"/>
              </w:rPr>
            </w:pPr>
            <w:r>
              <w:rPr>
                <w:rFonts w:ascii="Times New Roman" w:hAnsi="Times New Roman"/>
                <w:sz w:val="26"/>
                <w:szCs w:val="26"/>
              </w:rPr>
              <w:t>Vendor</w:t>
            </w:r>
          </w:p>
        </w:tc>
        <w:tc>
          <w:tcPr>
            <w:tcW w:w="8118" w:type="dxa"/>
            <w:shd w:val="clear" w:color="auto" w:fill="auto"/>
          </w:tcPr>
          <w:p w14:paraId="6FDDF04B" w14:textId="1E6E5D01" w:rsidR="00934FC6" w:rsidRPr="00795EBC" w:rsidRDefault="00934FC6" w:rsidP="00091CFA">
            <w:pPr>
              <w:rPr>
                <w:rFonts w:ascii="Times New Roman" w:eastAsia="Times New Roman" w:hAnsi="Times New Roman"/>
                <w:bCs/>
                <w:iCs/>
                <w:sz w:val="26"/>
                <w:szCs w:val="26"/>
              </w:rPr>
            </w:pPr>
            <w:r>
              <w:rPr>
                <w:rFonts w:ascii="Times New Roman" w:eastAsia="Times New Roman" w:hAnsi="Times New Roman"/>
                <w:bCs/>
                <w:iCs/>
                <w:sz w:val="26"/>
                <w:szCs w:val="26"/>
              </w:rPr>
              <w:t>Elsevier B.V.                                                           Amsterdam, Netherlands</w:t>
            </w:r>
          </w:p>
        </w:tc>
      </w:tr>
      <w:tr w:rsidR="00091CFA" w:rsidRPr="00353536" w14:paraId="76979B6C" w14:textId="77777777" w:rsidTr="005274CF">
        <w:trPr>
          <w:trHeight w:val="150"/>
        </w:trPr>
        <w:tc>
          <w:tcPr>
            <w:tcW w:w="342" w:type="dxa"/>
          </w:tcPr>
          <w:p w14:paraId="10350B94" w14:textId="77777777" w:rsidR="00091CFA" w:rsidRPr="00F53616" w:rsidRDefault="00091CFA" w:rsidP="00091CFA">
            <w:pPr>
              <w:pStyle w:val="NoSpacing"/>
              <w:rPr>
                <w:rFonts w:ascii="Times New Roman" w:hAnsi="Times New Roman"/>
                <w:sz w:val="26"/>
                <w:szCs w:val="26"/>
              </w:rPr>
            </w:pPr>
          </w:p>
        </w:tc>
        <w:tc>
          <w:tcPr>
            <w:tcW w:w="990" w:type="dxa"/>
            <w:shd w:val="clear" w:color="auto" w:fill="auto"/>
          </w:tcPr>
          <w:p w14:paraId="5E09DAD8" w14:textId="77777777" w:rsidR="00091CFA" w:rsidRPr="00F53616" w:rsidRDefault="00091CFA" w:rsidP="00091CFA">
            <w:pPr>
              <w:pStyle w:val="NoSpacing"/>
              <w:rPr>
                <w:rFonts w:ascii="Times New Roman" w:hAnsi="Times New Roman"/>
                <w:sz w:val="26"/>
                <w:szCs w:val="26"/>
              </w:rPr>
            </w:pPr>
          </w:p>
        </w:tc>
        <w:tc>
          <w:tcPr>
            <w:tcW w:w="8118" w:type="dxa"/>
            <w:shd w:val="clear" w:color="auto" w:fill="auto"/>
          </w:tcPr>
          <w:p w14:paraId="61722DA0" w14:textId="77777777" w:rsidR="00091CFA" w:rsidRPr="00795EBC" w:rsidRDefault="00091CFA" w:rsidP="00091CFA">
            <w:pPr>
              <w:rPr>
                <w:rFonts w:ascii="Times New Roman" w:eastAsia="Times New Roman" w:hAnsi="Times New Roman"/>
                <w:bCs/>
                <w:iCs/>
                <w:sz w:val="26"/>
                <w:szCs w:val="26"/>
              </w:rPr>
            </w:pPr>
            <w:r w:rsidRPr="00795EBC">
              <w:rPr>
                <w:rFonts w:ascii="Times New Roman" w:eastAsia="Times New Roman" w:hAnsi="Times New Roman"/>
                <w:bCs/>
                <w:iCs/>
                <w:sz w:val="26"/>
                <w:szCs w:val="26"/>
              </w:rPr>
              <w:t>This purchase is exempt from the usual selection processes of the Procurement Code because the procurement expenditure is for periodicals, books, subscriptions, database licenses, and other publications procured for use by a university library or academic department, per (30 ILCS 500 / 1-13(b)(3)).</w:t>
            </w:r>
          </w:p>
          <w:p w14:paraId="744D2B03" w14:textId="77777777" w:rsidR="00091CFA" w:rsidRPr="00795EBC" w:rsidRDefault="00091CFA" w:rsidP="00091CFA">
            <w:pPr>
              <w:pStyle w:val="BodyText"/>
              <w:spacing w:after="0"/>
              <w:ind w:left="186" w:right="15"/>
              <w:rPr>
                <w:bCs/>
                <w:iCs/>
                <w:sz w:val="26"/>
                <w:szCs w:val="26"/>
              </w:rPr>
            </w:pPr>
          </w:p>
          <w:p w14:paraId="4F7814C4" w14:textId="77777777" w:rsidR="00091CFA" w:rsidRPr="00795EBC" w:rsidRDefault="00091CFA" w:rsidP="00091CFA">
            <w:pPr>
              <w:rPr>
                <w:rFonts w:ascii="Times New Roman" w:eastAsia="Times New Roman" w:hAnsi="Times New Roman"/>
                <w:bCs/>
                <w:iCs/>
                <w:sz w:val="26"/>
                <w:szCs w:val="26"/>
              </w:rPr>
            </w:pPr>
            <w:r w:rsidRPr="00795EBC">
              <w:rPr>
                <w:rFonts w:ascii="Times New Roman" w:eastAsia="Times New Roman" w:hAnsi="Times New Roman"/>
                <w:bCs/>
                <w:iCs/>
                <w:sz w:val="26"/>
                <w:szCs w:val="26"/>
              </w:rPr>
              <w:t xml:space="preserve">This subscription provides electronic access to more than 2,000 core journals and books in science, technology, and medicine.  This content is essential to research and teaching in the medical, physical, life and social science programs at all three universities.  </w:t>
            </w:r>
          </w:p>
          <w:p w14:paraId="4CC174A6" w14:textId="77777777" w:rsidR="00091CFA" w:rsidRPr="00795EBC" w:rsidRDefault="00091CFA" w:rsidP="00091CFA">
            <w:pPr>
              <w:rPr>
                <w:rFonts w:ascii="Times New Roman" w:eastAsia="Times New Roman" w:hAnsi="Times New Roman"/>
                <w:bCs/>
                <w:iCs/>
                <w:sz w:val="26"/>
                <w:szCs w:val="26"/>
              </w:rPr>
            </w:pPr>
          </w:p>
          <w:p w14:paraId="34A4EF27" w14:textId="77777777" w:rsidR="00091CFA" w:rsidRPr="00795EBC" w:rsidRDefault="00091CFA" w:rsidP="00091CFA">
            <w:pPr>
              <w:pStyle w:val="BodyText"/>
              <w:spacing w:after="0"/>
              <w:rPr>
                <w:bCs/>
                <w:iCs/>
                <w:sz w:val="26"/>
                <w:szCs w:val="26"/>
              </w:rPr>
            </w:pPr>
            <w:r w:rsidRPr="00795EBC">
              <w:rPr>
                <w:bCs/>
                <w:iCs/>
                <w:sz w:val="26"/>
                <w:szCs w:val="26"/>
              </w:rPr>
              <w:t xml:space="preserve">A notice will be published in the Illinois Procurement Bulletin for Public Institutions of Higher Education within 14 days of the execution of this contract after receipt of Board of Trustees approval for this purchase. </w:t>
            </w:r>
          </w:p>
          <w:p w14:paraId="6637D6B0" w14:textId="77777777" w:rsidR="00091CFA" w:rsidRPr="00795EBC" w:rsidRDefault="00091CFA" w:rsidP="00091CFA">
            <w:pPr>
              <w:pStyle w:val="BodyText"/>
              <w:spacing w:after="0"/>
              <w:rPr>
                <w:bCs/>
                <w:iCs/>
                <w:sz w:val="26"/>
                <w:szCs w:val="26"/>
              </w:rPr>
            </w:pPr>
          </w:p>
          <w:p w14:paraId="59D1B43F" w14:textId="77777777" w:rsidR="00091CFA" w:rsidRPr="00795EBC" w:rsidRDefault="00091CFA" w:rsidP="00091CFA">
            <w:pPr>
              <w:pStyle w:val="NoSpacing"/>
              <w:rPr>
                <w:rFonts w:ascii="Times New Roman" w:hAnsi="Times New Roman"/>
                <w:sz w:val="26"/>
                <w:szCs w:val="26"/>
              </w:rPr>
            </w:pPr>
            <w:r w:rsidRPr="00795EBC">
              <w:rPr>
                <w:rFonts w:ascii="Times New Roman" w:hAnsi="Times New Roman"/>
                <w:b/>
                <w:bCs/>
                <w:sz w:val="26"/>
                <w:szCs w:val="26"/>
              </w:rPr>
              <w:t>Business Enterprise Program (BEP)</w:t>
            </w:r>
            <w:r w:rsidRPr="00795EBC">
              <w:rPr>
                <w:rFonts w:ascii="Times New Roman" w:hAnsi="Times New Roman"/>
                <w:sz w:val="26"/>
                <w:szCs w:val="26"/>
              </w:rPr>
              <w:t xml:space="preserve"> goals are not established for contracts which are exempt from the competitive solicitation process requirements of the IL Procurement Code.</w:t>
            </w:r>
          </w:p>
          <w:p w14:paraId="3B1D8582" w14:textId="77777777" w:rsidR="00091CFA" w:rsidRPr="00795EBC" w:rsidRDefault="00091CFA" w:rsidP="00091CFA">
            <w:pPr>
              <w:spacing w:after="0" w:line="240" w:lineRule="auto"/>
              <w:rPr>
                <w:rFonts w:ascii="Times New Roman" w:eastAsia="Times New Roman" w:hAnsi="Times New Roman"/>
                <w:b/>
                <w:color w:val="000000"/>
                <w:sz w:val="26"/>
                <w:szCs w:val="26"/>
              </w:rPr>
            </w:pPr>
          </w:p>
        </w:tc>
      </w:tr>
      <w:tr w:rsidR="00091CFA" w:rsidRPr="00353536" w14:paraId="0C708581" w14:textId="77777777" w:rsidTr="005274CF">
        <w:trPr>
          <w:trHeight w:val="150"/>
        </w:trPr>
        <w:tc>
          <w:tcPr>
            <w:tcW w:w="342" w:type="dxa"/>
          </w:tcPr>
          <w:p w14:paraId="1E9266DC" w14:textId="77777777" w:rsidR="00091CFA" w:rsidRPr="00F53616" w:rsidRDefault="00091CFA" w:rsidP="00091CFA">
            <w:pPr>
              <w:pStyle w:val="NoSpacing"/>
              <w:rPr>
                <w:rFonts w:ascii="Times New Roman" w:hAnsi="Times New Roman"/>
                <w:sz w:val="26"/>
                <w:szCs w:val="26"/>
              </w:rPr>
            </w:pPr>
          </w:p>
        </w:tc>
        <w:tc>
          <w:tcPr>
            <w:tcW w:w="990" w:type="dxa"/>
            <w:shd w:val="clear" w:color="auto" w:fill="auto"/>
          </w:tcPr>
          <w:p w14:paraId="7180CB87" w14:textId="77777777" w:rsidR="00091CFA" w:rsidRPr="00F53616" w:rsidRDefault="00091CFA" w:rsidP="00091CFA">
            <w:pPr>
              <w:pStyle w:val="NoSpacing"/>
              <w:rPr>
                <w:rFonts w:ascii="Times New Roman" w:hAnsi="Times New Roman"/>
                <w:sz w:val="26"/>
                <w:szCs w:val="26"/>
              </w:rPr>
            </w:pPr>
          </w:p>
        </w:tc>
        <w:tc>
          <w:tcPr>
            <w:tcW w:w="8118" w:type="dxa"/>
            <w:shd w:val="clear" w:color="auto" w:fill="auto"/>
          </w:tcPr>
          <w:p w14:paraId="750CF06D" w14:textId="77777777" w:rsidR="00091CFA" w:rsidRPr="00353536" w:rsidRDefault="00091CFA" w:rsidP="00091CFA">
            <w:pPr>
              <w:spacing w:after="0" w:line="240" w:lineRule="auto"/>
              <w:ind w:left="1478"/>
              <w:rPr>
                <w:rFonts w:ascii="Times New Roman" w:eastAsia="Times New Roman" w:hAnsi="Times New Roman"/>
                <w:b/>
                <w:color w:val="000000"/>
                <w:sz w:val="26"/>
                <w:szCs w:val="26"/>
              </w:rPr>
            </w:pPr>
          </w:p>
        </w:tc>
      </w:tr>
      <w:tr w:rsidR="00091CFA" w:rsidRPr="00353536" w14:paraId="65A9F940" w14:textId="77777777" w:rsidTr="005274CF">
        <w:trPr>
          <w:trHeight w:val="150"/>
        </w:trPr>
        <w:tc>
          <w:tcPr>
            <w:tcW w:w="342" w:type="dxa"/>
          </w:tcPr>
          <w:p w14:paraId="7574A388" w14:textId="77777777" w:rsidR="00091CFA" w:rsidRPr="00F53616" w:rsidRDefault="00091CFA" w:rsidP="00091CFA">
            <w:pPr>
              <w:pStyle w:val="NoSpacing"/>
              <w:rPr>
                <w:rFonts w:ascii="Times New Roman" w:hAnsi="Times New Roman"/>
                <w:sz w:val="26"/>
                <w:szCs w:val="26"/>
              </w:rPr>
            </w:pPr>
          </w:p>
        </w:tc>
        <w:tc>
          <w:tcPr>
            <w:tcW w:w="990" w:type="dxa"/>
            <w:shd w:val="clear" w:color="auto" w:fill="auto"/>
          </w:tcPr>
          <w:p w14:paraId="16B286C7" w14:textId="77777777" w:rsidR="00091CFA" w:rsidRPr="00F53616" w:rsidRDefault="00091CFA" w:rsidP="00091CFA">
            <w:pPr>
              <w:pStyle w:val="NoSpacing"/>
              <w:rPr>
                <w:rFonts w:ascii="Times New Roman" w:hAnsi="Times New Roman"/>
                <w:sz w:val="26"/>
                <w:szCs w:val="26"/>
              </w:rPr>
            </w:pPr>
          </w:p>
        </w:tc>
        <w:tc>
          <w:tcPr>
            <w:tcW w:w="8118" w:type="dxa"/>
            <w:shd w:val="clear" w:color="auto" w:fill="auto"/>
          </w:tcPr>
          <w:p w14:paraId="23D8C343" w14:textId="77777777" w:rsidR="00091CFA" w:rsidRPr="00381F6B" w:rsidRDefault="00091CFA" w:rsidP="00381F6B">
            <w:pPr>
              <w:pStyle w:val="Heading2"/>
              <w:spacing w:before="0" w:after="0"/>
              <w:jc w:val="center"/>
              <w:rPr>
                <w:rFonts w:ascii="Times New Roman" w:hAnsi="Times New Roman"/>
                <w:i w:val="0"/>
                <w:iCs w:val="0"/>
                <w:sz w:val="26"/>
                <w:szCs w:val="26"/>
              </w:rPr>
            </w:pPr>
            <w:r w:rsidRPr="00381F6B">
              <w:rPr>
                <w:rFonts w:ascii="Times New Roman" w:hAnsi="Times New Roman"/>
                <w:i w:val="0"/>
                <w:iCs w:val="0"/>
                <w:sz w:val="26"/>
                <w:szCs w:val="26"/>
              </w:rPr>
              <w:t>RENEWAL OPTIONS RECOMMENDED</w:t>
            </w:r>
          </w:p>
          <w:p w14:paraId="59E94932" w14:textId="6BC947EA" w:rsidR="00091CFA" w:rsidRPr="00F53616" w:rsidRDefault="00091CFA" w:rsidP="00091CFA">
            <w:pPr>
              <w:pStyle w:val="NoSpacing"/>
              <w:rPr>
                <w:rFonts w:ascii="Times New Roman" w:hAnsi="Times New Roman"/>
                <w:sz w:val="26"/>
                <w:szCs w:val="26"/>
              </w:rPr>
            </w:pPr>
          </w:p>
        </w:tc>
      </w:tr>
      <w:tr w:rsidR="00091CFA" w:rsidRPr="00353536" w14:paraId="74B5F702" w14:textId="77777777" w:rsidTr="007E11BA">
        <w:trPr>
          <w:trHeight w:val="150"/>
        </w:trPr>
        <w:tc>
          <w:tcPr>
            <w:tcW w:w="9450" w:type="dxa"/>
            <w:gridSpan w:val="3"/>
          </w:tcPr>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091CFA" w:rsidRPr="00353536" w14:paraId="09163948" w14:textId="77777777" w:rsidTr="001C0C66">
              <w:trPr>
                <w:trHeight w:val="114"/>
              </w:trPr>
              <w:tc>
                <w:tcPr>
                  <w:tcW w:w="9454" w:type="dxa"/>
                  <w:tcBorders>
                    <w:top w:val="single" w:sz="18" w:space="0" w:color="auto"/>
                    <w:bottom w:val="single" w:sz="18" w:space="0" w:color="auto"/>
                  </w:tcBorders>
                </w:tcPr>
                <w:p w14:paraId="03B9C70F" w14:textId="3120B9C0" w:rsidR="00091CFA" w:rsidRPr="00353536" w:rsidRDefault="00091CFA" w:rsidP="00091CFA">
                  <w:pPr>
                    <w:tabs>
                      <w:tab w:val="left" w:pos="-720"/>
                      <w:tab w:val="left" w:pos="9090"/>
                    </w:tabs>
                    <w:suppressAutoHyphens/>
                    <w:overflowPunct w:val="0"/>
                    <w:autoSpaceDE w:val="0"/>
                    <w:autoSpaceDN w:val="0"/>
                    <w:adjustRightInd w:val="0"/>
                    <w:spacing w:after="0" w:line="240" w:lineRule="auto"/>
                    <w:jc w:val="center"/>
                    <w:textAlignment w:val="baseline"/>
                    <w:rPr>
                      <w:rFonts w:ascii="Times New Roman" w:eastAsia="Times New Roman" w:hAnsi="Times New Roman"/>
                      <w:b/>
                      <w:sz w:val="26"/>
                      <w:szCs w:val="26"/>
                    </w:rPr>
                  </w:pPr>
                  <w:r w:rsidRPr="00353536">
                    <w:rPr>
                      <w:rFonts w:ascii="Times New Roman" w:eastAsia="Times New Roman" w:hAnsi="Times New Roman"/>
                      <w:b/>
                      <w:sz w:val="26"/>
                      <w:szCs w:val="26"/>
                    </w:rPr>
                    <w:t xml:space="preserve">University of Illinois </w:t>
                  </w:r>
                  <w:r>
                    <w:rPr>
                      <w:rFonts w:ascii="Times New Roman" w:eastAsia="Times New Roman" w:hAnsi="Times New Roman"/>
                      <w:b/>
                      <w:sz w:val="26"/>
                      <w:szCs w:val="26"/>
                    </w:rPr>
                    <w:t>at Urbana-Champaign</w:t>
                  </w:r>
                </w:p>
              </w:tc>
            </w:tr>
          </w:tbl>
          <w:p w14:paraId="6E48AA30" w14:textId="0B1F13BC" w:rsidR="00091CFA" w:rsidRPr="007E11BA" w:rsidRDefault="00091CFA" w:rsidP="00091CFA">
            <w:pPr>
              <w:pStyle w:val="NoSpacing"/>
              <w:jc w:val="both"/>
              <w:rPr>
                <w:rFonts w:ascii="Times New Roman" w:hAnsi="Times New Roman"/>
                <w:sz w:val="26"/>
                <w:szCs w:val="26"/>
              </w:rPr>
            </w:pPr>
          </w:p>
        </w:tc>
      </w:tr>
      <w:tr w:rsidR="00091CFA" w:rsidRPr="00353536" w14:paraId="763E2952" w14:textId="77777777" w:rsidTr="007E11BA">
        <w:trPr>
          <w:trHeight w:val="150"/>
        </w:trPr>
        <w:tc>
          <w:tcPr>
            <w:tcW w:w="342" w:type="dxa"/>
            <w:tcBorders>
              <w:bottom w:val="double" w:sz="4" w:space="0" w:color="auto"/>
            </w:tcBorders>
          </w:tcPr>
          <w:p w14:paraId="10A96993" w14:textId="4DEBA9FD" w:rsidR="00091CFA" w:rsidRPr="00381F6B" w:rsidRDefault="00834684" w:rsidP="00381F6B">
            <w:pPr>
              <w:pStyle w:val="Heading3"/>
              <w:spacing w:before="0" w:line="240" w:lineRule="auto"/>
              <w:rPr>
                <w:rFonts w:ascii="Times New Roman" w:hAnsi="Times New Roman" w:cs="Times New Roman"/>
                <w:color w:val="auto"/>
                <w:sz w:val="26"/>
                <w:szCs w:val="26"/>
              </w:rPr>
            </w:pPr>
            <w:r w:rsidRPr="00381F6B">
              <w:rPr>
                <w:rFonts w:ascii="Times New Roman" w:hAnsi="Times New Roman" w:cs="Times New Roman"/>
                <w:color w:val="auto"/>
                <w:sz w:val="26"/>
                <w:szCs w:val="26"/>
              </w:rPr>
              <w:t>5</w:t>
            </w:r>
          </w:p>
        </w:tc>
        <w:tc>
          <w:tcPr>
            <w:tcW w:w="990" w:type="dxa"/>
            <w:tcBorders>
              <w:bottom w:val="double" w:sz="4" w:space="0" w:color="auto"/>
            </w:tcBorders>
            <w:shd w:val="clear" w:color="auto" w:fill="auto"/>
          </w:tcPr>
          <w:p w14:paraId="4E43F336" w14:textId="2F1B6E3A" w:rsidR="00091CFA" w:rsidRPr="00381F6B" w:rsidRDefault="00091CFA" w:rsidP="00381F6B">
            <w:pPr>
              <w:pStyle w:val="Heading3"/>
              <w:spacing w:before="0" w:line="240" w:lineRule="auto"/>
              <w:rPr>
                <w:rFonts w:ascii="Times New Roman" w:hAnsi="Times New Roman" w:cs="Times New Roman"/>
                <w:color w:val="auto"/>
                <w:sz w:val="26"/>
                <w:szCs w:val="26"/>
              </w:rPr>
            </w:pPr>
            <w:r w:rsidRPr="00381F6B">
              <w:rPr>
                <w:rFonts w:ascii="Times New Roman" w:hAnsi="Times New Roman" w:cs="Times New Roman"/>
                <w:color w:val="auto"/>
                <w:sz w:val="26"/>
                <w:szCs w:val="26"/>
              </w:rPr>
              <w:t>Unit</w:t>
            </w:r>
          </w:p>
        </w:tc>
        <w:tc>
          <w:tcPr>
            <w:tcW w:w="8118" w:type="dxa"/>
            <w:tcBorders>
              <w:bottom w:val="double" w:sz="4" w:space="0" w:color="auto"/>
            </w:tcBorders>
            <w:shd w:val="clear" w:color="auto" w:fill="auto"/>
          </w:tcPr>
          <w:p w14:paraId="1FD62B0C" w14:textId="63941D86" w:rsidR="00091CFA" w:rsidRPr="00381F6B" w:rsidRDefault="00091CFA" w:rsidP="00381F6B">
            <w:pPr>
              <w:pStyle w:val="Heading3"/>
              <w:spacing w:before="0" w:line="240" w:lineRule="auto"/>
              <w:rPr>
                <w:rFonts w:ascii="Times New Roman" w:hAnsi="Times New Roman" w:cs="Times New Roman"/>
                <w:color w:val="auto"/>
                <w:sz w:val="26"/>
                <w:szCs w:val="26"/>
              </w:rPr>
            </w:pPr>
            <w:r w:rsidRPr="00381F6B">
              <w:rPr>
                <w:rFonts w:ascii="Times New Roman" w:hAnsi="Times New Roman" w:cs="Times New Roman"/>
                <w:color w:val="auto"/>
                <w:sz w:val="26"/>
                <w:szCs w:val="26"/>
              </w:rPr>
              <w:t>Department of Atmospheric Sciences</w:t>
            </w:r>
          </w:p>
        </w:tc>
      </w:tr>
      <w:tr w:rsidR="00091CFA" w:rsidRPr="00353536" w14:paraId="75351FC4" w14:textId="77777777" w:rsidTr="007E11BA">
        <w:trPr>
          <w:trHeight w:val="150"/>
        </w:trPr>
        <w:tc>
          <w:tcPr>
            <w:tcW w:w="342" w:type="dxa"/>
            <w:tcBorders>
              <w:top w:val="double" w:sz="4" w:space="0" w:color="auto"/>
            </w:tcBorders>
          </w:tcPr>
          <w:p w14:paraId="79B630D9" w14:textId="77777777" w:rsidR="00091CFA" w:rsidRPr="00F53616" w:rsidRDefault="00091CFA" w:rsidP="00091CFA">
            <w:pPr>
              <w:pStyle w:val="NoSpacing"/>
              <w:rPr>
                <w:rFonts w:ascii="Times New Roman" w:hAnsi="Times New Roman"/>
                <w:sz w:val="26"/>
                <w:szCs w:val="26"/>
              </w:rPr>
            </w:pPr>
          </w:p>
        </w:tc>
        <w:tc>
          <w:tcPr>
            <w:tcW w:w="990" w:type="dxa"/>
            <w:tcBorders>
              <w:top w:val="double" w:sz="4" w:space="0" w:color="auto"/>
            </w:tcBorders>
            <w:shd w:val="clear" w:color="auto" w:fill="auto"/>
          </w:tcPr>
          <w:p w14:paraId="4D8EFF92" w14:textId="77777777" w:rsidR="00091CFA" w:rsidRPr="00353536" w:rsidRDefault="00091CFA" w:rsidP="00091CFA">
            <w:pPr>
              <w:pStyle w:val="NoSpacing"/>
              <w:rPr>
                <w:rFonts w:ascii="Times New Roman" w:hAnsi="Times New Roman"/>
                <w:sz w:val="26"/>
                <w:szCs w:val="26"/>
              </w:rPr>
            </w:pPr>
          </w:p>
          <w:p w14:paraId="5D7CE081" w14:textId="01EF648D" w:rsidR="00091CFA" w:rsidRPr="00F53616" w:rsidRDefault="00091CFA" w:rsidP="00091CFA">
            <w:pPr>
              <w:pStyle w:val="NoSpacing"/>
              <w:rPr>
                <w:rFonts w:ascii="Times New Roman" w:hAnsi="Times New Roman"/>
                <w:sz w:val="26"/>
                <w:szCs w:val="26"/>
              </w:rPr>
            </w:pPr>
            <w:r w:rsidRPr="00353536">
              <w:rPr>
                <w:rFonts w:ascii="Times New Roman" w:hAnsi="Times New Roman"/>
                <w:sz w:val="26"/>
                <w:szCs w:val="26"/>
              </w:rPr>
              <w:t>Item</w:t>
            </w:r>
          </w:p>
        </w:tc>
        <w:tc>
          <w:tcPr>
            <w:tcW w:w="8118" w:type="dxa"/>
            <w:tcBorders>
              <w:top w:val="double" w:sz="4" w:space="0" w:color="auto"/>
            </w:tcBorders>
            <w:shd w:val="clear" w:color="auto" w:fill="auto"/>
          </w:tcPr>
          <w:p w14:paraId="291CDF16" w14:textId="77777777" w:rsidR="00091CFA" w:rsidRDefault="00091CFA" w:rsidP="00091CFA">
            <w:pPr>
              <w:pStyle w:val="NoSpacing"/>
              <w:rPr>
                <w:rFonts w:ascii="Times New Roman" w:hAnsi="Times New Roman"/>
                <w:sz w:val="26"/>
                <w:szCs w:val="26"/>
              </w:rPr>
            </w:pPr>
          </w:p>
          <w:p w14:paraId="1ABD8F74" w14:textId="4D3E176A" w:rsidR="00091CFA" w:rsidRPr="009F0658" w:rsidRDefault="00091CFA" w:rsidP="00091CFA">
            <w:pPr>
              <w:pStyle w:val="NoSpacing"/>
              <w:rPr>
                <w:rFonts w:ascii="Times New Roman" w:hAnsi="Times New Roman"/>
                <w:sz w:val="26"/>
                <w:szCs w:val="26"/>
              </w:rPr>
            </w:pPr>
            <w:r w:rsidRPr="009F0658">
              <w:rPr>
                <w:rFonts w:ascii="Times New Roman" w:hAnsi="Times New Roman"/>
                <w:sz w:val="26"/>
                <w:szCs w:val="26"/>
              </w:rPr>
              <w:t>Renewal option for the rental of Meteorological Equipment and Science Engineering Support for the period October 23, 2023, through October 22, 2027.</w:t>
            </w:r>
          </w:p>
        </w:tc>
      </w:tr>
      <w:tr w:rsidR="00091CFA" w:rsidRPr="00353536" w14:paraId="5444A083" w14:textId="77777777" w:rsidTr="00934FC6">
        <w:trPr>
          <w:trHeight w:val="855"/>
        </w:trPr>
        <w:tc>
          <w:tcPr>
            <w:tcW w:w="342" w:type="dxa"/>
          </w:tcPr>
          <w:p w14:paraId="4842489A" w14:textId="77777777" w:rsidR="00091CFA" w:rsidRPr="00F53616" w:rsidRDefault="00091CFA" w:rsidP="00091CFA">
            <w:pPr>
              <w:pStyle w:val="NoSpacing"/>
              <w:rPr>
                <w:rFonts w:ascii="Times New Roman" w:hAnsi="Times New Roman"/>
                <w:sz w:val="26"/>
                <w:szCs w:val="26"/>
              </w:rPr>
            </w:pPr>
          </w:p>
        </w:tc>
        <w:tc>
          <w:tcPr>
            <w:tcW w:w="990" w:type="dxa"/>
            <w:shd w:val="clear" w:color="auto" w:fill="auto"/>
          </w:tcPr>
          <w:p w14:paraId="57F126E6" w14:textId="77777777" w:rsidR="00091CFA" w:rsidRPr="00353536" w:rsidRDefault="00091CFA" w:rsidP="00091CFA">
            <w:pPr>
              <w:pStyle w:val="NoSpacing"/>
              <w:rPr>
                <w:rFonts w:ascii="Times New Roman" w:hAnsi="Times New Roman"/>
                <w:sz w:val="26"/>
                <w:szCs w:val="26"/>
              </w:rPr>
            </w:pPr>
          </w:p>
          <w:p w14:paraId="31E80992" w14:textId="596E2FCE" w:rsidR="00091CFA" w:rsidRPr="00F53616" w:rsidRDefault="00091CFA" w:rsidP="00091CFA">
            <w:pPr>
              <w:pStyle w:val="NoSpacing"/>
              <w:rPr>
                <w:rFonts w:ascii="Times New Roman" w:hAnsi="Times New Roman"/>
                <w:sz w:val="26"/>
                <w:szCs w:val="26"/>
              </w:rPr>
            </w:pPr>
            <w:r w:rsidRPr="00353536">
              <w:rPr>
                <w:rFonts w:ascii="Times New Roman" w:hAnsi="Times New Roman"/>
                <w:sz w:val="26"/>
                <w:szCs w:val="26"/>
              </w:rPr>
              <w:t>Cost</w:t>
            </w:r>
          </w:p>
        </w:tc>
        <w:tc>
          <w:tcPr>
            <w:tcW w:w="8118" w:type="dxa"/>
            <w:shd w:val="clear" w:color="auto" w:fill="auto"/>
          </w:tcPr>
          <w:p w14:paraId="4353FC68" w14:textId="77777777" w:rsidR="00091CFA" w:rsidRPr="009F0658" w:rsidRDefault="00091CFA" w:rsidP="00091CFA">
            <w:pPr>
              <w:pStyle w:val="NoSpacing"/>
              <w:rPr>
                <w:rFonts w:ascii="Times New Roman" w:hAnsi="Times New Roman"/>
                <w:sz w:val="26"/>
                <w:szCs w:val="26"/>
              </w:rPr>
            </w:pPr>
          </w:p>
          <w:p w14:paraId="2DC406C6" w14:textId="6DA0B60D" w:rsidR="00934FC6" w:rsidRPr="009F0658" w:rsidRDefault="00091CFA" w:rsidP="00091CFA">
            <w:pPr>
              <w:tabs>
                <w:tab w:val="left" w:pos="-720"/>
                <w:tab w:val="left" w:pos="0"/>
                <w:tab w:val="left" w:pos="720"/>
                <w:tab w:val="left" w:pos="1080"/>
                <w:tab w:val="left" w:pos="1440"/>
              </w:tabs>
              <w:suppressAutoHyphens/>
              <w:jc w:val="both"/>
              <w:rPr>
                <w:rFonts w:ascii="Times New Roman" w:hAnsi="Times New Roman"/>
                <w:sz w:val="26"/>
                <w:szCs w:val="26"/>
              </w:rPr>
            </w:pPr>
            <w:r w:rsidRPr="009F0658">
              <w:rPr>
                <w:rFonts w:ascii="Times New Roman" w:hAnsi="Times New Roman"/>
                <w:sz w:val="26"/>
                <w:szCs w:val="26"/>
              </w:rPr>
              <w:t xml:space="preserve">$8,000,000 (estimated) </w:t>
            </w:r>
          </w:p>
        </w:tc>
      </w:tr>
      <w:tr w:rsidR="00934FC6" w:rsidRPr="00353536" w14:paraId="31C147B0" w14:textId="77777777" w:rsidTr="005274CF">
        <w:trPr>
          <w:trHeight w:val="150"/>
        </w:trPr>
        <w:tc>
          <w:tcPr>
            <w:tcW w:w="342" w:type="dxa"/>
          </w:tcPr>
          <w:p w14:paraId="1ECCE47B" w14:textId="77777777" w:rsidR="00934FC6" w:rsidRPr="00F53616" w:rsidRDefault="00934FC6" w:rsidP="00091CFA">
            <w:pPr>
              <w:pStyle w:val="NoSpacing"/>
              <w:rPr>
                <w:rFonts w:ascii="Times New Roman" w:hAnsi="Times New Roman"/>
                <w:sz w:val="26"/>
                <w:szCs w:val="26"/>
              </w:rPr>
            </w:pPr>
          </w:p>
        </w:tc>
        <w:tc>
          <w:tcPr>
            <w:tcW w:w="990" w:type="dxa"/>
            <w:shd w:val="clear" w:color="auto" w:fill="auto"/>
          </w:tcPr>
          <w:p w14:paraId="35661076" w14:textId="497504C9" w:rsidR="00934FC6" w:rsidRPr="00353536" w:rsidRDefault="00934FC6" w:rsidP="00091CFA">
            <w:pPr>
              <w:pStyle w:val="NoSpacing"/>
              <w:rPr>
                <w:rFonts w:ascii="Times New Roman" w:hAnsi="Times New Roman"/>
                <w:sz w:val="26"/>
                <w:szCs w:val="26"/>
              </w:rPr>
            </w:pPr>
            <w:r>
              <w:rPr>
                <w:rFonts w:ascii="Times New Roman" w:hAnsi="Times New Roman"/>
                <w:sz w:val="26"/>
                <w:szCs w:val="26"/>
              </w:rPr>
              <w:t>Vendor</w:t>
            </w:r>
          </w:p>
        </w:tc>
        <w:tc>
          <w:tcPr>
            <w:tcW w:w="8118" w:type="dxa"/>
            <w:shd w:val="clear" w:color="auto" w:fill="auto"/>
          </w:tcPr>
          <w:p w14:paraId="2792472D" w14:textId="621A9501" w:rsidR="00934FC6" w:rsidRPr="009F0658" w:rsidRDefault="00934FC6" w:rsidP="00091CFA">
            <w:pPr>
              <w:rPr>
                <w:rFonts w:ascii="Times New Roman" w:hAnsi="Times New Roman"/>
                <w:sz w:val="26"/>
                <w:szCs w:val="26"/>
              </w:rPr>
            </w:pPr>
            <w:r>
              <w:rPr>
                <w:rFonts w:ascii="Times New Roman" w:hAnsi="Times New Roman"/>
                <w:sz w:val="26"/>
                <w:szCs w:val="26"/>
              </w:rPr>
              <w:t>Targeted Meteorological Systems                                          Boulder, CO</w:t>
            </w:r>
          </w:p>
        </w:tc>
      </w:tr>
      <w:tr w:rsidR="00091CFA" w:rsidRPr="00353536" w14:paraId="2156DEBF" w14:textId="77777777" w:rsidTr="005274CF">
        <w:trPr>
          <w:trHeight w:val="150"/>
        </w:trPr>
        <w:tc>
          <w:tcPr>
            <w:tcW w:w="342" w:type="dxa"/>
          </w:tcPr>
          <w:p w14:paraId="01D48737" w14:textId="77777777" w:rsidR="00091CFA" w:rsidRPr="00F53616" w:rsidRDefault="00091CFA" w:rsidP="00091CFA">
            <w:pPr>
              <w:pStyle w:val="NoSpacing"/>
              <w:rPr>
                <w:rFonts w:ascii="Times New Roman" w:hAnsi="Times New Roman"/>
                <w:sz w:val="26"/>
                <w:szCs w:val="26"/>
              </w:rPr>
            </w:pPr>
          </w:p>
        </w:tc>
        <w:tc>
          <w:tcPr>
            <w:tcW w:w="990" w:type="dxa"/>
            <w:shd w:val="clear" w:color="auto" w:fill="auto"/>
          </w:tcPr>
          <w:p w14:paraId="5153F03E" w14:textId="77777777" w:rsidR="00091CFA" w:rsidRPr="00353536" w:rsidRDefault="00091CFA" w:rsidP="00091CFA">
            <w:pPr>
              <w:pStyle w:val="NoSpacing"/>
              <w:rPr>
                <w:rFonts w:ascii="Times New Roman" w:hAnsi="Times New Roman"/>
                <w:sz w:val="26"/>
                <w:szCs w:val="26"/>
              </w:rPr>
            </w:pPr>
          </w:p>
        </w:tc>
        <w:tc>
          <w:tcPr>
            <w:tcW w:w="8118" w:type="dxa"/>
            <w:shd w:val="clear" w:color="auto" w:fill="auto"/>
          </w:tcPr>
          <w:p w14:paraId="189133C4" w14:textId="1BC9C9C6" w:rsidR="00091CFA" w:rsidRPr="009F0658" w:rsidRDefault="00091CFA" w:rsidP="00091CFA">
            <w:pPr>
              <w:rPr>
                <w:rFonts w:ascii="Times New Roman" w:hAnsi="Times New Roman"/>
                <w:sz w:val="26"/>
                <w:szCs w:val="26"/>
              </w:rPr>
            </w:pPr>
            <w:r w:rsidRPr="009F0658">
              <w:rPr>
                <w:rFonts w:ascii="Times New Roman" w:hAnsi="Times New Roman"/>
                <w:sz w:val="26"/>
                <w:szCs w:val="26"/>
              </w:rPr>
              <w:t>This will exercise the remaining</w:t>
            </w:r>
            <w:r w:rsidR="004B2C31">
              <w:rPr>
                <w:rFonts w:ascii="Times New Roman" w:hAnsi="Times New Roman"/>
                <w:sz w:val="26"/>
                <w:szCs w:val="26"/>
              </w:rPr>
              <w:t xml:space="preserve"> four annual</w:t>
            </w:r>
            <w:r w:rsidRPr="009F0658">
              <w:rPr>
                <w:rFonts w:ascii="Times New Roman" w:hAnsi="Times New Roman"/>
                <w:sz w:val="26"/>
                <w:szCs w:val="26"/>
              </w:rPr>
              <w:t xml:space="preserve"> renewal options approved by the Board of Trustees on November 18, 2021</w:t>
            </w:r>
            <w:r w:rsidR="004B2C31">
              <w:rPr>
                <w:rFonts w:ascii="Times New Roman" w:hAnsi="Times New Roman"/>
                <w:sz w:val="26"/>
                <w:szCs w:val="26"/>
              </w:rPr>
              <w:t xml:space="preserve">. The original item was </w:t>
            </w:r>
            <w:r w:rsidRPr="009F0658">
              <w:rPr>
                <w:rFonts w:ascii="Times New Roman" w:hAnsi="Times New Roman"/>
                <w:sz w:val="26"/>
                <w:szCs w:val="26"/>
              </w:rPr>
              <w:t>estimated</w:t>
            </w:r>
            <w:r w:rsidR="004B2C31">
              <w:rPr>
                <w:rFonts w:ascii="Times New Roman" w:hAnsi="Times New Roman"/>
                <w:sz w:val="26"/>
                <w:szCs w:val="26"/>
              </w:rPr>
              <w:t xml:space="preserve"> at</w:t>
            </w:r>
            <w:r w:rsidRPr="009F0658">
              <w:rPr>
                <w:rFonts w:ascii="Times New Roman" w:hAnsi="Times New Roman"/>
                <w:sz w:val="26"/>
                <w:szCs w:val="26"/>
              </w:rPr>
              <w:t xml:space="preserve"> $1,300,000 for the period October 23, 2021, through October 22, 2022.  This purchase is a sole source because the items are required for research and no other source can meet the researcher’s documented need.</w:t>
            </w:r>
          </w:p>
          <w:p w14:paraId="4632E6CD" w14:textId="10253C6D" w:rsidR="00091CFA" w:rsidRPr="009F0658" w:rsidRDefault="00091CFA" w:rsidP="00091CFA">
            <w:pPr>
              <w:rPr>
                <w:rFonts w:ascii="Times New Roman" w:hAnsi="Times New Roman"/>
                <w:sz w:val="26"/>
                <w:szCs w:val="26"/>
              </w:rPr>
            </w:pPr>
            <w:r w:rsidRPr="009F0658">
              <w:rPr>
                <w:rFonts w:ascii="Times New Roman" w:hAnsi="Times New Roman"/>
                <w:sz w:val="26"/>
                <w:szCs w:val="26"/>
              </w:rPr>
              <w:t xml:space="preserve">The Department of Atmospheric Sciences is conducting research that involves collecting unique data on atmospheric and related phenomena that will allow research into, but not limited to, such topics as how tornadoes are generated within lines of thunderstorms, and what controls the snowfall </w:t>
            </w:r>
            <w:r w:rsidRPr="009F0658">
              <w:rPr>
                <w:rFonts w:ascii="Times New Roman" w:hAnsi="Times New Roman"/>
                <w:sz w:val="26"/>
                <w:szCs w:val="26"/>
              </w:rPr>
              <w:lastRenderedPageBreak/>
              <w:t>rates in large snowstorms.</w:t>
            </w:r>
            <w:r w:rsidR="004B2C31">
              <w:rPr>
                <w:rFonts w:ascii="Times New Roman" w:hAnsi="Times New Roman"/>
                <w:sz w:val="26"/>
                <w:szCs w:val="26"/>
              </w:rPr>
              <w:t xml:space="preserve"> There is increased project demand from NSF and Oceanographic institutes. </w:t>
            </w:r>
          </w:p>
          <w:p w14:paraId="3AD0EC18" w14:textId="77777777" w:rsidR="00091CFA" w:rsidRPr="009F0658" w:rsidRDefault="00091CFA" w:rsidP="00091CFA">
            <w:pPr>
              <w:rPr>
                <w:rFonts w:ascii="Times New Roman" w:hAnsi="Times New Roman"/>
                <w:sz w:val="26"/>
                <w:szCs w:val="26"/>
              </w:rPr>
            </w:pPr>
            <w:r w:rsidRPr="009F0658">
              <w:rPr>
                <w:rFonts w:ascii="Times New Roman" w:hAnsi="Times New Roman"/>
                <w:sz w:val="26"/>
                <w:szCs w:val="26"/>
              </w:rPr>
              <w:t>Targeted Meteorological Systems (TMS) will provide multiple mobile X-Band radars, a deployable C-Band radar and vehicles equipped with meteorological sensors for observing meteorological conditions, weather balloon launch systems, and educational support for these sensors for faculty-led research, teaching, and service/outreach.  TMS has the only systems and support personnel capable of making the radar and other meteorological measurements as required.  The TMS radars are the only dual-wavelength vehicle mount dual-polarization radars.  This capability enables scan rates twice that of a single frequency radar system.  This allows double the collection of data as other mobile radar facilities, which reduces the errors in measurements due to slow data collection.</w:t>
            </w:r>
          </w:p>
          <w:p w14:paraId="7BFE1681" w14:textId="77777777" w:rsidR="00091CFA" w:rsidRPr="009F0658" w:rsidRDefault="00091CFA" w:rsidP="00091CFA">
            <w:pPr>
              <w:rPr>
                <w:rFonts w:ascii="Times New Roman" w:hAnsi="Times New Roman"/>
                <w:sz w:val="26"/>
                <w:szCs w:val="26"/>
              </w:rPr>
            </w:pPr>
          </w:p>
          <w:p w14:paraId="1C3466C2" w14:textId="5DB23F22" w:rsidR="00091CFA" w:rsidRPr="009F0658" w:rsidRDefault="00091CFA" w:rsidP="00091CFA">
            <w:pPr>
              <w:pStyle w:val="Heading2"/>
              <w:rPr>
                <w:rFonts w:ascii="Times New Roman" w:eastAsia="Calibri" w:hAnsi="Times New Roman"/>
                <w:b w:val="0"/>
                <w:bCs w:val="0"/>
                <w:i w:val="0"/>
                <w:iCs w:val="0"/>
                <w:sz w:val="26"/>
                <w:szCs w:val="26"/>
              </w:rPr>
            </w:pPr>
            <w:r w:rsidRPr="009F0658">
              <w:rPr>
                <w:rFonts w:ascii="Times New Roman" w:eastAsia="Calibri" w:hAnsi="Times New Roman"/>
                <w:i w:val="0"/>
                <w:iCs w:val="0"/>
                <w:sz w:val="26"/>
                <w:szCs w:val="26"/>
              </w:rPr>
              <w:t>Business Enterprise Program (BEP)</w:t>
            </w:r>
            <w:r w:rsidRPr="009F0658">
              <w:rPr>
                <w:rFonts w:ascii="Times New Roman" w:eastAsia="Calibri" w:hAnsi="Times New Roman"/>
                <w:b w:val="0"/>
                <w:bCs w:val="0"/>
                <w:i w:val="0"/>
                <w:iCs w:val="0"/>
                <w:sz w:val="26"/>
                <w:szCs w:val="26"/>
              </w:rPr>
              <w:t xml:space="preserve"> goals are not established as there are no other sources able to meet the need.</w:t>
            </w:r>
          </w:p>
        </w:tc>
      </w:tr>
    </w:tbl>
    <w:p w14:paraId="44F94AB2" w14:textId="77777777" w:rsidR="003D7C25" w:rsidRPr="00353536" w:rsidRDefault="003D7C25" w:rsidP="0004567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1440"/>
        <w:textAlignment w:val="baseline"/>
        <w:rPr>
          <w:rFonts w:ascii="Times New Roman" w:hAnsi="Times New Roman"/>
          <w:sz w:val="26"/>
          <w:szCs w:val="26"/>
        </w:r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881246" w:rsidRPr="00353536" w14:paraId="00DCA86F" w14:textId="77777777" w:rsidTr="008856C6">
        <w:trPr>
          <w:trHeight w:val="567"/>
        </w:trPr>
        <w:tc>
          <w:tcPr>
            <w:tcW w:w="342" w:type="dxa"/>
          </w:tcPr>
          <w:p w14:paraId="2FED4914" w14:textId="77777777" w:rsidR="00881246" w:rsidRPr="00353536" w:rsidRDefault="00881246" w:rsidP="005274CF">
            <w:pPr>
              <w:pStyle w:val="NoSpacing"/>
              <w:jc w:val="both"/>
              <w:rPr>
                <w:rFonts w:ascii="Times New Roman" w:hAnsi="Times New Roman"/>
                <w:sz w:val="26"/>
                <w:szCs w:val="26"/>
              </w:rPr>
            </w:pPr>
          </w:p>
        </w:tc>
        <w:tc>
          <w:tcPr>
            <w:tcW w:w="990" w:type="dxa"/>
          </w:tcPr>
          <w:p w14:paraId="3D1945D4" w14:textId="77777777" w:rsidR="00881246" w:rsidRPr="00353536" w:rsidRDefault="00881246" w:rsidP="005274CF">
            <w:pPr>
              <w:pStyle w:val="NoSpacing"/>
              <w:jc w:val="both"/>
              <w:rPr>
                <w:rFonts w:ascii="Times New Roman" w:hAnsi="Times New Roman"/>
                <w:sz w:val="26"/>
                <w:szCs w:val="26"/>
              </w:rPr>
            </w:pPr>
          </w:p>
        </w:tc>
        <w:tc>
          <w:tcPr>
            <w:tcW w:w="8118" w:type="dxa"/>
          </w:tcPr>
          <w:p w14:paraId="35405A80" w14:textId="25987F20" w:rsidR="00881246" w:rsidRPr="00381F6B" w:rsidRDefault="0081669D" w:rsidP="00381F6B">
            <w:pPr>
              <w:pStyle w:val="Heading3"/>
              <w:spacing w:before="0" w:line="240" w:lineRule="auto"/>
              <w:rPr>
                <w:rFonts w:ascii="Times New Roman" w:hAnsi="Times New Roman" w:cs="Times New Roman"/>
                <w:b/>
                <w:bCs/>
                <w:sz w:val="26"/>
                <w:szCs w:val="26"/>
              </w:rPr>
            </w:pPr>
            <w:r w:rsidRPr="00353536">
              <w:rPr>
                <w:rFonts w:eastAsia="Times New Roman"/>
              </w:rPr>
              <w:tab/>
            </w:r>
            <w:r w:rsidR="00D6273A">
              <w:rPr>
                <w:rFonts w:eastAsia="Times New Roman"/>
              </w:rPr>
              <w:t xml:space="preserve">                 </w:t>
            </w:r>
            <w:r w:rsidRPr="00381F6B">
              <w:rPr>
                <w:rFonts w:ascii="Times New Roman" w:eastAsia="Times New Roman" w:hAnsi="Times New Roman" w:cs="Times New Roman"/>
                <w:b/>
                <w:bCs/>
                <w:color w:val="auto"/>
                <w:sz w:val="26"/>
                <w:szCs w:val="26"/>
              </w:rPr>
              <w:t xml:space="preserve">CHANGE ORDER </w:t>
            </w:r>
            <w:r w:rsidR="00881246" w:rsidRPr="00381F6B">
              <w:rPr>
                <w:rFonts w:ascii="Times New Roman" w:eastAsia="Times New Roman" w:hAnsi="Times New Roman" w:cs="Times New Roman"/>
                <w:b/>
                <w:bCs/>
                <w:color w:val="auto"/>
                <w:sz w:val="26"/>
                <w:szCs w:val="26"/>
              </w:rPr>
              <w:t>RECOMMENDED</w:t>
            </w:r>
          </w:p>
        </w:tc>
      </w:tr>
      <w:tr w:rsidR="0093137B" w:rsidRPr="00353536" w14:paraId="2889235D" w14:textId="77777777" w:rsidTr="00DD6334">
        <w:trPr>
          <w:trHeight w:val="270"/>
        </w:trPr>
        <w:tc>
          <w:tcPr>
            <w:tcW w:w="342" w:type="dxa"/>
          </w:tcPr>
          <w:p w14:paraId="25CC3160" w14:textId="77777777" w:rsidR="0093137B" w:rsidRPr="00353536" w:rsidRDefault="0093137B" w:rsidP="009F0658">
            <w:pPr>
              <w:spacing w:after="0" w:line="240" w:lineRule="auto"/>
              <w:rPr>
                <w:rFonts w:ascii="Times New Roman" w:hAnsi="Times New Roman"/>
                <w:sz w:val="26"/>
                <w:szCs w:val="26"/>
              </w:rPr>
            </w:pPr>
          </w:p>
        </w:tc>
        <w:tc>
          <w:tcPr>
            <w:tcW w:w="990" w:type="dxa"/>
          </w:tcPr>
          <w:p w14:paraId="258EFCD4" w14:textId="77777777" w:rsidR="0093137B" w:rsidRPr="00353536" w:rsidRDefault="0093137B" w:rsidP="0093137B">
            <w:pPr>
              <w:pStyle w:val="NoSpacing"/>
              <w:rPr>
                <w:rFonts w:ascii="Times New Roman" w:hAnsi="Times New Roman"/>
                <w:sz w:val="26"/>
                <w:szCs w:val="26"/>
              </w:rPr>
            </w:pPr>
          </w:p>
        </w:tc>
        <w:tc>
          <w:tcPr>
            <w:tcW w:w="8118" w:type="dxa"/>
          </w:tcPr>
          <w:p w14:paraId="79861965" w14:textId="77777777" w:rsidR="00DD6334" w:rsidRDefault="00DD6334" w:rsidP="0093137B">
            <w:pPr>
              <w:pStyle w:val="NoSpacing"/>
              <w:rPr>
                <w:rFonts w:ascii="Times New Roman" w:hAnsi="Times New Roman"/>
                <w:sz w:val="26"/>
                <w:szCs w:val="26"/>
              </w:rPr>
            </w:pPr>
          </w:p>
        </w:tc>
      </w:tr>
    </w:tbl>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FE4204" w:rsidRPr="00353536" w14:paraId="23EE4603" w14:textId="77777777" w:rsidTr="00503D31">
        <w:trPr>
          <w:trHeight w:val="114"/>
        </w:trPr>
        <w:tc>
          <w:tcPr>
            <w:tcW w:w="9454" w:type="dxa"/>
            <w:tcBorders>
              <w:top w:val="single" w:sz="18" w:space="0" w:color="auto"/>
              <w:bottom w:val="single" w:sz="18" w:space="0" w:color="auto"/>
            </w:tcBorders>
          </w:tcPr>
          <w:p w14:paraId="3F8672C8" w14:textId="63B00B77" w:rsidR="00FE4204" w:rsidRPr="00353536" w:rsidRDefault="00FE4204" w:rsidP="00503D31">
            <w:pPr>
              <w:tabs>
                <w:tab w:val="left" w:pos="-720"/>
                <w:tab w:val="left" w:pos="9090"/>
              </w:tabs>
              <w:suppressAutoHyphens/>
              <w:overflowPunct w:val="0"/>
              <w:autoSpaceDE w:val="0"/>
              <w:autoSpaceDN w:val="0"/>
              <w:adjustRightInd w:val="0"/>
              <w:spacing w:after="0" w:line="240" w:lineRule="auto"/>
              <w:jc w:val="center"/>
              <w:textAlignment w:val="baseline"/>
              <w:rPr>
                <w:rFonts w:ascii="Times New Roman" w:eastAsia="Times New Roman" w:hAnsi="Times New Roman"/>
                <w:b/>
                <w:sz w:val="26"/>
                <w:szCs w:val="26"/>
              </w:rPr>
            </w:pPr>
            <w:r w:rsidRPr="00353536">
              <w:rPr>
                <w:rFonts w:ascii="Times New Roman" w:eastAsia="Times New Roman" w:hAnsi="Times New Roman"/>
                <w:b/>
                <w:sz w:val="26"/>
                <w:szCs w:val="26"/>
              </w:rPr>
              <w:t xml:space="preserve">University of Illinois </w:t>
            </w:r>
            <w:r w:rsidR="008856C6">
              <w:rPr>
                <w:rFonts w:ascii="Times New Roman" w:eastAsia="Times New Roman" w:hAnsi="Times New Roman"/>
                <w:b/>
                <w:sz w:val="26"/>
                <w:szCs w:val="26"/>
              </w:rPr>
              <w:t>at System Office</w:t>
            </w:r>
          </w:p>
        </w:tc>
      </w:tr>
    </w:tbl>
    <w:tbl>
      <w:tblPr>
        <w:tblW w:w="9360" w:type="dxa"/>
        <w:tblLayout w:type="fixed"/>
        <w:tblCellMar>
          <w:left w:w="72" w:type="dxa"/>
          <w:right w:w="72" w:type="dxa"/>
        </w:tblCellMar>
        <w:tblLook w:val="0000" w:firstRow="0" w:lastRow="0" w:firstColumn="0" w:lastColumn="0" w:noHBand="0" w:noVBand="0"/>
      </w:tblPr>
      <w:tblGrid>
        <w:gridCol w:w="360"/>
        <w:gridCol w:w="988"/>
        <w:gridCol w:w="8012"/>
      </w:tblGrid>
      <w:tr w:rsidR="00F6377E" w:rsidRPr="00353536" w14:paraId="3BB2299D" w14:textId="77777777" w:rsidTr="00F87EE6">
        <w:trPr>
          <w:trHeight w:val="120"/>
        </w:trPr>
        <w:tc>
          <w:tcPr>
            <w:tcW w:w="360" w:type="dxa"/>
            <w:tcBorders>
              <w:bottom w:val="double" w:sz="6" w:space="0" w:color="auto"/>
            </w:tcBorders>
          </w:tcPr>
          <w:p w14:paraId="1F8AFA6C" w14:textId="474A948F" w:rsidR="00F6377E" w:rsidRPr="00381F6B" w:rsidRDefault="00834684" w:rsidP="00381F6B">
            <w:pPr>
              <w:pStyle w:val="Heading3"/>
              <w:spacing w:before="0" w:line="240" w:lineRule="auto"/>
              <w:rPr>
                <w:rFonts w:ascii="Times New Roman" w:hAnsi="Times New Roman" w:cs="Times New Roman"/>
                <w:color w:val="auto"/>
                <w:sz w:val="26"/>
                <w:szCs w:val="26"/>
              </w:rPr>
            </w:pPr>
            <w:r w:rsidRPr="00381F6B">
              <w:rPr>
                <w:rFonts w:ascii="Times New Roman" w:hAnsi="Times New Roman" w:cs="Times New Roman"/>
                <w:color w:val="auto"/>
                <w:sz w:val="26"/>
                <w:szCs w:val="26"/>
              </w:rPr>
              <w:t>6</w:t>
            </w:r>
          </w:p>
        </w:tc>
        <w:tc>
          <w:tcPr>
            <w:tcW w:w="988" w:type="dxa"/>
            <w:tcBorders>
              <w:bottom w:val="double" w:sz="6" w:space="0" w:color="auto"/>
            </w:tcBorders>
          </w:tcPr>
          <w:p w14:paraId="31B5CEDC" w14:textId="77777777" w:rsidR="00F6377E" w:rsidRPr="00381F6B" w:rsidRDefault="00F6377E" w:rsidP="00381F6B">
            <w:pPr>
              <w:pStyle w:val="Heading3"/>
              <w:spacing w:before="0" w:line="240" w:lineRule="auto"/>
              <w:rPr>
                <w:rFonts w:ascii="Times New Roman" w:hAnsi="Times New Roman" w:cs="Times New Roman"/>
                <w:color w:val="auto"/>
                <w:sz w:val="26"/>
                <w:szCs w:val="26"/>
              </w:rPr>
            </w:pPr>
            <w:r w:rsidRPr="00381F6B">
              <w:rPr>
                <w:rFonts w:ascii="Times New Roman" w:hAnsi="Times New Roman" w:cs="Times New Roman"/>
                <w:color w:val="auto"/>
                <w:sz w:val="26"/>
                <w:szCs w:val="26"/>
              </w:rPr>
              <w:t>Unit</w:t>
            </w:r>
          </w:p>
        </w:tc>
        <w:tc>
          <w:tcPr>
            <w:tcW w:w="7994" w:type="dxa"/>
            <w:tcBorders>
              <w:bottom w:val="double" w:sz="6" w:space="0" w:color="auto"/>
            </w:tcBorders>
          </w:tcPr>
          <w:p w14:paraId="26CDAEA8" w14:textId="48B9FAED" w:rsidR="00F6377E" w:rsidRPr="00381F6B" w:rsidRDefault="00711A18" w:rsidP="00381F6B">
            <w:pPr>
              <w:pStyle w:val="Heading3"/>
              <w:spacing w:before="0" w:line="240" w:lineRule="auto"/>
              <w:rPr>
                <w:rFonts w:ascii="Times New Roman" w:hAnsi="Times New Roman" w:cs="Times New Roman"/>
                <w:color w:val="auto"/>
                <w:sz w:val="26"/>
                <w:szCs w:val="26"/>
              </w:rPr>
            </w:pPr>
            <w:r w:rsidRPr="00381F6B">
              <w:rPr>
                <w:rFonts w:ascii="Times New Roman" w:hAnsi="Times New Roman" w:cs="Times New Roman"/>
                <w:color w:val="auto"/>
                <w:sz w:val="26"/>
                <w:szCs w:val="26"/>
              </w:rPr>
              <w:t>University Office of Capital Programs</w:t>
            </w:r>
          </w:p>
        </w:tc>
      </w:tr>
      <w:tr w:rsidR="00F6377E" w:rsidRPr="00353536" w14:paraId="55FAE87F" w14:textId="77777777" w:rsidTr="00F87EE6">
        <w:trPr>
          <w:trHeight w:val="648"/>
        </w:trPr>
        <w:tc>
          <w:tcPr>
            <w:tcW w:w="360" w:type="dxa"/>
          </w:tcPr>
          <w:p w14:paraId="3CF349EC" w14:textId="77777777" w:rsidR="00F6377E" w:rsidRPr="00353536" w:rsidRDefault="00F6377E" w:rsidP="00F6377E">
            <w:pPr>
              <w:pStyle w:val="NoSpacing"/>
              <w:rPr>
                <w:rFonts w:ascii="Times New Roman" w:hAnsi="Times New Roman"/>
                <w:sz w:val="26"/>
                <w:szCs w:val="26"/>
              </w:rPr>
            </w:pPr>
          </w:p>
        </w:tc>
        <w:tc>
          <w:tcPr>
            <w:tcW w:w="988" w:type="dxa"/>
          </w:tcPr>
          <w:p w14:paraId="5C67AD10" w14:textId="77777777" w:rsidR="00F6377E" w:rsidRPr="00353536" w:rsidRDefault="00F6377E" w:rsidP="00F6377E">
            <w:pPr>
              <w:pStyle w:val="NoSpacing"/>
              <w:rPr>
                <w:rFonts w:ascii="Times New Roman" w:hAnsi="Times New Roman"/>
                <w:sz w:val="26"/>
                <w:szCs w:val="26"/>
              </w:rPr>
            </w:pPr>
          </w:p>
          <w:p w14:paraId="10671FD9" w14:textId="77777777" w:rsidR="00F6377E" w:rsidRPr="00353536" w:rsidRDefault="00F6377E" w:rsidP="00F6377E">
            <w:pPr>
              <w:pStyle w:val="NoSpacing"/>
              <w:rPr>
                <w:rFonts w:ascii="Times New Roman" w:hAnsi="Times New Roman"/>
                <w:sz w:val="26"/>
                <w:szCs w:val="26"/>
              </w:rPr>
            </w:pPr>
            <w:r w:rsidRPr="00353536">
              <w:rPr>
                <w:rFonts w:ascii="Times New Roman" w:hAnsi="Times New Roman"/>
                <w:sz w:val="26"/>
                <w:szCs w:val="26"/>
              </w:rPr>
              <w:t>Item</w:t>
            </w:r>
          </w:p>
        </w:tc>
        <w:tc>
          <w:tcPr>
            <w:tcW w:w="7994" w:type="dxa"/>
            <w:vAlign w:val="center"/>
          </w:tcPr>
          <w:p w14:paraId="00152041" w14:textId="77777777" w:rsidR="005E6979" w:rsidRDefault="005E6979" w:rsidP="00F6377E">
            <w:pPr>
              <w:pStyle w:val="NoSpacing"/>
              <w:rPr>
                <w:rFonts w:ascii="Times New Roman" w:hAnsi="Times New Roman"/>
                <w:sz w:val="26"/>
                <w:szCs w:val="26"/>
              </w:rPr>
            </w:pPr>
          </w:p>
          <w:p w14:paraId="5F3D83EC" w14:textId="7754034D" w:rsidR="00F6377E" w:rsidRPr="005E6979" w:rsidRDefault="00711A18" w:rsidP="00F6377E">
            <w:pPr>
              <w:pStyle w:val="NoSpacing"/>
              <w:rPr>
                <w:rFonts w:ascii="Times New Roman" w:hAnsi="Times New Roman"/>
                <w:sz w:val="26"/>
                <w:szCs w:val="26"/>
              </w:rPr>
            </w:pPr>
            <w:r w:rsidRPr="00711A18">
              <w:rPr>
                <w:rFonts w:ascii="Times New Roman" w:hAnsi="Times New Roman"/>
                <w:sz w:val="26"/>
                <w:szCs w:val="26"/>
              </w:rPr>
              <w:t>Change order to add additional assessment square footage for UIC buildings to facility condition assessment</w:t>
            </w:r>
          </w:p>
        </w:tc>
      </w:tr>
      <w:tr w:rsidR="00F6377E" w:rsidRPr="00353536" w14:paraId="29935A0B" w14:textId="77777777" w:rsidTr="00F87EE6">
        <w:trPr>
          <w:trHeight w:val="315"/>
        </w:trPr>
        <w:tc>
          <w:tcPr>
            <w:tcW w:w="360" w:type="dxa"/>
          </w:tcPr>
          <w:p w14:paraId="15B64255" w14:textId="77777777" w:rsidR="00F6377E" w:rsidRPr="00353536" w:rsidRDefault="00F6377E" w:rsidP="00F6377E">
            <w:pPr>
              <w:pStyle w:val="NoSpacing"/>
              <w:rPr>
                <w:rFonts w:ascii="Times New Roman" w:hAnsi="Times New Roman"/>
                <w:sz w:val="26"/>
                <w:szCs w:val="26"/>
              </w:rPr>
            </w:pPr>
          </w:p>
        </w:tc>
        <w:tc>
          <w:tcPr>
            <w:tcW w:w="988" w:type="dxa"/>
          </w:tcPr>
          <w:p w14:paraId="0C1B6377" w14:textId="77777777" w:rsidR="00F6377E" w:rsidRPr="00353536" w:rsidRDefault="00F6377E" w:rsidP="00F6377E">
            <w:pPr>
              <w:pStyle w:val="NoSpacing"/>
              <w:rPr>
                <w:rFonts w:ascii="Times New Roman" w:hAnsi="Times New Roman"/>
                <w:sz w:val="26"/>
                <w:szCs w:val="26"/>
              </w:rPr>
            </w:pPr>
          </w:p>
          <w:p w14:paraId="11C382A2" w14:textId="77777777" w:rsidR="00F6377E" w:rsidRPr="00353536" w:rsidRDefault="00F6377E" w:rsidP="00F6377E">
            <w:pPr>
              <w:pStyle w:val="NoSpacing"/>
              <w:rPr>
                <w:rFonts w:ascii="Times New Roman" w:hAnsi="Times New Roman"/>
                <w:sz w:val="26"/>
                <w:szCs w:val="26"/>
              </w:rPr>
            </w:pPr>
            <w:r w:rsidRPr="00353536">
              <w:rPr>
                <w:rFonts w:ascii="Times New Roman" w:hAnsi="Times New Roman"/>
                <w:sz w:val="26"/>
                <w:szCs w:val="26"/>
              </w:rPr>
              <w:t>Cost</w:t>
            </w:r>
          </w:p>
        </w:tc>
        <w:tc>
          <w:tcPr>
            <w:tcW w:w="7994" w:type="dxa"/>
          </w:tcPr>
          <w:p w14:paraId="14772F63" w14:textId="77777777" w:rsidR="00F6377E" w:rsidRPr="00353536" w:rsidRDefault="00F6377E" w:rsidP="00F6377E">
            <w:pPr>
              <w:pStyle w:val="NoSpacing"/>
              <w:rPr>
                <w:rFonts w:ascii="Times New Roman" w:hAnsi="Times New Roman"/>
                <w:sz w:val="26"/>
                <w:szCs w:val="26"/>
              </w:rPr>
            </w:pPr>
          </w:p>
          <w:p w14:paraId="688490C9" w14:textId="77777777" w:rsidR="00F6377E" w:rsidRDefault="00F6377E" w:rsidP="00F6377E">
            <w:pPr>
              <w:pStyle w:val="NoSpacing"/>
              <w:rPr>
                <w:rFonts w:ascii="Times New Roman" w:hAnsi="Times New Roman"/>
                <w:sz w:val="26"/>
                <w:szCs w:val="26"/>
              </w:rPr>
            </w:pPr>
            <w:r w:rsidRPr="008856C6">
              <w:rPr>
                <w:rFonts w:ascii="Times New Roman" w:hAnsi="Times New Roman"/>
                <w:sz w:val="26"/>
                <w:szCs w:val="26"/>
              </w:rPr>
              <w:t>$</w:t>
            </w:r>
            <w:r w:rsidR="00711A18">
              <w:rPr>
                <w:rFonts w:ascii="Times New Roman" w:hAnsi="Times New Roman"/>
                <w:sz w:val="26"/>
                <w:szCs w:val="26"/>
              </w:rPr>
              <w:t>683,555</w:t>
            </w:r>
            <w:r w:rsidR="005E6979">
              <w:rPr>
                <w:rFonts w:ascii="Times New Roman" w:hAnsi="Times New Roman"/>
                <w:sz w:val="26"/>
                <w:szCs w:val="26"/>
              </w:rPr>
              <w:t xml:space="preserve"> (e</w:t>
            </w:r>
            <w:r w:rsidRPr="008856C6">
              <w:rPr>
                <w:rFonts w:ascii="Times New Roman" w:hAnsi="Times New Roman"/>
                <w:sz w:val="26"/>
                <w:szCs w:val="26"/>
              </w:rPr>
              <w:t>stimated</w:t>
            </w:r>
            <w:r w:rsidR="005E6979">
              <w:rPr>
                <w:rFonts w:ascii="Times New Roman" w:hAnsi="Times New Roman"/>
                <w:sz w:val="26"/>
                <w:szCs w:val="26"/>
              </w:rPr>
              <w:t>)</w:t>
            </w:r>
          </w:p>
          <w:p w14:paraId="3B6194B9" w14:textId="271F7A15" w:rsidR="00934FC6" w:rsidRPr="008856C6" w:rsidRDefault="00934FC6" w:rsidP="00F6377E">
            <w:pPr>
              <w:pStyle w:val="NoSpacing"/>
              <w:rPr>
                <w:rFonts w:ascii="Times New Roman" w:hAnsi="Times New Roman"/>
                <w:sz w:val="26"/>
                <w:szCs w:val="26"/>
              </w:rPr>
            </w:pPr>
          </w:p>
        </w:tc>
      </w:tr>
      <w:tr w:rsidR="00F6377E" w:rsidRPr="00353536" w14:paraId="766A4E98" w14:textId="77777777" w:rsidTr="00F87EE6">
        <w:trPr>
          <w:trHeight w:val="150"/>
        </w:trPr>
        <w:tc>
          <w:tcPr>
            <w:tcW w:w="360" w:type="dxa"/>
          </w:tcPr>
          <w:p w14:paraId="14F233DC" w14:textId="77777777" w:rsidR="00F6377E" w:rsidRPr="00353536" w:rsidRDefault="00F6377E" w:rsidP="00F6377E">
            <w:pPr>
              <w:pStyle w:val="NoSpacing"/>
              <w:rPr>
                <w:rFonts w:ascii="Times New Roman" w:hAnsi="Times New Roman"/>
                <w:sz w:val="26"/>
                <w:szCs w:val="26"/>
              </w:rPr>
            </w:pPr>
          </w:p>
        </w:tc>
        <w:tc>
          <w:tcPr>
            <w:tcW w:w="988" w:type="dxa"/>
            <w:shd w:val="clear" w:color="auto" w:fill="auto"/>
          </w:tcPr>
          <w:p w14:paraId="14DFD6F3" w14:textId="77777777" w:rsidR="00F6377E" w:rsidRPr="00353536" w:rsidRDefault="00F6377E" w:rsidP="00F6377E">
            <w:pPr>
              <w:pStyle w:val="NoSpacing"/>
              <w:rPr>
                <w:rFonts w:ascii="Times New Roman" w:hAnsi="Times New Roman"/>
                <w:sz w:val="26"/>
                <w:szCs w:val="26"/>
              </w:rPr>
            </w:pPr>
            <w:r w:rsidRPr="00353536">
              <w:rPr>
                <w:rFonts w:ascii="Times New Roman" w:hAnsi="Times New Roman"/>
                <w:sz w:val="26"/>
                <w:szCs w:val="26"/>
              </w:rPr>
              <w:t>Vendor</w:t>
            </w:r>
          </w:p>
        </w:tc>
        <w:tc>
          <w:tcPr>
            <w:tcW w:w="7994" w:type="dxa"/>
            <w:shd w:val="clear" w:color="auto" w:fill="auto"/>
          </w:tcPr>
          <w:p w14:paraId="7CAEE310" w14:textId="6D2D58B3" w:rsidR="00F6377E" w:rsidRPr="005E6979" w:rsidRDefault="00711A18" w:rsidP="005E6979">
            <w:pPr>
              <w:pStyle w:val="NoSpacing"/>
              <w:rPr>
                <w:rFonts w:ascii="Times New Roman" w:hAnsi="Times New Roman"/>
                <w:b/>
                <w:bCs/>
                <w:i/>
                <w:iCs/>
                <w:sz w:val="26"/>
                <w:szCs w:val="26"/>
              </w:rPr>
            </w:pPr>
            <w:r>
              <w:rPr>
                <w:rFonts w:ascii="Times New Roman" w:hAnsi="Times New Roman"/>
                <w:sz w:val="26"/>
                <w:szCs w:val="26"/>
              </w:rPr>
              <w:t>Cannon Design, Inc</w:t>
            </w:r>
            <w:r w:rsidR="00F6377E" w:rsidRPr="00970B75">
              <w:rPr>
                <w:rFonts w:ascii="Times New Roman" w:hAnsi="Times New Roman"/>
                <w:sz w:val="26"/>
                <w:szCs w:val="26"/>
              </w:rPr>
              <w:t xml:space="preserve">. </w:t>
            </w:r>
            <w:r w:rsidR="005E6979">
              <w:rPr>
                <w:rFonts w:ascii="Times New Roman" w:hAnsi="Times New Roman"/>
                <w:sz w:val="26"/>
                <w:szCs w:val="26"/>
              </w:rPr>
              <w:t xml:space="preserve">                                           </w:t>
            </w:r>
            <w:r>
              <w:rPr>
                <w:rFonts w:ascii="Times New Roman" w:hAnsi="Times New Roman"/>
                <w:sz w:val="26"/>
                <w:szCs w:val="26"/>
              </w:rPr>
              <w:t xml:space="preserve">                    </w:t>
            </w:r>
            <w:r w:rsidR="005E6979">
              <w:rPr>
                <w:rFonts w:ascii="Times New Roman" w:hAnsi="Times New Roman"/>
                <w:sz w:val="26"/>
                <w:szCs w:val="26"/>
              </w:rPr>
              <w:t xml:space="preserve">  </w:t>
            </w:r>
            <w:r>
              <w:rPr>
                <w:rFonts w:ascii="Times New Roman" w:hAnsi="Times New Roman"/>
                <w:sz w:val="26"/>
                <w:szCs w:val="26"/>
              </w:rPr>
              <w:t>Chicago, IL</w:t>
            </w:r>
          </w:p>
          <w:p w14:paraId="14D2CF60" w14:textId="77777777" w:rsidR="00F6377E" w:rsidRPr="00353536" w:rsidRDefault="00F6377E" w:rsidP="00F6377E">
            <w:pPr>
              <w:pStyle w:val="NoSpacing"/>
              <w:jc w:val="both"/>
              <w:rPr>
                <w:rFonts w:ascii="Times New Roman" w:hAnsi="Times New Roman"/>
                <w:sz w:val="26"/>
                <w:szCs w:val="26"/>
              </w:rPr>
            </w:pPr>
          </w:p>
        </w:tc>
      </w:tr>
      <w:tr w:rsidR="00F6377E" w:rsidRPr="00353536" w14:paraId="0CC80085" w14:textId="77777777" w:rsidTr="00F87EE6">
        <w:trPr>
          <w:trHeight w:val="150"/>
        </w:trPr>
        <w:tc>
          <w:tcPr>
            <w:tcW w:w="360" w:type="dxa"/>
          </w:tcPr>
          <w:p w14:paraId="67560A50" w14:textId="77777777" w:rsidR="00F6377E" w:rsidRPr="00353536" w:rsidRDefault="00F6377E" w:rsidP="00F6377E">
            <w:pPr>
              <w:pStyle w:val="NoSpacing"/>
              <w:rPr>
                <w:rFonts w:ascii="Times New Roman" w:hAnsi="Times New Roman"/>
                <w:sz w:val="26"/>
                <w:szCs w:val="26"/>
              </w:rPr>
            </w:pPr>
          </w:p>
        </w:tc>
        <w:tc>
          <w:tcPr>
            <w:tcW w:w="988" w:type="dxa"/>
            <w:shd w:val="clear" w:color="auto" w:fill="auto"/>
          </w:tcPr>
          <w:p w14:paraId="6AD68AE2" w14:textId="77777777" w:rsidR="00F6377E" w:rsidRPr="00353536" w:rsidRDefault="00F6377E" w:rsidP="00F6377E">
            <w:pPr>
              <w:pStyle w:val="NoSpacing"/>
              <w:rPr>
                <w:rFonts w:ascii="Times New Roman" w:hAnsi="Times New Roman"/>
                <w:sz w:val="26"/>
                <w:szCs w:val="26"/>
              </w:rPr>
            </w:pPr>
          </w:p>
        </w:tc>
        <w:tc>
          <w:tcPr>
            <w:tcW w:w="7994" w:type="dxa"/>
            <w:shd w:val="clear" w:color="auto" w:fill="auto"/>
          </w:tcPr>
          <w:p w14:paraId="49D69508" w14:textId="77777777" w:rsidR="00711A18" w:rsidRPr="00711A18" w:rsidRDefault="00711A18" w:rsidP="00711A18">
            <w:pPr>
              <w:pStyle w:val="NoSpacing"/>
              <w:rPr>
                <w:rFonts w:ascii="Times New Roman" w:hAnsi="Times New Roman"/>
                <w:sz w:val="26"/>
                <w:szCs w:val="26"/>
              </w:rPr>
            </w:pPr>
            <w:r w:rsidRPr="00711A18">
              <w:rPr>
                <w:rFonts w:ascii="Times New Roman" w:hAnsi="Times New Roman"/>
                <w:sz w:val="26"/>
                <w:szCs w:val="26"/>
              </w:rPr>
              <w:t xml:space="preserve">This is a change order to the award to Cannon Design, Inc. for request for proposal (RFP) 9SNC2208 for Facility Condition Assessment.  </w:t>
            </w:r>
          </w:p>
          <w:p w14:paraId="4820425A" w14:textId="77777777" w:rsidR="00711A18" w:rsidRPr="00711A18" w:rsidRDefault="00711A18" w:rsidP="00711A18">
            <w:pPr>
              <w:pStyle w:val="NoSpacing"/>
              <w:rPr>
                <w:rFonts w:ascii="Times New Roman" w:hAnsi="Times New Roman"/>
                <w:sz w:val="26"/>
                <w:szCs w:val="26"/>
              </w:rPr>
            </w:pPr>
          </w:p>
          <w:p w14:paraId="189E467F" w14:textId="77777777" w:rsidR="00711A18" w:rsidRPr="00711A18" w:rsidRDefault="00711A18" w:rsidP="00711A18">
            <w:pPr>
              <w:rPr>
                <w:rFonts w:ascii="Times New Roman" w:hAnsi="Times New Roman"/>
                <w:sz w:val="26"/>
                <w:szCs w:val="26"/>
              </w:rPr>
            </w:pPr>
            <w:r w:rsidRPr="00711A18">
              <w:rPr>
                <w:rFonts w:ascii="Times New Roman" w:hAnsi="Times New Roman"/>
                <w:sz w:val="26"/>
                <w:szCs w:val="26"/>
              </w:rPr>
              <w:t>Cannon is completing facility condition assessments at UIS, UIC, and UIUC, along with asset management database that will contain the assessments and allow for planning.  This change order allows UIC to complete an additional assessment consisting of an additional 5,696,288 gross square feet.</w:t>
            </w:r>
          </w:p>
          <w:p w14:paraId="15F28018" w14:textId="77777777" w:rsidR="00711A18" w:rsidRPr="00711A18" w:rsidRDefault="00711A18" w:rsidP="00711A18">
            <w:pPr>
              <w:pStyle w:val="NoSpacing"/>
              <w:rPr>
                <w:rFonts w:ascii="Times New Roman" w:hAnsi="Times New Roman"/>
                <w:sz w:val="26"/>
                <w:szCs w:val="26"/>
              </w:rPr>
            </w:pPr>
            <w:r w:rsidRPr="00711A18">
              <w:rPr>
                <w:rFonts w:ascii="Times New Roman" w:hAnsi="Times New Roman"/>
                <w:sz w:val="26"/>
                <w:szCs w:val="26"/>
              </w:rPr>
              <w:t>The initial term with Cannon Design began on June 30, 2023, and goes through June 30, 2028, with an additional four-year renewal term remaining.</w:t>
            </w:r>
          </w:p>
          <w:p w14:paraId="1328DB1C" w14:textId="77777777" w:rsidR="00711A18" w:rsidRPr="00711A18" w:rsidRDefault="00711A18" w:rsidP="00711A18">
            <w:pPr>
              <w:pStyle w:val="NoSpacing"/>
              <w:rPr>
                <w:rFonts w:ascii="Times New Roman" w:hAnsi="Times New Roman"/>
                <w:sz w:val="26"/>
                <w:szCs w:val="26"/>
              </w:rPr>
            </w:pPr>
          </w:p>
          <w:p w14:paraId="28D84B28" w14:textId="7FB50F74" w:rsidR="00F6377E" w:rsidRPr="00711A18" w:rsidRDefault="00711A18" w:rsidP="00F6377E">
            <w:pPr>
              <w:pStyle w:val="NoSpacing"/>
              <w:rPr>
                <w:rFonts w:ascii="Times New Roman" w:hAnsi="Times New Roman"/>
                <w:szCs w:val="24"/>
              </w:rPr>
            </w:pPr>
            <w:r w:rsidRPr="00711A18">
              <w:rPr>
                <w:rFonts w:ascii="Times New Roman" w:hAnsi="Times New Roman"/>
                <w:b/>
                <w:bCs/>
                <w:sz w:val="26"/>
                <w:szCs w:val="26"/>
              </w:rPr>
              <w:lastRenderedPageBreak/>
              <w:t>There is a BEP goal of 30%.</w:t>
            </w:r>
            <w:r w:rsidRPr="00711A18">
              <w:rPr>
                <w:rFonts w:ascii="Times New Roman" w:hAnsi="Times New Roman"/>
                <w:sz w:val="26"/>
                <w:szCs w:val="26"/>
              </w:rPr>
              <w:t xml:space="preserve"> Cannon Design, Inc. has identified BEP certified subcontractor(s) to fully meet the established goal and submitted executed Letter(s) of Intent.</w:t>
            </w:r>
            <w:r w:rsidRPr="00674A01">
              <w:rPr>
                <w:rFonts w:ascii="Times New Roman" w:hAnsi="Times New Roman"/>
              </w:rPr>
              <w:t xml:space="preserve">  </w:t>
            </w:r>
          </w:p>
        </w:tc>
      </w:tr>
      <w:tr w:rsidR="00F6377E" w:rsidRPr="00353536" w14:paraId="27971733" w14:textId="77777777" w:rsidTr="00F87EE6">
        <w:trPr>
          <w:trHeight w:val="432"/>
        </w:trPr>
        <w:tc>
          <w:tcPr>
            <w:tcW w:w="360" w:type="dxa"/>
          </w:tcPr>
          <w:p w14:paraId="16E50F8A" w14:textId="4C90AF5B" w:rsidR="00F6377E" w:rsidRPr="00353536" w:rsidRDefault="00F6377E" w:rsidP="00F6377E">
            <w:pPr>
              <w:pStyle w:val="NoSpacing"/>
              <w:rPr>
                <w:rFonts w:ascii="Times New Roman" w:hAnsi="Times New Roman"/>
                <w:sz w:val="26"/>
                <w:szCs w:val="26"/>
              </w:rPr>
            </w:pPr>
          </w:p>
        </w:tc>
        <w:tc>
          <w:tcPr>
            <w:tcW w:w="988" w:type="dxa"/>
          </w:tcPr>
          <w:p w14:paraId="6C91DA4D" w14:textId="7370E1BB" w:rsidR="00F6377E" w:rsidRPr="00353536" w:rsidRDefault="00F6377E" w:rsidP="00F6377E">
            <w:pPr>
              <w:pStyle w:val="NoSpacing"/>
              <w:rPr>
                <w:rFonts w:ascii="Times New Roman" w:hAnsi="Times New Roman"/>
                <w:sz w:val="26"/>
                <w:szCs w:val="26"/>
              </w:rPr>
            </w:pPr>
          </w:p>
        </w:tc>
        <w:tc>
          <w:tcPr>
            <w:tcW w:w="8012" w:type="dxa"/>
          </w:tcPr>
          <w:p w14:paraId="179FA858" w14:textId="77777777" w:rsidR="00F6377E" w:rsidRDefault="00F6377E" w:rsidP="00F6377E">
            <w:pPr>
              <w:pStyle w:val="NoSpacing"/>
              <w:rPr>
                <w:rFonts w:ascii="Times New Roman" w:hAnsi="Times New Roman"/>
                <w:sz w:val="26"/>
                <w:szCs w:val="26"/>
              </w:rPr>
            </w:pPr>
          </w:p>
          <w:p w14:paraId="0E49C9B6" w14:textId="77777777" w:rsidR="00934FC6" w:rsidRDefault="00934FC6" w:rsidP="00F6377E">
            <w:pPr>
              <w:pStyle w:val="NoSpacing"/>
              <w:rPr>
                <w:rFonts w:ascii="Times New Roman" w:hAnsi="Times New Roman"/>
                <w:sz w:val="26"/>
                <w:szCs w:val="26"/>
              </w:rPr>
            </w:pPr>
          </w:p>
          <w:p w14:paraId="0FED1F27" w14:textId="77777777" w:rsidR="00934FC6" w:rsidRDefault="00934FC6" w:rsidP="00F6377E">
            <w:pPr>
              <w:pStyle w:val="NoSpacing"/>
              <w:rPr>
                <w:rFonts w:ascii="Times New Roman" w:hAnsi="Times New Roman"/>
                <w:sz w:val="26"/>
                <w:szCs w:val="26"/>
              </w:rPr>
            </w:pPr>
          </w:p>
          <w:p w14:paraId="3270AC84" w14:textId="576C5E77" w:rsidR="00934FC6" w:rsidRPr="00353536" w:rsidRDefault="00934FC6" w:rsidP="00F6377E">
            <w:pPr>
              <w:pStyle w:val="NoSpacing"/>
              <w:rPr>
                <w:rFonts w:ascii="Times New Roman" w:hAnsi="Times New Roman"/>
                <w:sz w:val="26"/>
                <w:szCs w:val="26"/>
              </w:rPr>
            </w:pPr>
          </w:p>
        </w:tc>
      </w:tr>
      <w:tr w:rsidR="00A53454" w:rsidRPr="00353536" w14:paraId="105F6C1C" w14:textId="77777777" w:rsidTr="00F87EE6">
        <w:trPr>
          <w:trHeight w:val="387"/>
        </w:trPr>
        <w:tc>
          <w:tcPr>
            <w:tcW w:w="360" w:type="dxa"/>
            <w:tcBorders>
              <w:bottom w:val="double" w:sz="4" w:space="0" w:color="auto"/>
            </w:tcBorders>
          </w:tcPr>
          <w:p w14:paraId="26593BEF" w14:textId="01C75863" w:rsidR="00A53454" w:rsidRPr="00381F6B" w:rsidRDefault="00834684" w:rsidP="00381F6B">
            <w:pPr>
              <w:pStyle w:val="Heading3"/>
              <w:spacing w:before="0" w:line="240" w:lineRule="auto"/>
              <w:rPr>
                <w:rFonts w:ascii="Times New Roman" w:hAnsi="Times New Roman" w:cs="Times New Roman"/>
                <w:color w:val="auto"/>
                <w:sz w:val="26"/>
                <w:szCs w:val="26"/>
              </w:rPr>
            </w:pPr>
            <w:r w:rsidRPr="00381F6B">
              <w:rPr>
                <w:rFonts w:ascii="Times New Roman" w:hAnsi="Times New Roman" w:cs="Times New Roman"/>
                <w:color w:val="auto"/>
                <w:sz w:val="26"/>
                <w:szCs w:val="26"/>
              </w:rPr>
              <w:t>7</w:t>
            </w:r>
          </w:p>
        </w:tc>
        <w:tc>
          <w:tcPr>
            <w:tcW w:w="988" w:type="dxa"/>
            <w:tcBorders>
              <w:bottom w:val="double" w:sz="4" w:space="0" w:color="auto"/>
            </w:tcBorders>
          </w:tcPr>
          <w:p w14:paraId="485D05F5" w14:textId="64859F4B" w:rsidR="00A53454" w:rsidRPr="00381F6B" w:rsidRDefault="00A53454" w:rsidP="00381F6B">
            <w:pPr>
              <w:pStyle w:val="Heading3"/>
              <w:spacing w:before="0" w:line="240" w:lineRule="auto"/>
              <w:rPr>
                <w:rFonts w:ascii="Times New Roman" w:hAnsi="Times New Roman" w:cs="Times New Roman"/>
                <w:color w:val="auto"/>
                <w:sz w:val="26"/>
                <w:szCs w:val="26"/>
              </w:rPr>
            </w:pPr>
            <w:r w:rsidRPr="00381F6B">
              <w:rPr>
                <w:rFonts w:ascii="Times New Roman" w:hAnsi="Times New Roman" w:cs="Times New Roman"/>
                <w:color w:val="auto"/>
                <w:sz w:val="26"/>
                <w:szCs w:val="26"/>
              </w:rPr>
              <w:t>Unit</w:t>
            </w:r>
          </w:p>
        </w:tc>
        <w:tc>
          <w:tcPr>
            <w:tcW w:w="8012" w:type="dxa"/>
            <w:tcBorders>
              <w:bottom w:val="double" w:sz="4" w:space="0" w:color="auto"/>
            </w:tcBorders>
          </w:tcPr>
          <w:p w14:paraId="33BA6272" w14:textId="534A3D9B" w:rsidR="00A53454" w:rsidRPr="00381F6B" w:rsidRDefault="00711A18" w:rsidP="00381F6B">
            <w:pPr>
              <w:pStyle w:val="Heading3"/>
              <w:spacing w:before="0" w:line="240" w:lineRule="auto"/>
              <w:rPr>
                <w:rFonts w:ascii="Times New Roman" w:hAnsi="Times New Roman" w:cs="Times New Roman"/>
                <w:color w:val="auto"/>
                <w:sz w:val="26"/>
                <w:szCs w:val="26"/>
              </w:rPr>
            </w:pPr>
            <w:r w:rsidRPr="00381F6B">
              <w:rPr>
                <w:rFonts w:ascii="Times New Roman" w:hAnsi="Times New Roman" w:cs="Times New Roman"/>
                <w:color w:val="auto"/>
                <w:sz w:val="26"/>
                <w:szCs w:val="26"/>
              </w:rPr>
              <w:t>Office of Medicaid Innovation</w:t>
            </w:r>
          </w:p>
        </w:tc>
      </w:tr>
      <w:tr w:rsidR="00A53454" w:rsidRPr="00353536" w14:paraId="045C8F96" w14:textId="77777777" w:rsidTr="00F87EE6">
        <w:trPr>
          <w:trHeight w:val="549"/>
        </w:trPr>
        <w:tc>
          <w:tcPr>
            <w:tcW w:w="360" w:type="dxa"/>
            <w:tcBorders>
              <w:top w:val="double" w:sz="4" w:space="0" w:color="auto"/>
            </w:tcBorders>
          </w:tcPr>
          <w:p w14:paraId="3CC5413A" w14:textId="77777777" w:rsidR="00A53454" w:rsidRPr="00353536" w:rsidRDefault="00A53454" w:rsidP="00A53454">
            <w:pPr>
              <w:pStyle w:val="NoSpacing"/>
              <w:rPr>
                <w:rFonts w:ascii="Times New Roman" w:hAnsi="Times New Roman"/>
                <w:sz w:val="26"/>
                <w:szCs w:val="26"/>
              </w:rPr>
            </w:pPr>
          </w:p>
        </w:tc>
        <w:tc>
          <w:tcPr>
            <w:tcW w:w="988" w:type="dxa"/>
            <w:tcBorders>
              <w:top w:val="double" w:sz="4" w:space="0" w:color="auto"/>
            </w:tcBorders>
          </w:tcPr>
          <w:p w14:paraId="0854B016" w14:textId="77777777" w:rsidR="00A53454" w:rsidRPr="00353536" w:rsidRDefault="00A53454" w:rsidP="00A53454">
            <w:pPr>
              <w:pStyle w:val="NoSpacing"/>
              <w:rPr>
                <w:rFonts w:ascii="Times New Roman" w:hAnsi="Times New Roman"/>
                <w:sz w:val="26"/>
                <w:szCs w:val="26"/>
              </w:rPr>
            </w:pPr>
          </w:p>
          <w:p w14:paraId="766417B9" w14:textId="33F3F3BD" w:rsidR="00A53454" w:rsidRPr="00353536" w:rsidRDefault="00A53454" w:rsidP="00A53454">
            <w:pPr>
              <w:pStyle w:val="NoSpacing"/>
              <w:rPr>
                <w:rFonts w:ascii="Times New Roman" w:hAnsi="Times New Roman"/>
                <w:sz w:val="26"/>
                <w:szCs w:val="26"/>
              </w:rPr>
            </w:pPr>
            <w:r w:rsidRPr="00353536">
              <w:rPr>
                <w:rFonts w:ascii="Times New Roman" w:hAnsi="Times New Roman"/>
                <w:sz w:val="26"/>
                <w:szCs w:val="26"/>
              </w:rPr>
              <w:t>Item</w:t>
            </w:r>
          </w:p>
        </w:tc>
        <w:tc>
          <w:tcPr>
            <w:tcW w:w="8012" w:type="dxa"/>
            <w:tcBorders>
              <w:top w:val="double" w:sz="4" w:space="0" w:color="auto"/>
            </w:tcBorders>
            <w:vAlign w:val="center"/>
          </w:tcPr>
          <w:p w14:paraId="3ACADCE7" w14:textId="77777777" w:rsidR="00934FC6" w:rsidRDefault="00934FC6" w:rsidP="00A53454">
            <w:pPr>
              <w:pStyle w:val="NoSpacing"/>
              <w:rPr>
                <w:rFonts w:ascii="Times New Roman" w:hAnsi="Times New Roman"/>
                <w:sz w:val="26"/>
                <w:szCs w:val="26"/>
              </w:rPr>
            </w:pPr>
          </w:p>
          <w:p w14:paraId="78EF033F" w14:textId="40B354D9" w:rsidR="00A53454" w:rsidRPr="00353536" w:rsidRDefault="00711A18" w:rsidP="00A53454">
            <w:pPr>
              <w:pStyle w:val="NoSpacing"/>
              <w:rPr>
                <w:rFonts w:ascii="Times New Roman" w:hAnsi="Times New Roman"/>
                <w:sz w:val="26"/>
                <w:szCs w:val="26"/>
              </w:rPr>
            </w:pPr>
            <w:r w:rsidRPr="00711A18">
              <w:rPr>
                <w:rFonts w:ascii="Times New Roman" w:hAnsi="Times New Roman"/>
                <w:sz w:val="26"/>
                <w:szCs w:val="26"/>
              </w:rPr>
              <w:t>Change Order to the contract for consulting services for Managed Care Organization (MCO) review and analysis</w:t>
            </w:r>
          </w:p>
        </w:tc>
      </w:tr>
      <w:tr w:rsidR="00A53454" w:rsidRPr="00353536" w14:paraId="465EAE4D" w14:textId="77777777" w:rsidTr="00F87EE6">
        <w:trPr>
          <w:trHeight w:val="549"/>
        </w:trPr>
        <w:tc>
          <w:tcPr>
            <w:tcW w:w="360" w:type="dxa"/>
          </w:tcPr>
          <w:p w14:paraId="3A9380FD" w14:textId="77777777" w:rsidR="00A53454" w:rsidRPr="00353536" w:rsidRDefault="00A53454" w:rsidP="00A53454">
            <w:pPr>
              <w:pStyle w:val="NoSpacing"/>
              <w:rPr>
                <w:rFonts w:ascii="Times New Roman" w:hAnsi="Times New Roman"/>
                <w:sz w:val="26"/>
                <w:szCs w:val="26"/>
              </w:rPr>
            </w:pPr>
          </w:p>
        </w:tc>
        <w:tc>
          <w:tcPr>
            <w:tcW w:w="988" w:type="dxa"/>
          </w:tcPr>
          <w:p w14:paraId="28EC8481" w14:textId="77777777" w:rsidR="00A53454" w:rsidRPr="00353536" w:rsidRDefault="00A53454" w:rsidP="00A53454">
            <w:pPr>
              <w:pStyle w:val="NoSpacing"/>
              <w:rPr>
                <w:rFonts w:ascii="Times New Roman" w:hAnsi="Times New Roman"/>
                <w:sz w:val="26"/>
                <w:szCs w:val="26"/>
              </w:rPr>
            </w:pPr>
          </w:p>
          <w:p w14:paraId="47C84D91" w14:textId="14A40BB4" w:rsidR="00A53454" w:rsidRPr="00353536" w:rsidRDefault="00A53454" w:rsidP="00A53454">
            <w:pPr>
              <w:pStyle w:val="NoSpacing"/>
              <w:rPr>
                <w:rFonts w:ascii="Times New Roman" w:hAnsi="Times New Roman"/>
                <w:sz w:val="26"/>
                <w:szCs w:val="26"/>
              </w:rPr>
            </w:pPr>
            <w:r w:rsidRPr="00353536">
              <w:rPr>
                <w:rFonts w:ascii="Times New Roman" w:hAnsi="Times New Roman"/>
                <w:sz w:val="26"/>
                <w:szCs w:val="26"/>
              </w:rPr>
              <w:t>Cost</w:t>
            </w:r>
          </w:p>
        </w:tc>
        <w:tc>
          <w:tcPr>
            <w:tcW w:w="8012" w:type="dxa"/>
          </w:tcPr>
          <w:p w14:paraId="7461ACC3" w14:textId="77777777" w:rsidR="00A53454" w:rsidRPr="00353536" w:rsidRDefault="00A53454" w:rsidP="00A53454">
            <w:pPr>
              <w:pStyle w:val="NoSpacing"/>
              <w:rPr>
                <w:rFonts w:ascii="Times New Roman" w:hAnsi="Times New Roman"/>
                <w:sz w:val="26"/>
                <w:szCs w:val="26"/>
              </w:rPr>
            </w:pPr>
          </w:p>
          <w:p w14:paraId="6A547D7A" w14:textId="44F9E3D4" w:rsidR="00A53454" w:rsidRPr="00353536" w:rsidRDefault="00A53454" w:rsidP="00A53454">
            <w:pPr>
              <w:pStyle w:val="NoSpacing"/>
              <w:rPr>
                <w:rFonts w:ascii="Times New Roman" w:hAnsi="Times New Roman"/>
                <w:sz w:val="26"/>
                <w:szCs w:val="26"/>
              </w:rPr>
            </w:pPr>
            <w:r w:rsidRPr="008856C6">
              <w:rPr>
                <w:rFonts w:ascii="Times New Roman" w:hAnsi="Times New Roman"/>
                <w:sz w:val="26"/>
                <w:szCs w:val="26"/>
              </w:rPr>
              <w:t>$</w:t>
            </w:r>
            <w:r w:rsidRPr="005E6979">
              <w:rPr>
                <w:rFonts w:ascii="Times New Roman" w:hAnsi="Times New Roman"/>
                <w:sz w:val="26"/>
                <w:szCs w:val="26"/>
              </w:rPr>
              <w:t>9</w:t>
            </w:r>
            <w:r w:rsidR="00711A18">
              <w:rPr>
                <w:rFonts w:ascii="Times New Roman" w:hAnsi="Times New Roman"/>
                <w:sz w:val="26"/>
                <w:szCs w:val="26"/>
              </w:rPr>
              <w:t>55</w:t>
            </w:r>
            <w:r w:rsidRPr="005E6979">
              <w:rPr>
                <w:rFonts w:ascii="Times New Roman" w:hAnsi="Times New Roman"/>
                <w:sz w:val="26"/>
                <w:szCs w:val="26"/>
              </w:rPr>
              <w:t>,000</w:t>
            </w:r>
            <w:r>
              <w:rPr>
                <w:rFonts w:ascii="Times New Roman" w:hAnsi="Times New Roman"/>
                <w:sz w:val="26"/>
                <w:szCs w:val="26"/>
              </w:rPr>
              <w:t xml:space="preserve"> (e</w:t>
            </w:r>
            <w:r w:rsidRPr="008856C6">
              <w:rPr>
                <w:rFonts w:ascii="Times New Roman" w:hAnsi="Times New Roman"/>
                <w:sz w:val="26"/>
                <w:szCs w:val="26"/>
              </w:rPr>
              <w:t>stimated</w:t>
            </w:r>
            <w:r>
              <w:rPr>
                <w:rFonts w:ascii="Times New Roman" w:hAnsi="Times New Roman"/>
                <w:sz w:val="26"/>
                <w:szCs w:val="26"/>
              </w:rPr>
              <w:t>)</w:t>
            </w:r>
          </w:p>
        </w:tc>
      </w:tr>
      <w:tr w:rsidR="00A53454" w:rsidRPr="00353536" w14:paraId="75DB0BB4" w14:textId="77777777" w:rsidTr="00F87EE6">
        <w:trPr>
          <w:trHeight w:val="549"/>
        </w:trPr>
        <w:tc>
          <w:tcPr>
            <w:tcW w:w="360" w:type="dxa"/>
          </w:tcPr>
          <w:p w14:paraId="13CBFA3C" w14:textId="77777777" w:rsidR="00A53454" w:rsidRPr="00353536" w:rsidRDefault="00A53454" w:rsidP="00A53454">
            <w:pPr>
              <w:pStyle w:val="NoSpacing"/>
              <w:rPr>
                <w:rFonts w:ascii="Times New Roman" w:hAnsi="Times New Roman"/>
                <w:sz w:val="26"/>
                <w:szCs w:val="26"/>
              </w:rPr>
            </w:pPr>
          </w:p>
        </w:tc>
        <w:tc>
          <w:tcPr>
            <w:tcW w:w="988" w:type="dxa"/>
          </w:tcPr>
          <w:p w14:paraId="0E565B05" w14:textId="77777777" w:rsidR="00A53454" w:rsidRPr="00353536" w:rsidRDefault="00A53454" w:rsidP="00A53454">
            <w:pPr>
              <w:pStyle w:val="NoSpacing"/>
              <w:rPr>
                <w:rFonts w:ascii="Times New Roman" w:hAnsi="Times New Roman"/>
                <w:sz w:val="26"/>
                <w:szCs w:val="26"/>
              </w:rPr>
            </w:pPr>
          </w:p>
          <w:p w14:paraId="134B7916" w14:textId="21EE891D" w:rsidR="00A53454" w:rsidRPr="00353536" w:rsidRDefault="00A53454" w:rsidP="00A53454">
            <w:pPr>
              <w:pStyle w:val="NoSpacing"/>
              <w:rPr>
                <w:rFonts w:ascii="Times New Roman" w:hAnsi="Times New Roman"/>
                <w:sz w:val="26"/>
                <w:szCs w:val="26"/>
              </w:rPr>
            </w:pPr>
            <w:r w:rsidRPr="00353536">
              <w:rPr>
                <w:rFonts w:ascii="Times New Roman" w:hAnsi="Times New Roman"/>
                <w:sz w:val="26"/>
                <w:szCs w:val="26"/>
              </w:rPr>
              <w:t>Vendor</w:t>
            </w:r>
          </w:p>
        </w:tc>
        <w:tc>
          <w:tcPr>
            <w:tcW w:w="8012" w:type="dxa"/>
          </w:tcPr>
          <w:p w14:paraId="570EDD26" w14:textId="77777777" w:rsidR="00A53454" w:rsidRDefault="00A53454" w:rsidP="00A53454">
            <w:pPr>
              <w:pStyle w:val="NoSpacing"/>
              <w:rPr>
                <w:rFonts w:ascii="Times New Roman" w:hAnsi="Times New Roman"/>
                <w:sz w:val="26"/>
                <w:szCs w:val="26"/>
              </w:rPr>
            </w:pPr>
          </w:p>
          <w:p w14:paraId="7046DCCF" w14:textId="77777777" w:rsidR="00A53454" w:rsidRPr="00711A18" w:rsidRDefault="00A53454" w:rsidP="00A53454">
            <w:pPr>
              <w:pStyle w:val="NoSpacing"/>
              <w:rPr>
                <w:rFonts w:ascii="Times New Roman" w:hAnsi="Times New Roman"/>
                <w:sz w:val="26"/>
                <w:szCs w:val="26"/>
              </w:rPr>
            </w:pPr>
            <w:r w:rsidRPr="00970B75">
              <w:rPr>
                <w:rFonts w:ascii="Times New Roman" w:hAnsi="Times New Roman"/>
                <w:sz w:val="26"/>
                <w:szCs w:val="26"/>
              </w:rPr>
              <w:t xml:space="preserve">McKinsey &amp; Company, Inc. </w:t>
            </w:r>
            <w:r>
              <w:rPr>
                <w:rFonts w:ascii="Times New Roman" w:hAnsi="Times New Roman"/>
                <w:sz w:val="26"/>
                <w:szCs w:val="26"/>
              </w:rPr>
              <w:t xml:space="preserve">                                             </w:t>
            </w:r>
            <w:r w:rsidRPr="00970B75">
              <w:rPr>
                <w:rFonts w:ascii="Times New Roman" w:hAnsi="Times New Roman"/>
                <w:sz w:val="26"/>
                <w:szCs w:val="26"/>
              </w:rPr>
              <w:t>Washington, DC</w:t>
            </w:r>
          </w:p>
          <w:p w14:paraId="5170F7B0" w14:textId="77777777" w:rsidR="00A53454" w:rsidRPr="00353536" w:rsidRDefault="00A53454" w:rsidP="00A53454">
            <w:pPr>
              <w:pStyle w:val="NoSpacing"/>
              <w:rPr>
                <w:rFonts w:ascii="Times New Roman" w:hAnsi="Times New Roman"/>
                <w:sz w:val="26"/>
                <w:szCs w:val="26"/>
              </w:rPr>
            </w:pPr>
          </w:p>
        </w:tc>
      </w:tr>
      <w:tr w:rsidR="00A53454" w:rsidRPr="00353536" w14:paraId="587C6B7F" w14:textId="77777777" w:rsidTr="00F87EE6">
        <w:trPr>
          <w:trHeight w:val="549"/>
        </w:trPr>
        <w:tc>
          <w:tcPr>
            <w:tcW w:w="360" w:type="dxa"/>
          </w:tcPr>
          <w:p w14:paraId="3B26DB52" w14:textId="77777777" w:rsidR="00A53454" w:rsidRPr="00353536" w:rsidRDefault="00A53454" w:rsidP="00A53454">
            <w:pPr>
              <w:pStyle w:val="NoSpacing"/>
              <w:rPr>
                <w:rFonts w:ascii="Times New Roman" w:hAnsi="Times New Roman"/>
                <w:sz w:val="26"/>
                <w:szCs w:val="26"/>
              </w:rPr>
            </w:pPr>
          </w:p>
        </w:tc>
        <w:tc>
          <w:tcPr>
            <w:tcW w:w="988" w:type="dxa"/>
          </w:tcPr>
          <w:p w14:paraId="5CB8A417" w14:textId="77777777" w:rsidR="00A53454" w:rsidRPr="00353536" w:rsidRDefault="00A53454" w:rsidP="00A53454">
            <w:pPr>
              <w:pStyle w:val="NoSpacing"/>
              <w:rPr>
                <w:rFonts w:ascii="Times New Roman" w:hAnsi="Times New Roman"/>
                <w:sz w:val="26"/>
                <w:szCs w:val="26"/>
              </w:rPr>
            </w:pPr>
          </w:p>
        </w:tc>
        <w:tc>
          <w:tcPr>
            <w:tcW w:w="8012" w:type="dxa"/>
          </w:tcPr>
          <w:p w14:paraId="0E2B39E4" w14:textId="77777777" w:rsidR="00711A18" w:rsidRPr="00861FBB" w:rsidRDefault="00711A18" w:rsidP="00711A18">
            <w:pPr>
              <w:pStyle w:val="NoSpacing"/>
              <w:rPr>
                <w:rFonts w:ascii="Times New Roman" w:hAnsi="Times New Roman"/>
                <w:sz w:val="26"/>
                <w:szCs w:val="26"/>
              </w:rPr>
            </w:pPr>
            <w:r w:rsidRPr="00861FBB">
              <w:rPr>
                <w:rFonts w:ascii="Times New Roman" w:hAnsi="Times New Roman"/>
                <w:sz w:val="26"/>
                <w:szCs w:val="26"/>
              </w:rPr>
              <w:t xml:space="preserve">This is </w:t>
            </w:r>
            <w:r>
              <w:rPr>
                <w:rFonts w:ascii="Times New Roman" w:hAnsi="Times New Roman"/>
                <w:sz w:val="26"/>
                <w:szCs w:val="26"/>
              </w:rPr>
              <w:t>a change order to an</w:t>
            </w:r>
            <w:r w:rsidRPr="00861FBB">
              <w:rPr>
                <w:rFonts w:ascii="Times New Roman" w:hAnsi="Times New Roman"/>
                <w:sz w:val="26"/>
                <w:szCs w:val="26"/>
              </w:rPr>
              <w:t xml:space="preserve"> award of a task order to McKinsey &amp; Company, Inc. based on the request for proposal (RFP) 1JWS1805 for Consulting for Strategic/Financial Planning and Related Services.  </w:t>
            </w:r>
          </w:p>
          <w:p w14:paraId="2B589794" w14:textId="77777777" w:rsidR="00711A18" w:rsidRPr="00861FBB" w:rsidRDefault="00711A18" w:rsidP="00711A18">
            <w:pPr>
              <w:pStyle w:val="NoSpacing"/>
              <w:rPr>
                <w:rFonts w:ascii="Times New Roman" w:hAnsi="Times New Roman"/>
                <w:sz w:val="26"/>
                <w:szCs w:val="26"/>
              </w:rPr>
            </w:pPr>
          </w:p>
          <w:p w14:paraId="512A9B28" w14:textId="77777777" w:rsidR="00711A18" w:rsidRPr="00970B75" w:rsidRDefault="00711A18" w:rsidP="00711A18">
            <w:pPr>
              <w:pStyle w:val="NoSpacing"/>
              <w:rPr>
                <w:rFonts w:ascii="Times New Roman" w:hAnsi="Times New Roman"/>
                <w:sz w:val="26"/>
                <w:szCs w:val="26"/>
              </w:rPr>
            </w:pPr>
            <w:r w:rsidRPr="00970B75">
              <w:rPr>
                <w:rFonts w:ascii="Times New Roman" w:hAnsi="Times New Roman"/>
                <w:sz w:val="26"/>
                <w:szCs w:val="26"/>
              </w:rPr>
              <w:t xml:space="preserve">This change order is </w:t>
            </w:r>
            <w:r>
              <w:rPr>
                <w:rFonts w:ascii="Times New Roman" w:hAnsi="Times New Roman"/>
                <w:sz w:val="26"/>
                <w:szCs w:val="26"/>
              </w:rPr>
              <w:t xml:space="preserve">to </w:t>
            </w:r>
            <w:r w:rsidRPr="00970B75">
              <w:rPr>
                <w:rFonts w:ascii="Times New Roman" w:hAnsi="Times New Roman"/>
                <w:sz w:val="26"/>
                <w:szCs w:val="26"/>
              </w:rPr>
              <w:t xml:space="preserve">increase the scope of services </w:t>
            </w:r>
            <w:r>
              <w:rPr>
                <w:rFonts w:ascii="Times New Roman" w:hAnsi="Times New Roman"/>
                <w:sz w:val="26"/>
                <w:szCs w:val="26"/>
              </w:rPr>
              <w:t>to allow for phase 2 of the project that will include further research on specific topics prioritized by OMI after phase 1that is for the setup, alignment and initial research on focus areas is completed.</w:t>
            </w:r>
          </w:p>
          <w:p w14:paraId="6A8F2412" w14:textId="77777777" w:rsidR="00711A18" w:rsidRPr="00970B75" w:rsidRDefault="00711A18" w:rsidP="00711A18">
            <w:pPr>
              <w:pStyle w:val="NoSpacing"/>
              <w:rPr>
                <w:rFonts w:ascii="Times New Roman" w:hAnsi="Times New Roman"/>
                <w:sz w:val="26"/>
                <w:szCs w:val="26"/>
              </w:rPr>
            </w:pPr>
          </w:p>
          <w:p w14:paraId="327BF540" w14:textId="1067BEE1" w:rsidR="00A53454" w:rsidRPr="00353536" w:rsidRDefault="00711A18" w:rsidP="00711A18">
            <w:pPr>
              <w:pStyle w:val="NoSpacing"/>
              <w:rPr>
                <w:rFonts w:ascii="Times New Roman" w:hAnsi="Times New Roman"/>
                <w:sz w:val="26"/>
                <w:szCs w:val="26"/>
              </w:rPr>
            </w:pPr>
            <w:r w:rsidRPr="00420B03">
              <w:rPr>
                <w:rFonts w:ascii="Times New Roman" w:hAnsi="Times New Roman"/>
                <w:b/>
                <w:bCs/>
                <w:sz w:val="26"/>
                <w:szCs w:val="26"/>
              </w:rPr>
              <w:t xml:space="preserve">A 25% BEP goal was established for this project.  </w:t>
            </w:r>
            <w:r w:rsidRPr="00970B75">
              <w:rPr>
                <w:rFonts w:ascii="Times New Roman" w:hAnsi="Times New Roman"/>
                <w:sz w:val="26"/>
                <w:szCs w:val="26"/>
              </w:rPr>
              <w:t xml:space="preserve">McKinsey &amp; Company, Inc. will use Seventeenth Addition LLC (a certified WBE) for an estimated 25% of the services.  </w:t>
            </w:r>
          </w:p>
        </w:tc>
      </w:tr>
      <w:tr w:rsidR="00A53454" w:rsidRPr="00353536" w14:paraId="7077310F" w14:textId="77777777" w:rsidTr="00F87EE6">
        <w:trPr>
          <w:trHeight w:val="549"/>
        </w:trPr>
        <w:tc>
          <w:tcPr>
            <w:tcW w:w="360" w:type="dxa"/>
            <w:tcBorders>
              <w:bottom w:val="double" w:sz="6" w:space="0" w:color="auto"/>
            </w:tcBorders>
          </w:tcPr>
          <w:p w14:paraId="1EEAAC02" w14:textId="77777777" w:rsidR="00A53454" w:rsidRPr="00353536" w:rsidRDefault="00A53454" w:rsidP="00A53454">
            <w:pPr>
              <w:pStyle w:val="NoSpacing"/>
              <w:rPr>
                <w:rFonts w:ascii="Times New Roman" w:hAnsi="Times New Roman"/>
                <w:sz w:val="26"/>
                <w:szCs w:val="26"/>
              </w:rPr>
            </w:pPr>
          </w:p>
        </w:tc>
        <w:tc>
          <w:tcPr>
            <w:tcW w:w="988" w:type="dxa"/>
            <w:tcBorders>
              <w:bottom w:val="double" w:sz="6" w:space="0" w:color="auto"/>
            </w:tcBorders>
          </w:tcPr>
          <w:p w14:paraId="2BD57888" w14:textId="77777777" w:rsidR="00A53454" w:rsidRPr="00353536" w:rsidRDefault="00A53454" w:rsidP="00A53454">
            <w:pPr>
              <w:pStyle w:val="NoSpacing"/>
              <w:rPr>
                <w:rFonts w:ascii="Times New Roman" w:hAnsi="Times New Roman"/>
                <w:sz w:val="26"/>
                <w:szCs w:val="26"/>
              </w:rPr>
            </w:pPr>
          </w:p>
        </w:tc>
        <w:tc>
          <w:tcPr>
            <w:tcW w:w="8012" w:type="dxa"/>
            <w:tcBorders>
              <w:bottom w:val="double" w:sz="6" w:space="0" w:color="auto"/>
            </w:tcBorders>
          </w:tcPr>
          <w:p w14:paraId="377DCEE6" w14:textId="77777777" w:rsidR="00A53454" w:rsidRPr="00353536" w:rsidRDefault="00A53454" w:rsidP="00A53454">
            <w:pPr>
              <w:pStyle w:val="NoSpacing"/>
              <w:rPr>
                <w:rFonts w:ascii="Times New Roman" w:hAnsi="Times New Roman"/>
                <w:sz w:val="26"/>
                <w:szCs w:val="26"/>
              </w:rPr>
            </w:pPr>
          </w:p>
        </w:tc>
      </w:tr>
    </w:tbl>
    <w:p w14:paraId="33C686F8" w14:textId="6F1D6868" w:rsidR="0076023D" w:rsidRPr="00353536" w:rsidRDefault="0076023D" w:rsidP="002C343C">
      <w:pPr>
        <w:pStyle w:val="NoSpacing"/>
        <w:rPr>
          <w:rFonts w:ascii="Times New Roman" w:eastAsia="Times New Roman" w:hAnsi="Times New Roman"/>
          <w:sz w:val="26"/>
          <w:szCs w:val="26"/>
        </w:rPr>
      </w:pPr>
    </w:p>
    <w:tbl>
      <w:tblPr>
        <w:tblpPr w:leftFromText="180" w:rightFromText="180" w:vertAnchor="text" w:horzAnchor="margin" w:tblpXSpec="center" w:tblpY="90"/>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5693"/>
        <w:gridCol w:w="1902"/>
      </w:tblGrid>
      <w:tr w:rsidR="009412F7" w:rsidRPr="00353536" w14:paraId="0F237B4F" w14:textId="77777777" w:rsidTr="002A641F">
        <w:trPr>
          <w:cantSplit/>
          <w:trHeight w:val="314"/>
        </w:trPr>
        <w:tc>
          <w:tcPr>
            <w:tcW w:w="7595" w:type="dxa"/>
            <w:gridSpan w:val="2"/>
          </w:tcPr>
          <w:p w14:paraId="70768D9C" w14:textId="77777777" w:rsidR="009412F7" w:rsidRPr="00353536" w:rsidRDefault="009412F7"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sz w:val="26"/>
                <w:szCs w:val="26"/>
              </w:rPr>
            </w:pPr>
            <w:r w:rsidRPr="00353536">
              <w:rPr>
                <w:rFonts w:ascii="Times New Roman" w:eastAsia="Times New Roman" w:hAnsi="Times New Roman"/>
                <w:b/>
                <w:sz w:val="26"/>
                <w:szCs w:val="26"/>
              </w:rPr>
              <w:t>SUMMARY OF PURCHASES</w:t>
            </w:r>
          </w:p>
        </w:tc>
      </w:tr>
      <w:tr w:rsidR="00361DE1" w:rsidRPr="00353536" w14:paraId="5E95681F" w14:textId="77777777" w:rsidTr="00A05784">
        <w:trPr>
          <w:trHeight w:val="394"/>
        </w:trPr>
        <w:tc>
          <w:tcPr>
            <w:tcW w:w="5693" w:type="dxa"/>
          </w:tcPr>
          <w:p w14:paraId="568ECDE7" w14:textId="10D7FF42" w:rsidR="00361DE1" w:rsidRPr="00353536" w:rsidRDefault="00361DE1"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353536">
              <w:rPr>
                <w:rFonts w:ascii="Times New Roman" w:eastAsia="Times New Roman" w:hAnsi="Times New Roman"/>
                <w:sz w:val="26"/>
                <w:szCs w:val="26"/>
              </w:rPr>
              <w:t>University of Illinois at</w:t>
            </w:r>
            <w:r>
              <w:rPr>
                <w:rFonts w:ascii="Times New Roman" w:eastAsia="Times New Roman" w:hAnsi="Times New Roman"/>
                <w:sz w:val="26"/>
                <w:szCs w:val="26"/>
              </w:rPr>
              <w:t xml:space="preserve"> </w:t>
            </w:r>
            <w:r w:rsidR="00540E60">
              <w:rPr>
                <w:rFonts w:ascii="Times New Roman" w:eastAsia="Times New Roman" w:hAnsi="Times New Roman"/>
                <w:sz w:val="26"/>
                <w:szCs w:val="26"/>
              </w:rPr>
              <w:t>Chicago</w:t>
            </w:r>
          </w:p>
        </w:tc>
        <w:tc>
          <w:tcPr>
            <w:tcW w:w="1902" w:type="dxa"/>
            <w:shd w:val="clear" w:color="auto" w:fill="auto"/>
          </w:tcPr>
          <w:p w14:paraId="3F7DF7BA" w14:textId="522E5559" w:rsidR="00361DE1" w:rsidRPr="00F87EE6" w:rsidRDefault="00361DE1" w:rsidP="00AD2AF9">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F87EE6">
              <w:rPr>
                <w:rFonts w:ascii="Times New Roman" w:eastAsia="Times New Roman" w:hAnsi="Times New Roman"/>
                <w:sz w:val="26"/>
                <w:szCs w:val="26"/>
              </w:rPr>
              <w:t>$</w:t>
            </w:r>
            <w:r w:rsidR="00F87EE6" w:rsidRPr="00F87EE6">
              <w:rPr>
                <w:rFonts w:ascii="Times New Roman" w:eastAsia="Times New Roman" w:hAnsi="Times New Roman"/>
                <w:sz w:val="26"/>
                <w:szCs w:val="26"/>
              </w:rPr>
              <w:t>11,565,134</w:t>
            </w:r>
          </w:p>
        </w:tc>
      </w:tr>
      <w:tr w:rsidR="000E15C9" w:rsidRPr="00353536" w14:paraId="3EBF655C" w14:textId="77777777" w:rsidTr="00A05784">
        <w:trPr>
          <w:trHeight w:val="394"/>
        </w:trPr>
        <w:tc>
          <w:tcPr>
            <w:tcW w:w="5693" w:type="dxa"/>
          </w:tcPr>
          <w:p w14:paraId="78561DD1" w14:textId="5938BE37" w:rsidR="000E15C9" w:rsidRPr="00353536" w:rsidRDefault="000E15C9"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353536">
              <w:rPr>
                <w:rFonts w:ascii="Times New Roman" w:eastAsia="Times New Roman" w:hAnsi="Times New Roman"/>
                <w:sz w:val="26"/>
                <w:szCs w:val="26"/>
              </w:rPr>
              <w:t xml:space="preserve">University of Illinois at </w:t>
            </w:r>
            <w:r w:rsidR="00540E60">
              <w:rPr>
                <w:rFonts w:ascii="Times New Roman" w:eastAsia="Times New Roman" w:hAnsi="Times New Roman"/>
                <w:sz w:val="26"/>
                <w:szCs w:val="26"/>
              </w:rPr>
              <w:t>Urbana-Champaign</w:t>
            </w:r>
          </w:p>
        </w:tc>
        <w:tc>
          <w:tcPr>
            <w:tcW w:w="1902" w:type="dxa"/>
            <w:shd w:val="clear" w:color="auto" w:fill="auto"/>
          </w:tcPr>
          <w:p w14:paraId="1AC2D057" w14:textId="07CC2FD9" w:rsidR="000E15C9" w:rsidRPr="00821EB7" w:rsidRDefault="000E15C9" w:rsidP="00AD2AF9">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DD6334">
              <w:rPr>
                <w:rFonts w:ascii="Times New Roman" w:eastAsia="Times New Roman" w:hAnsi="Times New Roman"/>
                <w:sz w:val="26"/>
                <w:szCs w:val="26"/>
              </w:rPr>
              <w:t>$</w:t>
            </w:r>
            <w:r w:rsidR="002B1BE5">
              <w:rPr>
                <w:rFonts w:ascii="Times New Roman" w:eastAsia="Times New Roman" w:hAnsi="Times New Roman"/>
                <w:sz w:val="26"/>
                <w:szCs w:val="26"/>
              </w:rPr>
              <w:t>23,994,980</w:t>
            </w:r>
            <w:r w:rsidRPr="00821EB7">
              <w:rPr>
                <w:rFonts w:ascii="Times New Roman" w:eastAsia="Times New Roman" w:hAnsi="Times New Roman"/>
                <w:sz w:val="26"/>
                <w:szCs w:val="26"/>
              </w:rPr>
              <w:t xml:space="preserve"> </w:t>
            </w:r>
          </w:p>
        </w:tc>
      </w:tr>
      <w:tr w:rsidR="002C343C" w:rsidRPr="00353536" w14:paraId="5EDFE55C" w14:textId="77777777" w:rsidTr="00A05784">
        <w:trPr>
          <w:trHeight w:val="394"/>
        </w:trPr>
        <w:tc>
          <w:tcPr>
            <w:tcW w:w="5693" w:type="dxa"/>
          </w:tcPr>
          <w:p w14:paraId="2B5B80EA" w14:textId="77777777" w:rsidR="002C343C" w:rsidRPr="00353536" w:rsidRDefault="002C343C"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353536">
              <w:rPr>
                <w:rFonts w:ascii="Times New Roman" w:eastAsia="Times New Roman" w:hAnsi="Times New Roman"/>
                <w:color w:val="000000"/>
                <w:sz w:val="26"/>
                <w:szCs w:val="26"/>
              </w:rPr>
              <w:t>Recommended from Institutional Funds</w:t>
            </w:r>
          </w:p>
          <w:p w14:paraId="3006AE46" w14:textId="706D64DA" w:rsidR="002C343C" w:rsidRPr="00353536" w:rsidRDefault="002C343C"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353536">
              <w:rPr>
                <w:rFonts w:ascii="Times New Roman" w:eastAsia="Times New Roman" w:hAnsi="Times New Roman"/>
                <w:color w:val="000000"/>
                <w:sz w:val="26"/>
                <w:szCs w:val="26"/>
              </w:rPr>
              <w:t>Grand Total</w:t>
            </w:r>
          </w:p>
        </w:tc>
        <w:tc>
          <w:tcPr>
            <w:tcW w:w="1902" w:type="dxa"/>
            <w:shd w:val="clear" w:color="auto" w:fill="auto"/>
          </w:tcPr>
          <w:p w14:paraId="0B588B2D" w14:textId="3A9E5780" w:rsidR="002C343C" w:rsidRPr="00353536" w:rsidRDefault="002C343C" w:rsidP="002A641F">
            <w:pPr>
              <w:overflowPunct w:val="0"/>
              <w:autoSpaceDE w:val="0"/>
              <w:autoSpaceDN w:val="0"/>
              <w:adjustRightInd w:val="0"/>
              <w:spacing w:after="0" w:line="240" w:lineRule="auto"/>
              <w:textAlignment w:val="baseline"/>
              <w:rPr>
                <w:rFonts w:ascii="Times New Roman" w:eastAsia="Times New Roman" w:hAnsi="Times New Roman"/>
                <w:sz w:val="26"/>
                <w:szCs w:val="26"/>
                <w:highlight w:val="yellow"/>
              </w:rPr>
            </w:pPr>
            <w:r w:rsidRPr="00821EB7">
              <w:rPr>
                <w:rFonts w:ascii="Times New Roman" w:eastAsia="Times New Roman" w:hAnsi="Times New Roman"/>
                <w:sz w:val="26"/>
                <w:szCs w:val="26"/>
              </w:rPr>
              <w:t>$</w:t>
            </w:r>
            <w:r w:rsidR="002B1BE5">
              <w:rPr>
                <w:rFonts w:ascii="Times New Roman" w:eastAsia="Times New Roman" w:hAnsi="Times New Roman"/>
                <w:sz w:val="26"/>
                <w:szCs w:val="26"/>
              </w:rPr>
              <w:t>35,560,114</w:t>
            </w:r>
          </w:p>
        </w:tc>
      </w:tr>
      <w:tr w:rsidR="00A53454" w:rsidRPr="00353536" w14:paraId="5E40F003" w14:textId="77777777" w:rsidTr="00A05784">
        <w:trPr>
          <w:trHeight w:val="394"/>
        </w:trPr>
        <w:tc>
          <w:tcPr>
            <w:tcW w:w="5693" w:type="dxa"/>
          </w:tcPr>
          <w:p w14:paraId="6F8FE53B" w14:textId="77777777" w:rsidR="00A53454" w:rsidRPr="00353536" w:rsidRDefault="00A53454"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p>
        </w:tc>
        <w:tc>
          <w:tcPr>
            <w:tcW w:w="1902" w:type="dxa"/>
            <w:shd w:val="clear" w:color="auto" w:fill="auto"/>
          </w:tcPr>
          <w:p w14:paraId="7E5A0363" w14:textId="77777777" w:rsidR="00A53454" w:rsidRPr="00353536" w:rsidRDefault="00A53454" w:rsidP="00AD2AF9">
            <w:pPr>
              <w:overflowPunct w:val="0"/>
              <w:autoSpaceDE w:val="0"/>
              <w:autoSpaceDN w:val="0"/>
              <w:adjustRightInd w:val="0"/>
              <w:spacing w:after="0" w:line="240" w:lineRule="auto"/>
              <w:textAlignment w:val="baseline"/>
              <w:rPr>
                <w:rFonts w:ascii="Times New Roman" w:eastAsia="Times New Roman" w:hAnsi="Times New Roman"/>
                <w:sz w:val="26"/>
                <w:szCs w:val="26"/>
                <w:highlight w:val="yellow"/>
              </w:rPr>
            </w:pPr>
          </w:p>
        </w:tc>
      </w:tr>
      <w:tr w:rsidR="00A53454" w:rsidRPr="00353536" w14:paraId="35D8E633" w14:textId="77777777" w:rsidTr="00520C04">
        <w:trPr>
          <w:trHeight w:val="394"/>
        </w:trPr>
        <w:tc>
          <w:tcPr>
            <w:tcW w:w="7595" w:type="dxa"/>
            <w:gridSpan w:val="2"/>
          </w:tcPr>
          <w:p w14:paraId="22DDE64D" w14:textId="7BED404F" w:rsidR="00A53454" w:rsidRPr="00353536" w:rsidRDefault="00A53454" w:rsidP="00A53454">
            <w:pPr>
              <w:overflowPunct w:val="0"/>
              <w:autoSpaceDE w:val="0"/>
              <w:autoSpaceDN w:val="0"/>
              <w:adjustRightInd w:val="0"/>
              <w:spacing w:after="0" w:line="240" w:lineRule="auto"/>
              <w:jc w:val="center"/>
              <w:textAlignment w:val="baseline"/>
              <w:rPr>
                <w:rFonts w:ascii="Times New Roman" w:eastAsia="Times New Roman" w:hAnsi="Times New Roman"/>
                <w:sz w:val="26"/>
                <w:szCs w:val="26"/>
                <w:highlight w:val="yellow"/>
              </w:rPr>
            </w:pPr>
            <w:r w:rsidRPr="00353536">
              <w:rPr>
                <w:rFonts w:ascii="Times New Roman" w:eastAsia="Times New Roman" w:hAnsi="Times New Roman"/>
                <w:b/>
                <w:sz w:val="26"/>
                <w:szCs w:val="26"/>
              </w:rPr>
              <w:t xml:space="preserve">SUMMARY OF </w:t>
            </w:r>
            <w:r w:rsidR="00540E60">
              <w:rPr>
                <w:rFonts w:ascii="Times New Roman" w:eastAsia="Times New Roman" w:hAnsi="Times New Roman"/>
                <w:b/>
                <w:sz w:val="26"/>
                <w:szCs w:val="26"/>
              </w:rPr>
              <w:t>RENEWALS</w:t>
            </w:r>
          </w:p>
        </w:tc>
      </w:tr>
      <w:tr w:rsidR="00A53454" w:rsidRPr="00353536" w14:paraId="15952539" w14:textId="77777777" w:rsidTr="00A05784">
        <w:trPr>
          <w:trHeight w:val="394"/>
        </w:trPr>
        <w:tc>
          <w:tcPr>
            <w:tcW w:w="5693" w:type="dxa"/>
          </w:tcPr>
          <w:p w14:paraId="04CC1882" w14:textId="12415B7A" w:rsidR="00A53454" w:rsidRPr="00353536" w:rsidRDefault="00A53454" w:rsidP="00A53454">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D6273A">
              <w:rPr>
                <w:rFonts w:ascii="Times New Roman" w:eastAsia="Times New Roman" w:hAnsi="Times New Roman"/>
                <w:bCs/>
                <w:sz w:val="26"/>
                <w:szCs w:val="26"/>
              </w:rPr>
              <w:t xml:space="preserve">University of Illinois at </w:t>
            </w:r>
            <w:r>
              <w:rPr>
                <w:rFonts w:ascii="Times New Roman" w:eastAsia="Times New Roman" w:hAnsi="Times New Roman"/>
                <w:bCs/>
                <w:sz w:val="26"/>
                <w:szCs w:val="26"/>
              </w:rPr>
              <w:t>Urbana-Champaign</w:t>
            </w:r>
          </w:p>
        </w:tc>
        <w:tc>
          <w:tcPr>
            <w:tcW w:w="1902" w:type="dxa"/>
            <w:shd w:val="clear" w:color="auto" w:fill="auto"/>
          </w:tcPr>
          <w:p w14:paraId="24D4DFA9" w14:textId="555E71AC" w:rsidR="00A53454" w:rsidRPr="00353536" w:rsidRDefault="00A53454" w:rsidP="00A53454">
            <w:pPr>
              <w:overflowPunct w:val="0"/>
              <w:autoSpaceDE w:val="0"/>
              <w:autoSpaceDN w:val="0"/>
              <w:adjustRightInd w:val="0"/>
              <w:spacing w:after="0" w:line="240" w:lineRule="auto"/>
              <w:textAlignment w:val="baseline"/>
              <w:rPr>
                <w:rFonts w:ascii="Times New Roman" w:eastAsia="Times New Roman" w:hAnsi="Times New Roman"/>
                <w:sz w:val="26"/>
                <w:szCs w:val="26"/>
                <w:highlight w:val="yellow"/>
              </w:rPr>
            </w:pPr>
            <w:r>
              <w:rPr>
                <w:rFonts w:ascii="Times New Roman" w:eastAsia="Times New Roman" w:hAnsi="Times New Roman"/>
                <w:sz w:val="26"/>
                <w:szCs w:val="26"/>
              </w:rPr>
              <w:t xml:space="preserve">$ </w:t>
            </w:r>
            <w:r w:rsidR="00540E60">
              <w:rPr>
                <w:rFonts w:ascii="Times New Roman" w:eastAsia="Times New Roman" w:hAnsi="Times New Roman"/>
                <w:sz w:val="26"/>
                <w:szCs w:val="26"/>
              </w:rPr>
              <w:t>8</w:t>
            </w:r>
            <w:r>
              <w:rPr>
                <w:rFonts w:ascii="Times New Roman" w:eastAsia="Times New Roman" w:hAnsi="Times New Roman"/>
                <w:sz w:val="26"/>
                <w:szCs w:val="26"/>
              </w:rPr>
              <w:t>,000,000</w:t>
            </w:r>
          </w:p>
        </w:tc>
      </w:tr>
      <w:tr w:rsidR="00540E60" w:rsidRPr="00353536" w14:paraId="777789C8" w14:textId="77777777" w:rsidTr="00A05784">
        <w:trPr>
          <w:trHeight w:val="394"/>
        </w:trPr>
        <w:tc>
          <w:tcPr>
            <w:tcW w:w="5693" w:type="dxa"/>
          </w:tcPr>
          <w:p w14:paraId="577EC4B0" w14:textId="77777777" w:rsidR="00540E60" w:rsidRPr="00353536" w:rsidRDefault="00540E60" w:rsidP="00540E6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353536">
              <w:rPr>
                <w:rFonts w:ascii="Times New Roman" w:eastAsia="Times New Roman" w:hAnsi="Times New Roman"/>
                <w:color w:val="000000"/>
                <w:sz w:val="26"/>
                <w:szCs w:val="26"/>
              </w:rPr>
              <w:t>Recommended from Institutional Funds</w:t>
            </w:r>
          </w:p>
          <w:p w14:paraId="72CC3A56" w14:textId="354C73D9" w:rsidR="00540E60" w:rsidRPr="00D6273A" w:rsidRDefault="00540E60" w:rsidP="00540E60">
            <w:pPr>
              <w:overflowPunct w:val="0"/>
              <w:autoSpaceDE w:val="0"/>
              <w:autoSpaceDN w:val="0"/>
              <w:adjustRightInd w:val="0"/>
              <w:spacing w:after="0" w:line="240" w:lineRule="auto"/>
              <w:textAlignment w:val="baseline"/>
              <w:rPr>
                <w:rFonts w:ascii="Times New Roman" w:eastAsia="Times New Roman" w:hAnsi="Times New Roman"/>
                <w:bCs/>
                <w:sz w:val="26"/>
                <w:szCs w:val="26"/>
              </w:rPr>
            </w:pPr>
            <w:r w:rsidRPr="00353536">
              <w:rPr>
                <w:rFonts w:ascii="Times New Roman" w:eastAsia="Times New Roman" w:hAnsi="Times New Roman"/>
                <w:color w:val="000000"/>
                <w:sz w:val="26"/>
                <w:szCs w:val="26"/>
              </w:rPr>
              <w:t>Grand Total</w:t>
            </w:r>
          </w:p>
        </w:tc>
        <w:tc>
          <w:tcPr>
            <w:tcW w:w="1902" w:type="dxa"/>
            <w:shd w:val="clear" w:color="auto" w:fill="auto"/>
          </w:tcPr>
          <w:p w14:paraId="1FE6E1F7" w14:textId="709938E9" w:rsidR="00540E60" w:rsidRDefault="00540E60" w:rsidP="00A53454">
            <w:pPr>
              <w:overflowPunct w:val="0"/>
              <w:autoSpaceDE w:val="0"/>
              <w:autoSpaceDN w:val="0"/>
              <w:adjustRightInd w:val="0"/>
              <w:spacing w:after="0" w:line="240" w:lineRule="auto"/>
              <w:textAlignment w:val="baseline"/>
              <w:rPr>
                <w:rFonts w:ascii="Times New Roman" w:eastAsia="Times New Roman" w:hAnsi="Times New Roman"/>
                <w:sz w:val="26"/>
                <w:szCs w:val="26"/>
              </w:rPr>
            </w:pPr>
            <w:r>
              <w:rPr>
                <w:rFonts w:ascii="Times New Roman" w:eastAsia="Times New Roman" w:hAnsi="Times New Roman"/>
                <w:sz w:val="26"/>
                <w:szCs w:val="26"/>
              </w:rPr>
              <w:t>$ 8,000,000</w:t>
            </w:r>
          </w:p>
        </w:tc>
      </w:tr>
      <w:tr w:rsidR="00540E60" w:rsidRPr="00353536" w14:paraId="1AF35B9C" w14:textId="77777777" w:rsidTr="00A05784">
        <w:trPr>
          <w:trHeight w:val="394"/>
        </w:trPr>
        <w:tc>
          <w:tcPr>
            <w:tcW w:w="5693" w:type="dxa"/>
          </w:tcPr>
          <w:p w14:paraId="77DAE2C5" w14:textId="77777777" w:rsidR="00540E60" w:rsidRPr="00D6273A" w:rsidRDefault="00540E60" w:rsidP="00A53454">
            <w:pPr>
              <w:overflowPunct w:val="0"/>
              <w:autoSpaceDE w:val="0"/>
              <w:autoSpaceDN w:val="0"/>
              <w:adjustRightInd w:val="0"/>
              <w:spacing w:after="0" w:line="240" w:lineRule="auto"/>
              <w:textAlignment w:val="baseline"/>
              <w:rPr>
                <w:rFonts w:ascii="Times New Roman" w:eastAsia="Times New Roman" w:hAnsi="Times New Roman"/>
                <w:bCs/>
                <w:sz w:val="26"/>
                <w:szCs w:val="26"/>
              </w:rPr>
            </w:pPr>
          </w:p>
        </w:tc>
        <w:tc>
          <w:tcPr>
            <w:tcW w:w="1902" w:type="dxa"/>
            <w:shd w:val="clear" w:color="auto" w:fill="auto"/>
          </w:tcPr>
          <w:p w14:paraId="233A9F06" w14:textId="77777777" w:rsidR="00540E60" w:rsidRDefault="00540E60" w:rsidP="00A53454">
            <w:pPr>
              <w:overflowPunct w:val="0"/>
              <w:autoSpaceDE w:val="0"/>
              <w:autoSpaceDN w:val="0"/>
              <w:adjustRightInd w:val="0"/>
              <w:spacing w:after="0" w:line="240" w:lineRule="auto"/>
              <w:textAlignment w:val="baseline"/>
              <w:rPr>
                <w:rFonts w:ascii="Times New Roman" w:eastAsia="Times New Roman" w:hAnsi="Times New Roman"/>
                <w:sz w:val="26"/>
                <w:szCs w:val="26"/>
              </w:rPr>
            </w:pPr>
          </w:p>
        </w:tc>
      </w:tr>
      <w:tr w:rsidR="00A53454" w:rsidRPr="00353536" w14:paraId="61494642" w14:textId="77777777" w:rsidTr="00FC7ED3">
        <w:trPr>
          <w:trHeight w:val="350"/>
        </w:trPr>
        <w:tc>
          <w:tcPr>
            <w:tcW w:w="7595" w:type="dxa"/>
            <w:gridSpan w:val="2"/>
          </w:tcPr>
          <w:p w14:paraId="7DB9F06B" w14:textId="2C629E05" w:rsidR="00A53454" w:rsidRPr="00353536" w:rsidRDefault="00A53454" w:rsidP="00A53454">
            <w:pPr>
              <w:overflowPunct w:val="0"/>
              <w:autoSpaceDE w:val="0"/>
              <w:autoSpaceDN w:val="0"/>
              <w:adjustRightInd w:val="0"/>
              <w:spacing w:after="0" w:line="240" w:lineRule="auto"/>
              <w:jc w:val="center"/>
              <w:textAlignment w:val="baseline"/>
              <w:rPr>
                <w:rFonts w:ascii="Times New Roman" w:eastAsia="Times New Roman" w:hAnsi="Times New Roman"/>
                <w:sz w:val="26"/>
                <w:szCs w:val="26"/>
              </w:rPr>
            </w:pPr>
            <w:r w:rsidRPr="00353536">
              <w:rPr>
                <w:rFonts w:ascii="Times New Roman" w:eastAsia="Times New Roman" w:hAnsi="Times New Roman"/>
                <w:b/>
                <w:sz w:val="26"/>
                <w:szCs w:val="26"/>
              </w:rPr>
              <w:t xml:space="preserve">SUMMARY OF </w:t>
            </w:r>
            <w:r>
              <w:rPr>
                <w:rFonts w:ascii="Times New Roman" w:eastAsia="Times New Roman" w:hAnsi="Times New Roman"/>
                <w:b/>
                <w:sz w:val="26"/>
                <w:szCs w:val="26"/>
              </w:rPr>
              <w:t>CHANGE ORDERS</w:t>
            </w:r>
          </w:p>
        </w:tc>
      </w:tr>
      <w:tr w:rsidR="00A53454" w:rsidRPr="00353536" w14:paraId="1EE89680" w14:textId="77777777" w:rsidTr="00A05784">
        <w:trPr>
          <w:trHeight w:val="350"/>
        </w:trPr>
        <w:tc>
          <w:tcPr>
            <w:tcW w:w="5693" w:type="dxa"/>
          </w:tcPr>
          <w:p w14:paraId="1298BE8D" w14:textId="1B533F4C" w:rsidR="00A53454" w:rsidRPr="00353536" w:rsidRDefault="00A53454" w:rsidP="00A5345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Pr>
                <w:rFonts w:ascii="Times New Roman" w:eastAsia="Times New Roman" w:hAnsi="Times New Roman"/>
                <w:color w:val="000000"/>
                <w:sz w:val="26"/>
                <w:szCs w:val="26"/>
              </w:rPr>
              <w:lastRenderedPageBreak/>
              <w:t>University of Illinois at System Office</w:t>
            </w:r>
          </w:p>
        </w:tc>
        <w:tc>
          <w:tcPr>
            <w:tcW w:w="1902" w:type="dxa"/>
            <w:shd w:val="clear" w:color="auto" w:fill="auto"/>
          </w:tcPr>
          <w:p w14:paraId="08D2ED5C" w14:textId="3F63BA51" w:rsidR="00A53454" w:rsidRPr="00353536" w:rsidRDefault="00A53454" w:rsidP="00A53454">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821EB7">
              <w:rPr>
                <w:rFonts w:ascii="Times New Roman" w:eastAsia="Times New Roman" w:hAnsi="Times New Roman"/>
                <w:sz w:val="26"/>
                <w:szCs w:val="26"/>
              </w:rPr>
              <w:t xml:space="preserve">$ </w:t>
            </w:r>
            <w:r w:rsidR="00540E60">
              <w:rPr>
                <w:rFonts w:ascii="Times New Roman" w:eastAsia="Times New Roman" w:hAnsi="Times New Roman"/>
                <w:sz w:val="26"/>
                <w:szCs w:val="26"/>
              </w:rPr>
              <w:t>1,638,555</w:t>
            </w:r>
          </w:p>
        </w:tc>
      </w:tr>
      <w:tr w:rsidR="00A53454" w:rsidRPr="00353536" w14:paraId="5449BA2F" w14:textId="77777777" w:rsidTr="00A05784">
        <w:trPr>
          <w:trHeight w:val="350"/>
        </w:trPr>
        <w:tc>
          <w:tcPr>
            <w:tcW w:w="5693" w:type="dxa"/>
          </w:tcPr>
          <w:p w14:paraId="41FBB381" w14:textId="359E226F" w:rsidR="00A53454" w:rsidRPr="00353536" w:rsidRDefault="00A53454" w:rsidP="00A5345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353536">
              <w:rPr>
                <w:rFonts w:ascii="Times New Roman" w:eastAsia="Times New Roman" w:hAnsi="Times New Roman"/>
                <w:color w:val="000000"/>
                <w:sz w:val="26"/>
                <w:szCs w:val="26"/>
              </w:rPr>
              <w:t xml:space="preserve">Recommended from </w:t>
            </w:r>
            <w:r>
              <w:rPr>
                <w:rFonts w:ascii="Times New Roman" w:eastAsia="Times New Roman" w:hAnsi="Times New Roman"/>
                <w:color w:val="000000"/>
                <w:sz w:val="26"/>
                <w:szCs w:val="26"/>
              </w:rPr>
              <w:t>Institutional</w:t>
            </w:r>
            <w:r w:rsidRPr="00353536">
              <w:rPr>
                <w:rFonts w:ascii="Times New Roman" w:eastAsia="Times New Roman" w:hAnsi="Times New Roman"/>
                <w:color w:val="000000"/>
                <w:sz w:val="26"/>
                <w:szCs w:val="26"/>
              </w:rPr>
              <w:t xml:space="preserve"> Funds</w:t>
            </w:r>
          </w:p>
          <w:p w14:paraId="14C85AB8" w14:textId="702231E1" w:rsidR="00A53454" w:rsidRPr="00353536" w:rsidRDefault="00A53454" w:rsidP="00A5345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353536">
              <w:rPr>
                <w:rFonts w:ascii="Times New Roman" w:eastAsia="Times New Roman" w:hAnsi="Times New Roman"/>
                <w:color w:val="000000"/>
                <w:sz w:val="26"/>
                <w:szCs w:val="26"/>
              </w:rPr>
              <w:t>Grand Total</w:t>
            </w:r>
          </w:p>
        </w:tc>
        <w:tc>
          <w:tcPr>
            <w:tcW w:w="1902" w:type="dxa"/>
            <w:shd w:val="clear" w:color="auto" w:fill="auto"/>
          </w:tcPr>
          <w:p w14:paraId="654CF46C" w14:textId="5FAD5E7D" w:rsidR="00A53454" w:rsidRPr="00DD6334" w:rsidRDefault="00540E60" w:rsidP="00A53454">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821EB7">
              <w:rPr>
                <w:rFonts w:ascii="Times New Roman" w:eastAsia="Times New Roman" w:hAnsi="Times New Roman"/>
                <w:sz w:val="26"/>
                <w:szCs w:val="26"/>
              </w:rPr>
              <w:t xml:space="preserve">$ </w:t>
            </w:r>
            <w:r>
              <w:rPr>
                <w:rFonts w:ascii="Times New Roman" w:eastAsia="Times New Roman" w:hAnsi="Times New Roman"/>
                <w:sz w:val="26"/>
                <w:szCs w:val="26"/>
              </w:rPr>
              <w:t>1,638,555</w:t>
            </w:r>
          </w:p>
        </w:tc>
      </w:tr>
    </w:tbl>
    <w:p w14:paraId="15036B6A" w14:textId="3F3C87CA" w:rsidR="00B55900" w:rsidRPr="00353536"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sz w:val="26"/>
          <w:szCs w:val="26"/>
        </w:rPr>
      </w:pPr>
    </w:p>
    <w:p w14:paraId="103238C3" w14:textId="71B84549" w:rsidR="00B55900" w:rsidRPr="00353536"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sz w:val="26"/>
          <w:szCs w:val="26"/>
        </w:rPr>
      </w:pPr>
    </w:p>
    <w:p w14:paraId="4547076B" w14:textId="77777777" w:rsidR="00B55900" w:rsidRPr="00353536"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sz w:val="26"/>
          <w:szCs w:val="26"/>
        </w:rPr>
      </w:pPr>
    </w:p>
    <w:p w14:paraId="3A472772" w14:textId="77777777" w:rsidR="00AC1317" w:rsidRPr="00353536" w:rsidRDefault="00AC1317" w:rsidP="00B37520">
      <w:pPr>
        <w:pStyle w:val="NoSpacing"/>
        <w:rPr>
          <w:rFonts w:ascii="Times New Roman" w:hAnsi="Times New Roman"/>
          <w:sz w:val="26"/>
          <w:szCs w:val="26"/>
        </w:rPr>
      </w:pPr>
    </w:p>
    <w:sectPr w:rsidR="00AC1317" w:rsidRPr="00353536" w:rsidSect="00865175">
      <w:head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01F55" w14:textId="77777777" w:rsidR="00B95640" w:rsidRDefault="00B95640" w:rsidP="00A817DF">
      <w:pPr>
        <w:spacing w:after="0" w:line="240" w:lineRule="auto"/>
      </w:pPr>
      <w:r>
        <w:separator/>
      </w:r>
    </w:p>
  </w:endnote>
  <w:endnote w:type="continuationSeparator" w:id="0">
    <w:p w14:paraId="70B03889" w14:textId="77777777" w:rsidR="00B95640" w:rsidRDefault="00B95640" w:rsidP="00A8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EC903" w14:textId="77777777" w:rsidR="00B95640" w:rsidRDefault="00B95640" w:rsidP="00A817DF">
      <w:pPr>
        <w:spacing w:after="0" w:line="240" w:lineRule="auto"/>
      </w:pPr>
      <w:r>
        <w:separator/>
      </w:r>
    </w:p>
  </w:footnote>
  <w:footnote w:type="continuationSeparator" w:id="0">
    <w:p w14:paraId="71BAC2CB" w14:textId="77777777" w:rsidR="00B95640" w:rsidRDefault="00B95640" w:rsidP="00A81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F6F3" w14:textId="77777777" w:rsidR="00A817DF" w:rsidRDefault="00A817DF">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0B53"/>
    <w:multiLevelType w:val="hybridMultilevel"/>
    <w:tmpl w:val="1B4EC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DE3068"/>
    <w:multiLevelType w:val="hybridMultilevel"/>
    <w:tmpl w:val="75549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053FA"/>
    <w:multiLevelType w:val="hybridMultilevel"/>
    <w:tmpl w:val="D1D6A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76FAF"/>
    <w:multiLevelType w:val="hybridMultilevel"/>
    <w:tmpl w:val="7D0E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06EBD"/>
    <w:multiLevelType w:val="hybridMultilevel"/>
    <w:tmpl w:val="36D01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7E3D04"/>
    <w:multiLevelType w:val="hybridMultilevel"/>
    <w:tmpl w:val="273ECA9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6" w15:restartNumberingAfterBreak="0">
    <w:nsid w:val="32937498"/>
    <w:multiLevelType w:val="hybridMultilevel"/>
    <w:tmpl w:val="36B082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CF41188"/>
    <w:multiLevelType w:val="hybridMultilevel"/>
    <w:tmpl w:val="90CE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E62C8"/>
    <w:multiLevelType w:val="hybridMultilevel"/>
    <w:tmpl w:val="A9BAE4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2F42F5"/>
    <w:multiLevelType w:val="hybridMultilevel"/>
    <w:tmpl w:val="CFC090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792FD9"/>
    <w:multiLevelType w:val="hybridMultilevel"/>
    <w:tmpl w:val="4378D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C75BC"/>
    <w:multiLevelType w:val="hybridMultilevel"/>
    <w:tmpl w:val="086681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696DB1"/>
    <w:multiLevelType w:val="hybridMultilevel"/>
    <w:tmpl w:val="EBFE0C48"/>
    <w:lvl w:ilvl="0" w:tplc="02E0B0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DB50BE"/>
    <w:multiLevelType w:val="hybridMultilevel"/>
    <w:tmpl w:val="B728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3F4A48"/>
    <w:multiLevelType w:val="hybridMultilevel"/>
    <w:tmpl w:val="F82E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727823">
    <w:abstractNumId w:val="10"/>
  </w:num>
  <w:num w:numId="2" w16cid:durableId="70201751">
    <w:abstractNumId w:val="12"/>
  </w:num>
  <w:num w:numId="3" w16cid:durableId="1048265266">
    <w:abstractNumId w:val="11"/>
  </w:num>
  <w:num w:numId="4" w16cid:durableId="1585650123">
    <w:abstractNumId w:val="2"/>
  </w:num>
  <w:num w:numId="5" w16cid:durableId="838888282">
    <w:abstractNumId w:val="0"/>
  </w:num>
  <w:num w:numId="6" w16cid:durableId="1045367517">
    <w:abstractNumId w:val="7"/>
  </w:num>
  <w:num w:numId="7" w16cid:durableId="897666194">
    <w:abstractNumId w:val="9"/>
  </w:num>
  <w:num w:numId="8" w16cid:durableId="2017615362">
    <w:abstractNumId w:val="13"/>
  </w:num>
  <w:num w:numId="9" w16cid:durableId="826671625">
    <w:abstractNumId w:val="8"/>
  </w:num>
  <w:num w:numId="10" w16cid:durableId="1128474828">
    <w:abstractNumId w:val="4"/>
  </w:num>
  <w:num w:numId="11" w16cid:durableId="402604075">
    <w:abstractNumId w:val="1"/>
  </w:num>
  <w:num w:numId="12" w16cid:durableId="2074963495">
    <w:abstractNumId w:val="5"/>
  </w:num>
  <w:num w:numId="13" w16cid:durableId="987980008">
    <w:abstractNumId w:val="6"/>
  </w:num>
  <w:num w:numId="14" w16cid:durableId="1276791993">
    <w:abstractNumId w:val="14"/>
  </w:num>
  <w:num w:numId="15" w16cid:durableId="2070229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C45"/>
    <w:rsid w:val="000031A9"/>
    <w:rsid w:val="00004D4E"/>
    <w:rsid w:val="00010EA7"/>
    <w:rsid w:val="00012052"/>
    <w:rsid w:val="000143EE"/>
    <w:rsid w:val="00015DC9"/>
    <w:rsid w:val="00040E89"/>
    <w:rsid w:val="00044FA0"/>
    <w:rsid w:val="00045674"/>
    <w:rsid w:val="00050736"/>
    <w:rsid w:val="000623F4"/>
    <w:rsid w:val="000628A6"/>
    <w:rsid w:val="000671B9"/>
    <w:rsid w:val="000707D0"/>
    <w:rsid w:val="000715A9"/>
    <w:rsid w:val="00075885"/>
    <w:rsid w:val="00081788"/>
    <w:rsid w:val="00081B16"/>
    <w:rsid w:val="000833FC"/>
    <w:rsid w:val="00085CAE"/>
    <w:rsid w:val="00086CBF"/>
    <w:rsid w:val="00090A46"/>
    <w:rsid w:val="00091912"/>
    <w:rsid w:val="00091CFA"/>
    <w:rsid w:val="0009228A"/>
    <w:rsid w:val="00094741"/>
    <w:rsid w:val="000A0032"/>
    <w:rsid w:val="000A16D9"/>
    <w:rsid w:val="000B3155"/>
    <w:rsid w:val="000B3742"/>
    <w:rsid w:val="000B5B85"/>
    <w:rsid w:val="000B69D6"/>
    <w:rsid w:val="000C2912"/>
    <w:rsid w:val="000C6006"/>
    <w:rsid w:val="000D35D5"/>
    <w:rsid w:val="000D5BC3"/>
    <w:rsid w:val="000D6281"/>
    <w:rsid w:val="000E15C9"/>
    <w:rsid w:val="000E51D1"/>
    <w:rsid w:val="000F53D3"/>
    <w:rsid w:val="000F72ED"/>
    <w:rsid w:val="00112E2B"/>
    <w:rsid w:val="00114F6C"/>
    <w:rsid w:val="00124B96"/>
    <w:rsid w:val="00141D9C"/>
    <w:rsid w:val="00151197"/>
    <w:rsid w:val="00152827"/>
    <w:rsid w:val="001610D8"/>
    <w:rsid w:val="00162A4C"/>
    <w:rsid w:val="00165B0B"/>
    <w:rsid w:val="00172D76"/>
    <w:rsid w:val="001730D7"/>
    <w:rsid w:val="00182841"/>
    <w:rsid w:val="00184765"/>
    <w:rsid w:val="00196069"/>
    <w:rsid w:val="001A0B41"/>
    <w:rsid w:val="001A31BF"/>
    <w:rsid w:val="001A33EE"/>
    <w:rsid w:val="001A4080"/>
    <w:rsid w:val="001A5F67"/>
    <w:rsid w:val="001B2AC1"/>
    <w:rsid w:val="001B4AC0"/>
    <w:rsid w:val="001B4D8B"/>
    <w:rsid w:val="001B762B"/>
    <w:rsid w:val="001C14B1"/>
    <w:rsid w:val="001D3AA7"/>
    <w:rsid w:val="001D78B4"/>
    <w:rsid w:val="001E6078"/>
    <w:rsid w:val="001F257D"/>
    <w:rsid w:val="001F3416"/>
    <w:rsid w:val="001F3C70"/>
    <w:rsid w:val="001F5883"/>
    <w:rsid w:val="001F7A96"/>
    <w:rsid w:val="001F7E65"/>
    <w:rsid w:val="00212C6B"/>
    <w:rsid w:val="0021646C"/>
    <w:rsid w:val="002179D7"/>
    <w:rsid w:val="00236489"/>
    <w:rsid w:val="00241688"/>
    <w:rsid w:val="0024234E"/>
    <w:rsid w:val="002450A1"/>
    <w:rsid w:val="00250572"/>
    <w:rsid w:val="00252F86"/>
    <w:rsid w:val="00255F2C"/>
    <w:rsid w:val="002602E8"/>
    <w:rsid w:val="00264C63"/>
    <w:rsid w:val="00271695"/>
    <w:rsid w:val="00271CE3"/>
    <w:rsid w:val="00274EEF"/>
    <w:rsid w:val="00283AEB"/>
    <w:rsid w:val="002870E8"/>
    <w:rsid w:val="002931FB"/>
    <w:rsid w:val="0029340E"/>
    <w:rsid w:val="00293A98"/>
    <w:rsid w:val="002A5B7D"/>
    <w:rsid w:val="002A641F"/>
    <w:rsid w:val="002B0DE6"/>
    <w:rsid w:val="002B1BE5"/>
    <w:rsid w:val="002B66B6"/>
    <w:rsid w:val="002B7C93"/>
    <w:rsid w:val="002C343C"/>
    <w:rsid w:val="002C47B0"/>
    <w:rsid w:val="002C4BB1"/>
    <w:rsid w:val="002C5F64"/>
    <w:rsid w:val="002D0113"/>
    <w:rsid w:val="002D28AA"/>
    <w:rsid w:val="002D35E7"/>
    <w:rsid w:val="002D4035"/>
    <w:rsid w:val="002E0B93"/>
    <w:rsid w:val="002E1375"/>
    <w:rsid w:val="002E31C2"/>
    <w:rsid w:val="002E44F4"/>
    <w:rsid w:val="002F04D8"/>
    <w:rsid w:val="002F4DAF"/>
    <w:rsid w:val="003045AE"/>
    <w:rsid w:val="00306B06"/>
    <w:rsid w:val="00307B8F"/>
    <w:rsid w:val="00307D0C"/>
    <w:rsid w:val="00315A3D"/>
    <w:rsid w:val="003175D4"/>
    <w:rsid w:val="00317DD0"/>
    <w:rsid w:val="00333ECF"/>
    <w:rsid w:val="003376C9"/>
    <w:rsid w:val="00343729"/>
    <w:rsid w:val="00346ABB"/>
    <w:rsid w:val="00353536"/>
    <w:rsid w:val="00357D48"/>
    <w:rsid w:val="00361DE1"/>
    <w:rsid w:val="00372028"/>
    <w:rsid w:val="00380E12"/>
    <w:rsid w:val="00381F6B"/>
    <w:rsid w:val="003900FD"/>
    <w:rsid w:val="003907E9"/>
    <w:rsid w:val="00390FC0"/>
    <w:rsid w:val="0039204D"/>
    <w:rsid w:val="00395D90"/>
    <w:rsid w:val="003A175C"/>
    <w:rsid w:val="003A2088"/>
    <w:rsid w:val="003A5B58"/>
    <w:rsid w:val="003B7D68"/>
    <w:rsid w:val="003C4265"/>
    <w:rsid w:val="003D06D9"/>
    <w:rsid w:val="003D1DBE"/>
    <w:rsid w:val="003D312D"/>
    <w:rsid w:val="003D5357"/>
    <w:rsid w:val="003D7C25"/>
    <w:rsid w:val="003E14BF"/>
    <w:rsid w:val="003E42E4"/>
    <w:rsid w:val="003E5FC5"/>
    <w:rsid w:val="003E62CF"/>
    <w:rsid w:val="003F3C8D"/>
    <w:rsid w:val="003F4DDE"/>
    <w:rsid w:val="003F6C7A"/>
    <w:rsid w:val="00416087"/>
    <w:rsid w:val="00420B03"/>
    <w:rsid w:val="00425BB7"/>
    <w:rsid w:val="00426458"/>
    <w:rsid w:val="00427DA3"/>
    <w:rsid w:val="00431751"/>
    <w:rsid w:val="00435F85"/>
    <w:rsid w:val="00437797"/>
    <w:rsid w:val="00450F9C"/>
    <w:rsid w:val="00457CDE"/>
    <w:rsid w:val="00467717"/>
    <w:rsid w:val="00470228"/>
    <w:rsid w:val="0047290A"/>
    <w:rsid w:val="00477568"/>
    <w:rsid w:val="00480227"/>
    <w:rsid w:val="00481670"/>
    <w:rsid w:val="0048342A"/>
    <w:rsid w:val="00487510"/>
    <w:rsid w:val="004A1335"/>
    <w:rsid w:val="004A6CB4"/>
    <w:rsid w:val="004A7669"/>
    <w:rsid w:val="004A7B2E"/>
    <w:rsid w:val="004B23AD"/>
    <w:rsid w:val="004B2BDA"/>
    <w:rsid w:val="004B2C31"/>
    <w:rsid w:val="004C0608"/>
    <w:rsid w:val="004C43B8"/>
    <w:rsid w:val="004E2F4F"/>
    <w:rsid w:val="004E6B54"/>
    <w:rsid w:val="004F31D7"/>
    <w:rsid w:val="004F787F"/>
    <w:rsid w:val="005122F2"/>
    <w:rsid w:val="005145D8"/>
    <w:rsid w:val="00517741"/>
    <w:rsid w:val="00525289"/>
    <w:rsid w:val="00525D4A"/>
    <w:rsid w:val="00526A44"/>
    <w:rsid w:val="00537F38"/>
    <w:rsid w:val="00540E60"/>
    <w:rsid w:val="00542702"/>
    <w:rsid w:val="00552EB0"/>
    <w:rsid w:val="00555371"/>
    <w:rsid w:val="0057172C"/>
    <w:rsid w:val="00573A23"/>
    <w:rsid w:val="005745EF"/>
    <w:rsid w:val="005917CC"/>
    <w:rsid w:val="005978EE"/>
    <w:rsid w:val="005C38D7"/>
    <w:rsid w:val="005C393C"/>
    <w:rsid w:val="005C45AE"/>
    <w:rsid w:val="005D08FB"/>
    <w:rsid w:val="005D66E5"/>
    <w:rsid w:val="005D6E7E"/>
    <w:rsid w:val="005E0799"/>
    <w:rsid w:val="005E6979"/>
    <w:rsid w:val="005E70D5"/>
    <w:rsid w:val="00602119"/>
    <w:rsid w:val="0060572F"/>
    <w:rsid w:val="006059B6"/>
    <w:rsid w:val="00606D2C"/>
    <w:rsid w:val="00610227"/>
    <w:rsid w:val="00621395"/>
    <w:rsid w:val="00631E2A"/>
    <w:rsid w:val="00652AC9"/>
    <w:rsid w:val="00652B42"/>
    <w:rsid w:val="00652F1D"/>
    <w:rsid w:val="00660DBC"/>
    <w:rsid w:val="00664CE2"/>
    <w:rsid w:val="006718D0"/>
    <w:rsid w:val="006722F9"/>
    <w:rsid w:val="00694F56"/>
    <w:rsid w:val="00696A30"/>
    <w:rsid w:val="00697A43"/>
    <w:rsid w:val="006A2B59"/>
    <w:rsid w:val="006A4606"/>
    <w:rsid w:val="006A498C"/>
    <w:rsid w:val="006A4FD8"/>
    <w:rsid w:val="006A5B1A"/>
    <w:rsid w:val="006A77EA"/>
    <w:rsid w:val="006B4216"/>
    <w:rsid w:val="006C0830"/>
    <w:rsid w:val="006C5858"/>
    <w:rsid w:val="006D7B82"/>
    <w:rsid w:val="006E2C01"/>
    <w:rsid w:val="006F037C"/>
    <w:rsid w:val="006F4DF5"/>
    <w:rsid w:val="006F53BA"/>
    <w:rsid w:val="00703E4D"/>
    <w:rsid w:val="00711A18"/>
    <w:rsid w:val="00725371"/>
    <w:rsid w:val="00725DF2"/>
    <w:rsid w:val="00755CE8"/>
    <w:rsid w:val="0076023D"/>
    <w:rsid w:val="0076251E"/>
    <w:rsid w:val="007666D1"/>
    <w:rsid w:val="0077417A"/>
    <w:rsid w:val="00777270"/>
    <w:rsid w:val="007801FE"/>
    <w:rsid w:val="00780A50"/>
    <w:rsid w:val="00790C45"/>
    <w:rsid w:val="007928FD"/>
    <w:rsid w:val="007955CD"/>
    <w:rsid w:val="00795EBC"/>
    <w:rsid w:val="007A02CB"/>
    <w:rsid w:val="007A46D4"/>
    <w:rsid w:val="007B30DA"/>
    <w:rsid w:val="007B49EB"/>
    <w:rsid w:val="007C715E"/>
    <w:rsid w:val="007D2DAF"/>
    <w:rsid w:val="007D384F"/>
    <w:rsid w:val="007E11BA"/>
    <w:rsid w:val="007E5C88"/>
    <w:rsid w:val="007F0D35"/>
    <w:rsid w:val="007F1BA7"/>
    <w:rsid w:val="007F2C48"/>
    <w:rsid w:val="00800461"/>
    <w:rsid w:val="00802220"/>
    <w:rsid w:val="00803F05"/>
    <w:rsid w:val="00804CCE"/>
    <w:rsid w:val="00806DE8"/>
    <w:rsid w:val="0081669D"/>
    <w:rsid w:val="00821EB7"/>
    <w:rsid w:val="00822060"/>
    <w:rsid w:val="00824193"/>
    <w:rsid w:val="008331ED"/>
    <w:rsid w:val="00833E5D"/>
    <w:rsid w:val="00834684"/>
    <w:rsid w:val="00837CEB"/>
    <w:rsid w:val="00840758"/>
    <w:rsid w:val="00840E6C"/>
    <w:rsid w:val="00850E03"/>
    <w:rsid w:val="00852D8E"/>
    <w:rsid w:val="00856201"/>
    <w:rsid w:val="0086174B"/>
    <w:rsid w:val="00862ECF"/>
    <w:rsid w:val="00865175"/>
    <w:rsid w:val="00866607"/>
    <w:rsid w:val="008667B4"/>
    <w:rsid w:val="0087285D"/>
    <w:rsid w:val="0088073D"/>
    <w:rsid w:val="00881246"/>
    <w:rsid w:val="008856C6"/>
    <w:rsid w:val="00896404"/>
    <w:rsid w:val="008A0A3A"/>
    <w:rsid w:val="008A49BE"/>
    <w:rsid w:val="008A5F5A"/>
    <w:rsid w:val="008A76F6"/>
    <w:rsid w:val="008B1803"/>
    <w:rsid w:val="008C5291"/>
    <w:rsid w:val="008D3D78"/>
    <w:rsid w:val="008E48B9"/>
    <w:rsid w:val="009112AA"/>
    <w:rsid w:val="009140AC"/>
    <w:rsid w:val="00916E9E"/>
    <w:rsid w:val="0091703F"/>
    <w:rsid w:val="009208B6"/>
    <w:rsid w:val="0092193D"/>
    <w:rsid w:val="00923084"/>
    <w:rsid w:val="009239A5"/>
    <w:rsid w:val="0093137B"/>
    <w:rsid w:val="00932F29"/>
    <w:rsid w:val="00934E68"/>
    <w:rsid w:val="00934FC6"/>
    <w:rsid w:val="00937704"/>
    <w:rsid w:val="009412F7"/>
    <w:rsid w:val="009433E2"/>
    <w:rsid w:val="0094759E"/>
    <w:rsid w:val="00947D9A"/>
    <w:rsid w:val="0095135F"/>
    <w:rsid w:val="00951987"/>
    <w:rsid w:val="00956A39"/>
    <w:rsid w:val="00964369"/>
    <w:rsid w:val="0097563B"/>
    <w:rsid w:val="00995CB6"/>
    <w:rsid w:val="00996840"/>
    <w:rsid w:val="00996A1C"/>
    <w:rsid w:val="00997329"/>
    <w:rsid w:val="00997940"/>
    <w:rsid w:val="009B1FAA"/>
    <w:rsid w:val="009C04C5"/>
    <w:rsid w:val="009C37EA"/>
    <w:rsid w:val="009C42A4"/>
    <w:rsid w:val="009D191D"/>
    <w:rsid w:val="009D210B"/>
    <w:rsid w:val="009D6C8E"/>
    <w:rsid w:val="009E6403"/>
    <w:rsid w:val="009F0658"/>
    <w:rsid w:val="009F4C20"/>
    <w:rsid w:val="009F54F9"/>
    <w:rsid w:val="009F7098"/>
    <w:rsid w:val="009F7C35"/>
    <w:rsid w:val="00A0766E"/>
    <w:rsid w:val="00A10CC8"/>
    <w:rsid w:val="00A11DA2"/>
    <w:rsid w:val="00A15B6B"/>
    <w:rsid w:val="00A16291"/>
    <w:rsid w:val="00A33C67"/>
    <w:rsid w:val="00A36B77"/>
    <w:rsid w:val="00A37123"/>
    <w:rsid w:val="00A4617C"/>
    <w:rsid w:val="00A4643B"/>
    <w:rsid w:val="00A53454"/>
    <w:rsid w:val="00A565DF"/>
    <w:rsid w:val="00A57ABA"/>
    <w:rsid w:val="00A612B3"/>
    <w:rsid w:val="00A6468A"/>
    <w:rsid w:val="00A72D4D"/>
    <w:rsid w:val="00A817DF"/>
    <w:rsid w:val="00A84579"/>
    <w:rsid w:val="00A86CF1"/>
    <w:rsid w:val="00A9006A"/>
    <w:rsid w:val="00A93A6B"/>
    <w:rsid w:val="00A940F7"/>
    <w:rsid w:val="00A95116"/>
    <w:rsid w:val="00A96331"/>
    <w:rsid w:val="00AA6905"/>
    <w:rsid w:val="00AB3F1D"/>
    <w:rsid w:val="00AB46BD"/>
    <w:rsid w:val="00AB5E95"/>
    <w:rsid w:val="00AC037A"/>
    <w:rsid w:val="00AC1317"/>
    <w:rsid w:val="00AC20BC"/>
    <w:rsid w:val="00AC2DA1"/>
    <w:rsid w:val="00AD1DD3"/>
    <w:rsid w:val="00AD2247"/>
    <w:rsid w:val="00AD2AF9"/>
    <w:rsid w:val="00AD6BCE"/>
    <w:rsid w:val="00AE5100"/>
    <w:rsid w:val="00AE655F"/>
    <w:rsid w:val="00AE6FCA"/>
    <w:rsid w:val="00AE7E41"/>
    <w:rsid w:val="00AF1920"/>
    <w:rsid w:val="00AF7580"/>
    <w:rsid w:val="00AF7A7C"/>
    <w:rsid w:val="00B07E57"/>
    <w:rsid w:val="00B16D5F"/>
    <w:rsid w:val="00B175A3"/>
    <w:rsid w:val="00B276DA"/>
    <w:rsid w:val="00B34107"/>
    <w:rsid w:val="00B37520"/>
    <w:rsid w:val="00B42D4C"/>
    <w:rsid w:val="00B51B04"/>
    <w:rsid w:val="00B53ECD"/>
    <w:rsid w:val="00B557C9"/>
    <w:rsid w:val="00B55900"/>
    <w:rsid w:val="00B57AE3"/>
    <w:rsid w:val="00B64B99"/>
    <w:rsid w:val="00B64FF8"/>
    <w:rsid w:val="00B71399"/>
    <w:rsid w:val="00B7436F"/>
    <w:rsid w:val="00B74CD2"/>
    <w:rsid w:val="00B75F06"/>
    <w:rsid w:val="00B77647"/>
    <w:rsid w:val="00B81279"/>
    <w:rsid w:val="00B81529"/>
    <w:rsid w:val="00B93AC4"/>
    <w:rsid w:val="00B95640"/>
    <w:rsid w:val="00B973C4"/>
    <w:rsid w:val="00BA1D2D"/>
    <w:rsid w:val="00BA1FD0"/>
    <w:rsid w:val="00BA31FA"/>
    <w:rsid w:val="00BB45D5"/>
    <w:rsid w:val="00BE6129"/>
    <w:rsid w:val="00BF0F74"/>
    <w:rsid w:val="00BF79DF"/>
    <w:rsid w:val="00C16DFA"/>
    <w:rsid w:val="00C279B8"/>
    <w:rsid w:val="00C411D8"/>
    <w:rsid w:val="00C413AA"/>
    <w:rsid w:val="00C41497"/>
    <w:rsid w:val="00C4531C"/>
    <w:rsid w:val="00C54A45"/>
    <w:rsid w:val="00C56EDF"/>
    <w:rsid w:val="00C70B26"/>
    <w:rsid w:val="00C71135"/>
    <w:rsid w:val="00C754ED"/>
    <w:rsid w:val="00CA1216"/>
    <w:rsid w:val="00CA6A48"/>
    <w:rsid w:val="00CA7D87"/>
    <w:rsid w:val="00CB17B7"/>
    <w:rsid w:val="00CB625C"/>
    <w:rsid w:val="00CD33D1"/>
    <w:rsid w:val="00CD3429"/>
    <w:rsid w:val="00CD4B28"/>
    <w:rsid w:val="00CE657C"/>
    <w:rsid w:val="00CF0EC5"/>
    <w:rsid w:val="00CF6C35"/>
    <w:rsid w:val="00CF7DF5"/>
    <w:rsid w:val="00D0051A"/>
    <w:rsid w:val="00D058D4"/>
    <w:rsid w:val="00D1519C"/>
    <w:rsid w:val="00D20988"/>
    <w:rsid w:val="00D2252D"/>
    <w:rsid w:val="00D23363"/>
    <w:rsid w:val="00D30961"/>
    <w:rsid w:val="00D33D9D"/>
    <w:rsid w:val="00D4686B"/>
    <w:rsid w:val="00D6273A"/>
    <w:rsid w:val="00D71BB4"/>
    <w:rsid w:val="00D8403A"/>
    <w:rsid w:val="00D86A58"/>
    <w:rsid w:val="00D87860"/>
    <w:rsid w:val="00D87F39"/>
    <w:rsid w:val="00D92467"/>
    <w:rsid w:val="00DA3B25"/>
    <w:rsid w:val="00DB1DE3"/>
    <w:rsid w:val="00DB4DB5"/>
    <w:rsid w:val="00DC158F"/>
    <w:rsid w:val="00DC1E5A"/>
    <w:rsid w:val="00DC4151"/>
    <w:rsid w:val="00DD2502"/>
    <w:rsid w:val="00DD6334"/>
    <w:rsid w:val="00DE6846"/>
    <w:rsid w:val="00DF4DBC"/>
    <w:rsid w:val="00E026AB"/>
    <w:rsid w:val="00E11F13"/>
    <w:rsid w:val="00E3408D"/>
    <w:rsid w:val="00E44C01"/>
    <w:rsid w:val="00E50F57"/>
    <w:rsid w:val="00E612F0"/>
    <w:rsid w:val="00E6345C"/>
    <w:rsid w:val="00E65C97"/>
    <w:rsid w:val="00E678BD"/>
    <w:rsid w:val="00E757FE"/>
    <w:rsid w:val="00E805DA"/>
    <w:rsid w:val="00E805FF"/>
    <w:rsid w:val="00E859F8"/>
    <w:rsid w:val="00E94B0E"/>
    <w:rsid w:val="00EA78BD"/>
    <w:rsid w:val="00EB675E"/>
    <w:rsid w:val="00EC160D"/>
    <w:rsid w:val="00EC188D"/>
    <w:rsid w:val="00EC4354"/>
    <w:rsid w:val="00EC5861"/>
    <w:rsid w:val="00ED2FEE"/>
    <w:rsid w:val="00ED57F4"/>
    <w:rsid w:val="00EF06B3"/>
    <w:rsid w:val="00EF100E"/>
    <w:rsid w:val="00EF2B70"/>
    <w:rsid w:val="00EF33AD"/>
    <w:rsid w:val="00EF47C6"/>
    <w:rsid w:val="00F03156"/>
    <w:rsid w:val="00F073A6"/>
    <w:rsid w:val="00F122AF"/>
    <w:rsid w:val="00F13CFE"/>
    <w:rsid w:val="00F17643"/>
    <w:rsid w:val="00F22646"/>
    <w:rsid w:val="00F23B9C"/>
    <w:rsid w:val="00F3108F"/>
    <w:rsid w:val="00F32041"/>
    <w:rsid w:val="00F33E3E"/>
    <w:rsid w:val="00F35A06"/>
    <w:rsid w:val="00F376EB"/>
    <w:rsid w:val="00F37A72"/>
    <w:rsid w:val="00F41ABD"/>
    <w:rsid w:val="00F4322A"/>
    <w:rsid w:val="00F47925"/>
    <w:rsid w:val="00F53080"/>
    <w:rsid w:val="00F53616"/>
    <w:rsid w:val="00F563D3"/>
    <w:rsid w:val="00F601A3"/>
    <w:rsid w:val="00F61739"/>
    <w:rsid w:val="00F6377E"/>
    <w:rsid w:val="00F671E8"/>
    <w:rsid w:val="00F7418C"/>
    <w:rsid w:val="00F76F2F"/>
    <w:rsid w:val="00F76FEF"/>
    <w:rsid w:val="00F77A9C"/>
    <w:rsid w:val="00F85E11"/>
    <w:rsid w:val="00F87EE6"/>
    <w:rsid w:val="00F91A54"/>
    <w:rsid w:val="00F9536A"/>
    <w:rsid w:val="00FA423B"/>
    <w:rsid w:val="00FB766B"/>
    <w:rsid w:val="00FC4CA9"/>
    <w:rsid w:val="00FC5D5F"/>
    <w:rsid w:val="00FD10D6"/>
    <w:rsid w:val="00FD438A"/>
    <w:rsid w:val="00FE3653"/>
    <w:rsid w:val="00FE4204"/>
    <w:rsid w:val="00FF1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43D80"/>
  <w15:chartTrackingRefBased/>
  <w15:docId w15:val="{E0E35B74-C5BD-44E8-B1D7-649BC816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8728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B2AC1"/>
    <w:pPr>
      <w:keepNext/>
      <w:spacing w:before="240" w:after="60" w:line="240" w:lineRule="auto"/>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381F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2D0113"/>
    <w:pPr>
      <w:keepNext/>
      <w:spacing w:before="240" w:after="60" w:line="240" w:lineRule="auto"/>
      <w:outlineLvl w:val="3"/>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1317"/>
    <w:rPr>
      <w:sz w:val="22"/>
      <w:szCs w:val="22"/>
    </w:rPr>
  </w:style>
  <w:style w:type="character" w:customStyle="1" w:styleId="Heading2Char">
    <w:name w:val="Heading 2 Char"/>
    <w:link w:val="Heading2"/>
    <w:rsid w:val="001B2AC1"/>
    <w:rPr>
      <w:rFonts w:ascii="Cambria" w:eastAsia="Times New Roman" w:hAnsi="Cambria"/>
      <w:b/>
      <w:bCs/>
      <w:i/>
      <w:iCs/>
      <w:sz w:val="28"/>
      <w:szCs w:val="28"/>
    </w:rPr>
  </w:style>
  <w:style w:type="paragraph" w:customStyle="1" w:styleId="StyleLeft081">
    <w:name w:val="Style Left:  0.81&quot;"/>
    <w:basedOn w:val="Normal"/>
    <w:rsid w:val="007928FD"/>
    <w:pPr>
      <w:widowControl w:val="0"/>
      <w:autoSpaceDE w:val="0"/>
      <w:autoSpaceDN w:val="0"/>
      <w:adjustRightInd w:val="0"/>
      <w:spacing w:after="0" w:line="240" w:lineRule="auto"/>
      <w:ind w:left="1170"/>
    </w:pPr>
    <w:rPr>
      <w:rFonts w:ascii="Arial" w:eastAsia="Times New Roman" w:hAnsi="Arial"/>
      <w:sz w:val="24"/>
      <w:szCs w:val="20"/>
    </w:rPr>
  </w:style>
  <w:style w:type="character" w:styleId="CommentReference">
    <w:name w:val="annotation reference"/>
    <w:rsid w:val="00E50F57"/>
    <w:rPr>
      <w:sz w:val="16"/>
      <w:szCs w:val="16"/>
    </w:rPr>
  </w:style>
  <w:style w:type="paragraph" w:styleId="CommentText">
    <w:name w:val="annotation text"/>
    <w:basedOn w:val="Normal"/>
    <w:link w:val="CommentTextChar"/>
    <w:rsid w:val="00E50F57"/>
    <w:pPr>
      <w:spacing w:after="0" w:line="240" w:lineRule="auto"/>
      <w:jc w:val="both"/>
    </w:pPr>
    <w:rPr>
      <w:rFonts w:ascii="Times New Roman" w:eastAsia="Times New Roman" w:hAnsi="Times New Roman"/>
      <w:sz w:val="20"/>
      <w:szCs w:val="20"/>
    </w:rPr>
  </w:style>
  <w:style w:type="character" w:customStyle="1" w:styleId="CommentTextChar">
    <w:name w:val="Comment Text Char"/>
    <w:link w:val="CommentText"/>
    <w:rsid w:val="00E50F57"/>
    <w:rPr>
      <w:rFonts w:ascii="Times New Roman" w:eastAsia="Times New Roman" w:hAnsi="Times New Roman"/>
    </w:rPr>
  </w:style>
  <w:style w:type="paragraph" w:styleId="BalloonText">
    <w:name w:val="Balloon Text"/>
    <w:basedOn w:val="Normal"/>
    <w:link w:val="BalloonTextChar"/>
    <w:uiPriority w:val="99"/>
    <w:semiHidden/>
    <w:unhideWhenUsed/>
    <w:rsid w:val="00E50F5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50F57"/>
    <w:rPr>
      <w:rFonts w:ascii="Segoe UI" w:hAnsi="Segoe UI" w:cs="Segoe UI"/>
      <w:sz w:val="18"/>
      <w:szCs w:val="18"/>
    </w:rPr>
  </w:style>
  <w:style w:type="paragraph" w:styleId="Header">
    <w:name w:val="header"/>
    <w:basedOn w:val="Normal"/>
    <w:link w:val="HeaderChar"/>
    <w:uiPriority w:val="99"/>
    <w:unhideWhenUsed/>
    <w:rsid w:val="00A81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7DF"/>
    <w:rPr>
      <w:sz w:val="22"/>
      <w:szCs w:val="22"/>
    </w:rPr>
  </w:style>
  <w:style w:type="paragraph" w:styleId="Footer">
    <w:name w:val="footer"/>
    <w:basedOn w:val="Normal"/>
    <w:link w:val="FooterChar"/>
    <w:uiPriority w:val="99"/>
    <w:unhideWhenUsed/>
    <w:rsid w:val="00A81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7DF"/>
    <w:rPr>
      <w:sz w:val="22"/>
      <w:szCs w:val="22"/>
    </w:rPr>
  </w:style>
  <w:style w:type="paragraph" w:styleId="CommentSubject">
    <w:name w:val="annotation subject"/>
    <w:basedOn w:val="CommentText"/>
    <w:next w:val="CommentText"/>
    <w:link w:val="CommentSubjectChar"/>
    <w:uiPriority w:val="99"/>
    <w:semiHidden/>
    <w:unhideWhenUsed/>
    <w:rsid w:val="00694F56"/>
    <w:pPr>
      <w:spacing w:after="160"/>
      <w:jc w:val="left"/>
    </w:pPr>
    <w:rPr>
      <w:rFonts w:ascii="Calibri" w:eastAsia="Calibri" w:hAnsi="Calibri"/>
      <w:b/>
      <w:bCs/>
    </w:rPr>
  </w:style>
  <w:style w:type="character" w:customStyle="1" w:styleId="CommentSubjectChar">
    <w:name w:val="Comment Subject Char"/>
    <w:basedOn w:val="CommentTextChar"/>
    <w:link w:val="CommentSubject"/>
    <w:uiPriority w:val="99"/>
    <w:semiHidden/>
    <w:rsid w:val="00694F56"/>
    <w:rPr>
      <w:rFonts w:ascii="Times New Roman" w:eastAsia="Times New Roman" w:hAnsi="Times New Roman"/>
      <w:b/>
      <w:bCs/>
    </w:rPr>
  </w:style>
  <w:style w:type="paragraph" w:customStyle="1" w:styleId="WPDefaults">
    <w:name w:val="WP Defaults"/>
    <w:rsid w:val="00B5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eastAsia="Times New Roman" w:hAnsi="Courier"/>
      <w:color w:val="000000"/>
      <w:sz w:val="24"/>
    </w:rPr>
  </w:style>
  <w:style w:type="character" w:customStyle="1" w:styleId="Heading4Char">
    <w:name w:val="Heading 4 Char"/>
    <w:basedOn w:val="DefaultParagraphFont"/>
    <w:link w:val="Heading4"/>
    <w:rsid w:val="002D0113"/>
    <w:rPr>
      <w:rFonts w:ascii="Times New Roman" w:eastAsia="Times New Roman" w:hAnsi="Times New Roman"/>
      <w:b/>
      <w:bCs/>
      <w:sz w:val="28"/>
      <w:szCs w:val="28"/>
    </w:rPr>
  </w:style>
  <w:style w:type="table" w:styleId="TableGrid">
    <w:name w:val="Table Grid"/>
    <w:basedOn w:val="TableNormal"/>
    <w:uiPriority w:val="39"/>
    <w:rsid w:val="00837CE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D384F"/>
    <w:pPr>
      <w:overflowPunct w:val="0"/>
      <w:autoSpaceDE w:val="0"/>
      <w:autoSpaceDN w:val="0"/>
      <w:adjustRightInd w:val="0"/>
      <w:spacing w:after="0" w:line="240" w:lineRule="auto"/>
      <w:ind w:left="720"/>
      <w:textAlignment w:val="baseline"/>
    </w:pPr>
    <w:rPr>
      <w:rFonts w:ascii="Times New Roman" w:eastAsia="Times New Roman" w:hAnsi="Times New Roman"/>
      <w:sz w:val="24"/>
      <w:szCs w:val="20"/>
    </w:rPr>
  </w:style>
  <w:style w:type="character" w:customStyle="1" w:styleId="BodyText2Char">
    <w:name w:val="Body Text 2 Char"/>
    <w:basedOn w:val="DefaultParagraphFont"/>
    <w:link w:val="BodyText2"/>
    <w:rsid w:val="007D384F"/>
    <w:rPr>
      <w:rFonts w:ascii="Times New Roman" w:eastAsia="Times New Roman" w:hAnsi="Times New Roman"/>
      <w:sz w:val="24"/>
    </w:rPr>
  </w:style>
  <w:style w:type="paragraph" w:styleId="NormalWeb">
    <w:name w:val="Normal (Web)"/>
    <w:basedOn w:val="Normal"/>
    <w:uiPriority w:val="99"/>
    <w:unhideWhenUsed/>
    <w:rsid w:val="00A0766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F122AF"/>
    <w:pPr>
      <w:ind w:left="720"/>
      <w:contextualSpacing/>
    </w:pPr>
    <w:rPr>
      <w:rFonts w:asciiTheme="minorHAnsi" w:eastAsiaTheme="minorHAnsi" w:hAnsiTheme="minorHAnsi" w:cstheme="minorBidi"/>
    </w:rPr>
  </w:style>
  <w:style w:type="character" w:customStyle="1" w:styleId="xcontentpasted0">
    <w:name w:val="x_contentpasted0"/>
    <w:basedOn w:val="DefaultParagraphFont"/>
    <w:rsid w:val="006722F9"/>
  </w:style>
  <w:style w:type="paragraph" w:customStyle="1" w:styleId="Default">
    <w:name w:val="Default"/>
    <w:rsid w:val="00255F2C"/>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255F2C"/>
    <w:rPr>
      <w:sz w:val="22"/>
      <w:szCs w:val="22"/>
    </w:rPr>
  </w:style>
  <w:style w:type="character" w:styleId="HTMLCode">
    <w:name w:val="HTML Code"/>
    <w:basedOn w:val="DefaultParagraphFont"/>
    <w:uiPriority w:val="99"/>
    <w:semiHidden/>
    <w:unhideWhenUsed/>
    <w:rsid w:val="00B64B99"/>
    <w:rPr>
      <w:rFonts w:ascii="Courier New" w:eastAsia="Times New Roman" w:hAnsi="Courier New" w:cs="Courier New"/>
      <w:sz w:val="20"/>
      <w:szCs w:val="20"/>
    </w:rPr>
  </w:style>
  <w:style w:type="paragraph" w:styleId="BodyText">
    <w:name w:val="Body Text"/>
    <w:basedOn w:val="Normal"/>
    <w:link w:val="BodyTextChar"/>
    <w:rsid w:val="0009228A"/>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09228A"/>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87285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381F6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18183">
      <w:bodyDiv w:val="1"/>
      <w:marLeft w:val="0"/>
      <w:marRight w:val="0"/>
      <w:marTop w:val="0"/>
      <w:marBottom w:val="0"/>
      <w:divBdr>
        <w:top w:val="none" w:sz="0" w:space="0" w:color="auto"/>
        <w:left w:val="none" w:sz="0" w:space="0" w:color="auto"/>
        <w:bottom w:val="none" w:sz="0" w:space="0" w:color="auto"/>
        <w:right w:val="none" w:sz="0" w:space="0" w:color="auto"/>
      </w:divBdr>
    </w:div>
    <w:div w:id="880551329">
      <w:bodyDiv w:val="1"/>
      <w:marLeft w:val="0"/>
      <w:marRight w:val="0"/>
      <w:marTop w:val="0"/>
      <w:marBottom w:val="0"/>
      <w:divBdr>
        <w:top w:val="none" w:sz="0" w:space="0" w:color="auto"/>
        <w:left w:val="none" w:sz="0" w:space="0" w:color="auto"/>
        <w:bottom w:val="none" w:sz="0" w:space="0" w:color="auto"/>
        <w:right w:val="none" w:sz="0" w:space="0" w:color="auto"/>
      </w:divBdr>
    </w:div>
    <w:div w:id="1000741412">
      <w:bodyDiv w:val="1"/>
      <w:marLeft w:val="0"/>
      <w:marRight w:val="0"/>
      <w:marTop w:val="0"/>
      <w:marBottom w:val="0"/>
      <w:divBdr>
        <w:top w:val="none" w:sz="0" w:space="0" w:color="auto"/>
        <w:left w:val="none" w:sz="0" w:space="0" w:color="auto"/>
        <w:bottom w:val="none" w:sz="0" w:space="0" w:color="auto"/>
        <w:right w:val="none" w:sz="0" w:space="0" w:color="auto"/>
      </w:divBdr>
    </w:div>
    <w:div w:id="1255437595">
      <w:bodyDiv w:val="1"/>
      <w:marLeft w:val="0"/>
      <w:marRight w:val="0"/>
      <w:marTop w:val="0"/>
      <w:marBottom w:val="0"/>
      <w:divBdr>
        <w:top w:val="none" w:sz="0" w:space="0" w:color="auto"/>
        <w:left w:val="none" w:sz="0" w:space="0" w:color="auto"/>
        <w:bottom w:val="none" w:sz="0" w:space="0" w:color="auto"/>
        <w:right w:val="none" w:sz="0" w:space="0" w:color="auto"/>
      </w:divBdr>
    </w:div>
    <w:div w:id="1558585656">
      <w:bodyDiv w:val="1"/>
      <w:marLeft w:val="0"/>
      <w:marRight w:val="0"/>
      <w:marTop w:val="0"/>
      <w:marBottom w:val="0"/>
      <w:divBdr>
        <w:top w:val="none" w:sz="0" w:space="0" w:color="auto"/>
        <w:left w:val="none" w:sz="0" w:space="0" w:color="auto"/>
        <w:bottom w:val="none" w:sz="0" w:space="0" w:color="auto"/>
        <w:right w:val="none" w:sz="0" w:space="0" w:color="auto"/>
      </w:divBdr>
    </w:div>
    <w:div w:id="1679773213">
      <w:bodyDiv w:val="1"/>
      <w:marLeft w:val="0"/>
      <w:marRight w:val="0"/>
      <w:marTop w:val="0"/>
      <w:marBottom w:val="0"/>
      <w:divBdr>
        <w:top w:val="none" w:sz="0" w:space="0" w:color="auto"/>
        <w:left w:val="none" w:sz="0" w:space="0" w:color="auto"/>
        <w:bottom w:val="none" w:sz="0" w:space="0" w:color="auto"/>
        <w:right w:val="none" w:sz="0" w:space="0" w:color="auto"/>
      </w:divBdr>
    </w:div>
    <w:div w:id="1840192637">
      <w:bodyDiv w:val="1"/>
      <w:marLeft w:val="0"/>
      <w:marRight w:val="0"/>
      <w:marTop w:val="0"/>
      <w:marBottom w:val="0"/>
      <w:divBdr>
        <w:top w:val="none" w:sz="0" w:space="0" w:color="auto"/>
        <w:left w:val="none" w:sz="0" w:space="0" w:color="auto"/>
        <w:bottom w:val="none" w:sz="0" w:space="0" w:color="auto"/>
        <w:right w:val="none" w:sz="0" w:space="0" w:color="auto"/>
      </w:divBdr>
    </w:div>
    <w:div w:id="20661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18890-E8F0-4885-9EC2-EF9CC83B1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2184</Words>
  <Characters>12450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Rebecca D</dc:creator>
  <cp:keywords/>
  <dc:description/>
  <cp:lastModifiedBy>Williams, Aubrie</cp:lastModifiedBy>
  <cp:revision>7</cp:revision>
  <cp:lastPrinted>2023-10-11T16:00:00Z</cp:lastPrinted>
  <dcterms:created xsi:type="dcterms:W3CDTF">2023-10-19T16:01:00Z</dcterms:created>
  <dcterms:modified xsi:type="dcterms:W3CDTF">2024-01-04T15:36:00Z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5ea7ab547c77a1a367a3da7e6935b2e8fb274423c300583fdab42e006158c841</vt:lpwstr>
  </property>
</Properties>
</file>