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986F" w14:textId="77777777" w:rsidR="00615A19" w:rsidRPr="00615A19" w:rsidRDefault="00615A19" w:rsidP="00615A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bookmarkStart w:id="0" w:name="_Hlk77839959"/>
      <w:bookmarkStart w:id="1" w:name="_Hlk93577479"/>
      <w:r w:rsidRPr="00615A19">
        <w:rPr>
          <w:rFonts w:ascii="Times New Roman" w:eastAsia="Times New Roman" w:hAnsi="Times New Roman"/>
          <w:color w:val="FF0000"/>
          <w:sz w:val="26"/>
          <w:szCs w:val="20"/>
        </w:rPr>
        <w:t>Approved by the Board of Trustees</w:t>
      </w:r>
    </w:p>
    <w:bookmarkEnd w:id="0"/>
    <w:p w14:paraId="7A67CBD6" w14:textId="77777777" w:rsidR="00615A19" w:rsidRPr="00615A19" w:rsidRDefault="00615A19" w:rsidP="00615A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r w:rsidRPr="00615A19">
        <w:rPr>
          <w:rFonts w:ascii="Times New Roman" w:eastAsia="Times New Roman" w:hAnsi="Times New Roman"/>
          <w:color w:val="FF0000"/>
          <w:sz w:val="26"/>
          <w:szCs w:val="20"/>
        </w:rPr>
        <w:t>November 17, 2022</w:t>
      </w:r>
      <w:bookmarkEnd w:id="1"/>
    </w:p>
    <w:p w14:paraId="2212B691" w14:textId="385BD13B" w:rsidR="00790C45" w:rsidRPr="009E1942" w:rsidRDefault="009E1942"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60"/>
          <w:szCs w:val="60"/>
        </w:rPr>
      </w:pPr>
      <w:r w:rsidRPr="009E1942">
        <w:rPr>
          <w:rFonts w:ascii="Times New Roman" w:eastAsia="Times New Roman" w:hAnsi="Times New Roman"/>
          <w:b/>
          <w:color w:val="000000"/>
          <w:sz w:val="60"/>
          <w:szCs w:val="60"/>
        </w:rPr>
        <w:t>19</w:t>
      </w:r>
      <w:r w:rsidR="00790C45" w:rsidRPr="009E1942">
        <w:rPr>
          <w:rFonts w:ascii="Times New Roman" w:eastAsia="Times New Roman" w:hAnsi="Times New Roman"/>
          <w:b/>
          <w:color w:val="000000"/>
          <w:sz w:val="60"/>
          <w:szCs w:val="60"/>
        </w:rPr>
        <w:t xml:space="preserve"> </w:t>
      </w:r>
    </w:p>
    <w:p w14:paraId="3FD586F7" w14:textId="77777777" w:rsidR="00910CA6" w:rsidRDefault="00910CA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FF0000"/>
          <w:sz w:val="26"/>
          <w:szCs w:val="26"/>
        </w:rPr>
      </w:pPr>
    </w:p>
    <w:p w14:paraId="7366C73E" w14:textId="7A8AF492"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Board Meeting</w:t>
      </w:r>
    </w:p>
    <w:p w14:paraId="48F69593" w14:textId="4A4DEAAE" w:rsidR="00790C45" w:rsidRPr="00831C2F" w:rsidRDefault="004C72B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themeColor="text1"/>
          <w:sz w:val="26"/>
          <w:szCs w:val="26"/>
        </w:rPr>
      </w:pPr>
      <w:r w:rsidRPr="00831C2F">
        <w:rPr>
          <w:rFonts w:ascii="Times New Roman" w:eastAsia="Times New Roman" w:hAnsi="Times New Roman"/>
          <w:color w:val="000000" w:themeColor="text1"/>
          <w:sz w:val="26"/>
          <w:szCs w:val="26"/>
        </w:rPr>
        <w:t>November 17, 2022</w:t>
      </w:r>
    </w:p>
    <w:p w14:paraId="36D51294"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162A4C" w:rsidRDefault="00790C45" w:rsidP="00EC5861">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76B0B6A8" w:rsidR="00927290" w:rsidRPr="00927290" w:rsidRDefault="00927290" w:rsidP="00F23BAF">
      <w:pPr>
        <w:rPr>
          <w:rFonts w:ascii="Bookman Old Style" w:hAnsi="Bookman Old Style"/>
          <w:sz w:val="24"/>
        </w:rPr>
      </w:pPr>
      <w:r w:rsidRPr="00927290">
        <w:rPr>
          <w:rFonts w:ascii="Bookman Old Style" w:hAnsi="Bookman Old Style"/>
          <w:sz w:val="24"/>
        </w:rPr>
        <w:t xml:space="preserve">Following </w:t>
      </w:r>
      <w:proofErr w:type="gramStart"/>
      <w:r w:rsidRPr="00927290">
        <w:rPr>
          <w:rFonts w:ascii="Bookman Old Style" w:hAnsi="Bookman Old Style"/>
          <w:sz w:val="24"/>
        </w:rPr>
        <w:t>are</w:t>
      </w:r>
      <w:proofErr w:type="gramEnd"/>
      <w:r w:rsidRPr="00927290">
        <w:rPr>
          <w:rFonts w:ascii="Bookman Old Style" w:hAnsi="Bookman Old Style"/>
          <w:sz w:val="24"/>
        </w:rPr>
        <w:t xml:space="preserve"> purchase contracts proposed by each university and the System Office.  The purchases are to be funded from State appropriations or institutional funds as appropriate.  Unless otherwise specified or indicated, purchases are based on the lowest acceptable bid. The</w:t>
      </w:r>
      <w:r w:rsidR="004C72BE">
        <w:rPr>
          <w:rFonts w:ascii="Bookman Old Style" w:hAnsi="Bookman Old Style"/>
          <w:sz w:val="24"/>
        </w:rPr>
        <w:t xml:space="preserve"> </w:t>
      </w:r>
      <w:r w:rsidRPr="00927290">
        <w:rPr>
          <w:rFonts w:ascii="Bookman Old Style" w:hAnsi="Bookman Old Style"/>
          <w:sz w:val="24"/>
        </w:rPr>
        <w:t>Vice President, Chief Financial Officer</w:t>
      </w:r>
      <w:r w:rsidR="004C72BE">
        <w:rPr>
          <w:rFonts w:ascii="Bookman Old Style" w:hAnsi="Bookman Old Style"/>
          <w:sz w:val="24"/>
        </w:rPr>
        <w:t>,</w:t>
      </w:r>
      <w:r w:rsidRPr="00927290">
        <w:rPr>
          <w:rFonts w:ascii="Bookman Old Style" w:hAnsi="Bookman Old Style"/>
          <w:sz w:val="24"/>
        </w:rPr>
        <w:t xml:space="preserve"> and Comptroller has approved all purchases to be funded from State appropriations in accordance with the </w:t>
      </w:r>
      <w:r w:rsidRPr="00927290">
        <w:rPr>
          <w:rFonts w:ascii="Bookman Old Style" w:hAnsi="Bookman Old Style"/>
          <w:i/>
          <w:iCs/>
          <w:sz w:val="24"/>
        </w:rPr>
        <w:t>Bylaws of the Board of Trustees</w:t>
      </w:r>
      <w:r w:rsidRPr="00927290">
        <w:rPr>
          <w:rFonts w:ascii="Bookman Old Style" w:hAnsi="Bookman Old Style"/>
          <w:sz w:val="24"/>
        </w:rPr>
        <w:t xml:space="preserve"> and the </w:t>
      </w:r>
      <w:r w:rsidRPr="00927290">
        <w:rPr>
          <w:rFonts w:ascii="Bookman Old Style" w:hAnsi="Bookman Old Style"/>
          <w:i/>
          <w:iCs/>
          <w:sz w:val="24"/>
        </w:rPr>
        <w:t>General Rules Concerning University Organization and Procedure</w:t>
      </w:r>
      <w:r w:rsidRPr="00927290">
        <w:rPr>
          <w:rFonts w:ascii="Bookman Old Style" w:hAnsi="Bookman Old Style"/>
          <w:sz w:val="24"/>
        </w:rPr>
        <w:t xml:space="preserve">. </w:t>
      </w:r>
    </w:p>
    <w:p w14:paraId="5E101A89" w14:textId="77777777" w:rsidR="00927290" w:rsidRPr="00927290" w:rsidRDefault="00927290" w:rsidP="004B4F45">
      <w:pPr>
        <w:jc w:val="both"/>
        <w:rPr>
          <w:rFonts w:ascii="Bookman Old Style" w:hAnsi="Bookman Old Style"/>
          <w:sz w:val="24"/>
        </w:rPr>
      </w:pPr>
      <w:r w:rsidRPr="00927290">
        <w:rPr>
          <w:rFonts w:ascii="Bookman Old Style" w:hAnsi="Bookman Old Style"/>
          <w:sz w:val="24"/>
        </w:rPr>
        <w:t xml:space="preserve">The Board action recommended in this item complies in all material respects with applicable State and Federal laws, University of Illinois </w:t>
      </w:r>
      <w:r w:rsidRPr="00927290">
        <w:rPr>
          <w:rFonts w:ascii="Bookman Old Style" w:hAnsi="Bookman Old Style"/>
          <w:i/>
          <w:sz w:val="24"/>
        </w:rPr>
        <w:t>Statutes, The General Rules Concerning University Organization and Procedure</w:t>
      </w:r>
      <w:r w:rsidRPr="00927290">
        <w:rPr>
          <w:rFonts w:ascii="Bookman Old Style" w:hAnsi="Bookman Old Style"/>
          <w:sz w:val="24"/>
        </w:rPr>
        <w:t xml:space="preserve">, the </w:t>
      </w:r>
      <w:r w:rsidRPr="00927290">
        <w:rPr>
          <w:rFonts w:ascii="Bookman Old Style" w:hAnsi="Bookman Old Style"/>
          <w:i/>
          <w:iCs/>
          <w:sz w:val="24"/>
        </w:rPr>
        <w:t>Bylaws of the Board of Trustees</w:t>
      </w:r>
      <w:r w:rsidRPr="00927290">
        <w:rPr>
          <w:rFonts w:ascii="Bookman Old Style" w:hAnsi="Bookman Old Style"/>
          <w:sz w:val="24"/>
        </w:rPr>
        <w:t>, and Board of Trustees policies and directives.</w:t>
      </w:r>
    </w:p>
    <w:p w14:paraId="70A15680" w14:textId="5048B28E" w:rsidR="00790C45" w:rsidRDefault="00927290"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hAnsi="Bookman Old Style"/>
          <w:sz w:val="24"/>
        </w:rPr>
      </w:pPr>
      <w:r w:rsidRPr="00927290">
        <w:rPr>
          <w:rFonts w:ascii="Bookman Old Style" w:hAnsi="Bookman Old Style"/>
          <w:sz w:val="24"/>
        </w:rPr>
        <w:t>The President of the University concurs.</w:t>
      </w:r>
      <w:r>
        <w:rPr>
          <w:rFonts w:ascii="Bookman Old Style" w:hAnsi="Bookman Old Style"/>
          <w:sz w:val="24"/>
        </w:rPr>
        <w:t xml:space="preserve"> </w:t>
      </w:r>
    </w:p>
    <w:p w14:paraId="0FF6DFCF" w14:textId="77777777" w:rsidR="00422C7C" w:rsidRPr="00162A4C" w:rsidRDefault="00422C7C"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162A4C" w:rsidRDefault="00B53ECD" w:rsidP="00EC5861">
      <w:pPr>
        <w:spacing w:after="0" w:line="240" w:lineRule="auto"/>
        <w:jc w:val="both"/>
        <w:rPr>
          <w:rFonts w:ascii="Times New Roman" w:hAnsi="Times New Roman"/>
          <w:sz w:val="26"/>
          <w:szCs w:val="26"/>
        </w:rPr>
      </w:pPr>
    </w:p>
    <w:p w14:paraId="7247222A" w14:textId="77777777" w:rsidR="006A498C" w:rsidRPr="00162A4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2" w:name="_Hlk85182239"/>
      <w:r w:rsidRPr="00162A4C">
        <w:rPr>
          <w:rFonts w:ascii="Times New Roman" w:eastAsia="Times New Roman" w:hAnsi="Times New Roman"/>
          <w:b/>
          <w:color w:val="000000"/>
          <w:sz w:val="26"/>
          <w:szCs w:val="26"/>
        </w:rPr>
        <w:t>PURCHASES RECOMMENDED</w:t>
      </w:r>
    </w:p>
    <w:p w14:paraId="0D1C990D" w14:textId="77777777" w:rsidR="00141D9C" w:rsidRPr="00162A4C" w:rsidRDefault="00141D9C" w:rsidP="00F073A6">
      <w:pPr>
        <w:spacing w:after="0" w:line="240" w:lineRule="auto"/>
        <w:rPr>
          <w:rFonts w:ascii="Times New Roman" w:hAnsi="Times New Roman"/>
          <w:vanish/>
          <w:sz w:val="26"/>
          <w:szCs w:val="26"/>
        </w:rPr>
      </w:pPr>
    </w:p>
    <w:p w14:paraId="091BA1CD" w14:textId="77777777" w:rsidR="00220F05" w:rsidRPr="00220F05" w:rsidRDefault="00220F05" w:rsidP="00220F0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3" w:name="_Hlk95216307"/>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220F05" w:rsidRPr="00220F05" w14:paraId="165F0FDA" w14:textId="77777777" w:rsidTr="000F16DE">
        <w:trPr>
          <w:trHeight w:val="114"/>
        </w:trPr>
        <w:tc>
          <w:tcPr>
            <w:tcW w:w="9454" w:type="dxa"/>
            <w:tcBorders>
              <w:top w:val="single" w:sz="18" w:space="0" w:color="auto"/>
              <w:bottom w:val="single" w:sz="18" w:space="0" w:color="auto"/>
            </w:tcBorders>
          </w:tcPr>
          <w:p w14:paraId="041AE20F" w14:textId="5C8FF8AC" w:rsidR="00220F05" w:rsidRPr="00220F05" w:rsidRDefault="00220F05" w:rsidP="00220F05">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at </w:t>
            </w:r>
            <w:r w:rsidR="004C72BE">
              <w:rPr>
                <w:rFonts w:ascii="Times New Roman" w:eastAsia="Times New Roman" w:hAnsi="Times New Roman"/>
                <w:b/>
                <w:sz w:val="26"/>
                <w:szCs w:val="26"/>
              </w:rPr>
              <w:t>Chicago</w:t>
            </w:r>
          </w:p>
        </w:tc>
      </w:tr>
    </w:tbl>
    <w:p w14:paraId="553968A6" w14:textId="4ECD27F6" w:rsidR="002D28AA"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DF565E" w:rsidRPr="00E50F57" w14:paraId="34FDE293" w14:textId="77777777" w:rsidTr="00C738A8">
        <w:trPr>
          <w:trHeight w:val="120"/>
        </w:trPr>
        <w:tc>
          <w:tcPr>
            <w:tcW w:w="342" w:type="dxa"/>
            <w:tcBorders>
              <w:bottom w:val="double" w:sz="6" w:space="0" w:color="auto"/>
            </w:tcBorders>
          </w:tcPr>
          <w:p w14:paraId="34BA8A99" w14:textId="29DD6BC9" w:rsidR="00DF565E" w:rsidRPr="00E50F57" w:rsidRDefault="00E638D2" w:rsidP="00C738A8">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7363F1CF"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5C40976C" w14:textId="77777777" w:rsidR="00DF565E" w:rsidRPr="00C77C31" w:rsidRDefault="00DF565E" w:rsidP="00C738A8">
            <w:pPr>
              <w:pStyle w:val="NoSpacing"/>
              <w:rPr>
                <w:rFonts w:ascii="Times New Roman" w:hAnsi="Times New Roman"/>
                <w:sz w:val="26"/>
                <w:szCs w:val="26"/>
              </w:rPr>
            </w:pPr>
            <w:r w:rsidRPr="00032931">
              <w:rPr>
                <w:rFonts w:ascii="Times New Roman" w:hAnsi="Times New Roman"/>
                <w:spacing w:val="-3"/>
                <w:sz w:val="26"/>
                <w:szCs w:val="26"/>
              </w:rPr>
              <w:t>UI Hospital and Clinics</w:t>
            </w:r>
          </w:p>
        </w:tc>
      </w:tr>
      <w:tr w:rsidR="00DF565E" w:rsidRPr="00C77C31" w14:paraId="262DBB04" w14:textId="77777777" w:rsidTr="00C738A8">
        <w:trPr>
          <w:trHeight w:val="648"/>
        </w:trPr>
        <w:tc>
          <w:tcPr>
            <w:tcW w:w="342" w:type="dxa"/>
          </w:tcPr>
          <w:p w14:paraId="0AEA012A" w14:textId="77777777" w:rsidR="00DF565E" w:rsidRPr="00C77C31" w:rsidRDefault="00DF565E" w:rsidP="00C738A8">
            <w:pPr>
              <w:pStyle w:val="NoSpacing"/>
              <w:rPr>
                <w:rFonts w:ascii="Times New Roman" w:hAnsi="Times New Roman"/>
                <w:sz w:val="26"/>
                <w:szCs w:val="26"/>
              </w:rPr>
            </w:pPr>
          </w:p>
        </w:tc>
        <w:tc>
          <w:tcPr>
            <w:tcW w:w="990" w:type="dxa"/>
          </w:tcPr>
          <w:p w14:paraId="4E3B60FA" w14:textId="77777777" w:rsidR="00DF565E" w:rsidRPr="00C77C31" w:rsidRDefault="00DF565E" w:rsidP="00C738A8">
            <w:pPr>
              <w:pStyle w:val="NoSpacing"/>
              <w:rPr>
                <w:rFonts w:ascii="Times New Roman" w:hAnsi="Times New Roman"/>
                <w:sz w:val="26"/>
                <w:szCs w:val="26"/>
              </w:rPr>
            </w:pPr>
          </w:p>
          <w:p w14:paraId="570443EA"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59AE53D4" w14:textId="77777777" w:rsidR="00DF565E" w:rsidRPr="00C77C31" w:rsidRDefault="00DF565E" w:rsidP="00C738A8">
            <w:pPr>
              <w:pStyle w:val="NoSpacing"/>
              <w:jc w:val="both"/>
              <w:rPr>
                <w:rFonts w:ascii="Times New Roman" w:hAnsi="Times New Roman"/>
                <w:sz w:val="26"/>
                <w:szCs w:val="26"/>
              </w:rPr>
            </w:pPr>
          </w:p>
          <w:p w14:paraId="0FD2D478" w14:textId="7396F2E9" w:rsidR="00DF565E" w:rsidRPr="00C77C31" w:rsidRDefault="004F43B7" w:rsidP="00C738A8">
            <w:pPr>
              <w:pStyle w:val="NoSpacing"/>
              <w:jc w:val="both"/>
              <w:rPr>
                <w:rFonts w:ascii="Times New Roman" w:hAnsi="Times New Roman"/>
                <w:b/>
                <w:sz w:val="26"/>
                <w:szCs w:val="26"/>
              </w:rPr>
            </w:pPr>
            <w:r w:rsidRPr="00E42C5B">
              <w:rPr>
                <w:rFonts w:ascii="Times New Roman" w:hAnsi="Times New Roman"/>
                <w:sz w:val="26"/>
                <w:szCs w:val="26"/>
              </w:rPr>
              <w:t xml:space="preserve">Purchase of </w:t>
            </w:r>
            <w:r>
              <w:rPr>
                <w:rFonts w:ascii="Times New Roman" w:hAnsi="Times New Roman"/>
                <w:sz w:val="26"/>
                <w:szCs w:val="26"/>
              </w:rPr>
              <w:t>Pharmaceutical Wholesale Distributor Services for UI Hospital and Clinics</w:t>
            </w:r>
          </w:p>
        </w:tc>
      </w:tr>
      <w:tr w:rsidR="00DF565E" w:rsidRPr="00C77C31" w14:paraId="6433E4FD" w14:textId="77777777" w:rsidTr="00C738A8">
        <w:trPr>
          <w:trHeight w:val="315"/>
        </w:trPr>
        <w:tc>
          <w:tcPr>
            <w:tcW w:w="342" w:type="dxa"/>
          </w:tcPr>
          <w:p w14:paraId="436C3D81" w14:textId="77777777" w:rsidR="00DF565E" w:rsidRPr="00C77C31" w:rsidRDefault="00DF565E" w:rsidP="00C738A8">
            <w:pPr>
              <w:pStyle w:val="NoSpacing"/>
              <w:rPr>
                <w:rFonts w:ascii="Times New Roman" w:hAnsi="Times New Roman"/>
                <w:sz w:val="26"/>
                <w:szCs w:val="26"/>
              </w:rPr>
            </w:pPr>
          </w:p>
        </w:tc>
        <w:tc>
          <w:tcPr>
            <w:tcW w:w="990" w:type="dxa"/>
          </w:tcPr>
          <w:p w14:paraId="2A80486B" w14:textId="77777777" w:rsidR="00DF565E" w:rsidRPr="00C77C31" w:rsidRDefault="00DF565E" w:rsidP="00C738A8">
            <w:pPr>
              <w:pStyle w:val="NoSpacing"/>
              <w:rPr>
                <w:rFonts w:ascii="Times New Roman" w:hAnsi="Times New Roman"/>
                <w:sz w:val="26"/>
                <w:szCs w:val="26"/>
              </w:rPr>
            </w:pPr>
          </w:p>
          <w:p w14:paraId="16670073"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0888EB83" w14:textId="77777777" w:rsidR="00DF565E" w:rsidRPr="00C77C31" w:rsidRDefault="00DF565E" w:rsidP="00C738A8">
            <w:pPr>
              <w:pStyle w:val="NoSpacing"/>
              <w:rPr>
                <w:rFonts w:ascii="Times New Roman" w:hAnsi="Times New Roman"/>
                <w:sz w:val="26"/>
                <w:szCs w:val="26"/>
              </w:rPr>
            </w:pPr>
          </w:p>
          <w:p w14:paraId="7CBC7495" w14:textId="262900D7" w:rsidR="004F43B7" w:rsidRPr="00DE7E8E" w:rsidRDefault="004F43B7" w:rsidP="004F43B7">
            <w:pPr>
              <w:pStyle w:val="NoSpacing"/>
              <w:rPr>
                <w:rFonts w:ascii="Times New Roman" w:hAnsi="Times New Roman"/>
                <w:spacing w:val="-3"/>
                <w:sz w:val="26"/>
                <w:szCs w:val="26"/>
              </w:rPr>
            </w:pPr>
            <w:r w:rsidRPr="00DE7E8E">
              <w:rPr>
                <w:rFonts w:ascii="Times New Roman" w:hAnsi="Times New Roman"/>
                <w:spacing w:val="-3"/>
                <w:sz w:val="26"/>
                <w:szCs w:val="26"/>
              </w:rPr>
              <w:t>$761,118,000 (estimated) for a four-year period beginning January 1, 2023</w:t>
            </w:r>
            <w:r w:rsidR="00E6061D">
              <w:rPr>
                <w:rFonts w:ascii="Times New Roman" w:hAnsi="Times New Roman"/>
                <w:spacing w:val="-3"/>
                <w:sz w:val="26"/>
                <w:szCs w:val="26"/>
              </w:rPr>
              <w:t xml:space="preserve">, </w:t>
            </w:r>
            <w:r w:rsidRPr="00DE7E8E">
              <w:rPr>
                <w:rFonts w:ascii="Times New Roman" w:hAnsi="Times New Roman"/>
                <w:spacing w:val="-3"/>
                <w:sz w:val="26"/>
                <w:szCs w:val="26"/>
              </w:rPr>
              <w:t>with three optional two-year renewal periods (</w:t>
            </w:r>
            <w:r w:rsidR="00E85A4C">
              <w:rPr>
                <w:rFonts w:ascii="Times New Roman" w:hAnsi="Times New Roman"/>
                <w:spacing w:val="-3"/>
                <w:sz w:val="26"/>
                <w:szCs w:val="26"/>
              </w:rPr>
              <w:t xml:space="preserve">a </w:t>
            </w:r>
            <w:r w:rsidRPr="00DE7E8E">
              <w:rPr>
                <w:rFonts w:ascii="Times New Roman" w:hAnsi="Times New Roman"/>
                <w:spacing w:val="-3"/>
                <w:sz w:val="26"/>
                <w:szCs w:val="26"/>
              </w:rPr>
              <w:t xml:space="preserve">total </w:t>
            </w:r>
            <w:r w:rsidR="00E6061D">
              <w:rPr>
                <w:rFonts w:ascii="Times New Roman" w:hAnsi="Times New Roman"/>
                <w:spacing w:val="-3"/>
                <w:sz w:val="26"/>
                <w:szCs w:val="26"/>
              </w:rPr>
              <w:t xml:space="preserve">of </w:t>
            </w:r>
            <w:r w:rsidRPr="00DE7E8E">
              <w:rPr>
                <w:rFonts w:ascii="Times New Roman" w:hAnsi="Times New Roman"/>
                <w:spacing w:val="-3"/>
                <w:sz w:val="26"/>
                <w:szCs w:val="26"/>
              </w:rPr>
              <w:t xml:space="preserve">10 years).        $190,279,500 (estimated) average annual cost during </w:t>
            </w:r>
            <w:r w:rsidR="00F23BAF">
              <w:rPr>
                <w:rFonts w:ascii="Times New Roman" w:hAnsi="Times New Roman"/>
                <w:spacing w:val="-3"/>
                <w:sz w:val="26"/>
                <w:szCs w:val="26"/>
              </w:rPr>
              <w:t xml:space="preserve">the </w:t>
            </w:r>
            <w:r w:rsidRPr="00DE7E8E">
              <w:rPr>
                <w:rFonts w:ascii="Times New Roman" w:hAnsi="Times New Roman"/>
                <w:spacing w:val="-3"/>
                <w:sz w:val="26"/>
                <w:szCs w:val="26"/>
              </w:rPr>
              <w:t>initial term.</w:t>
            </w:r>
          </w:p>
          <w:p w14:paraId="0598B951" w14:textId="3C92F68C" w:rsidR="00DF565E" w:rsidRPr="00910CA6" w:rsidRDefault="004F43B7" w:rsidP="00C738A8">
            <w:pPr>
              <w:pStyle w:val="NoSpacing"/>
              <w:rPr>
                <w:rFonts w:ascii="Times New Roman" w:hAnsi="Times New Roman"/>
                <w:spacing w:val="-3"/>
                <w:sz w:val="26"/>
                <w:szCs w:val="26"/>
              </w:rPr>
            </w:pPr>
            <w:r w:rsidRPr="00DE7E8E">
              <w:rPr>
                <w:rFonts w:ascii="Times New Roman" w:hAnsi="Times New Roman"/>
                <w:spacing w:val="-3"/>
                <w:sz w:val="26"/>
                <w:szCs w:val="26"/>
              </w:rPr>
              <w:t>Total cost (estimated) including renewal periods is $2,544,296,000.</w:t>
            </w:r>
          </w:p>
          <w:p w14:paraId="4F0A1EDC" w14:textId="77777777" w:rsidR="00DF565E" w:rsidRPr="00357A9E" w:rsidRDefault="00DF565E" w:rsidP="00C738A8">
            <w:pPr>
              <w:pStyle w:val="NoSpacing"/>
              <w:rPr>
                <w:rFonts w:ascii="Times New Roman" w:hAnsi="Times New Roman"/>
                <w:spacing w:val="-3"/>
                <w:sz w:val="24"/>
                <w:szCs w:val="24"/>
                <w:u w:val="single"/>
              </w:rPr>
            </w:pPr>
          </w:p>
          <w:p w14:paraId="524EADDF" w14:textId="77777777" w:rsidR="00DF565E" w:rsidRPr="00357A9E" w:rsidRDefault="00DF565E" w:rsidP="00C738A8">
            <w:pPr>
              <w:pStyle w:val="NoSpacing"/>
              <w:rPr>
                <w:rFonts w:ascii="Times New Roman" w:hAnsi="Times New Roman"/>
                <w:spacing w:val="-3"/>
                <w:sz w:val="24"/>
                <w:szCs w:val="24"/>
              </w:rPr>
            </w:pPr>
            <w:r w:rsidRPr="00357A9E">
              <w:rPr>
                <w:rFonts w:ascii="Times New Roman" w:hAnsi="Times New Roman"/>
                <w:spacing w:val="-3"/>
                <w:sz w:val="24"/>
                <w:szCs w:val="24"/>
                <w:u w:val="single"/>
              </w:rPr>
              <w:t>Initial Term:                                                            $761,118,000</w:t>
            </w:r>
            <w:proofErr w:type="gramStart"/>
            <w:r w:rsidRPr="00357A9E">
              <w:rPr>
                <w:rFonts w:ascii="Times New Roman" w:hAnsi="Times New Roman"/>
                <w:spacing w:val="-3"/>
                <w:sz w:val="24"/>
                <w:szCs w:val="24"/>
                <w:u w:val="single"/>
              </w:rPr>
              <w:t xml:space="preserve">   (</w:t>
            </w:r>
            <w:proofErr w:type="gramEnd"/>
            <w:r w:rsidRPr="00357A9E">
              <w:rPr>
                <w:rFonts w:ascii="Times New Roman" w:hAnsi="Times New Roman"/>
                <w:spacing w:val="-3"/>
                <w:sz w:val="24"/>
                <w:szCs w:val="24"/>
                <w:u w:val="single"/>
              </w:rPr>
              <w:t>estimated)</w:t>
            </w:r>
          </w:p>
          <w:p w14:paraId="2F711696" w14:textId="77777777" w:rsidR="00DF565E" w:rsidRPr="00357A9E" w:rsidRDefault="00DF565E" w:rsidP="00C738A8">
            <w:pPr>
              <w:pStyle w:val="NoSpacing"/>
              <w:rPr>
                <w:rFonts w:ascii="Times New Roman" w:hAnsi="Times New Roman"/>
                <w:bCs/>
                <w:sz w:val="24"/>
                <w:szCs w:val="24"/>
              </w:rPr>
            </w:pPr>
            <w:r w:rsidRPr="00357A9E">
              <w:rPr>
                <w:rFonts w:ascii="Times New Roman" w:hAnsi="Times New Roman"/>
                <w:bCs/>
                <w:sz w:val="24"/>
                <w:szCs w:val="24"/>
              </w:rPr>
              <w:t xml:space="preserve">     2023             </w:t>
            </w:r>
            <w:r w:rsidRPr="00357A9E">
              <w:rPr>
                <w:rFonts w:ascii="Times New Roman" w:hAnsi="Times New Roman"/>
                <w:bCs/>
                <w:sz w:val="24"/>
                <w:szCs w:val="24"/>
              </w:rPr>
              <w:tab/>
              <w:t xml:space="preserve">                                         $</w:t>
            </w:r>
            <w:proofErr w:type="gramStart"/>
            <w:r w:rsidRPr="00357A9E">
              <w:rPr>
                <w:rFonts w:ascii="Times New Roman" w:hAnsi="Times New Roman"/>
                <w:bCs/>
                <w:sz w:val="24"/>
                <w:szCs w:val="24"/>
              </w:rPr>
              <w:t>166,225,000  (</w:t>
            </w:r>
            <w:proofErr w:type="gramEnd"/>
            <w:r w:rsidRPr="00357A9E">
              <w:rPr>
                <w:rFonts w:ascii="Times New Roman" w:hAnsi="Times New Roman"/>
                <w:bCs/>
                <w:sz w:val="24"/>
                <w:szCs w:val="24"/>
              </w:rPr>
              <w:t>estimated)</w:t>
            </w:r>
          </w:p>
          <w:p w14:paraId="207C326A" w14:textId="77777777" w:rsidR="00DF565E" w:rsidRPr="00357A9E" w:rsidRDefault="00DF565E" w:rsidP="00C738A8">
            <w:pPr>
              <w:pStyle w:val="NoSpacing"/>
              <w:rPr>
                <w:rFonts w:ascii="Times New Roman" w:hAnsi="Times New Roman"/>
                <w:bCs/>
                <w:sz w:val="24"/>
                <w:szCs w:val="24"/>
              </w:rPr>
            </w:pPr>
            <w:r w:rsidRPr="00357A9E">
              <w:rPr>
                <w:rFonts w:ascii="Times New Roman" w:hAnsi="Times New Roman"/>
                <w:bCs/>
                <w:sz w:val="24"/>
                <w:szCs w:val="24"/>
              </w:rPr>
              <w:t xml:space="preserve">     2024</w:t>
            </w:r>
            <w:r w:rsidRPr="00357A9E">
              <w:rPr>
                <w:rFonts w:ascii="Times New Roman" w:hAnsi="Times New Roman"/>
                <w:bCs/>
                <w:sz w:val="24"/>
                <w:szCs w:val="24"/>
              </w:rPr>
              <w:tab/>
            </w:r>
            <w:r w:rsidRPr="00357A9E">
              <w:rPr>
                <w:rFonts w:ascii="Times New Roman" w:hAnsi="Times New Roman"/>
                <w:bCs/>
                <w:sz w:val="24"/>
                <w:szCs w:val="24"/>
              </w:rPr>
              <w:tab/>
              <w:t xml:space="preserve">                                         $</w:t>
            </w:r>
            <w:proofErr w:type="gramStart"/>
            <w:r w:rsidRPr="00357A9E">
              <w:rPr>
                <w:rFonts w:ascii="Times New Roman" w:hAnsi="Times New Roman"/>
                <w:bCs/>
                <w:sz w:val="24"/>
                <w:szCs w:val="24"/>
              </w:rPr>
              <w:t>181,286,000  (</w:t>
            </w:r>
            <w:proofErr w:type="gramEnd"/>
            <w:r w:rsidRPr="00357A9E">
              <w:rPr>
                <w:rFonts w:ascii="Times New Roman" w:hAnsi="Times New Roman"/>
                <w:bCs/>
                <w:sz w:val="24"/>
                <w:szCs w:val="24"/>
              </w:rPr>
              <w:t>estimated)</w:t>
            </w:r>
          </w:p>
          <w:p w14:paraId="57A6CFA4" w14:textId="77777777" w:rsidR="00DF565E" w:rsidRPr="00357A9E" w:rsidRDefault="00DF565E" w:rsidP="00C738A8">
            <w:pPr>
              <w:pStyle w:val="NoSpacing"/>
              <w:rPr>
                <w:rFonts w:ascii="Times New Roman" w:hAnsi="Times New Roman"/>
                <w:bCs/>
                <w:sz w:val="24"/>
                <w:szCs w:val="24"/>
              </w:rPr>
            </w:pPr>
            <w:r w:rsidRPr="00357A9E">
              <w:rPr>
                <w:rFonts w:ascii="Times New Roman" w:hAnsi="Times New Roman"/>
                <w:bCs/>
                <w:sz w:val="24"/>
                <w:szCs w:val="24"/>
              </w:rPr>
              <w:t xml:space="preserve">     2025</w:t>
            </w:r>
            <w:r w:rsidRPr="00357A9E">
              <w:rPr>
                <w:rFonts w:ascii="Times New Roman" w:hAnsi="Times New Roman"/>
                <w:bCs/>
                <w:sz w:val="24"/>
                <w:szCs w:val="24"/>
              </w:rPr>
              <w:tab/>
            </w:r>
            <w:r w:rsidRPr="00357A9E">
              <w:rPr>
                <w:rFonts w:ascii="Times New Roman" w:hAnsi="Times New Roman"/>
                <w:bCs/>
                <w:sz w:val="24"/>
                <w:szCs w:val="24"/>
              </w:rPr>
              <w:tab/>
              <w:t xml:space="preserve">                                         $</w:t>
            </w:r>
            <w:proofErr w:type="gramStart"/>
            <w:r w:rsidRPr="00357A9E">
              <w:rPr>
                <w:rFonts w:ascii="Times New Roman" w:hAnsi="Times New Roman"/>
                <w:bCs/>
                <w:sz w:val="24"/>
                <w:szCs w:val="24"/>
              </w:rPr>
              <w:t>197,775,000  (</w:t>
            </w:r>
            <w:proofErr w:type="gramEnd"/>
            <w:r w:rsidRPr="00357A9E">
              <w:rPr>
                <w:rFonts w:ascii="Times New Roman" w:hAnsi="Times New Roman"/>
                <w:bCs/>
                <w:sz w:val="24"/>
                <w:szCs w:val="24"/>
              </w:rPr>
              <w:t>estimated)</w:t>
            </w:r>
          </w:p>
          <w:p w14:paraId="73FEC8E1" w14:textId="597DC6F6" w:rsidR="00DF565E" w:rsidRPr="00910CA6" w:rsidRDefault="00DF565E" w:rsidP="00910CA6">
            <w:pPr>
              <w:pStyle w:val="NoSpacing"/>
              <w:rPr>
                <w:rFonts w:ascii="Times New Roman" w:hAnsi="Times New Roman"/>
                <w:bCs/>
                <w:sz w:val="24"/>
                <w:szCs w:val="24"/>
              </w:rPr>
            </w:pPr>
            <w:r w:rsidRPr="00357A9E">
              <w:rPr>
                <w:rFonts w:ascii="Times New Roman" w:hAnsi="Times New Roman"/>
                <w:bCs/>
                <w:sz w:val="24"/>
                <w:szCs w:val="24"/>
              </w:rPr>
              <w:lastRenderedPageBreak/>
              <w:t xml:space="preserve">     2026            </w:t>
            </w:r>
            <w:r w:rsidRPr="00357A9E">
              <w:rPr>
                <w:rFonts w:ascii="Times New Roman" w:hAnsi="Times New Roman"/>
                <w:bCs/>
                <w:sz w:val="24"/>
                <w:szCs w:val="24"/>
              </w:rPr>
              <w:tab/>
              <w:t xml:space="preserve">                                         $</w:t>
            </w:r>
            <w:proofErr w:type="gramStart"/>
            <w:r w:rsidRPr="00357A9E">
              <w:rPr>
                <w:rFonts w:ascii="Times New Roman" w:hAnsi="Times New Roman"/>
                <w:bCs/>
                <w:sz w:val="24"/>
                <w:szCs w:val="24"/>
              </w:rPr>
              <w:t>215,832,000  (</w:t>
            </w:r>
            <w:proofErr w:type="gramEnd"/>
            <w:r w:rsidRPr="00357A9E">
              <w:rPr>
                <w:rFonts w:ascii="Times New Roman" w:hAnsi="Times New Roman"/>
                <w:bCs/>
                <w:sz w:val="24"/>
                <w:szCs w:val="24"/>
              </w:rPr>
              <w:t>estimated)</w:t>
            </w:r>
          </w:p>
          <w:p w14:paraId="14949295" w14:textId="4946B949" w:rsidR="00910CA6" w:rsidRDefault="00910CA6" w:rsidP="00C738A8">
            <w:pPr>
              <w:spacing w:after="0" w:line="240" w:lineRule="auto"/>
              <w:rPr>
                <w:rFonts w:ascii="Times New Roman" w:hAnsi="Times New Roman"/>
                <w:sz w:val="24"/>
                <w:szCs w:val="24"/>
              </w:rPr>
            </w:pPr>
          </w:p>
          <w:p w14:paraId="393F1144" w14:textId="77777777" w:rsidR="00910CA6" w:rsidRPr="00271578" w:rsidRDefault="00910CA6" w:rsidP="00C738A8">
            <w:pPr>
              <w:spacing w:after="0" w:line="240" w:lineRule="auto"/>
              <w:rPr>
                <w:rFonts w:ascii="Times New Roman" w:hAnsi="Times New Roman"/>
                <w:sz w:val="24"/>
                <w:szCs w:val="24"/>
              </w:rPr>
            </w:pPr>
          </w:p>
          <w:p w14:paraId="106D55E7" w14:textId="77777777" w:rsidR="00DF565E" w:rsidRPr="00357A9E" w:rsidRDefault="00DF565E" w:rsidP="00C738A8">
            <w:pPr>
              <w:pStyle w:val="NoSpacing"/>
              <w:rPr>
                <w:rFonts w:ascii="Times New Roman" w:hAnsi="Times New Roman"/>
                <w:sz w:val="24"/>
                <w:szCs w:val="24"/>
                <w:u w:val="single"/>
              </w:rPr>
            </w:pPr>
            <w:r w:rsidRPr="00357A9E">
              <w:rPr>
                <w:rFonts w:ascii="Times New Roman" w:hAnsi="Times New Roman"/>
                <w:sz w:val="24"/>
                <w:szCs w:val="24"/>
                <w:u w:val="single"/>
              </w:rPr>
              <w:t>Renewal Terms:                                                $</w:t>
            </w:r>
            <w:proofErr w:type="gramStart"/>
            <w:r w:rsidRPr="00357A9E">
              <w:rPr>
                <w:rFonts w:ascii="Times New Roman" w:hAnsi="Times New Roman"/>
                <w:sz w:val="24"/>
                <w:szCs w:val="24"/>
                <w:u w:val="single"/>
              </w:rPr>
              <w:t>1,783,178,000  (</w:t>
            </w:r>
            <w:proofErr w:type="gramEnd"/>
            <w:r w:rsidRPr="00357A9E">
              <w:rPr>
                <w:rFonts w:ascii="Times New Roman" w:hAnsi="Times New Roman"/>
                <w:sz w:val="24"/>
                <w:szCs w:val="24"/>
                <w:u w:val="single"/>
              </w:rPr>
              <w:t>estimated)</w:t>
            </w:r>
          </w:p>
          <w:p w14:paraId="4D8543A0" w14:textId="77777777" w:rsidR="00DF565E" w:rsidRPr="00357A9E" w:rsidRDefault="00DF565E" w:rsidP="00C738A8">
            <w:pPr>
              <w:pStyle w:val="NoSpacing"/>
              <w:ind w:left="660" w:hanging="1050"/>
              <w:rPr>
                <w:rFonts w:ascii="Times New Roman" w:hAnsi="Times New Roman"/>
                <w:sz w:val="24"/>
                <w:szCs w:val="24"/>
              </w:rPr>
            </w:pPr>
            <w:r w:rsidRPr="00357A9E">
              <w:rPr>
                <w:rFonts w:ascii="Times New Roman" w:hAnsi="Times New Roman"/>
                <w:sz w:val="24"/>
                <w:szCs w:val="24"/>
              </w:rPr>
              <w:t>20   2027-2028                                                           $</w:t>
            </w:r>
            <w:proofErr w:type="gramStart"/>
            <w:r w:rsidRPr="00357A9E">
              <w:rPr>
                <w:rFonts w:ascii="Times New Roman" w:hAnsi="Times New Roman"/>
                <w:sz w:val="24"/>
                <w:szCs w:val="24"/>
              </w:rPr>
              <w:t>492,879,000  (</w:t>
            </w:r>
            <w:proofErr w:type="gramEnd"/>
            <w:r w:rsidRPr="00357A9E">
              <w:rPr>
                <w:rFonts w:ascii="Times New Roman" w:hAnsi="Times New Roman"/>
                <w:sz w:val="24"/>
                <w:szCs w:val="24"/>
              </w:rPr>
              <w:t>estimated)</w:t>
            </w:r>
          </w:p>
          <w:p w14:paraId="0C80409F" w14:textId="77777777" w:rsidR="00DF565E" w:rsidRPr="00357A9E" w:rsidRDefault="00DF565E" w:rsidP="00C738A8">
            <w:pPr>
              <w:pStyle w:val="NoSpacing"/>
              <w:ind w:left="30" w:hanging="420"/>
              <w:rPr>
                <w:rFonts w:ascii="Times New Roman" w:hAnsi="Times New Roman"/>
                <w:sz w:val="24"/>
                <w:szCs w:val="24"/>
              </w:rPr>
            </w:pPr>
            <w:r w:rsidRPr="00357A9E">
              <w:rPr>
                <w:rFonts w:ascii="Times New Roman" w:hAnsi="Times New Roman"/>
                <w:sz w:val="24"/>
                <w:szCs w:val="24"/>
              </w:rPr>
              <w:tab/>
              <w:t xml:space="preserve">2029-2030   </w:t>
            </w:r>
            <w:r w:rsidRPr="00357A9E">
              <w:rPr>
                <w:rFonts w:ascii="Times New Roman" w:hAnsi="Times New Roman"/>
                <w:sz w:val="24"/>
                <w:szCs w:val="24"/>
              </w:rPr>
              <w:tab/>
              <w:t xml:space="preserve">                                                     $</w:t>
            </w:r>
            <w:proofErr w:type="gramStart"/>
            <w:r w:rsidRPr="00357A9E">
              <w:rPr>
                <w:rFonts w:ascii="Times New Roman" w:hAnsi="Times New Roman"/>
                <w:sz w:val="24"/>
                <w:szCs w:val="24"/>
              </w:rPr>
              <w:t>588,018,000  (</w:t>
            </w:r>
            <w:proofErr w:type="gramEnd"/>
            <w:r w:rsidRPr="00357A9E">
              <w:rPr>
                <w:rFonts w:ascii="Times New Roman" w:hAnsi="Times New Roman"/>
                <w:sz w:val="24"/>
                <w:szCs w:val="24"/>
              </w:rPr>
              <w:t>estimated)</w:t>
            </w:r>
          </w:p>
          <w:p w14:paraId="6CFA9505" w14:textId="1032D3FB" w:rsidR="00910CA6" w:rsidRPr="00910CA6" w:rsidRDefault="00DF565E" w:rsidP="00910CA6">
            <w:pPr>
              <w:pStyle w:val="NoSpacing"/>
              <w:ind w:left="30" w:hanging="420"/>
              <w:rPr>
                <w:rFonts w:ascii="Times New Roman" w:hAnsi="Times New Roman"/>
                <w:sz w:val="24"/>
                <w:szCs w:val="24"/>
              </w:rPr>
            </w:pPr>
            <w:r w:rsidRPr="00357A9E">
              <w:rPr>
                <w:rFonts w:ascii="Times New Roman" w:hAnsi="Times New Roman"/>
                <w:sz w:val="24"/>
                <w:szCs w:val="24"/>
              </w:rPr>
              <w:tab/>
              <w:t>2031-2032</w:t>
            </w:r>
            <w:r w:rsidRPr="00357A9E">
              <w:rPr>
                <w:rFonts w:ascii="Times New Roman" w:hAnsi="Times New Roman"/>
                <w:sz w:val="24"/>
                <w:szCs w:val="24"/>
              </w:rPr>
              <w:tab/>
              <w:t xml:space="preserve">                                                     $</w:t>
            </w:r>
            <w:proofErr w:type="gramStart"/>
            <w:r w:rsidRPr="00357A9E">
              <w:rPr>
                <w:rFonts w:ascii="Times New Roman" w:hAnsi="Times New Roman"/>
                <w:sz w:val="24"/>
                <w:szCs w:val="24"/>
              </w:rPr>
              <w:t>702,281,000  (</w:t>
            </w:r>
            <w:proofErr w:type="gramEnd"/>
            <w:r w:rsidRPr="00357A9E">
              <w:rPr>
                <w:rFonts w:ascii="Times New Roman" w:hAnsi="Times New Roman"/>
                <w:sz w:val="24"/>
                <w:szCs w:val="24"/>
              </w:rPr>
              <w:t>estimated)</w:t>
            </w:r>
          </w:p>
        </w:tc>
      </w:tr>
      <w:tr w:rsidR="00DF565E" w:rsidRPr="00C77C31" w14:paraId="1985D3AC" w14:textId="77777777" w:rsidTr="00F23BAF">
        <w:trPr>
          <w:trHeight w:val="1089"/>
        </w:trPr>
        <w:tc>
          <w:tcPr>
            <w:tcW w:w="342" w:type="dxa"/>
          </w:tcPr>
          <w:p w14:paraId="35E4A7A3" w14:textId="77777777" w:rsidR="00DF565E" w:rsidRPr="00C77C31" w:rsidRDefault="00DF565E" w:rsidP="00C738A8">
            <w:pPr>
              <w:pStyle w:val="NoSpacing"/>
              <w:rPr>
                <w:rFonts w:ascii="Times New Roman" w:hAnsi="Times New Roman"/>
                <w:sz w:val="26"/>
                <w:szCs w:val="26"/>
              </w:rPr>
            </w:pPr>
          </w:p>
        </w:tc>
        <w:tc>
          <w:tcPr>
            <w:tcW w:w="990" w:type="dxa"/>
            <w:shd w:val="clear" w:color="auto" w:fill="auto"/>
          </w:tcPr>
          <w:p w14:paraId="1FFFD702" w14:textId="77777777" w:rsidR="00DF565E" w:rsidRPr="00C77C31" w:rsidRDefault="00DF565E" w:rsidP="00C738A8">
            <w:pPr>
              <w:pStyle w:val="NoSpacing"/>
              <w:rPr>
                <w:rFonts w:ascii="Times New Roman" w:hAnsi="Times New Roman"/>
                <w:sz w:val="26"/>
                <w:szCs w:val="26"/>
              </w:rPr>
            </w:pPr>
          </w:p>
          <w:p w14:paraId="34E82372"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48A49D56" w14:textId="77777777" w:rsidR="00DF565E" w:rsidRPr="00C77C31" w:rsidRDefault="00DF565E" w:rsidP="00C738A8">
            <w:pPr>
              <w:pStyle w:val="NoSpacing"/>
              <w:rPr>
                <w:rFonts w:ascii="Times New Roman" w:hAnsi="Times New Roman"/>
                <w:sz w:val="26"/>
                <w:szCs w:val="26"/>
              </w:rPr>
            </w:pPr>
          </w:p>
          <w:p w14:paraId="7A9CD9EB" w14:textId="43863F2F" w:rsidR="00DF565E" w:rsidRDefault="00DF565E" w:rsidP="00C738A8">
            <w:pPr>
              <w:pStyle w:val="NoSpacing"/>
              <w:jc w:val="both"/>
              <w:rPr>
                <w:rFonts w:ascii="Times New Roman" w:hAnsi="Times New Roman"/>
                <w:sz w:val="26"/>
                <w:szCs w:val="26"/>
              </w:rPr>
            </w:pPr>
            <w:r>
              <w:rPr>
                <w:rFonts w:ascii="Times New Roman" w:hAnsi="Times New Roman"/>
                <w:bCs/>
                <w:sz w:val="26"/>
                <w:szCs w:val="26"/>
              </w:rPr>
              <w:t>McKesson Corporation</w:t>
            </w:r>
            <w:r w:rsidRPr="00E42C5B">
              <w:rPr>
                <w:rFonts w:ascii="Times New Roman" w:hAnsi="Times New Roman"/>
                <w:bCs/>
                <w:sz w:val="26"/>
                <w:szCs w:val="26"/>
              </w:rPr>
              <w:t xml:space="preserve">                            </w:t>
            </w:r>
            <w:r>
              <w:rPr>
                <w:rFonts w:ascii="Times New Roman" w:hAnsi="Times New Roman"/>
                <w:bCs/>
                <w:sz w:val="26"/>
                <w:szCs w:val="26"/>
              </w:rPr>
              <w:t xml:space="preserve">                                    Irving, Texas</w:t>
            </w:r>
          </w:p>
          <w:p w14:paraId="6E60FAE3" w14:textId="77777777" w:rsidR="00DF565E" w:rsidRPr="00C77C31" w:rsidRDefault="00DF565E" w:rsidP="00C738A8">
            <w:pPr>
              <w:pStyle w:val="NoSpacing"/>
              <w:jc w:val="both"/>
              <w:rPr>
                <w:rFonts w:ascii="Times New Roman" w:hAnsi="Times New Roman"/>
                <w:sz w:val="26"/>
                <w:szCs w:val="26"/>
              </w:rPr>
            </w:pPr>
            <w:r w:rsidRPr="00C77C31">
              <w:rPr>
                <w:rFonts w:ascii="Times New Roman" w:hAnsi="Times New Roman"/>
                <w:sz w:val="26"/>
                <w:szCs w:val="26"/>
              </w:rPr>
              <w:t xml:space="preserve"> </w:t>
            </w:r>
          </w:p>
        </w:tc>
      </w:tr>
    </w:tbl>
    <w:p w14:paraId="5B462FDD" w14:textId="76BD9BB4" w:rsidR="004F43B7" w:rsidRDefault="004F43B7" w:rsidP="00F23BAF">
      <w:pPr>
        <w:ind w:left="1440"/>
        <w:rPr>
          <w:rFonts w:ascii="Times New Roman" w:eastAsia="Times New Roman" w:hAnsi="Times New Roman"/>
          <w:b/>
          <w:color w:val="000000"/>
          <w:sz w:val="26"/>
          <w:szCs w:val="26"/>
        </w:rPr>
      </w:pPr>
      <w:r w:rsidRPr="00242425">
        <w:rPr>
          <w:rFonts w:ascii="Times New Roman" w:hAnsi="Times New Roman"/>
          <w:sz w:val="26"/>
          <w:szCs w:val="26"/>
        </w:rPr>
        <w:t xml:space="preserve">The </w:t>
      </w:r>
      <w:r>
        <w:rPr>
          <w:rFonts w:ascii="Times New Roman" w:hAnsi="Times New Roman"/>
          <w:sz w:val="26"/>
          <w:szCs w:val="26"/>
        </w:rPr>
        <w:t>UI Hospital Pharmacy provides</w:t>
      </w:r>
      <w:r w:rsidRPr="00242425">
        <w:rPr>
          <w:rFonts w:ascii="Times New Roman" w:hAnsi="Times New Roman"/>
          <w:sz w:val="26"/>
          <w:szCs w:val="26"/>
        </w:rPr>
        <w:t xml:space="preserve"> the pharmaceutical products utilized</w:t>
      </w:r>
      <w:r>
        <w:rPr>
          <w:rFonts w:ascii="Times New Roman" w:hAnsi="Times New Roman"/>
          <w:sz w:val="26"/>
          <w:szCs w:val="26"/>
        </w:rPr>
        <w:t xml:space="preserve"> by</w:t>
      </w:r>
      <w:r w:rsidRPr="00242425">
        <w:rPr>
          <w:rFonts w:ascii="Times New Roman" w:hAnsi="Times New Roman"/>
          <w:sz w:val="26"/>
          <w:szCs w:val="26"/>
        </w:rPr>
        <w:t xml:space="preserve"> and administered to patients receiving care in the </w:t>
      </w:r>
      <w:r>
        <w:rPr>
          <w:rFonts w:ascii="Times New Roman" w:hAnsi="Times New Roman"/>
          <w:sz w:val="26"/>
          <w:szCs w:val="26"/>
        </w:rPr>
        <w:t xml:space="preserve">Hospital, </w:t>
      </w:r>
      <w:r w:rsidRPr="00242425">
        <w:rPr>
          <w:rFonts w:ascii="Times New Roman" w:hAnsi="Times New Roman"/>
          <w:sz w:val="26"/>
          <w:szCs w:val="26"/>
        </w:rPr>
        <w:t xml:space="preserve">UI Health Outpatient Clinics, and </w:t>
      </w:r>
      <w:r>
        <w:rPr>
          <w:rFonts w:ascii="Times New Roman" w:hAnsi="Times New Roman"/>
          <w:sz w:val="26"/>
          <w:szCs w:val="26"/>
        </w:rPr>
        <w:t>Mile Square Health Center</w:t>
      </w:r>
      <w:r w:rsidRPr="00242425">
        <w:rPr>
          <w:rFonts w:ascii="Times New Roman" w:hAnsi="Times New Roman"/>
          <w:sz w:val="26"/>
          <w:szCs w:val="26"/>
        </w:rPr>
        <w:t>.   In addition, Ambulatory Care Pharmacies dispense prescriptions/medication orders to patients, students</w:t>
      </w:r>
      <w:r w:rsidR="00F23BAF">
        <w:rPr>
          <w:rFonts w:ascii="Times New Roman" w:hAnsi="Times New Roman"/>
          <w:sz w:val="26"/>
          <w:szCs w:val="26"/>
        </w:rPr>
        <w:t>,</w:t>
      </w:r>
      <w:r w:rsidRPr="00242425">
        <w:rPr>
          <w:rFonts w:ascii="Times New Roman" w:hAnsi="Times New Roman"/>
          <w:sz w:val="26"/>
          <w:szCs w:val="26"/>
        </w:rPr>
        <w:t xml:space="preserve"> and employees of the University of Illinois.  The University of Illinois Hospital participates in the </w:t>
      </w:r>
      <w:r>
        <w:rPr>
          <w:rFonts w:ascii="Times New Roman" w:hAnsi="Times New Roman"/>
          <w:sz w:val="26"/>
          <w:szCs w:val="26"/>
        </w:rPr>
        <w:t xml:space="preserve">federal </w:t>
      </w:r>
      <w:r w:rsidRPr="00242425">
        <w:rPr>
          <w:rFonts w:ascii="Times New Roman" w:hAnsi="Times New Roman"/>
          <w:sz w:val="26"/>
          <w:szCs w:val="26"/>
        </w:rPr>
        <w:t>340B drug discount program as a Disproportionate Share Hospital (DSH), and Mile Square Health Center participates in the program as a Federally Qualify Health Center (FQHC)</w:t>
      </w:r>
      <w:r>
        <w:rPr>
          <w:rFonts w:ascii="Times New Roman" w:hAnsi="Times New Roman"/>
          <w:sz w:val="26"/>
          <w:szCs w:val="26"/>
        </w:rPr>
        <w:t>.</w:t>
      </w:r>
    </w:p>
    <w:p w14:paraId="2EA71BD6" w14:textId="630B43B9" w:rsidR="004F43B7" w:rsidRDefault="00F23BAF" w:rsidP="00F23BAF">
      <w:pPr>
        <w:ind w:left="1440"/>
        <w:rPr>
          <w:rFonts w:ascii="Times New Roman" w:hAnsi="Times New Roman"/>
          <w:sz w:val="26"/>
          <w:szCs w:val="26"/>
        </w:rPr>
      </w:pPr>
      <w:r>
        <w:rPr>
          <w:rFonts w:ascii="Times New Roman" w:hAnsi="Times New Roman"/>
          <w:sz w:val="26"/>
          <w:szCs w:val="26"/>
        </w:rPr>
        <w:t>To</w:t>
      </w:r>
      <w:r w:rsidR="004F43B7">
        <w:rPr>
          <w:rFonts w:ascii="Times New Roman" w:hAnsi="Times New Roman"/>
          <w:sz w:val="26"/>
          <w:szCs w:val="26"/>
        </w:rPr>
        <w:t xml:space="preserve"> meet these responsibilities, the</w:t>
      </w:r>
      <w:r w:rsidR="004F43B7" w:rsidRPr="00242425">
        <w:rPr>
          <w:rFonts w:ascii="Times New Roman" w:hAnsi="Times New Roman"/>
          <w:sz w:val="26"/>
          <w:szCs w:val="26"/>
        </w:rPr>
        <w:t xml:space="preserve"> Hospital</w:t>
      </w:r>
      <w:r w:rsidR="004F43B7">
        <w:rPr>
          <w:rFonts w:ascii="Times New Roman" w:hAnsi="Times New Roman"/>
          <w:sz w:val="26"/>
          <w:szCs w:val="26"/>
        </w:rPr>
        <w:t xml:space="preserve"> and College of Pharmacy</w:t>
      </w:r>
      <w:r w:rsidR="004F43B7" w:rsidRPr="00242425">
        <w:rPr>
          <w:rFonts w:ascii="Times New Roman" w:hAnsi="Times New Roman"/>
          <w:sz w:val="26"/>
          <w:szCs w:val="26"/>
        </w:rPr>
        <w:t xml:space="preserve"> </w:t>
      </w:r>
      <w:r w:rsidR="004F43B7">
        <w:rPr>
          <w:rFonts w:ascii="Times New Roman" w:hAnsi="Times New Roman"/>
          <w:sz w:val="26"/>
          <w:szCs w:val="26"/>
        </w:rPr>
        <w:t xml:space="preserve">purchase pharmaceuticals through a </w:t>
      </w:r>
      <w:r w:rsidR="004F43B7" w:rsidRPr="00242425">
        <w:rPr>
          <w:rFonts w:ascii="Times New Roman" w:hAnsi="Times New Roman"/>
          <w:sz w:val="26"/>
          <w:szCs w:val="26"/>
        </w:rPr>
        <w:t xml:space="preserve">qualified pharmaceutical wholesale distributor </w:t>
      </w:r>
      <w:r w:rsidR="004F43B7">
        <w:rPr>
          <w:rFonts w:ascii="Times New Roman" w:hAnsi="Times New Roman"/>
          <w:sz w:val="26"/>
          <w:szCs w:val="26"/>
        </w:rPr>
        <w:t>that</w:t>
      </w:r>
      <w:r w:rsidR="004F43B7" w:rsidRPr="00242425">
        <w:rPr>
          <w:rFonts w:ascii="Times New Roman" w:hAnsi="Times New Roman"/>
          <w:sz w:val="26"/>
          <w:szCs w:val="26"/>
        </w:rPr>
        <w:t xml:space="preserve"> can extend various pricing options for pharmaceutical products in appropriate quantities, such as Wholesale Acquisition Cost (WAC), Group Purchasing Organization (GPO)</w:t>
      </w:r>
      <w:r w:rsidR="00E6061D">
        <w:rPr>
          <w:rFonts w:ascii="Times New Roman" w:hAnsi="Times New Roman"/>
          <w:sz w:val="26"/>
          <w:szCs w:val="26"/>
        </w:rPr>
        <w:t>,</w:t>
      </w:r>
      <w:r w:rsidR="004F43B7" w:rsidRPr="00242425">
        <w:rPr>
          <w:rFonts w:ascii="Times New Roman" w:hAnsi="Times New Roman"/>
          <w:sz w:val="26"/>
          <w:szCs w:val="26"/>
        </w:rPr>
        <w:t xml:space="preserve"> and 340B</w:t>
      </w:r>
      <w:r w:rsidR="004F43B7">
        <w:rPr>
          <w:rFonts w:ascii="Times New Roman" w:hAnsi="Times New Roman"/>
          <w:sz w:val="26"/>
          <w:szCs w:val="26"/>
        </w:rPr>
        <w:t xml:space="preserve"> </w:t>
      </w:r>
      <w:r w:rsidR="004F43B7" w:rsidRPr="00242425">
        <w:rPr>
          <w:rFonts w:ascii="Times New Roman" w:hAnsi="Times New Roman"/>
          <w:sz w:val="26"/>
          <w:szCs w:val="26"/>
        </w:rPr>
        <w:t xml:space="preserve">(for 340B drugs, </w:t>
      </w:r>
      <w:r w:rsidR="004F43B7">
        <w:rPr>
          <w:rFonts w:ascii="Times New Roman" w:hAnsi="Times New Roman"/>
          <w:sz w:val="26"/>
          <w:szCs w:val="26"/>
        </w:rPr>
        <w:t>the wholesaler</w:t>
      </w:r>
      <w:r w:rsidR="004F43B7" w:rsidRPr="00242425">
        <w:rPr>
          <w:rFonts w:ascii="Times New Roman" w:hAnsi="Times New Roman"/>
          <w:sz w:val="26"/>
          <w:szCs w:val="26"/>
        </w:rPr>
        <w:t xml:space="preserve"> must participate in the </w:t>
      </w:r>
      <w:r w:rsidR="004F43B7">
        <w:rPr>
          <w:rFonts w:ascii="Times New Roman" w:hAnsi="Times New Roman"/>
          <w:sz w:val="26"/>
          <w:szCs w:val="26"/>
        </w:rPr>
        <w:t xml:space="preserve">Federal </w:t>
      </w:r>
      <w:r w:rsidR="004F43B7" w:rsidRPr="00242425">
        <w:rPr>
          <w:rFonts w:ascii="Times New Roman" w:hAnsi="Times New Roman"/>
          <w:sz w:val="26"/>
          <w:szCs w:val="26"/>
        </w:rPr>
        <w:t>340B Prime Vendor Program)</w:t>
      </w:r>
      <w:r w:rsidR="004F43B7">
        <w:rPr>
          <w:rFonts w:ascii="Times New Roman" w:hAnsi="Times New Roman"/>
          <w:sz w:val="26"/>
          <w:szCs w:val="26"/>
        </w:rPr>
        <w:t>.</w:t>
      </w:r>
    </w:p>
    <w:p w14:paraId="5BE39F75" w14:textId="753E4201" w:rsidR="004F43B7" w:rsidRDefault="004F43B7" w:rsidP="00F23BAF">
      <w:pPr>
        <w:ind w:left="1440"/>
        <w:rPr>
          <w:rFonts w:ascii="Times New Roman" w:hAnsi="Times New Roman"/>
          <w:sz w:val="26"/>
          <w:szCs w:val="26"/>
        </w:rPr>
      </w:pPr>
      <w:r>
        <w:rPr>
          <w:rFonts w:ascii="Times New Roman" w:hAnsi="Times New Roman"/>
          <w:sz w:val="26"/>
          <w:szCs w:val="26"/>
        </w:rPr>
        <w:t xml:space="preserve">McKesson Corporation was selected through a competitive request for </w:t>
      </w:r>
      <w:r w:rsidR="00E6061D">
        <w:rPr>
          <w:rFonts w:ascii="Times New Roman" w:hAnsi="Times New Roman"/>
          <w:sz w:val="26"/>
          <w:szCs w:val="26"/>
        </w:rPr>
        <w:t xml:space="preserve">the </w:t>
      </w:r>
      <w:r>
        <w:rPr>
          <w:rFonts w:ascii="Times New Roman" w:hAnsi="Times New Roman"/>
          <w:sz w:val="26"/>
          <w:szCs w:val="26"/>
        </w:rPr>
        <w:t xml:space="preserve">proposal bidding process, receiving the highest number of evaluation points among the </w:t>
      </w:r>
      <w:r w:rsidR="00E6061D">
        <w:rPr>
          <w:rFonts w:ascii="Times New Roman" w:hAnsi="Times New Roman"/>
          <w:sz w:val="26"/>
          <w:szCs w:val="26"/>
        </w:rPr>
        <w:t>two</w:t>
      </w:r>
      <w:r>
        <w:rPr>
          <w:rFonts w:ascii="Times New Roman" w:hAnsi="Times New Roman"/>
          <w:sz w:val="26"/>
          <w:szCs w:val="26"/>
        </w:rPr>
        <w:t xml:space="preserve"> responsive proposals.  A third proposal was determined to be not responsive.  McKesson has provided these services for the Hospital since 2016.</w:t>
      </w:r>
    </w:p>
    <w:p w14:paraId="4669269E" w14:textId="77777777" w:rsidR="004F43B7" w:rsidRDefault="004F43B7" w:rsidP="004F43B7">
      <w:pPr>
        <w:spacing w:after="0" w:line="240" w:lineRule="auto"/>
        <w:ind w:left="1440"/>
        <w:rPr>
          <w:rFonts w:ascii="Times New Roman" w:eastAsia="Times New Roman" w:hAnsi="Times New Roman"/>
          <w:sz w:val="26"/>
          <w:szCs w:val="26"/>
        </w:rPr>
      </w:pPr>
      <w:r w:rsidRPr="00935B98">
        <w:rPr>
          <w:rFonts w:ascii="Times New Roman" w:eastAsia="Times New Roman" w:hAnsi="Times New Roman"/>
          <w:sz w:val="26"/>
          <w:szCs w:val="26"/>
        </w:rPr>
        <w:t>Competitive selection procedures were followed in accordance with the Illinois Procurement Code (30ILCS 500/20-15).</w:t>
      </w:r>
    </w:p>
    <w:p w14:paraId="4AFB5071" w14:textId="77777777" w:rsidR="004F43B7" w:rsidRDefault="004F43B7" w:rsidP="004F43B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2649DF1C" w14:textId="77777777" w:rsidR="004F43B7" w:rsidRPr="00935B98" w:rsidRDefault="004F43B7" w:rsidP="004F43B7">
      <w:pPr>
        <w:spacing w:after="0" w:line="240" w:lineRule="auto"/>
        <w:ind w:left="7200" w:hanging="5760"/>
        <w:rPr>
          <w:rFonts w:ascii="Times New Roman" w:hAnsi="Times New Roman"/>
          <w:sz w:val="26"/>
          <w:szCs w:val="26"/>
          <w:u w:val="single"/>
          <w:lang w:bidi="en-US"/>
        </w:rPr>
      </w:pPr>
      <w:r>
        <w:rPr>
          <w:rFonts w:ascii="Times New Roman" w:hAnsi="Times New Roman"/>
          <w:sz w:val="26"/>
          <w:szCs w:val="26"/>
          <w:u w:val="single"/>
          <w:lang w:bidi="en-US"/>
        </w:rPr>
        <w:t xml:space="preserve">Responsive </w:t>
      </w:r>
      <w:r w:rsidRPr="00935B98">
        <w:rPr>
          <w:rFonts w:ascii="Times New Roman" w:hAnsi="Times New Roman"/>
          <w:sz w:val="26"/>
          <w:szCs w:val="26"/>
          <w:u w:val="single"/>
          <w:lang w:bidi="en-US"/>
        </w:rPr>
        <w:t>Proposals Received</w:t>
      </w:r>
      <w:r>
        <w:rPr>
          <w:rFonts w:ascii="Times New Roman" w:hAnsi="Times New Roman"/>
          <w:sz w:val="26"/>
          <w:szCs w:val="26"/>
          <w:lang w:bidi="en-US"/>
        </w:rPr>
        <w:t xml:space="preserve">        </w:t>
      </w:r>
      <w:r w:rsidRPr="00935B98">
        <w:rPr>
          <w:rFonts w:ascii="Times New Roman" w:hAnsi="Times New Roman"/>
          <w:sz w:val="26"/>
          <w:szCs w:val="26"/>
          <w:u w:val="single"/>
          <w:lang w:bidi="en-US"/>
        </w:rPr>
        <w:t>Point Summary</w:t>
      </w:r>
      <w:r>
        <w:rPr>
          <w:rFonts w:ascii="Times New Roman" w:hAnsi="Times New Roman"/>
          <w:sz w:val="26"/>
          <w:szCs w:val="26"/>
          <w:u w:val="single"/>
          <w:lang w:bidi="en-US"/>
        </w:rPr>
        <w:t xml:space="preserve"> (M</w:t>
      </w:r>
      <w:r w:rsidRPr="00935B98">
        <w:rPr>
          <w:rFonts w:ascii="Times New Roman" w:hAnsi="Times New Roman"/>
          <w:sz w:val="26"/>
          <w:szCs w:val="26"/>
          <w:u w:val="single"/>
          <w:lang w:bidi="en-US"/>
        </w:rPr>
        <w:t xml:space="preserve">aximum </w:t>
      </w:r>
      <w:r w:rsidRPr="00FE35B6">
        <w:rPr>
          <w:rFonts w:ascii="Times New Roman" w:hAnsi="Times New Roman"/>
          <w:sz w:val="26"/>
          <w:szCs w:val="26"/>
          <w:u w:val="single"/>
          <w:lang w:bidi="en-US"/>
        </w:rPr>
        <w:t>Score 130)</w:t>
      </w:r>
    </w:p>
    <w:p w14:paraId="7B0109C3" w14:textId="77777777" w:rsidR="004F43B7" w:rsidRDefault="004F43B7" w:rsidP="004F43B7">
      <w:pPr>
        <w:spacing w:after="0" w:line="240" w:lineRule="auto"/>
        <w:jc w:val="both"/>
        <w:rPr>
          <w:rFonts w:ascii="Times New Roman" w:hAnsi="Times New Roman"/>
          <w:sz w:val="26"/>
          <w:szCs w:val="26"/>
          <w:lang w:bidi="en-US"/>
        </w:rPr>
      </w:pPr>
    </w:p>
    <w:p w14:paraId="71E080D0" w14:textId="77777777" w:rsidR="004F43B7" w:rsidRPr="00131189" w:rsidRDefault="004F43B7" w:rsidP="004F43B7">
      <w:pPr>
        <w:spacing w:after="0" w:line="240" w:lineRule="auto"/>
        <w:ind w:left="720" w:firstLine="720"/>
        <w:jc w:val="both"/>
        <w:rPr>
          <w:rFonts w:ascii="Times New Roman" w:hAnsi="Times New Roman"/>
          <w:sz w:val="26"/>
          <w:szCs w:val="26"/>
          <w:lang w:bidi="en-US"/>
        </w:rPr>
      </w:pPr>
      <w:r>
        <w:rPr>
          <w:rFonts w:ascii="Times New Roman" w:hAnsi="Times New Roman"/>
          <w:sz w:val="26"/>
          <w:szCs w:val="26"/>
          <w:lang w:bidi="en-US"/>
        </w:rPr>
        <w:t>McKesson Corporation</w:t>
      </w:r>
      <w:r w:rsidRPr="00935B98">
        <w:rPr>
          <w:rFonts w:ascii="Times New Roman" w:hAnsi="Times New Roman"/>
          <w:sz w:val="26"/>
          <w:szCs w:val="26"/>
          <w:lang w:bidi="en-US"/>
        </w:rPr>
        <w:tab/>
      </w:r>
      <w:r w:rsidRPr="00935B98">
        <w:rPr>
          <w:rFonts w:ascii="Times New Roman" w:hAnsi="Times New Roman"/>
          <w:sz w:val="26"/>
          <w:szCs w:val="26"/>
          <w:lang w:bidi="en-US"/>
        </w:rPr>
        <w:tab/>
      </w:r>
      <w:r>
        <w:rPr>
          <w:rFonts w:ascii="Times New Roman" w:hAnsi="Times New Roman"/>
          <w:sz w:val="26"/>
          <w:szCs w:val="26"/>
          <w:lang w:bidi="en-US"/>
        </w:rPr>
        <w:t xml:space="preserve">                </w:t>
      </w:r>
      <w:proofErr w:type="gramStart"/>
      <w:r>
        <w:rPr>
          <w:rFonts w:ascii="Times New Roman" w:hAnsi="Times New Roman"/>
          <w:sz w:val="26"/>
          <w:szCs w:val="26"/>
          <w:lang w:bidi="en-US"/>
        </w:rPr>
        <w:t>118</w:t>
      </w:r>
      <w:r w:rsidRPr="00131189">
        <w:rPr>
          <w:rFonts w:ascii="Times New Roman" w:hAnsi="Times New Roman"/>
          <w:sz w:val="26"/>
          <w:szCs w:val="26"/>
          <w:lang w:bidi="en-US"/>
        </w:rPr>
        <w:t xml:space="preserve">  points</w:t>
      </w:r>
      <w:proofErr w:type="gramEnd"/>
    </w:p>
    <w:p w14:paraId="4CBA98E2" w14:textId="77777777" w:rsidR="004F43B7" w:rsidRPr="00131189" w:rsidRDefault="004F43B7" w:rsidP="004F43B7">
      <w:pPr>
        <w:spacing w:after="0" w:line="240" w:lineRule="auto"/>
        <w:jc w:val="both"/>
        <w:rPr>
          <w:rFonts w:ascii="Times New Roman" w:hAnsi="Times New Roman"/>
          <w:sz w:val="26"/>
          <w:szCs w:val="26"/>
          <w:lang w:bidi="en-US"/>
        </w:rPr>
      </w:pPr>
    </w:p>
    <w:p w14:paraId="2D87F08B" w14:textId="77777777" w:rsidR="004F43B7" w:rsidRPr="00935B98" w:rsidRDefault="004F43B7" w:rsidP="004F43B7">
      <w:pPr>
        <w:spacing w:after="0" w:line="240" w:lineRule="auto"/>
        <w:jc w:val="both"/>
        <w:rPr>
          <w:rFonts w:ascii="Times New Roman" w:hAnsi="Times New Roman"/>
          <w:sz w:val="26"/>
          <w:szCs w:val="26"/>
          <w:lang w:bidi="en-US"/>
        </w:rPr>
      </w:pPr>
      <w:r w:rsidRPr="00131189">
        <w:rPr>
          <w:rFonts w:ascii="Times New Roman" w:hAnsi="Times New Roman"/>
          <w:sz w:val="26"/>
          <w:szCs w:val="26"/>
          <w:lang w:bidi="en-US"/>
        </w:rPr>
        <w:tab/>
      </w:r>
      <w:r w:rsidRPr="00131189">
        <w:rPr>
          <w:rFonts w:ascii="Times New Roman" w:hAnsi="Times New Roman"/>
          <w:sz w:val="26"/>
          <w:szCs w:val="26"/>
          <w:lang w:bidi="en-US"/>
        </w:rPr>
        <w:tab/>
        <w:t xml:space="preserve">Cardinal Health                                              </w:t>
      </w:r>
      <w:proofErr w:type="gramStart"/>
      <w:r>
        <w:rPr>
          <w:rFonts w:ascii="Times New Roman" w:hAnsi="Times New Roman"/>
          <w:sz w:val="26"/>
          <w:szCs w:val="26"/>
          <w:lang w:bidi="en-US"/>
        </w:rPr>
        <w:t xml:space="preserve">111 </w:t>
      </w:r>
      <w:r w:rsidRPr="00131189">
        <w:rPr>
          <w:rFonts w:ascii="Times New Roman" w:hAnsi="Times New Roman"/>
          <w:sz w:val="26"/>
          <w:szCs w:val="26"/>
          <w:lang w:bidi="en-US"/>
        </w:rPr>
        <w:t xml:space="preserve"> p</w:t>
      </w:r>
      <w:r>
        <w:rPr>
          <w:rFonts w:ascii="Times New Roman" w:hAnsi="Times New Roman"/>
          <w:sz w:val="26"/>
          <w:szCs w:val="26"/>
          <w:lang w:bidi="en-US"/>
        </w:rPr>
        <w:t>oints</w:t>
      </w:r>
      <w:proofErr w:type="gramEnd"/>
    </w:p>
    <w:p w14:paraId="5323C130" w14:textId="77777777" w:rsidR="004F43B7" w:rsidRDefault="004F43B7" w:rsidP="004F43B7">
      <w:pPr>
        <w:spacing w:after="0" w:line="240" w:lineRule="auto"/>
        <w:jc w:val="both"/>
        <w:rPr>
          <w:rFonts w:ascii="Times New Roman" w:hAnsi="Times New Roman"/>
          <w:sz w:val="26"/>
          <w:szCs w:val="26"/>
          <w:lang w:bidi="en-US"/>
        </w:rPr>
      </w:pPr>
    </w:p>
    <w:p w14:paraId="243663D1" w14:textId="77777777" w:rsidR="00910CA6" w:rsidRDefault="004F43B7" w:rsidP="004F43B7">
      <w:pPr>
        <w:spacing w:after="0" w:line="240" w:lineRule="auto"/>
        <w:ind w:left="1440"/>
        <w:rPr>
          <w:rFonts w:ascii="Times New Roman" w:eastAsia="Times New Roman" w:hAnsi="Times New Roman"/>
          <w:sz w:val="26"/>
          <w:szCs w:val="26"/>
        </w:rPr>
      </w:pPr>
      <w:r w:rsidRPr="00935B98">
        <w:rPr>
          <w:rFonts w:ascii="Times New Roman" w:eastAsia="Times New Roman" w:hAnsi="Times New Roman"/>
          <w:sz w:val="26"/>
          <w:szCs w:val="26"/>
        </w:rPr>
        <w:t xml:space="preserve">A </w:t>
      </w:r>
      <w:r>
        <w:rPr>
          <w:rFonts w:ascii="Times New Roman" w:eastAsia="Times New Roman" w:hAnsi="Times New Roman"/>
          <w:sz w:val="26"/>
          <w:szCs w:val="26"/>
        </w:rPr>
        <w:t>20</w:t>
      </w:r>
      <w:r w:rsidRPr="00935B98">
        <w:rPr>
          <w:rFonts w:ascii="Times New Roman" w:eastAsia="Times New Roman" w:hAnsi="Times New Roman"/>
          <w:sz w:val="26"/>
          <w:szCs w:val="26"/>
        </w:rPr>
        <w:t xml:space="preserve">% </w:t>
      </w:r>
      <w:r>
        <w:rPr>
          <w:rFonts w:ascii="Times New Roman" w:eastAsia="Times New Roman" w:hAnsi="Times New Roman"/>
          <w:sz w:val="26"/>
          <w:szCs w:val="26"/>
        </w:rPr>
        <w:t xml:space="preserve">aspirational </w:t>
      </w:r>
      <w:r w:rsidRPr="00935B98">
        <w:rPr>
          <w:rFonts w:ascii="Times New Roman" w:eastAsia="Times New Roman" w:hAnsi="Times New Roman"/>
          <w:sz w:val="26"/>
          <w:szCs w:val="26"/>
        </w:rPr>
        <w:t xml:space="preserve">BEP participation goal was established for this </w:t>
      </w:r>
      <w:r>
        <w:rPr>
          <w:rFonts w:ascii="Times New Roman" w:eastAsia="Times New Roman" w:hAnsi="Times New Roman"/>
          <w:sz w:val="26"/>
          <w:szCs w:val="26"/>
        </w:rPr>
        <w:t xml:space="preserve">procurement </w:t>
      </w:r>
      <w:r w:rsidRPr="00DE7E8E">
        <w:rPr>
          <w:rFonts w:ascii="Times New Roman" w:eastAsia="Times New Roman" w:hAnsi="Times New Roman"/>
          <w:sz w:val="26"/>
          <w:szCs w:val="26"/>
        </w:rPr>
        <w:t xml:space="preserve">in accordance with State statutes and University’s commitment to encourage offerors to utilize BEP-certified vendors. </w:t>
      </w:r>
      <w:r w:rsidRPr="00DE7E8E">
        <w:rPr>
          <w:rFonts w:ascii="Times New Roman" w:eastAsia="Times New Roman" w:hAnsi="Times New Roman"/>
          <w:sz w:val="26"/>
          <w:szCs w:val="26"/>
        </w:rPr>
        <w:lastRenderedPageBreak/>
        <w:t xml:space="preserve">McKesson requested a partial waiver of the BEP goal and </w:t>
      </w:r>
      <w:r w:rsidR="00F23BAF" w:rsidRPr="00DE7E8E">
        <w:rPr>
          <w:rFonts w:ascii="Times New Roman" w:eastAsia="Times New Roman" w:hAnsi="Times New Roman"/>
          <w:sz w:val="26"/>
          <w:szCs w:val="26"/>
        </w:rPr>
        <w:t>provided Letters</w:t>
      </w:r>
      <w:r w:rsidRPr="00DE7E8E">
        <w:rPr>
          <w:rFonts w:ascii="Times New Roman" w:eastAsia="Times New Roman" w:hAnsi="Times New Roman"/>
          <w:sz w:val="26"/>
          <w:szCs w:val="26"/>
        </w:rPr>
        <w:t xml:space="preserve"> of Intent for 3% BEP participation utilizing three BEP vendors as part of their BEP utilization plan.</w:t>
      </w:r>
    </w:p>
    <w:p w14:paraId="1DB72D39" w14:textId="55A01D25" w:rsidR="004F43B7" w:rsidRPr="00AA7F39" w:rsidRDefault="004F43B7" w:rsidP="004F43B7">
      <w:pPr>
        <w:spacing w:after="0" w:line="240" w:lineRule="auto"/>
        <w:ind w:left="1440"/>
        <w:rPr>
          <w:rFonts w:ascii="Times New Roman" w:eastAsia="Times New Roman" w:hAnsi="Times New Roman"/>
          <w:sz w:val="26"/>
          <w:szCs w:val="26"/>
        </w:rPr>
      </w:pPr>
    </w:p>
    <w:tbl>
      <w:tblPr>
        <w:tblW w:w="9450" w:type="dxa"/>
        <w:tblCellMar>
          <w:left w:w="0" w:type="dxa"/>
          <w:right w:w="0" w:type="dxa"/>
        </w:tblCellMar>
        <w:tblLook w:val="04A0" w:firstRow="1" w:lastRow="0" w:firstColumn="1" w:lastColumn="0" w:noHBand="0" w:noVBand="1"/>
      </w:tblPr>
      <w:tblGrid>
        <w:gridCol w:w="342"/>
        <w:gridCol w:w="990"/>
        <w:gridCol w:w="8118"/>
      </w:tblGrid>
      <w:tr w:rsidR="00831C2F" w:rsidRPr="00831C2F" w14:paraId="7AC023B0" w14:textId="77777777" w:rsidTr="00E20E9A">
        <w:trPr>
          <w:trHeight w:val="120"/>
        </w:trPr>
        <w:tc>
          <w:tcPr>
            <w:tcW w:w="342" w:type="dxa"/>
            <w:tcBorders>
              <w:top w:val="nil"/>
              <w:left w:val="nil"/>
              <w:bottom w:val="double" w:sz="6" w:space="0" w:color="auto"/>
              <w:right w:val="nil"/>
            </w:tcBorders>
            <w:tcMar>
              <w:top w:w="0" w:type="dxa"/>
              <w:left w:w="72" w:type="dxa"/>
              <w:bottom w:w="0" w:type="dxa"/>
              <w:right w:w="72" w:type="dxa"/>
            </w:tcMar>
            <w:hideMark/>
          </w:tcPr>
          <w:bookmarkEnd w:id="3"/>
          <w:p w14:paraId="23CB6693"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z w:val="26"/>
                <w:szCs w:val="26"/>
              </w:rPr>
              <w:t>2</w:t>
            </w:r>
          </w:p>
        </w:tc>
        <w:tc>
          <w:tcPr>
            <w:tcW w:w="990" w:type="dxa"/>
            <w:tcBorders>
              <w:top w:val="nil"/>
              <w:left w:val="nil"/>
              <w:bottom w:val="double" w:sz="6" w:space="0" w:color="auto"/>
              <w:right w:val="nil"/>
            </w:tcBorders>
            <w:tcMar>
              <w:top w:w="0" w:type="dxa"/>
              <w:left w:w="72" w:type="dxa"/>
              <w:bottom w:w="0" w:type="dxa"/>
              <w:right w:w="72" w:type="dxa"/>
            </w:tcMar>
            <w:hideMark/>
          </w:tcPr>
          <w:p w14:paraId="4D2ACAD3"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z w:val="26"/>
                <w:szCs w:val="26"/>
              </w:rPr>
              <w:t>Unit</w:t>
            </w:r>
          </w:p>
        </w:tc>
        <w:tc>
          <w:tcPr>
            <w:tcW w:w="8118" w:type="dxa"/>
            <w:tcBorders>
              <w:top w:val="nil"/>
              <w:left w:val="nil"/>
              <w:bottom w:val="double" w:sz="6" w:space="0" w:color="auto"/>
              <w:right w:val="nil"/>
            </w:tcBorders>
            <w:tcMar>
              <w:top w:w="0" w:type="dxa"/>
              <w:left w:w="72" w:type="dxa"/>
              <w:bottom w:w="0" w:type="dxa"/>
              <w:right w:w="72" w:type="dxa"/>
            </w:tcMar>
            <w:hideMark/>
          </w:tcPr>
          <w:p w14:paraId="7DB3EE0B"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pacing w:val="-3"/>
                <w:sz w:val="26"/>
                <w:szCs w:val="26"/>
              </w:rPr>
              <w:t xml:space="preserve">College of Applied Health Sciences           </w:t>
            </w:r>
          </w:p>
        </w:tc>
      </w:tr>
      <w:tr w:rsidR="00831C2F" w:rsidRPr="00831C2F" w14:paraId="6D2062F2" w14:textId="77777777" w:rsidTr="00E20E9A">
        <w:trPr>
          <w:trHeight w:val="648"/>
        </w:trPr>
        <w:tc>
          <w:tcPr>
            <w:tcW w:w="342" w:type="dxa"/>
            <w:tcMar>
              <w:top w:w="0" w:type="dxa"/>
              <w:left w:w="72" w:type="dxa"/>
              <w:bottom w:w="0" w:type="dxa"/>
              <w:right w:w="72" w:type="dxa"/>
            </w:tcMar>
          </w:tcPr>
          <w:p w14:paraId="38261558" w14:textId="77777777" w:rsidR="00831C2F" w:rsidRPr="00831C2F" w:rsidRDefault="00831C2F" w:rsidP="00E20E9A">
            <w:pPr>
              <w:pStyle w:val="NoSpacing"/>
              <w:rPr>
                <w:rFonts w:ascii="Times New Roman" w:hAnsi="Times New Roman"/>
                <w:sz w:val="26"/>
                <w:szCs w:val="26"/>
              </w:rPr>
            </w:pPr>
          </w:p>
        </w:tc>
        <w:tc>
          <w:tcPr>
            <w:tcW w:w="990" w:type="dxa"/>
            <w:tcMar>
              <w:top w:w="0" w:type="dxa"/>
              <w:left w:w="72" w:type="dxa"/>
              <w:bottom w:w="0" w:type="dxa"/>
              <w:right w:w="72" w:type="dxa"/>
            </w:tcMar>
          </w:tcPr>
          <w:p w14:paraId="280D94EE" w14:textId="77777777" w:rsidR="00831C2F" w:rsidRPr="00831C2F" w:rsidRDefault="00831C2F" w:rsidP="00E20E9A">
            <w:pPr>
              <w:pStyle w:val="NoSpacing"/>
              <w:rPr>
                <w:rFonts w:ascii="Times New Roman" w:hAnsi="Times New Roman"/>
                <w:sz w:val="26"/>
                <w:szCs w:val="26"/>
              </w:rPr>
            </w:pPr>
          </w:p>
          <w:p w14:paraId="2C173EA3"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z w:val="26"/>
                <w:szCs w:val="26"/>
              </w:rPr>
              <w:t>Item</w:t>
            </w:r>
          </w:p>
        </w:tc>
        <w:tc>
          <w:tcPr>
            <w:tcW w:w="8118" w:type="dxa"/>
            <w:tcMar>
              <w:top w:w="0" w:type="dxa"/>
              <w:left w:w="72" w:type="dxa"/>
              <w:bottom w:w="0" w:type="dxa"/>
              <w:right w:w="72" w:type="dxa"/>
            </w:tcMar>
          </w:tcPr>
          <w:p w14:paraId="12CAB455" w14:textId="77777777" w:rsidR="00831C2F" w:rsidRPr="00831C2F" w:rsidRDefault="00831C2F" w:rsidP="00E20E9A">
            <w:pPr>
              <w:pStyle w:val="NoSpacing"/>
              <w:jc w:val="both"/>
              <w:rPr>
                <w:rFonts w:ascii="Times New Roman" w:hAnsi="Times New Roman"/>
                <w:sz w:val="26"/>
                <w:szCs w:val="26"/>
              </w:rPr>
            </w:pPr>
          </w:p>
          <w:p w14:paraId="0574CE70" w14:textId="77777777" w:rsidR="00831C2F" w:rsidRPr="00831C2F" w:rsidRDefault="00831C2F" w:rsidP="00E20E9A">
            <w:pPr>
              <w:rPr>
                <w:rFonts w:ascii="Times New Roman" w:hAnsi="Times New Roman"/>
                <w:sz w:val="26"/>
                <w:szCs w:val="26"/>
              </w:rPr>
            </w:pPr>
            <w:r w:rsidRPr="00831C2F">
              <w:rPr>
                <w:rFonts w:ascii="Times New Roman" w:hAnsi="Times New Roman"/>
                <w:sz w:val="26"/>
                <w:szCs w:val="26"/>
              </w:rPr>
              <w:t>Contract extension to comply with obligations for students in online programs sourced by vendor NCS Pearson through graduation (FY23-FY26).</w:t>
            </w:r>
          </w:p>
        </w:tc>
      </w:tr>
      <w:tr w:rsidR="00831C2F" w:rsidRPr="00831C2F" w14:paraId="5A85D377" w14:textId="77777777" w:rsidTr="00E20E9A">
        <w:trPr>
          <w:trHeight w:val="315"/>
        </w:trPr>
        <w:tc>
          <w:tcPr>
            <w:tcW w:w="342" w:type="dxa"/>
            <w:tcMar>
              <w:top w:w="0" w:type="dxa"/>
              <w:left w:w="72" w:type="dxa"/>
              <w:bottom w:w="0" w:type="dxa"/>
              <w:right w:w="72" w:type="dxa"/>
            </w:tcMar>
          </w:tcPr>
          <w:p w14:paraId="0E80C9F7" w14:textId="77777777" w:rsidR="00831C2F" w:rsidRPr="00831C2F" w:rsidRDefault="00831C2F" w:rsidP="00E20E9A">
            <w:pPr>
              <w:pStyle w:val="NoSpacing"/>
              <w:rPr>
                <w:rFonts w:ascii="Times New Roman" w:hAnsi="Times New Roman"/>
                <w:sz w:val="26"/>
                <w:szCs w:val="26"/>
              </w:rPr>
            </w:pPr>
          </w:p>
        </w:tc>
        <w:tc>
          <w:tcPr>
            <w:tcW w:w="990" w:type="dxa"/>
            <w:tcMar>
              <w:top w:w="0" w:type="dxa"/>
              <w:left w:w="72" w:type="dxa"/>
              <w:bottom w:w="0" w:type="dxa"/>
              <w:right w:w="72" w:type="dxa"/>
            </w:tcMar>
          </w:tcPr>
          <w:p w14:paraId="7DD0B981" w14:textId="77777777" w:rsidR="00831C2F" w:rsidRPr="00831C2F" w:rsidRDefault="00831C2F" w:rsidP="00E20E9A">
            <w:pPr>
              <w:pStyle w:val="NoSpacing"/>
              <w:rPr>
                <w:rFonts w:ascii="Times New Roman" w:hAnsi="Times New Roman"/>
                <w:sz w:val="26"/>
                <w:szCs w:val="26"/>
              </w:rPr>
            </w:pPr>
          </w:p>
          <w:p w14:paraId="4B699395"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z w:val="26"/>
                <w:szCs w:val="26"/>
              </w:rPr>
              <w:t>Cost</w:t>
            </w:r>
          </w:p>
        </w:tc>
        <w:tc>
          <w:tcPr>
            <w:tcW w:w="8118" w:type="dxa"/>
            <w:tcMar>
              <w:top w:w="0" w:type="dxa"/>
              <w:left w:w="72" w:type="dxa"/>
              <w:bottom w:w="0" w:type="dxa"/>
              <w:right w:w="72" w:type="dxa"/>
            </w:tcMar>
          </w:tcPr>
          <w:p w14:paraId="2C4F8F93" w14:textId="77777777" w:rsidR="00831C2F" w:rsidRPr="00831C2F" w:rsidRDefault="00831C2F" w:rsidP="00E20E9A">
            <w:pPr>
              <w:pStyle w:val="NoSpacing"/>
              <w:rPr>
                <w:rFonts w:ascii="Times New Roman" w:hAnsi="Times New Roman"/>
                <w:sz w:val="26"/>
                <w:szCs w:val="26"/>
              </w:rPr>
            </w:pPr>
          </w:p>
          <w:p w14:paraId="0343C915"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pacing w:val="-3"/>
                <w:sz w:val="26"/>
                <w:szCs w:val="26"/>
              </w:rPr>
              <w:t xml:space="preserve">$ 3,000,000 (estimated cost of the extension, exclusive of original contract payments) </w:t>
            </w:r>
          </w:p>
        </w:tc>
      </w:tr>
      <w:tr w:rsidR="00831C2F" w:rsidRPr="00831C2F" w14:paraId="62603388" w14:textId="77777777" w:rsidTr="00E20E9A">
        <w:trPr>
          <w:trHeight w:val="150"/>
        </w:trPr>
        <w:tc>
          <w:tcPr>
            <w:tcW w:w="342" w:type="dxa"/>
            <w:tcMar>
              <w:top w:w="0" w:type="dxa"/>
              <w:left w:w="72" w:type="dxa"/>
              <w:bottom w:w="0" w:type="dxa"/>
              <w:right w:w="72" w:type="dxa"/>
            </w:tcMar>
          </w:tcPr>
          <w:p w14:paraId="5B0E55D9" w14:textId="77777777" w:rsidR="00831C2F" w:rsidRPr="00831C2F" w:rsidRDefault="00831C2F" w:rsidP="00E20E9A">
            <w:pPr>
              <w:pStyle w:val="NoSpacing"/>
              <w:rPr>
                <w:rFonts w:ascii="Times New Roman" w:hAnsi="Times New Roman"/>
                <w:sz w:val="26"/>
                <w:szCs w:val="26"/>
              </w:rPr>
            </w:pPr>
          </w:p>
        </w:tc>
        <w:tc>
          <w:tcPr>
            <w:tcW w:w="990" w:type="dxa"/>
            <w:tcMar>
              <w:top w:w="0" w:type="dxa"/>
              <w:left w:w="72" w:type="dxa"/>
              <w:bottom w:w="0" w:type="dxa"/>
              <w:right w:w="72" w:type="dxa"/>
            </w:tcMar>
          </w:tcPr>
          <w:p w14:paraId="5000399A" w14:textId="77777777" w:rsidR="00831C2F" w:rsidRPr="00831C2F" w:rsidRDefault="00831C2F" w:rsidP="00E20E9A">
            <w:pPr>
              <w:pStyle w:val="NoSpacing"/>
              <w:rPr>
                <w:rFonts w:ascii="Times New Roman" w:hAnsi="Times New Roman"/>
                <w:sz w:val="26"/>
                <w:szCs w:val="26"/>
              </w:rPr>
            </w:pPr>
          </w:p>
          <w:p w14:paraId="33AEA5A2" w14:textId="77777777" w:rsidR="00831C2F" w:rsidRPr="00831C2F" w:rsidRDefault="00831C2F" w:rsidP="00E20E9A">
            <w:pPr>
              <w:pStyle w:val="NoSpacing"/>
              <w:rPr>
                <w:rFonts w:ascii="Times New Roman" w:hAnsi="Times New Roman"/>
                <w:sz w:val="26"/>
                <w:szCs w:val="26"/>
              </w:rPr>
            </w:pPr>
            <w:r w:rsidRPr="00831C2F">
              <w:rPr>
                <w:rFonts w:ascii="Times New Roman" w:hAnsi="Times New Roman"/>
                <w:sz w:val="26"/>
                <w:szCs w:val="26"/>
              </w:rPr>
              <w:t>Vendor</w:t>
            </w:r>
          </w:p>
        </w:tc>
        <w:tc>
          <w:tcPr>
            <w:tcW w:w="8118" w:type="dxa"/>
            <w:tcMar>
              <w:top w:w="0" w:type="dxa"/>
              <w:left w:w="72" w:type="dxa"/>
              <w:bottom w:w="0" w:type="dxa"/>
              <w:right w:w="72" w:type="dxa"/>
            </w:tcMar>
          </w:tcPr>
          <w:p w14:paraId="4E1505C7" w14:textId="77777777" w:rsidR="00831C2F" w:rsidRPr="00831C2F" w:rsidRDefault="00831C2F" w:rsidP="00E20E9A">
            <w:pPr>
              <w:pStyle w:val="NoSpacing"/>
              <w:rPr>
                <w:rFonts w:ascii="Times New Roman" w:hAnsi="Times New Roman"/>
                <w:sz w:val="26"/>
                <w:szCs w:val="26"/>
              </w:rPr>
            </w:pPr>
          </w:p>
          <w:p w14:paraId="26E60BD2" w14:textId="21964833" w:rsidR="00831C2F" w:rsidRPr="00831C2F" w:rsidRDefault="00831C2F" w:rsidP="00831C2F">
            <w:pPr>
              <w:pStyle w:val="NoSpacing"/>
              <w:tabs>
                <w:tab w:val="right" w:pos="7979"/>
              </w:tabs>
              <w:rPr>
                <w:rFonts w:ascii="Times New Roman" w:hAnsi="Times New Roman"/>
                <w:sz w:val="26"/>
                <w:szCs w:val="26"/>
              </w:rPr>
            </w:pPr>
            <w:r w:rsidRPr="00831C2F">
              <w:rPr>
                <w:rFonts w:ascii="Times New Roman" w:hAnsi="Times New Roman"/>
                <w:sz w:val="26"/>
                <w:szCs w:val="26"/>
              </w:rPr>
              <w:t>NCS Pearson, Inc.</w:t>
            </w:r>
            <w:r>
              <w:rPr>
                <w:rFonts w:ascii="Times New Roman" w:hAnsi="Times New Roman"/>
                <w:sz w:val="26"/>
                <w:szCs w:val="26"/>
              </w:rPr>
              <w:tab/>
            </w:r>
            <w:r w:rsidRPr="00831C2F">
              <w:rPr>
                <w:rFonts w:ascii="Times New Roman" w:hAnsi="Times New Roman"/>
                <w:sz w:val="26"/>
                <w:szCs w:val="26"/>
              </w:rPr>
              <w:t>Amherst, Maryland</w:t>
            </w:r>
          </w:p>
        </w:tc>
      </w:tr>
      <w:tr w:rsidR="00831C2F" w:rsidRPr="00831C2F" w14:paraId="77E9456C" w14:textId="77777777" w:rsidTr="00E20E9A">
        <w:trPr>
          <w:trHeight w:val="150"/>
        </w:trPr>
        <w:tc>
          <w:tcPr>
            <w:tcW w:w="342" w:type="dxa"/>
            <w:tcMar>
              <w:top w:w="0" w:type="dxa"/>
              <w:left w:w="72" w:type="dxa"/>
              <w:bottom w:w="0" w:type="dxa"/>
              <w:right w:w="72" w:type="dxa"/>
            </w:tcMar>
          </w:tcPr>
          <w:p w14:paraId="2604D19A" w14:textId="77777777" w:rsidR="00831C2F" w:rsidRPr="00831C2F" w:rsidRDefault="00831C2F" w:rsidP="00E20E9A">
            <w:pPr>
              <w:pStyle w:val="NoSpacing"/>
              <w:rPr>
                <w:rFonts w:ascii="Times New Roman" w:hAnsi="Times New Roman"/>
                <w:sz w:val="26"/>
                <w:szCs w:val="26"/>
              </w:rPr>
            </w:pPr>
          </w:p>
        </w:tc>
        <w:tc>
          <w:tcPr>
            <w:tcW w:w="990" w:type="dxa"/>
            <w:tcMar>
              <w:top w:w="0" w:type="dxa"/>
              <w:left w:w="72" w:type="dxa"/>
              <w:bottom w:w="0" w:type="dxa"/>
              <w:right w:w="72" w:type="dxa"/>
            </w:tcMar>
          </w:tcPr>
          <w:p w14:paraId="21E9BCD1" w14:textId="77777777" w:rsidR="00831C2F" w:rsidRPr="00831C2F" w:rsidRDefault="00831C2F" w:rsidP="00E20E9A">
            <w:pPr>
              <w:pStyle w:val="NoSpacing"/>
              <w:rPr>
                <w:rFonts w:ascii="Times New Roman" w:hAnsi="Times New Roman"/>
                <w:sz w:val="26"/>
                <w:szCs w:val="26"/>
              </w:rPr>
            </w:pPr>
          </w:p>
        </w:tc>
        <w:tc>
          <w:tcPr>
            <w:tcW w:w="8118" w:type="dxa"/>
            <w:tcMar>
              <w:top w:w="0" w:type="dxa"/>
              <w:left w:w="72" w:type="dxa"/>
              <w:bottom w:w="0" w:type="dxa"/>
              <w:right w:w="72" w:type="dxa"/>
            </w:tcMar>
          </w:tcPr>
          <w:p w14:paraId="1EFD566D" w14:textId="77777777" w:rsidR="00831C2F" w:rsidRPr="00831C2F" w:rsidRDefault="00831C2F" w:rsidP="00E20E9A">
            <w:pPr>
              <w:pStyle w:val="NoSpacing"/>
              <w:rPr>
                <w:rFonts w:ascii="Times New Roman" w:hAnsi="Times New Roman"/>
                <w:sz w:val="26"/>
                <w:szCs w:val="26"/>
              </w:rPr>
            </w:pPr>
          </w:p>
        </w:tc>
      </w:tr>
    </w:tbl>
    <w:p w14:paraId="1FA5C3BF" w14:textId="77777777" w:rsidR="00831C2F" w:rsidRPr="00831C2F" w:rsidRDefault="00831C2F" w:rsidP="00831C2F">
      <w:pPr>
        <w:pStyle w:val="xmsonormal"/>
        <w:ind w:left="1440"/>
        <w:jc w:val="both"/>
        <w:rPr>
          <w:rFonts w:ascii="Times New Roman" w:hAnsi="Times New Roman" w:cs="Times New Roman"/>
          <w:spacing w:val="-3"/>
          <w:sz w:val="26"/>
          <w:szCs w:val="26"/>
        </w:rPr>
      </w:pPr>
      <w:r w:rsidRPr="00831C2F">
        <w:rPr>
          <w:rFonts w:ascii="Times New Roman" w:hAnsi="Times New Roman" w:cs="Times New Roman"/>
          <w:spacing w:val="-3"/>
          <w:sz w:val="26"/>
          <w:szCs w:val="26"/>
        </w:rPr>
        <w:t>This purchase is a sole source because the unique items are required for Advising Services for the Online Learning Program, and no other source can meet the documented need.</w:t>
      </w:r>
    </w:p>
    <w:p w14:paraId="355339F9" w14:textId="77777777" w:rsidR="00831C2F" w:rsidRPr="00831C2F" w:rsidRDefault="00831C2F" w:rsidP="00831C2F">
      <w:pPr>
        <w:pStyle w:val="xmsonormal"/>
        <w:ind w:left="1440"/>
        <w:jc w:val="both"/>
        <w:rPr>
          <w:rFonts w:ascii="Times New Roman" w:hAnsi="Times New Roman" w:cs="Times New Roman"/>
          <w:spacing w:val="-3"/>
          <w:sz w:val="26"/>
          <w:szCs w:val="26"/>
        </w:rPr>
      </w:pPr>
    </w:p>
    <w:p w14:paraId="54E3D927" w14:textId="77777777" w:rsidR="00831C2F" w:rsidRPr="00831C2F" w:rsidRDefault="00831C2F" w:rsidP="00831C2F">
      <w:pPr>
        <w:pStyle w:val="xmsolistparagraph"/>
        <w:spacing w:after="0" w:line="240" w:lineRule="auto"/>
        <w:ind w:left="1440"/>
        <w:rPr>
          <w:rFonts w:ascii="Times New Roman" w:eastAsia="Times New Roman" w:hAnsi="Times New Roman" w:cs="Times New Roman"/>
          <w:sz w:val="26"/>
          <w:szCs w:val="26"/>
        </w:rPr>
      </w:pPr>
      <w:r w:rsidRPr="00831C2F">
        <w:rPr>
          <w:rFonts w:ascii="Times New Roman" w:eastAsia="Times New Roman" w:hAnsi="Times New Roman" w:cs="Times New Roman"/>
          <w:sz w:val="26"/>
          <w:szCs w:val="26"/>
        </w:rPr>
        <w:t>Accreditation standards from The Commission on Accreditation for Health Informatics and Information Management (CAHIIM), which accredits the Health Informatics and Health Information Management programs within the College of Applied Health Sciences (CAHS), require student advising.</w:t>
      </w:r>
    </w:p>
    <w:p w14:paraId="440E82E3" w14:textId="77777777" w:rsidR="00831C2F" w:rsidRPr="00831C2F" w:rsidRDefault="00831C2F" w:rsidP="00831C2F">
      <w:pPr>
        <w:pStyle w:val="xmsolistparagraph"/>
        <w:spacing w:after="0" w:line="240" w:lineRule="auto"/>
        <w:rPr>
          <w:rFonts w:ascii="Times New Roman" w:eastAsia="Times New Roman" w:hAnsi="Times New Roman" w:cs="Times New Roman"/>
          <w:sz w:val="26"/>
          <w:szCs w:val="26"/>
        </w:rPr>
      </w:pPr>
    </w:p>
    <w:p w14:paraId="7BC01082" w14:textId="77777777" w:rsidR="00831C2F" w:rsidRPr="00831C2F" w:rsidRDefault="00831C2F" w:rsidP="00831C2F">
      <w:pPr>
        <w:pStyle w:val="xmsolistparagraph"/>
        <w:spacing w:after="0" w:line="240" w:lineRule="auto"/>
        <w:ind w:left="1440"/>
        <w:rPr>
          <w:rFonts w:ascii="Times New Roman" w:eastAsia="Times New Roman" w:hAnsi="Times New Roman" w:cs="Times New Roman"/>
          <w:sz w:val="26"/>
          <w:szCs w:val="26"/>
        </w:rPr>
      </w:pPr>
      <w:r w:rsidRPr="00831C2F">
        <w:rPr>
          <w:rFonts w:ascii="Times New Roman" w:eastAsia="Times New Roman" w:hAnsi="Times New Roman" w:cs="Times New Roman"/>
          <w:sz w:val="26"/>
          <w:szCs w:val="26"/>
        </w:rPr>
        <w:t xml:space="preserve">Pearson will advise online students admitted to the Health Informatics and Health Information Management Programs during or before Spring 2022 until they graduate or leave the program.  This vendor is contractually required to advise because they recruited current students in the programs. Pearson has built relationships with the students and knows their educational needs and requirements. Per the previous agreement, Pearson will advise and work with the students recruited until they have graduated or leave the program. </w:t>
      </w:r>
    </w:p>
    <w:p w14:paraId="12464776" w14:textId="77777777" w:rsidR="00831C2F" w:rsidRPr="00831C2F" w:rsidRDefault="00831C2F" w:rsidP="00831C2F">
      <w:pPr>
        <w:rPr>
          <w:rFonts w:ascii="Times New Roman" w:hAnsi="Times New Roman"/>
          <w:sz w:val="26"/>
          <w:szCs w:val="26"/>
        </w:rPr>
      </w:pPr>
    </w:p>
    <w:p w14:paraId="2D39CFC7" w14:textId="15B5E426" w:rsidR="00831C2F" w:rsidRPr="00831C2F" w:rsidRDefault="00831C2F" w:rsidP="001519F5">
      <w:pPr>
        <w:ind w:left="1440"/>
        <w:rPr>
          <w:rFonts w:ascii="Times New Roman" w:hAnsi="Times New Roman"/>
          <w:sz w:val="26"/>
          <w:szCs w:val="26"/>
        </w:rPr>
      </w:pPr>
      <w:r w:rsidRPr="00831C2F">
        <w:rPr>
          <w:rFonts w:ascii="Times New Roman" w:hAnsi="Times New Roman"/>
          <w:sz w:val="26"/>
          <w:szCs w:val="26"/>
        </w:rPr>
        <w:t xml:space="preserve">The original contract with NCS Pearson was approved in 2014 to provide services including marketing and website management, student recruiting, student registration and re-enrollment support, student advisement and course selection recommendations, student retention support, and faculty administrative support for a number of programs in the UIC College of Applied Health Sciences.  Pearson has received 45-50% of tuition revenue for those services for the supported programs.  </w:t>
      </w:r>
    </w:p>
    <w:p w14:paraId="701D2F59" w14:textId="0CF842FC" w:rsidR="00831C2F" w:rsidRPr="00831C2F" w:rsidRDefault="00831C2F" w:rsidP="00831C2F">
      <w:pPr>
        <w:ind w:left="1440"/>
        <w:rPr>
          <w:rFonts w:ascii="Times New Roman" w:hAnsi="Times New Roman"/>
          <w:sz w:val="26"/>
          <w:szCs w:val="26"/>
        </w:rPr>
      </w:pPr>
      <w:r w:rsidRPr="00831C2F">
        <w:rPr>
          <w:rFonts w:ascii="Times New Roman" w:hAnsi="Times New Roman"/>
          <w:sz w:val="26"/>
          <w:szCs w:val="26"/>
        </w:rPr>
        <w:t xml:space="preserve">In 2021, CAHS decided to terminate its relationship with Pearson and move this program to be managed internally by the UIC Extended Campus.  There are no new students sourced by Pearson and enrolling in the CAHS programs.  As </w:t>
      </w:r>
      <w:proofErr w:type="spellStart"/>
      <w:r w:rsidRPr="00831C2F">
        <w:rPr>
          <w:rFonts w:ascii="Times New Roman" w:hAnsi="Times New Roman"/>
          <w:sz w:val="26"/>
          <w:szCs w:val="26"/>
        </w:rPr>
        <w:t>students</w:t>
      </w:r>
      <w:proofErr w:type="spellEnd"/>
      <w:r w:rsidRPr="00831C2F">
        <w:rPr>
          <w:rFonts w:ascii="Times New Roman" w:hAnsi="Times New Roman"/>
          <w:sz w:val="26"/>
          <w:szCs w:val="26"/>
        </w:rPr>
        <w:t xml:space="preserve"> progress through the online program to </w:t>
      </w:r>
      <w:r w:rsidRPr="00831C2F">
        <w:rPr>
          <w:rFonts w:ascii="Times New Roman" w:hAnsi="Times New Roman"/>
          <w:sz w:val="26"/>
          <w:szCs w:val="26"/>
        </w:rPr>
        <w:lastRenderedPageBreak/>
        <w:t xml:space="preserve">completion, UIC must comply with the previously agreed contractual obligations.  The original contract states that Pearson will continue to provide services and receive a tuition revenue share for students it recruited before termination.   </w:t>
      </w:r>
    </w:p>
    <w:p w14:paraId="7FA083B0" w14:textId="1A7F037F" w:rsidR="00831C2F" w:rsidRPr="00831C2F" w:rsidRDefault="00831C2F" w:rsidP="001519F5">
      <w:pPr>
        <w:ind w:left="1440"/>
        <w:rPr>
          <w:rFonts w:ascii="Times New Roman" w:hAnsi="Times New Roman"/>
          <w:sz w:val="26"/>
          <w:szCs w:val="26"/>
        </w:rPr>
      </w:pPr>
      <w:r w:rsidRPr="00831C2F">
        <w:rPr>
          <w:rFonts w:ascii="Times New Roman" w:hAnsi="Times New Roman"/>
          <w:sz w:val="26"/>
          <w:szCs w:val="26"/>
        </w:rPr>
        <w:t>There are currently 253 students subject to this extension agreement.  The best estimate of the payments to Pearson are:</w:t>
      </w:r>
    </w:p>
    <w:p w14:paraId="4BE8E2AF" w14:textId="77777777" w:rsidR="00831C2F" w:rsidRPr="00831C2F" w:rsidRDefault="00831C2F" w:rsidP="00831C2F">
      <w:pPr>
        <w:numPr>
          <w:ilvl w:val="0"/>
          <w:numId w:val="16"/>
        </w:numPr>
        <w:spacing w:after="0" w:line="240" w:lineRule="auto"/>
        <w:rPr>
          <w:rFonts w:ascii="Times New Roman" w:eastAsia="Times New Roman" w:hAnsi="Times New Roman"/>
          <w:sz w:val="26"/>
          <w:szCs w:val="26"/>
        </w:rPr>
      </w:pPr>
      <w:r w:rsidRPr="00831C2F">
        <w:rPr>
          <w:rFonts w:ascii="Times New Roman" w:eastAsia="Times New Roman" w:hAnsi="Times New Roman"/>
          <w:sz w:val="26"/>
          <w:szCs w:val="26"/>
        </w:rPr>
        <w:t>FY23: $1.06M</w:t>
      </w:r>
    </w:p>
    <w:p w14:paraId="404D3535" w14:textId="77777777" w:rsidR="00831C2F" w:rsidRPr="00831C2F" w:rsidRDefault="00831C2F" w:rsidP="00831C2F">
      <w:pPr>
        <w:numPr>
          <w:ilvl w:val="0"/>
          <w:numId w:val="16"/>
        </w:numPr>
        <w:spacing w:after="0" w:line="240" w:lineRule="auto"/>
        <w:rPr>
          <w:rFonts w:ascii="Times New Roman" w:eastAsia="Times New Roman" w:hAnsi="Times New Roman"/>
          <w:sz w:val="26"/>
          <w:szCs w:val="26"/>
        </w:rPr>
      </w:pPr>
      <w:r w:rsidRPr="00831C2F">
        <w:rPr>
          <w:rFonts w:ascii="Times New Roman" w:eastAsia="Times New Roman" w:hAnsi="Times New Roman"/>
          <w:sz w:val="26"/>
          <w:szCs w:val="26"/>
        </w:rPr>
        <w:t>FY24: $0.65M</w:t>
      </w:r>
    </w:p>
    <w:p w14:paraId="6CFEFFBA" w14:textId="77777777" w:rsidR="00831C2F" w:rsidRPr="00831C2F" w:rsidRDefault="00831C2F" w:rsidP="00831C2F">
      <w:pPr>
        <w:numPr>
          <w:ilvl w:val="0"/>
          <w:numId w:val="16"/>
        </w:numPr>
        <w:spacing w:after="0" w:line="240" w:lineRule="auto"/>
        <w:rPr>
          <w:rFonts w:ascii="Times New Roman" w:eastAsia="Times New Roman" w:hAnsi="Times New Roman"/>
          <w:sz w:val="26"/>
          <w:szCs w:val="26"/>
        </w:rPr>
      </w:pPr>
      <w:r w:rsidRPr="00831C2F">
        <w:rPr>
          <w:rFonts w:ascii="Times New Roman" w:eastAsia="Times New Roman" w:hAnsi="Times New Roman"/>
          <w:sz w:val="26"/>
          <w:szCs w:val="26"/>
        </w:rPr>
        <w:t>FY25: $0.24M</w:t>
      </w:r>
    </w:p>
    <w:p w14:paraId="6801D36B" w14:textId="611BA9B0" w:rsidR="00831C2F" w:rsidRDefault="00831C2F" w:rsidP="00831C2F">
      <w:pPr>
        <w:numPr>
          <w:ilvl w:val="0"/>
          <w:numId w:val="16"/>
        </w:numPr>
        <w:spacing w:after="0" w:line="240" w:lineRule="auto"/>
        <w:rPr>
          <w:rFonts w:ascii="Times New Roman" w:eastAsia="Times New Roman" w:hAnsi="Times New Roman"/>
          <w:sz w:val="26"/>
          <w:szCs w:val="26"/>
        </w:rPr>
      </w:pPr>
      <w:r w:rsidRPr="00831C2F">
        <w:rPr>
          <w:rFonts w:ascii="Times New Roman" w:eastAsia="Times New Roman" w:hAnsi="Times New Roman"/>
          <w:sz w:val="26"/>
          <w:szCs w:val="26"/>
        </w:rPr>
        <w:t>FY26 and beyond: $0</w:t>
      </w:r>
    </w:p>
    <w:p w14:paraId="7D49A2D2" w14:textId="77777777" w:rsidR="00831C2F" w:rsidRPr="00831C2F" w:rsidRDefault="00831C2F" w:rsidP="00831C2F">
      <w:pPr>
        <w:spacing w:after="0" w:line="240" w:lineRule="auto"/>
        <w:ind w:left="1440"/>
        <w:rPr>
          <w:rFonts w:ascii="Times New Roman" w:eastAsia="Times New Roman" w:hAnsi="Times New Roman"/>
          <w:sz w:val="26"/>
          <w:szCs w:val="26"/>
        </w:rPr>
      </w:pPr>
    </w:p>
    <w:p w14:paraId="235976F1" w14:textId="77777777" w:rsidR="00032931" w:rsidRPr="00032931" w:rsidRDefault="00032931" w:rsidP="0003293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81" w:type="dxa"/>
        <w:tblLayout w:type="fixed"/>
        <w:tblCellMar>
          <w:left w:w="72" w:type="dxa"/>
          <w:right w:w="72" w:type="dxa"/>
        </w:tblCellMar>
        <w:tblLook w:val="0000" w:firstRow="0" w:lastRow="0" w:firstColumn="0" w:lastColumn="0" w:noHBand="0" w:noVBand="0"/>
      </w:tblPr>
      <w:tblGrid>
        <w:gridCol w:w="343"/>
        <w:gridCol w:w="993"/>
        <w:gridCol w:w="8145"/>
      </w:tblGrid>
      <w:tr w:rsidR="00032931" w:rsidRPr="00032931" w14:paraId="18FC6C87" w14:textId="77777777" w:rsidTr="007E33C0">
        <w:trPr>
          <w:trHeight w:val="116"/>
        </w:trPr>
        <w:tc>
          <w:tcPr>
            <w:tcW w:w="343" w:type="dxa"/>
            <w:tcBorders>
              <w:bottom w:val="double" w:sz="6" w:space="0" w:color="auto"/>
            </w:tcBorders>
          </w:tcPr>
          <w:p w14:paraId="3A34B41F" w14:textId="55F2255B" w:rsidR="00032931" w:rsidRPr="00032931" w:rsidRDefault="00DF565E" w:rsidP="00F23BAF">
            <w:pPr>
              <w:spacing w:after="0" w:line="240" w:lineRule="auto"/>
              <w:rPr>
                <w:rFonts w:ascii="Times New Roman" w:hAnsi="Times New Roman"/>
                <w:sz w:val="26"/>
                <w:szCs w:val="26"/>
              </w:rPr>
            </w:pPr>
            <w:bookmarkStart w:id="4" w:name="_Hlk117072761"/>
            <w:r>
              <w:rPr>
                <w:rFonts w:ascii="Times New Roman" w:hAnsi="Times New Roman"/>
                <w:sz w:val="26"/>
                <w:szCs w:val="26"/>
              </w:rPr>
              <w:t>3</w:t>
            </w:r>
          </w:p>
        </w:tc>
        <w:tc>
          <w:tcPr>
            <w:tcW w:w="993" w:type="dxa"/>
            <w:tcBorders>
              <w:bottom w:val="double" w:sz="6" w:space="0" w:color="auto"/>
            </w:tcBorders>
          </w:tcPr>
          <w:p w14:paraId="12EEE86C"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Unit</w:t>
            </w:r>
          </w:p>
        </w:tc>
        <w:tc>
          <w:tcPr>
            <w:tcW w:w="8145" w:type="dxa"/>
            <w:tcBorders>
              <w:bottom w:val="double" w:sz="6" w:space="0" w:color="auto"/>
            </w:tcBorders>
          </w:tcPr>
          <w:p w14:paraId="725744EF"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pacing w:val="-3"/>
                <w:sz w:val="26"/>
                <w:szCs w:val="26"/>
              </w:rPr>
              <w:t>Office of the Vice Chancellor for Administrative Services</w:t>
            </w:r>
          </w:p>
        </w:tc>
      </w:tr>
      <w:tr w:rsidR="00032931" w:rsidRPr="00032931" w14:paraId="41B3437F" w14:textId="77777777" w:rsidTr="007E33C0">
        <w:trPr>
          <w:trHeight w:val="626"/>
        </w:trPr>
        <w:tc>
          <w:tcPr>
            <w:tcW w:w="343" w:type="dxa"/>
          </w:tcPr>
          <w:p w14:paraId="26DC3982" w14:textId="77777777" w:rsidR="00032931" w:rsidRPr="00032931" w:rsidRDefault="00032931" w:rsidP="00F23BAF">
            <w:pPr>
              <w:spacing w:after="0" w:line="240" w:lineRule="auto"/>
              <w:rPr>
                <w:rFonts w:ascii="Times New Roman" w:hAnsi="Times New Roman"/>
                <w:sz w:val="26"/>
                <w:szCs w:val="26"/>
              </w:rPr>
            </w:pPr>
          </w:p>
        </w:tc>
        <w:tc>
          <w:tcPr>
            <w:tcW w:w="993" w:type="dxa"/>
          </w:tcPr>
          <w:p w14:paraId="6996E81F" w14:textId="77777777" w:rsidR="00032931" w:rsidRPr="00032931" w:rsidRDefault="00032931" w:rsidP="00F23BAF">
            <w:pPr>
              <w:spacing w:after="0" w:line="240" w:lineRule="auto"/>
              <w:rPr>
                <w:rFonts w:ascii="Times New Roman" w:hAnsi="Times New Roman"/>
                <w:sz w:val="26"/>
                <w:szCs w:val="26"/>
              </w:rPr>
            </w:pPr>
          </w:p>
          <w:p w14:paraId="5D53DA6E"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 xml:space="preserve">Item      </w:t>
            </w:r>
          </w:p>
        </w:tc>
        <w:tc>
          <w:tcPr>
            <w:tcW w:w="8145" w:type="dxa"/>
          </w:tcPr>
          <w:p w14:paraId="74EFA0C0" w14:textId="77777777" w:rsidR="00032931" w:rsidRPr="00032931" w:rsidRDefault="00032931" w:rsidP="00F23BAF">
            <w:pPr>
              <w:spacing w:after="0" w:line="240" w:lineRule="auto"/>
              <w:rPr>
                <w:rFonts w:ascii="Times New Roman" w:hAnsi="Times New Roman"/>
                <w:bCs/>
                <w:sz w:val="26"/>
                <w:szCs w:val="26"/>
              </w:rPr>
            </w:pPr>
          </w:p>
          <w:p w14:paraId="27F6CA15"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Gasoline and Other Fuel Services</w:t>
            </w:r>
          </w:p>
        </w:tc>
      </w:tr>
      <w:tr w:rsidR="00032931" w:rsidRPr="00032931" w14:paraId="73A941C2" w14:textId="77777777" w:rsidTr="007E33C0">
        <w:trPr>
          <w:trHeight w:val="304"/>
        </w:trPr>
        <w:tc>
          <w:tcPr>
            <w:tcW w:w="343" w:type="dxa"/>
          </w:tcPr>
          <w:p w14:paraId="15313E00"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 xml:space="preserve"> </w:t>
            </w:r>
          </w:p>
        </w:tc>
        <w:tc>
          <w:tcPr>
            <w:tcW w:w="993" w:type="dxa"/>
          </w:tcPr>
          <w:p w14:paraId="1D2437D4" w14:textId="77777777" w:rsidR="00032931" w:rsidRPr="00032931" w:rsidRDefault="00032931" w:rsidP="00F23BAF">
            <w:pPr>
              <w:spacing w:after="0" w:line="240" w:lineRule="auto"/>
              <w:rPr>
                <w:rFonts w:ascii="Times New Roman" w:hAnsi="Times New Roman"/>
                <w:sz w:val="26"/>
                <w:szCs w:val="26"/>
              </w:rPr>
            </w:pPr>
          </w:p>
          <w:p w14:paraId="117E91D7"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Cost</w:t>
            </w:r>
          </w:p>
        </w:tc>
        <w:tc>
          <w:tcPr>
            <w:tcW w:w="8145" w:type="dxa"/>
          </w:tcPr>
          <w:p w14:paraId="3FADA612" w14:textId="77777777" w:rsidR="00032931" w:rsidRPr="00032931" w:rsidRDefault="00032931" w:rsidP="00F23BAF">
            <w:pPr>
              <w:spacing w:after="0" w:line="240" w:lineRule="auto"/>
              <w:rPr>
                <w:rFonts w:ascii="Times New Roman" w:hAnsi="Times New Roman"/>
                <w:sz w:val="26"/>
                <w:szCs w:val="26"/>
              </w:rPr>
            </w:pPr>
          </w:p>
          <w:p w14:paraId="03C8C687"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$6,314,660.60- initial two (2) year term</w:t>
            </w:r>
          </w:p>
          <w:p w14:paraId="4874CF2E" w14:textId="77777777" w:rsidR="00032931" w:rsidRPr="00032931" w:rsidRDefault="00032931" w:rsidP="00F23BAF">
            <w:pPr>
              <w:spacing w:after="0" w:line="240" w:lineRule="auto"/>
              <w:rPr>
                <w:rFonts w:ascii="Times New Roman" w:hAnsi="Times New Roman"/>
                <w:sz w:val="26"/>
                <w:szCs w:val="26"/>
              </w:rPr>
            </w:pPr>
          </w:p>
          <w:p w14:paraId="443D0302"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$27,113,875.57- total of four (4), two (2) year renewal options.</w:t>
            </w:r>
          </w:p>
        </w:tc>
      </w:tr>
      <w:tr w:rsidR="00032931" w:rsidRPr="00032931" w14:paraId="580D6693" w14:textId="77777777" w:rsidTr="007E33C0">
        <w:trPr>
          <w:trHeight w:val="77"/>
        </w:trPr>
        <w:tc>
          <w:tcPr>
            <w:tcW w:w="343" w:type="dxa"/>
          </w:tcPr>
          <w:p w14:paraId="3F4CAE1B" w14:textId="77777777" w:rsidR="00032931" w:rsidRPr="00032931" w:rsidRDefault="00032931" w:rsidP="00F23BAF">
            <w:pPr>
              <w:spacing w:after="0" w:line="240" w:lineRule="auto"/>
              <w:rPr>
                <w:rFonts w:ascii="Times New Roman" w:hAnsi="Times New Roman"/>
                <w:sz w:val="26"/>
                <w:szCs w:val="26"/>
              </w:rPr>
            </w:pPr>
          </w:p>
        </w:tc>
        <w:tc>
          <w:tcPr>
            <w:tcW w:w="993" w:type="dxa"/>
            <w:shd w:val="clear" w:color="auto" w:fill="auto"/>
          </w:tcPr>
          <w:p w14:paraId="7BC01ABF" w14:textId="77777777" w:rsidR="00032931" w:rsidRPr="00032931" w:rsidRDefault="00032931" w:rsidP="00F23BAF">
            <w:pPr>
              <w:spacing w:after="0" w:line="240" w:lineRule="auto"/>
              <w:rPr>
                <w:rFonts w:ascii="Times New Roman" w:hAnsi="Times New Roman"/>
                <w:sz w:val="26"/>
                <w:szCs w:val="26"/>
              </w:rPr>
            </w:pPr>
          </w:p>
          <w:p w14:paraId="13CF0288" w14:textId="77777777" w:rsidR="00032931" w:rsidRPr="00032931" w:rsidRDefault="00032931" w:rsidP="00F23BAF">
            <w:pPr>
              <w:spacing w:after="0" w:line="240" w:lineRule="auto"/>
              <w:rPr>
                <w:rFonts w:ascii="Times New Roman" w:hAnsi="Times New Roman"/>
                <w:sz w:val="26"/>
                <w:szCs w:val="26"/>
              </w:rPr>
            </w:pPr>
            <w:r w:rsidRPr="00032931">
              <w:rPr>
                <w:rFonts w:ascii="Times New Roman" w:hAnsi="Times New Roman"/>
                <w:sz w:val="26"/>
                <w:szCs w:val="26"/>
              </w:rPr>
              <w:t>Vendor</w:t>
            </w:r>
          </w:p>
        </w:tc>
        <w:tc>
          <w:tcPr>
            <w:tcW w:w="8145" w:type="dxa"/>
            <w:shd w:val="clear" w:color="auto" w:fill="auto"/>
          </w:tcPr>
          <w:p w14:paraId="07A0D9AD" w14:textId="77777777" w:rsidR="00032931" w:rsidRPr="0060253B" w:rsidRDefault="00032931" w:rsidP="00F23BAF">
            <w:pPr>
              <w:spacing w:after="0" w:line="240" w:lineRule="auto"/>
              <w:rPr>
                <w:rFonts w:ascii="Times New Roman" w:hAnsi="Times New Roman"/>
                <w:sz w:val="26"/>
                <w:szCs w:val="26"/>
              </w:rPr>
            </w:pPr>
          </w:p>
          <w:p w14:paraId="597B4102" w14:textId="77777777" w:rsidR="00032931" w:rsidRDefault="00032931" w:rsidP="00F23BAF">
            <w:pPr>
              <w:spacing w:after="0" w:line="240" w:lineRule="auto"/>
              <w:ind w:left="4080" w:hanging="4080"/>
              <w:rPr>
                <w:rFonts w:ascii="Times New Roman" w:hAnsi="Times New Roman"/>
                <w:sz w:val="26"/>
                <w:szCs w:val="26"/>
              </w:rPr>
            </w:pPr>
            <w:r w:rsidRPr="0060253B">
              <w:rPr>
                <w:rFonts w:ascii="Times New Roman" w:hAnsi="Times New Roman"/>
                <w:sz w:val="26"/>
                <w:szCs w:val="26"/>
              </w:rPr>
              <w:t xml:space="preserve">G. Cooper Oil Company, Inc.             </w:t>
            </w:r>
            <w:r w:rsidR="0060253B">
              <w:rPr>
                <w:rFonts w:ascii="Times New Roman" w:hAnsi="Times New Roman"/>
                <w:sz w:val="26"/>
                <w:szCs w:val="26"/>
              </w:rPr>
              <w:t xml:space="preserve">                                  </w:t>
            </w:r>
            <w:r w:rsidRPr="0060253B">
              <w:rPr>
                <w:rFonts w:ascii="Times New Roman" w:hAnsi="Times New Roman"/>
                <w:sz w:val="26"/>
                <w:szCs w:val="26"/>
              </w:rPr>
              <w:t xml:space="preserve">Manteno, </w:t>
            </w:r>
            <w:r w:rsidR="0060253B">
              <w:rPr>
                <w:rFonts w:ascii="Times New Roman" w:hAnsi="Times New Roman"/>
                <w:sz w:val="26"/>
                <w:szCs w:val="26"/>
              </w:rPr>
              <w:t>Illinois</w:t>
            </w:r>
          </w:p>
          <w:p w14:paraId="40CB7327" w14:textId="362F8E84" w:rsidR="00DF565E" w:rsidRPr="0060253B" w:rsidRDefault="00DF565E" w:rsidP="00F23BAF">
            <w:pPr>
              <w:spacing w:after="0" w:line="240" w:lineRule="auto"/>
              <w:ind w:left="4080" w:hanging="4080"/>
              <w:rPr>
                <w:rFonts w:ascii="Times New Roman" w:hAnsi="Times New Roman"/>
                <w:sz w:val="26"/>
                <w:szCs w:val="26"/>
              </w:rPr>
            </w:pPr>
          </w:p>
        </w:tc>
      </w:tr>
      <w:tr w:rsidR="00032931" w:rsidRPr="00032931" w14:paraId="61B4F28E" w14:textId="77777777" w:rsidTr="007E33C0">
        <w:trPr>
          <w:trHeight w:val="77"/>
        </w:trPr>
        <w:tc>
          <w:tcPr>
            <w:tcW w:w="343" w:type="dxa"/>
          </w:tcPr>
          <w:p w14:paraId="1524F337" w14:textId="77777777" w:rsidR="00032931" w:rsidRPr="00032931" w:rsidRDefault="00032931" w:rsidP="00F23BAF">
            <w:pPr>
              <w:spacing w:after="0" w:line="240" w:lineRule="auto"/>
              <w:rPr>
                <w:rFonts w:ascii="Times New Roman" w:hAnsi="Times New Roman"/>
                <w:sz w:val="26"/>
                <w:szCs w:val="26"/>
              </w:rPr>
            </w:pPr>
          </w:p>
        </w:tc>
        <w:tc>
          <w:tcPr>
            <w:tcW w:w="993" w:type="dxa"/>
            <w:shd w:val="clear" w:color="auto" w:fill="auto"/>
          </w:tcPr>
          <w:p w14:paraId="45934857" w14:textId="77777777" w:rsidR="00032931" w:rsidRPr="00032931" w:rsidRDefault="00032931" w:rsidP="00F23BAF">
            <w:pPr>
              <w:spacing w:after="0" w:line="240" w:lineRule="auto"/>
              <w:rPr>
                <w:rFonts w:ascii="Times New Roman" w:hAnsi="Times New Roman"/>
                <w:sz w:val="26"/>
                <w:szCs w:val="26"/>
              </w:rPr>
            </w:pPr>
          </w:p>
        </w:tc>
        <w:tc>
          <w:tcPr>
            <w:tcW w:w="8145" w:type="dxa"/>
            <w:shd w:val="clear" w:color="auto" w:fill="auto"/>
          </w:tcPr>
          <w:p w14:paraId="3E4B16C2" w14:textId="77777777" w:rsidR="00032931" w:rsidRPr="0060253B" w:rsidRDefault="00032931" w:rsidP="00F23BAF">
            <w:pPr>
              <w:spacing w:after="0" w:line="240" w:lineRule="auto"/>
              <w:rPr>
                <w:rFonts w:ascii="Times New Roman" w:hAnsi="Times New Roman"/>
                <w:sz w:val="26"/>
                <w:szCs w:val="26"/>
              </w:rPr>
            </w:pPr>
          </w:p>
        </w:tc>
      </w:tr>
    </w:tbl>
    <w:tbl>
      <w:tblPr>
        <w:tblpPr w:leftFromText="180" w:rightFromText="180" w:vertAnchor="text" w:horzAnchor="margin" w:tblpY="43"/>
        <w:tblW w:w="9481" w:type="dxa"/>
        <w:tblLayout w:type="fixed"/>
        <w:tblCellMar>
          <w:left w:w="72" w:type="dxa"/>
          <w:right w:w="72" w:type="dxa"/>
        </w:tblCellMar>
        <w:tblLook w:val="0000" w:firstRow="0" w:lastRow="0" w:firstColumn="0" w:lastColumn="0" w:noHBand="0" w:noVBand="0"/>
      </w:tblPr>
      <w:tblGrid>
        <w:gridCol w:w="343"/>
        <w:gridCol w:w="993"/>
        <w:gridCol w:w="8145"/>
      </w:tblGrid>
      <w:tr w:rsidR="00DF565E" w:rsidRPr="00032931" w14:paraId="2F3F9B24" w14:textId="77777777" w:rsidTr="00DF565E">
        <w:trPr>
          <w:trHeight w:val="4586"/>
        </w:trPr>
        <w:tc>
          <w:tcPr>
            <w:tcW w:w="343" w:type="dxa"/>
          </w:tcPr>
          <w:p w14:paraId="5EAA8B1E" w14:textId="77777777" w:rsidR="00DF565E" w:rsidRPr="00032931" w:rsidRDefault="00DF565E" w:rsidP="00F23BAF">
            <w:pPr>
              <w:spacing w:after="0" w:line="240" w:lineRule="auto"/>
              <w:rPr>
                <w:rFonts w:ascii="Times New Roman" w:hAnsi="Times New Roman"/>
                <w:sz w:val="26"/>
                <w:szCs w:val="26"/>
              </w:rPr>
            </w:pPr>
          </w:p>
        </w:tc>
        <w:tc>
          <w:tcPr>
            <w:tcW w:w="993" w:type="dxa"/>
            <w:shd w:val="clear" w:color="auto" w:fill="auto"/>
          </w:tcPr>
          <w:p w14:paraId="4FA7F7BB" w14:textId="77777777" w:rsidR="00DF565E" w:rsidRPr="00032931" w:rsidRDefault="00DF565E" w:rsidP="00F23BAF">
            <w:pPr>
              <w:spacing w:after="0" w:line="240" w:lineRule="auto"/>
              <w:rPr>
                <w:rFonts w:ascii="Times New Roman" w:hAnsi="Times New Roman"/>
                <w:sz w:val="26"/>
                <w:szCs w:val="26"/>
              </w:rPr>
            </w:pPr>
          </w:p>
        </w:tc>
        <w:tc>
          <w:tcPr>
            <w:tcW w:w="8145" w:type="dxa"/>
            <w:shd w:val="clear" w:color="auto" w:fill="auto"/>
          </w:tcPr>
          <w:p w14:paraId="79D7A81B" w14:textId="77777777" w:rsidR="00DF565E" w:rsidRPr="00032931" w:rsidRDefault="00DF565E" w:rsidP="00F23BAF">
            <w:pPr>
              <w:tabs>
                <w:tab w:val="left" w:pos="-720"/>
                <w:tab w:val="left" w:pos="1503"/>
                <w:tab w:val="left" w:pos="1623"/>
              </w:tabs>
              <w:suppressAutoHyphens/>
              <w:rPr>
                <w:rFonts w:ascii="Times New Roman" w:hAnsi="Times New Roman"/>
                <w:spacing w:val="-3"/>
                <w:sz w:val="26"/>
                <w:szCs w:val="26"/>
              </w:rPr>
            </w:pPr>
            <w:r w:rsidRPr="00032931">
              <w:rPr>
                <w:rFonts w:ascii="Times New Roman" w:hAnsi="Times New Roman"/>
                <w:spacing w:val="-3"/>
                <w:sz w:val="26"/>
                <w:szCs w:val="26"/>
              </w:rPr>
              <w:t>Competitive selection procedures were followed in accordance with the Illinois Procurement Code (30ILCS 500/20-15).</w:t>
            </w:r>
          </w:p>
          <w:p w14:paraId="3210E0E0" w14:textId="338D7BF1" w:rsidR="00DF565E" w:rsidRPr="00F23BAF" w:rsidRDefault="00DF565E" w:rsidP="00F23BAF">
            <w:pPr>
              <w:numPr>
                <w:ilvl w:val="0"/>
                <w:numId w:val="14"/>
              </w:numPr>
              <w:contextualSpacing/>
              <w:rPr>
                <w:rFonts w:ascii="Times New Roman" w:eastAsiaTheme="minorHAnsi" w:hAnsi="Times New Roman"/>
                <w:sz w:val="26"/>
                <w:szCs w:val="26"/>
              </w:rPr>
            </w:pPr>
            <w:r w:rsidRPr="00032931">
              <w:rPr>
                <w:rFonts w:ascii="Times New Roman" w:eastAsiaTheme="minorHAnsi" w:hAnsi="Times New Roman"/>
                <w:sz w:val="26"/>
                <w:szCs w:val="26"/>
              </w:rPr>
              <w:t>The awarded vendor will provide delivery of 87 Unleaded Regular with 10% Ethanol Gasoline, 89 Ethanol (ETOH) Reformulated Unleaded Gasoline, No. 1 Diesel Fuel, No. 2 Diesel Fuel, B11 Bio-Diesel Fuel, and Ultra Low Sulfur Diesel.</w:t>
            </w:r>
          </w:p>
          <w:p w14:paraId="40351407" w14:textId="7F3549FE" w:rsidR="00DF565E" w:rsidRPr="00F23BAF" w:rsidRDefault="00DF565E" w:rsidP="00F23BAF">
            <w:pPr>
              <w:numPr>
                <w:ilvl w:val="0"/>
                <w:numId w:val="14"/>
              </w:numPr>
              <w:spacing w:before="240" w:after="240" w:line="276" w:lineRule="auto"/>
              <w:contextualSpacing/>
              <w:rPr>
                <w:rFonts w:ascii="Times New Roman" w:eastAsiaTheme="minorHAnsi" w:hAnsi="Times New Roman"/>
                <w:sz w:val="26"/>
                <w:szCs w:val="26"/>
              </w:rPr>
            </w:pPr>
            <w:r w:rsidRPr="00032931">
              <w:rPr>
                <w:rFonts w:ascii="Times New Roman" w:eastAsiaTheme="minorHAnsi" w:hAnsi="Times New Roman"/>
                <w:spacing w:val="-1"/>
                <w:sz w:val="26"/>
                <w:szCs w:val="26"/>
              </w:rPr>
              <w:t>The</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pacing w:val="-1"/>
                <w:sz w:val="26"/>
                <w:szCs w:val="26"/>
              </w:rPr>
              <w:t>University</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z w:val="26"/>
                <w:szCs w:val="26"/>
              </w:rPr>
              <w:t>reserves</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z w:val="26"/>
                <w:szCs w:val="26"/>
              </w:rPr>
              <w:t>the</w:t>
            </w:r>
            <w:r w:rsidRPr="00032931">
              <w:rPr>
                <w:rFonts w:ascii="Times New Roman" w:eastAsiaTheme="minorHAnsi" w:hAnsi="Times New Roman"/>
                <w:spacing w:val="13"/>
                <w:sz w:val="26"/>
                <w:szCs w:val="26"/>
              </w:rPr>
              <w:t xml:space="preserve"> </w:t>
            </w:r>
            <w:r w:rsidRPr="00032931">
              <w:rPr>
                <w:rFonts w:ascii="Times New Roman" w:eastAsiaTheme="minorHAnsi" w:hAnsi="Times New Roman"/>
                <w:sz w:val="26"/>
                <w:szCs w:val="26"/>
              </w:rPr>
              <w:t>right</w:t>
            </w:r>
            <w:r w:rsidRPr="00032931">
              <w:rPr>
                <w:rFonts w:ascii="Times New Roman" w:eastAsiaTheme="minorHAnsi" w:hAnsi="Times New Roman"/>
                <w:spacing w:val="13"/>
                <w:sz w:val="26"/>
                <w:szCs w:val="26"/>
              </w:rPr>
              <w:t xml:space="preserve"> </w:t>
            </w:r>
            <w:r w:rsidRPr="00032931">
              <w:rPr>
                <w:rFonts w:ascii="Times New Roman" w:eastAsiaTheme="minorHAnsi" w:hAnsi="Times New Roman"/>
                <w:sz w:val="26"/>
                <w:szCs w:val="26"/>
              </w:rPr>
              <w:t>to</w:t>
            </w:r>
            <w:r w:rsidRPr="00032931">
              <w:rPr>
                <w:rFonts w:ascii="Times New Roman" w:eastAsiaTheme="minorHAnsi" w:hAnsi="Times New Roman"/>
                <w:spacing w:val="13"/>
                <w:sz w:val="26"/>
                <w:szCs w:val="26"/>
              </w:rPr>
              <w:t xml:space="preserve"> </w:t>
            </w:r>
            <w:r w:rsidRPr="00032931">
              <w:rPr>
                <w:rFonts w:ascii="Times New Roman" w:eastAsiaTheme="minorHAnsi" w:hAnsi="Times New Roman"/>
                <w:sz w:val="26"/>
                <w:szCs w:val="26"/>
              </w:rPr>
              <w:t>increase</w:t>
            </w:r>
            <w:r w:rsidRPr="00032931">
              <w:rPr>
                <w:rFonts w:ascii="Times New Roman" w:eastAsiaTheme="minorHAnsi" w:hAnsi="Times New Roman"/>
                <w:spacing w:val="12"/>
                <w:sz w:val="26"/>
                <w:szCs w:val="26"/>
              </w:rPr>
              <w:t xml:space="preserve"> </w:t>
            </w:r>
            <w:r w:rsidRPr="00032931">
              <w:rPr>
                <w:rFonts w:ascii="Times New Roman" w:eastAsiaTheme="minorHAnsi" w:hAnsi="Times New Roman"/>
                <w:sz w:val="26"/>
                <w:szCs w:val="26"/>
              </w:rPr>
              <w:t>or</w:t>
            </w:r>
            <w:r w:rsidRPr="00032931">
              <w:rPr>
                <w:rFonts w:ascii="Times New Roman" w:eastAsiaTheme="minorHAnsi" w:hAnsi="Times New Roman"/>
                <w:spacing w:val="13"/>
                <w:sz w:val="26"/>
                <w:szCs w:val="26"/>
              </w:rPr>
              <w:t xml:space="preserve"> </w:t>
            </w:r>
            <w:r w:rsidRPr="00032931">
              <w:rPr>
                <w:rFonts w:ascii="Times New Roman" w:eastAsiaTheme="minorHAnsi" w:hAnsi="Times New Roman"/>
                <w:sz w:val="26"/>
                <w:szCs w:val="26"/>
              </w:rPr>
              <w:t>decrease</w:t>
            </w:r>
            <w:r w:rsidRPr="00032931">
              <w:rPr>
                <w:rFonts w:ascii="Times New Roman" w:eastAsiaTheme="minorHAnsi" w:hAnsi="Times New Roman"/>
                <w:spacing w:val="15"/>
                <w:sz w:val="26"/>
                <w:szCs w:val="26"/>
              </w:rPr>
              <w:t xml:space="preserve"> </w:t>
            </w:r>
            <w:r w:rsidRPr="00032931">
              <w:rPr>
                <w:rFonts w:ascii="Times New Roman" w:eastAsiaTheme="minorHAnsi" w:hAnsi="Times New Roman"/>
                <w:sz w:val="26"/>
                <w:szCs w:val="26"/>
              </w:rPr>
              <w:t>the</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z w:val="26"/>
                <w:szCs w:val="26"/>
              </w:rPr>
              <w:t>number</w:t>
            </w:r>
            <w:r w:rsidRPr="00032931">
              <w:rPr>
                <w:rFonts w:ascii="Times New Roman" w:eastAsiaTheme="minorHAnsi" w:hAnsi="Times New Roman"/>
                <w:spacing w:val="13"/>
                <w:sz w:val="26"/>
                <w:szCs w:val="26"/>
              </w:rPr>
              <w:t xml:space="preserve"> </w:t>
            </w:r>
            <w:r w:rsidRPr="00032931">
              <w:rPr>
                <w:rFonts w:ascii="Times New Roman" w:eastAsiaTheme="minorHAnsi" w:hAnsi="Times New Roman"/>
                <w:sz w:val="26"/>
                <w:szCs w:val="26"/>
              </w:rPr>
              <w:t>of gross</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pacing w:val="-1"/>
                <w:sz w:val="26"/>
                <w:szCs w:val="26"/>
              </w:rPr>
              <w:t>gallons</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z w:val="26"/>
                <w:szCs w:val="26"/>
              </w:rPr>
              <w:t>of</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pacing w:val="-1"/>
                <w:sz w:val="26"/>
                <w:szCs w:val="26"/>
              </w:rPr>
              <w:t>gas</w:t>
            </w:r>
            <w:r w:rsidRPr="00032931">
              <w:rPr>
                <w:rFonts w:ascii="Times New Roman" w:eastAsiaTheme="minorHAnsi" w:hAnsi="Times New Roman"/>
                <w:spacing w:val="14"/>
                <w:sz w:val="26"/>
                <w:szCs w:val="26"/>
              </w:rPr>
              <w:t xml:space="preserve"> </w:t>
            </w:r>
            <w:r w:rsidRPr="00032931">
              <w:rPr>
                <w:rFonts w:ascii="Times New Roman" w:eastAsiaTheme="minorHAnsi" w:hAnsi="Times New Roman"/>
                <w:sz w:val="26"/>
                <w:szCs w:val="26"/>
              </w:rPr>
              <w:t>and</w:t>
            </w:r>
            <w:r w:rsidRPr="00032931">
              <w:rPr>
                <w:rFonts w:ascii="Times New Roman" w:eastAsiaTheme="minorHAnsi" w:hAnsi="Times New Roman"/>
                <w:spacing w:val="57"/>
                <w:w w:val="99"/>
                <w:sz w:val="26"/>
                <w:szCs w:val="26"/>
              </w:rPr>
              <w:t xml:space="preserve"> </w:t>
            </w:r>
            <w:r w:rsidRPr="00032931">
              <w:rPr>
                <w:rFonts w:ascii="Times New Roman" w:eastAsiaTheme="minorHAnsi" w:hAnsi="Times New Roman"/>
                <w:spacing w:val="-1"/>
                <w:sz w:val="26"/>
                <w:szCs w:val="26"/>
              </w:rPr>
              <w:t>fuel</w:t>
            </w:r>
            <w:r w:rsidRPr="00032931">
              <w:rPr>
                <w:rFonts w:ascii="Times New Roman" w:eastAsiaTheme="minorHAnsi" w:hAnsi="Times New Roman"/>
                <w:spacing w:val="-5"/>
                <w:sz w:val="26"/>
                <w:szCs w:val="26"/>
              </w:rPr>
              <w:t xml:space="preserve"> </w:t>
            </w:r>
            <w:r w:rsidRPr="00032931">
              <w:rPr>
                <w:rFonts w:ascii="Times New Roman" w:eastAsiaTheme="minorHAnsi" w:hAnsi="Times New Roman"/>
                <w:sz w:val="26"/>
                <w:szCs w:val="26"/>
              </w:rPr>
              <w:t>by</w:t>
            </w:r>
            <w:r w:rsidRPr="00032931">
              <w:rPr>
                <w:rFonts w:ascii="Times New Roman" w:eastAsiaTheme="minorHAnsi" w:hAnsi="Times New Roman"/>
                <w:spacing w:val="-4"/>
                <w:sz w:val="26"/>
                <w:szCs w:val="26"/>
              </w:rPr>
              <w:t xml:space="preserve"> </w:t>
            </w:r>
            <w:r w:rsidRPr="00032931">
              <w:rPr>
                <w:rFonts w:ascii="Times New Roman" w:eastAsiaTheme="minorHAnsi" w:hAnsi="Times New Roman"/>
                <w:sz w:val="26"/>
                <w:szCs w:val="26"/>
              </w:rPr>
              <w:t>any</w:t>
            </w:r>
            <w:r w:rsidRPr="00032931">
              <w:rPr>
                <w:rFonts w:ascii="Times New Roman" w:eastAsiaTheme="minorHAnsi" w:hAnsi="Times New Roman"/>
                <w:spacing w:val="-3"/>
                <w:sz w:val="26"/>
                <w:szCs w:val="26"/>
              </w:rPr>
              <w:t xml:space="preserve"> </w:t>
            </w:r>
            <w:r w:rsidRPr="00032931">
              <w:rPr>
                <w:rFonts w:ascii="Times New Roman" w:eastAsiaTheme="minorHAnsi" w:hAnsi="Times New Roman"/>
                <w:spacing w:val="-1"/>
                <w:sz w:val="26"/>
                <w:szCs w:val="26"/>
              </w:rPr>
              <w:t>amount</w:t>
            </w:r>
            <w:r w:rsidRPr="00032931">
              <w:rPr>
                <w:rFonts w:ascii="Times New Roman" w:eastAsiaTheme="minorHAnsi" w:hAnsi="Times New Roman"/>
                <w:spacing w:val="-5"/>
                <w:sz w:val="26"/>
                <w:szCs w:val="26"/>
              </w:rPr>
              <w:t xml:space="preserve"> </w:t>
            </w:r>
            <w:r w:rsidRPr="00032931">
              <w:rPr>
                <w:rFonts w:ascii="Times New Roman" w:eastAsiaTheme="minorHAnsi" w:hAnsi="Times New Roman"/>
                <w:spacing w:val="-1"/>
                <w:sz w:val="26"/>
                <w:szCs w:val="26"/>
              </w:rPr>
              <w:t>deemed</w:t>
            </w:r>
            <w:r w:rsidRPr="00032931">
              <w:rPr>
                <w:rFonts w:ascii="Times New Roman" w:eastAsiaTheme="minorHAnsi" w:hAnsi="Times New Roman"/>
                <w:spacing w:val="-3"/>
                <w:sz w:val="26"/>
                <w:szCs w:val="26"/>
              </w:rPr>
              <w:t xml:space="preserve"> </w:t>
            </w:r>
            <w:r w:rsidRPr="00032931">
              <w:rPr>
                <w:rFonts w:ascii="Times New Roman" w:eastAsiaTheme="minorHAnsi" w:hAnsi="Times New Roman"/>
                <w:spacing w:val="-1"/>
                <w:sz w:val="26"/>
                <w:szCs w:val="26"/>
              </w:rPr>
              <w:t>necessary</w:t>
            </w:r>
            <w:r w:rsidRPr="00032931">
              <w:rPr>
                <w:rFonts w:ascii="Times New Roman" w:eastAsiaTheme="minorHAnsi" w:hAnsi="Times New Roman"/>
                <w:spacing w:val="-4"/>
                <w:sz w:val="26"/>
                <w:szCs w:val="26"/>
              </w:rPr>
              <w:t xml:space="preserve"> </w:t>
            </w:r>
            <w:r w:rsidRPr="00032931">
              <w:rPr>
                <w:rFonts w:ascii="Times New Roman" w:eastAsiaTheme="minorHAnsi" w:hAnsi="Times New Roman"/>
                <w:sz w:val="26"/>
                <w:szCs w:val="26"/>
              </w:rPr>
              <w:t>to</w:t>
            </w:r>
            <w:r w:rsidRPr="00032931">
              <w:rPr>
                <w:rFonts w:ascii="Times New Roman" w:eastAsiaTheme="minorHAnsi" w:hAnsi="Times New Roman"/>
                <w:spacing w:val="-5"/>
                <w:sz w:val="26"/>
                <w:szCs w:val="26"/>
              </w:rPr>
              <w:t xml:space="preserve"> </w:t>
            </w:r>
            <w:r w:rsidRPr="00032931">
              <w:rPr>
                <w:rFonts w:ascii="Times New Roman" w:eastAsiaTheme="minorHAnsi" w:hAnsi="Times New Roman"/>
                <w:spacing w:val="-1"/>
                <w:sz w:val="26"/>
                <w:szCs w:val="26"/>
              </w:rPr>
              <w:t>meet</w:t>
            </w:r>
            <w:r w:rsidRPr="00032931">
              <w:rPr>
                <w:rFonts w:ascii="Times New Roman" w:eastAsiaTheme="minorHAnsi" w:hAnsi="Times New Roman"/>
                <w:spacing w:val="-4"/>
                <w:sz w:val="26"/>
                <w:szCs w:val="26"/>
              </w:rPr>
              <w:t xml:space="preserve"> </w:t>
            </w:r>
            <w:r w:rsidRPr="00032931">
              <w:rPr>
                <w:rFonts w:ascii="Times New Roman" w:eastAsiaTheme="minorHAnsi" w:hAnsi="Times New Roman"/>
                <w:sz w:val="26"/>
                <w:szCs w:val="26"/>
              </w:rPr>
              <w:t>its</w:t>
            </w:r>
            <w:r w:rsidRPr="00032931">
              <w:rPr>
                <w:rFonts w:ascii="Times New Roman" w:eastAsiaTheme="minorHAnsi" w:hAnsi="Times New Roman"/>
                <w:spacing w:val="-6"/>
                <w:sz w:val="26"/>
                <w:szCs w:val="26"/>
              </w:rPr>
              <w:t xml:space="preserve"> </w:t>
            </w:r>
            <w:r w:rsidRPr="00032931">
              <w:rPr>
                <w:rFonts w:ascii="Times New Roman" w:eastAsiaTheme="minorHAnsi" w:hAnsi="Times New Roman"/>
                <w:spacing w:val="-1"/>
                <w:sz w:val="26"/>
                <w:szCs w:val="26"/>
              </w:rPr>
              <w:t xml:space="preserve">needs </w:t>
            </w:r>
            <w:r w:rsidRPr="00032931">
              <w:rPr>
                <w:rFonts w:ascii="Times New Roman" w:eastAsiaTheme="minorHAnsi" w:hAnsi="Times New Roman"/>
                <w:sz w:val="26"/>
                <w:szCs w:val="26"/>
              </w:rPr>
              <w:t>without</w:t>
            </w:r>
            <w:r w:rsidRPr="00032931">
              <w:rPr>
                <w:rFonts w:ascii="Times New Roman" w:eastAsiaTheme="minorHAnsi" w:hAnsi="Times New Roman"/>
                <w:spacing w:val="-5"/>
                <w:sz w:val="26"/>
                <w:szCs w:val="26"/>
              </w:rPr>
              <w:t xml:space="preserve"> </w:t>
            </w:r>
            <w:r w:rsidRPr="00032931">
              <w:rPr>
                <w:rFonts w:ascii="Times New Roman" w:eastAsiaTheme="minorHAnsi" w:hAnsi="Times New Roman"/>
                <w:sz w:val="26"/>
                <w:szCs w:val="26"/>
              </w:rPr>
              <w:t>any</w:t>
            </w:r>
            <w:r w:rsidRPr="00032931">
              <w:rPr>
                <w:rFonts w:ascii="Times New Roman" w:eastAsiaTheme="minorHAnsi" w:hAnsi="Times New Roman"/>
                <w:spacing w:val="-5"/>
                <w:sz w:val="26"/>
                <w:szCs w:val="26"/>
              </w:rPr>
              <w:t xml:space="preserve"> </w:t>
            </w:r>
            <w:r w:rsidRPr="00032931">
              <w:rPr>
                <w:rFonts w:ascii="Times New Roman" w:eastAsiaTheme="minorHAnsi" w:hAnsi="Times New Roman"/>
                <w:spacing w:val="-1"/>
                <w:sz w:val="26"/>
                <w:szCs w:val="26"/>
              </w:rPr>
              <w:t>adjustments</w:t>
            </w:r>
            <w:r w:rsidRPr="00032931">
              <w:rPr>
                <w:rFonts w:ascii="Times New Roman" w:eastAsiaTheme="minorHAnsi" w:hAnsi="Times New Roman"/>
                <w:spacing w:val="-6"/>
                <w:sz w:val="26"/>
                <w:szCs w:val="26"/>
              </w:rPr>
              <w:t xml:space="preserve"> </w:t>
            </w:r>
            <w:r w:rsidRPr="00032931">
              <w:rPr>
                <w:rFonts w:ascii="Times New Roman" w:eastAsiaTheme="minorHAnsi" w:hAnsi="Times New Roman"/>
                <w:spacing w:val="-1"/>
                <w:sz w:val="26"/>
                <w:szCs w:val="26"/>
              </w:rPr>
              <w:t>in</w:t>
            </w:r>
            <w:r w:rsidRPr="00032931">
              <w:rPr>
                <w:rFonts w:ascii="Times New Roman" w:eastAsiaTheme="minorHAnsi" w:hAnsi="Times New Roman"/>
                <w:spacing w:val="-3"/>
                <w:sz w:val="26"/>
                <w:szCs w:val="26"/>
              </w:rPr>
              <w:t xml:space="preserve"> </w:t>
            </w:r>
            <w:r w:rsidRPr="00032931">
              <w:rPr>
                <w:rFonts w:ascii="Times New Roman" w:eastAsiaTheme="minorHAnsi" w:hAnsi="Times New Roman"/>
                <w:sz w:val="26"/>
                <w:szCs w:val="26"/>
              </w:rPr>
              <w:t>the</w:t>
            </w:r>
            <w:r w:rsidRPr="00032931">
              <w:rPr>
                <w:rFonts w:ascii="Times New Roman" w:eastAsiaTheme="minorHAnsi" w:hAnsi="Times New Roman"/>
                <w:spacing w:val="-6"/>
                <w:sz w:val="26"/>
                <w:szCs w:val="26"/>
              </w:rPr>
              <w:t xml:space="preserve"> </w:t>
            </w:r>
            <w:r w:rsidRPr="00032931">
              <w:rPr>
                <w:rFonts w:ascii="Times New Roman" w:eastAsiaTheme="minorHAnsi" w:hAnsi="Times New Roman"/>
                <w:spacing w:val="-1"/>
                <w:sz w:val="26"/>
                <w:szCs w:val="26"/>
              </w:rPr>
              <w:t>bid</w:t>
            </w:r>
            <w:r w:rsidRPr="00032931">
              <w:rPr>
                <w:rFonts w:ascii="Times New Roman" w:eastAsiaTheme="minorHAnsi" w:hAnsi="Times New Roman"/>
                <w:spacing w:val="-4"/>
                <w:sz w:val="26"/>
                <w:szCs w:val="26"/>
              </w:rPr>
              <w:t xml:space="preserve"> </w:t>
            </w:r>
            <w:r w:rsidRPr="00032931">
              <w:rPr>
                <w:rFonts w:ascii="Times New Roman" w:eastAsiaTheme="minorHAnsi" w:hAnsi="Times New Roman"/>
                <w:spacing w:val="-1"/>
                <w:sz w:val="26"/>
                <w:szCs w:val="26"/>
              </w:rPr>
              <w:t xml:space="preserve">price.  </w:t>
            </w:r>
          </w:p>
          <w:p w14:paraId="04EDA114" w14:textId="2CB66711" w:rsidR="00DF565E" w:rsidRPr="00F23BAF" w:rsidRDefault="00DF565E" w:rsidP="00F23BAF">
            <w:pPr>
              <w:numPr>
                <w:ilvl w:val="0"/>
                <w:numId w:val="14"/>
              </w:numPr>
              <w:spacing w:after="0" w:line="240" w:lineRule="auto"/>
              <w:contextualSpacing/>
              <w:rPr>
                <w:rFonts w:ascii="Times New Roman" w:eastAsiaTheme="minorHAnsi" w:hAnsi="Times New Roman"/>
                <w:sz w:val="26"/>
                <w:szCs w:val="26"/>
              </w:rPr>
            </w:pPr>
            <w:r w:rsidRPr="00032931">
              <w:rPr>
                <w:rFonts w:ascii="Times New Roman" w:eastAsiaTheme="minorHAnsi" w:hAnsi="Times New Roman"/>
                <w:sz w:val="26"/>
                <w:szCs w:val="26"/>
              </w:rPr>
              <w:t>Delivery terms: F.O.B. destination.</w:t>
            </w:r>
          </w:p>
          <w:p w14:paraId="2B4935F6" w14:textId="3A6484D8" w:rsidR="00DF565E" w:rsidRPr="00032931" w:rsidRDefault="00DF565E" w:rsidP="00F23BAF">
            <w:pPr>
              <w:numPr>
                <w:ilvl w:val="0"/>
                <w:numId w:val="14"/>
              </w:numPr>
              <w:spacing w:before="240" w:after="240" w:line="276" w:lineRule="auto"/>
              <w:contextualSpacing/>
              <w:rPr>
                <w:rFonts w:ascii="Times New Roman" w:eastAsiaTheme="minorHAnsi" w:hAnsi="Times New Roman"/>
                <w:sz w:val="26"/>
                <w:szCs w:val="26"/>
              </w:rPr>
            </w:pPr>
            <w:r w:rsidRPr="00032931">
              <w:rPr>
                <w:rFonts w:ascii="Times New Roman" w:eastAsiaTheme="minorHAnsi" w:hAnsi="Times New Roman"/>
                <w:sz w:val="26"/>
                <w:szCs w:val="26"/>
              </w:rPr>
              <w:t xml:space="preserve">Vendor shall make all deliveries seven (7) days a week during the business hours of 6:30 a.m. to 2:30 </w:t>
            </w:r>
            <w:proofErr w:type="spellStart"/>
            <w:r w:rsidRPr="00032931">
              <w:rPr>
                <w:rFonts w:ascii="Times New Roman" w:eastAsiaTheme="minorHAnsi" w:hAnsi="Times New Roman"/>
                <w:sz w:val="26"/>
                <w:szCs w:val="26"/>
              </w:rPr>
              <w:t>p.m</w:t>
            </w:r>
            <w:proofErr w:type="spellEnd"/>
            <w:r w:rsidRPr="00032931">
              <w:rPr>
                <w:rFonts w:ascii="Times New Roman" w:eastAsiaTheme="minorHAnsi" w:hAnsi="Times New Roman"/>
                <w:sz w:val="26"/>
                <w:szCs w:val="26"/>
              </w:rPr>
              <w:t xml:space="preserve">, including Holidays. </w:t>
            </w:r>
            <w:r w:rsidRPr="00032931">
              <w:rPr>
                <w:rFonts w:ascii="Times New Roman" w:eastAsiaTheme="minorHAnsi" w:hAnsi="Times New Roman"/>
                <w:spacing w:val="-1"/>
                <w:sz w:val="26"/>
                <w:szCs w:val="26"/>
              </w:rPr>
              <w:t>No 2 Ultra Low Sulfur Diesel Fuel must be delivered within 12 hours and all other items must be delivered within 48 hours of being notified by an authorized staff member or representative of the University.</w:t>
            </w:r>
          </w:p>
          <w:p w14:paraId="32A7F2F6" w14:textId="77777777" w:rsidR="00DF565E" w:rsidRPr="00846F8D" w:rsidRDefault="00DF565E" w:rsidP="00F23BAF">
            <w:pPr>
              <w:spacing w:after="0" w:line="240" w:lineRule="auto"/>
              <w:ind w:left="720"/>
              <w:contextualSpacing/>
              <w:rPr>
                <w:rFonts w:ascii="Times New Roman" w:eastAsiaTheme="minorHAnsi" w:hAnsi="Times New Roman"/>
                <w:sz w:val="26"/>
                <w:szCs w:val="26"/>
              </w:rPr>
            </w:pPr>
          </w:p>
          <w:p w14:paraId="7020A3FA" w14:textId="6AAA2816" w:rsidR="00DF565E" w:rsidRPr="00032931" w:rsidRDefault="00BE5A4B" w:rsidP="001519F5">
            <w:pPr>
              <w:spacing w:after="0" w:line="240" w:lineRule="auto"/>
              <w:ind w:left="300"/>
              <w:contextualSpacing/>
              <w:rPr>
                <w:rFonts w:ascii="Times New Roman" w:eastAsiaTheme="minorHAnsi" w:hAnsi="Times New Roman"/>
                <w:sz w:val="26"/>
                <w:szCs w:val="26"/>
              </w:rPr>
            </w:pPr>
            <w:r>
              <w:rPr>
                <w:rFonts w:ascii="Times New Roman" w:eastAsia="Times New Roman" w:hAnsi="Times New Roman"/>
                <w:sz w:val="26"/>
                <w:szCs w:val="26"/>
              </w:rPr>
              <w:t>The awarded vendor is certified BEP (WBE)</w:t>
            </w:r>
            <w:r w:rsidR="001519F5">
              <w:rPr>
                <w:rFonts w:ascii="Times New Roman" w:eastAsiaTheme="minorHAnsi" w:hAnsi="Times New Roman"/>
                <w:sz w:val="26"/>
                <w:szCs w:val="26"/>
              </w:rPr>
              <w:t>.</w:t>
            </w:r>
          </w:p>
        </w:tc>
      </w:tr>
      <w:bookmarkEnd w:id="4"/>
    </w:tbl>
    <w:p w14:paraId="75CA28DE" w14:textId="77777777" w:rsidR="00032931" w:rsidRPr="00032931" w:rsidRDefault="00032931" w:rsidP="00032931">
      <w:pPr>
        <w:spacing w:after="0" w:line="240" w:lineRule="auto"/>
        <w:rPr>
          <w:rFonts w:ascii="Times New Roman" w:hAnsi="Times New Roman"/>
          <w:sz w:val="26"/>
          <w:szCs w:val="26"/>
        </w:rPr>
        <w:sectPr w:rsidR="00032931" w:rsidRPr="00032931" w:rsidSect="00B26CF7">
          <w:headerReference w:type="even" r:id="rId8"/>
          <w:headerReference w:type="default" r:id="rId9"/>
          <w:pgSz w:w="12240" w:h="15840"/>
          <w:pgMar w:top="1440" w:right="1440" w:bottom="270" w:left="1440" w:header="720" w:footer="720" w:gutter="0"/>
          <w:cols w:space="720"/>
          <w:docGrid w:linePitch="360"/>
        </w:sectPr>
      </w:pPr>
    </w:p>
    <w:p w14:paraId="5ED8ACCB" w14:textId="77777777" w:rsidR="00861FBB" w:rsidRPr="00220F05" w:rsidRDefault="00861FBB" w:rsidP="00861FB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5" w:name="_Hlk115865076"/>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861FBB" w:rsidRPr="00220F05" w14:paraId="2D113CAD" w14:textId="77777777" w:rsidTr="005B5B93">
        <w:trPr>
          <w:trHeight w:val="114"/>
        </w:trPr>
        <w:tc>
          <w:tcPr>
            <w:tcW w:w="9454" w:type="dxa"/>
            <w:tcBorders>
              <w:top w:val="single" w:sz="18" w:space="0" w:color="auto"/>
              <w:bottom w:val="single" w:sz="18" w:space="0" w:color="auto"/>
            </w:tcBorders>
          </w:tcPr>
          <w:p w14:paraId="3969DB5C" w14:textId="6F3877FB" w:rsidR="00861FBB" w:rsidRPr="00220F05" w:rsidRDefault="00861FBB" w:rsidP="005B5B93">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w:t>
            </w:r>
            <w:r>
              <w:rPr>
                <w:rFonts w:ascii="Times New Roman" w:eastAsia="Times New Roman" w:hAnsi="Times New Roman"/>
                <w:b/>
                <w:sz w:val="26"/>
                <w:szCs w:val="26"/>
              </w:rPr>
              <w:t>System Office</w:t>
            </w:r>
          </w:p>
        </w:tc>
      </w:tr>
    </w:tbl>
    <w:p w14:paraId="0951940A" w14:textId="77777777" w:rsidR="00861FBB" w:rsidRDefault="00861FBB" w:rsidP="00861FB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61FBB" w:rsidRPr="00E50F57" w14:paraId="33410508" w14:textId="77777777" w:rsidTr="005B5B93">
        <w:trPr>
          <w:trHeight w:val="120"/>
        </w:trPr>
        <w:tc>
          <w:tcPr>
            <w:tcW w:w="342" w:type="dxa"/>
            <w:tcBorders>
              <w:bottom w:val="double" w:sz="6" w:space="0" w:color="auto"/>
            </w:tcBorders>
          </w:tcPr>
          <w:p w14:paraId="19A8F949" w14:textId="55F2034F" w:rsidR="00861FBB" w:rsidRPr="00E50F57" w:rsidRDefault="00861FBB" w:rsidP="005B5B93">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02701B19"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21CC3CB1" w14:textId="2BAA1715" w:rsidR="00861FBB" w:rsidRPr="00C77C31" w:rsidRDefault="00861FBB" w:rsidP="005B5B93">
            <w:pPr>
              <w:pStyle w:val="NoSpacing"/>
              <w:rPr>
                <w:rFonts w:ascii="Times New Roman" w:hAnsi="Times New Roman"/>
                <w:sz w:val="26"/>
                <w:szCs w:val="26"/>
              </w:rPr>
            </w:pPr>
            <w:r>
              <w:rPr>
                <w:rFonts w:ascii="Times New Roman" w:hAnsi="Times New Roman"/>
                <w:spacing w:val="-3"/>
                <w:sz w:val="26"/>
                <w:szCs w:val="26"/>
              </w:rPr>
              <w:t>Economic Development and Innovation</w:t>
            </w:r>
          </w:p>
        </w:tc>
      </w:tr>
      <w:tr w:rsidR="00861FBB" w:rsidRPr="00C77C31" w14:paraId="085A6D4E" w14:textId="77777777" w:rsidTr="005B5B93">
        <w:trPr>
          <w:trHeight w:val="648"/>
        </w:trPr>
        <w:tc>
          <w:tcPr>
            <w:tcW w:w="342" w:type="dxa"/>
          </w:tcPr>
          <w:p w14:paraId="606ACD42" w14:textId="77777777" w:rsidR="00861FBB" w:rsidRPr="00C77C31" w:rsidRDefault="00861FBB" w:rsidP="005B5B93">
            <w:pPr>
              <w:pStyle w:val="NoSpacing"/>
              <w:rPr>
                <w:rFonts w:ascii="Times New Roman" w:hAnsi="Times New Roman"/>
                <w:sz w:val="26"/>
                <w:szCs w:val="26"/>
              </w:rPr>
            </w:pPr>
          </w:p>
        </w:tc>
        <w:tc>
          <w:tcPr>
            <w:tcW w:w="990" w:type="dxa"/>
          </w:tcPr>
          <w:p w14:paraId="7C515682" w14:textId="77777777" w:rsidR="00861FBB" w:rsidRPr="00C77C31" w:rsidRDefault="00861FBB" w:rsidP="005B5B93">
            <w:pPr>
              <w:pStyle w:val="NoSpacing"/>
              <w:rPr>
                <w:rFonts w:ascii="Times New Roman" w:hAnsi="Times New Roman"/>
                <w:sz w:val="26"/>
                <w:szCs w:val="26"/>
              </w:rPr>
            </w:pPr>
          </w:p>
          <w:p w14:paraId="5770AAE4"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1858DBCD" w14:textId="77777777" w:rsidR="00861FBB" w:rsidRPr="00E42C5B" w:rsidRDefault="00861FBB" w:rsidP="005B5B93">
            <w:pPr>
              <w:pStyle w:val="NoSpacing"/>
              <w:jc w:val="both"/>
              <w:rPr>
                <w:rFonts w:ascii="Times New Roman" w:hAnsi="Times New Roman"/>
                <w:sz w:val="26"/>
                <w:szCs w:val="26"/>
              </w:rPr>
            </w:pPr>
          </w:p>
          <w:p w14:paraId="23F4FB53" w14:textId="18DFB39D" w:rsidR="00861FBB" w:rsidRPr="00E42C5B" w:rsidRDefault="00861FBB" w:rsidP="005B5B93">
            <w:pPr>
              <w:pStyle w:val="NoSpacing"/>
              <w:jc w:val="both"/>
              <w:rPr>
                <w:rFonts w:ascii="Times New Roman" w:hAnsi="Times New Roman"/>
                <w:b/>
                <w:sz w:val="26"/>
                <w:szCs w:val="26"/>
              </w:rPr>
            </w:pPr>
            <w:r>
              <w:rPr>
                <w:rFonts w:ascii="Times New Roman" w:hAnsi="Times New Roman"/>
                <w:sz w:val="26"/>
                <w:szCs w:val="26"/>
              </w:rPr>
              <w:t>Task Order for consulting services to assist with duties supporting the federal Broadband, Equity, Adoption, and Deployment (BEAD) and Digital Equity (DE) programs, including completion of Illinois’s 5-Year Action Plan and Digital Equity Plan.</w:t>
            </w:r>
          </w:p>
        </w:tc>
      </w:tr>
      <w:tr w:rsidR="00861FBB" w:rsidRPr="00C77C31" w14:paraId="424820F5" w14:textId="77777777" w:rsidTr="005B5B93">
        <w:trPr>
          <w:trHeight w:val="315"/>
        </w:trPr>
        <w:tc>
          <w:tcPr>
            <w:tcW w:w="342" w:type="dxa"/>
          </w:tcPr>
          <w:p w14:paraId="10200E20" w14:textId="77777777" w:rsidR="00861FBB" w:rsidRPr="00C77C31" w:rsidRDefault="00861FBB" w:rsidP="005B5B93">
            <w:pPr>
              <w:pStyle w:val="NoSpacing"/>
              <w:rPr>
                <w:rFonts w:ascii="Times New Roman" w:hAnsi="Times New Roman"/>
                <w:sz w:val="26"/>
                <w:szCs w:val="26"/>
              </w:rPr>
            </w:pPr>
          </w:p>
        </w:tc>
        <w:tc>
          <w:tcPr>
            <w:tcW w:w="990" w:type="dxa"/>
          </w:tcPr>
          <w:p w14:paraId="38CA8B5C" w14:textId="77777777" w:rsidR="00861FBB" w:rsidRPr="00C77C31" w:rsidRDefault="00861FBB" w:rsidP="005B5B93">
            <w:pPr>
              <w:pStyle w:val="NoSpacing"/>
              <w:rPr>
                <w:rFonts w:ascii="Times New Roman" w:hAnsi="Times New Roman"/>
                <w:sz w:val="26"/>
                <w:szCs w:val="26"/>
              </w:rPr>
            </w:pPr>
          </w:p>
          <w:p w14:paraId="4D5128EE"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3D9C0A81" w14:textId="77777777" w:rsidR="00861FBB" w:rsidRPr="00C77C31" w:rsidRDefault="00861FBB" w:rsidP="005B5B93">
            <w:pPr>
              <w:pStyle w:val="NoSpacing"/>
              <w:rPr>
                <w:rFonts w:ascii="Times New Roman" w:hAnsi="Times New Roman"/>
                <w:sz w:val="26"/>
                <w:szCs w:val="26"/>
              </w:rPr>
            </w:pPr>
          </w:p>
          <w:p w14:paraId="264BBAC0" w14:textId="40FAF8BC" w:rsidR="00861FBB" w:rsidRPr="00C77C31" w:rsidRDefault="00861FBB" w:rsidP="005B5B93">
            <w:pPr>
              <w:pStyle w:val="NoSpacing"/>
              <w:rPr>
                <w:rFonts w:ascii="Times New Roman" w:hAnsi="Times New Roman"/>
                <w:sz w:val="26"/>
                <w:szCs w:val="26"/>
              </w:rPr>
            </w:pPr>
            <w:r>
              <w:rPr>
                <w:rFonts w:ascii="Times New Roman" w:hAnsi="Times New Roman"/>
                <w:sz w:val="26"/>
                <w:szCs w:val="26"/>
              </w:rPr>
              <w:t>$5,000,000 (estimated)</w:t>
            </w:r>
          </w:p>
        </w:tc>
      </w:tr>
      <w:tr w:rsidR="00861FBB" w:rsidRPr="00C77C31" w14:paraId="391D37BB" w14:textId="77777777" w:rsidTr="005B5B93">
        <w:trPr>
          <w:trHeight w:val="150"/>
        </w:trPr>
        <w:tc>
          <w:tcPr>
            <w:tcW w:w="342" w:type="dxa"/>
          </w:tcPr>
          <w:p w14:paraId="64251C3C" w14:textId="77777777" w:rsidR="00861FBB" w:rsidRPr="00C77C31" w:rsidRDefault="00861FBB" w:rsidP="005B5B93">
            <w:pPr>
              <w:pStyle w:val="NoSpacing"/>
              <w:rPr>
                <w:rFonts w:ascii="Times New Roman" w:hAnsi="Times New Roman"/>
                <w:sz w:val="26"/>
                <w:szCs w:val="26"/>
              </w:rPr>
            </w:pPr>
          </w:p>
        </w:tc>
        <w:tc>
          <w:tcPr>
            <w:tcW w:w="990" w:type="dxa"/>
            <w:shd w:val="clear" w:color="auto" w:fill="auto"/>
          </w:tcPr>
          <w:p w14:paraId="7EB923B4" w14:textId="77777777" w:rsidR="00861FBB" w:rsidRPr="00C77C31" w:rsidRDefault="00861FBB" w:rsidP="005B5B93">
            <w:pPr>
              <w:pStyle w:val="NoSpacing"/>
              <w:rPr>
                <w:rFonts w:ascii="Times New Roman" w:hAnsi="Times New Roman"/>
                <w:sz w:val="26"/>
                <w:szCs w:val="26"/>
              </w:rPr>
            </w:pPr>
          </w:p>
          <w:p w14:paraId="1F9B9E8A"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301DC836" w14:textId="77777777" w:rsidR="00861FBB" w:rsidRPr="00C77C31" w:rsidRDefault="00861FBB" w:rsidP="005B5B93">
            <w:pPr>
              <w:pStyle w:val="NoSpacing"/>
              <w:rPr>
                <w:rFonts w:ascii="Times New Roman" w:hAnsi="Times New Roman"/>
                <w:sz w:val="26"/>
                <w:szCs w:val="26"/>
              </w:rPr>
            </w:pPr>
          </w:p>
          <w:p w14:paraId="01967C50" w14:textId="4DF2382A" w:rsidR="00861FBB" w:rsidRDefault="00861FBB" w:rsidP="005B5B93">
            <w:pPr>
              <w:pStyle w:val="NoSpacing"/>
              <w:jc w:val="both"/>
              <w:rPr>
                <w:rFonts w:ascii="Times New Roman" w:hAnsi="Times New Roman"/>
                <w:bCs/>
                <w:sz w:val="26"/>
                <w:szCs w:val="26"/>
              </w:rPr>
            </w:pPr>
            <w:r>
              <w:rPr>
                <w:rFonts w:ascii="Times New Roman" w:hAnsi="Times New Roman"/>
                <w:bCs/>
                <w:sz w:val="26"/>
                <w:szCs w:val="26"/>
              </w:rPr>
              <w:t xml:space="preserve">McKinsey &amp; Company, Inc.                                                Washington, D.C. </w:t>
            </w:r>
          </w:p>
          <w:p w14:paraId="052BC17D" w14:textId="77777777" w:rsidR="00861FBB" w:rsidRDefault="00861FBB" w:rsidP="005B5B93">
            <w:pPr>
              <w:pStyle w:val="NoSpacing"/>
              <w:jc w:val="both"/>
              <w:rPr>
                <w:rFonts w:ascii="Times New Roman" w:hAnsi="Times New Roman"/>
                <w:bCs/>
                <w:sz w:val="26"/>
                <w:szCs w:val="26"/>
              </w:rPr>
            </w:pPr>
          </w:p>
          <w:p w14:paraId="0787BF60"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 xml:space="preserve">This is an award of a task order to McKinsey &amp; Company, Inc. based on the request for proposal (RFP) 1JWS1805 for Consulting for Strategic/Financial Planning and Related Services.  </w:t>
            </w:r>
          </w:p>
          <w:p w14:paraId="7DC5820A" w14:textId="77777777" w:rsidR="00861FBB" w:rsidRPr="00861FBB" w:rsidRDefault="00861FBB" w:rsidP="00861FBB">
            <w:pPr>
              <w:pStyle w:val="NoSpacing"/>
              <w:rPr>
                <w:rFonts w:ascii="Times New Roman" w:hAnsi="Times New Roman"/>
                <w:sz w:val="26"/>
                <w:szCs w:val="26"/>
              </w:rPr>
            </w:pPr>
          </w:p>
          <w:p w14:paraId="1D1AB45E"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In May of 2018, the University published solicitation reference number 1JWS1805, a request for proposal (RFP) to provide consulting services in two categories: 1) strategic planning and related services and 2) financial and process analysis.  Proposals were opened on June 28, 2018.</w:t>
            </w:r>
          </w:p>
          <w:p w14:paraId="24864202" w14:textId="77777777" w:rsidR="00861FBB" w:rsidRPr="00861FBB" w:rsidRDefault="00861FBB" w:rsidP="00861FBB">
            <w:pPr>
              <w:pStyle w:val="NoSpacing"/>
              <w:rPr>
                <w:rFonts w:ascii="Times New Roman" w:hAnsi="Times New Roman"/>
                <w:sz w:val="26"/>
                <w:szCs w:val="26"/>
              </w:rPr>
            </w:pPr>
          </w:p>
          <w:p w14:paraId="4D9F019F"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 xml:space="preserve">A team of five evaluators evaluated the 23 qualified proposals. The University’s RFP stated that it would select up to five awardees for each of the identified categories (strategic planning and related services, and financial and process analysis).  The award would establish a qualified pool of vendors.  When an individual project becomes available under the award, the University would send a task order outlining the scope of work to the respondents in the relevant category for the services being requested.  The RFP did not request pricing information.  Pricing was to be requested and evaluated at the time of a specific task order evaluation.  </w:t>
            </w:r>
            <w:r w:rsidRPr="00861FBB">
              <w:rPr>
                <w:rFonts w:ascii="Times New Roman" w:hAnsi="Times New Roman"/>
                <w:sz w:val="26"/>
                <w:szCs w:val="26"/>
              </w:rPr>
              <w:br/>
            </w:r>
          </w:p>
          <w:p w14:paraId="680E01C2"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In December 2018, the University published its intent to award the top five scoring respondents, which were the same for both categories.  The awarded vendors are:</w:t>
            </w:r>
          </w:p>
          <w:p w14:paraId="7C6656E0" w14:textId="77777777" w:rsidR="00861FBB" w:rsidRPr="00861FBB" w:rsidRDefault="00861FBB" w:rsidP="00861FBB">
            <w:pPr>
              <w:pStyle w:val="NoSpacing"/>
              <w:numPr>
                <w:ilvl w:val="0"/>
                <w:numId w:val="15"/>
              </w:numPr>
              <w:rPr>
                <w:rFonts w:ascii="Times New Roman" w:hAnsi="Times New Roman"/>
                <w:sz w:val="26"/>
                <w:szCs w:val="26"/>
              </w:rPr>
            </w:pPr>
            <w:r w:rsidRPr="00861FBB">
              <w:rPr>
                <w:rFonts w:ascii="Times New Roman" w:hAnsi="Times New Roman"/>
                <w:sz w:val="26"/>
                <w:szCs w:val="26"/>
              </w:rPr>
              <w:t>Baker Tilly Virchow Krause, LLP</w:t>
            </w:r>
          </w:p>
          <w:p w14:paraId="7D1FC2B0" w14:textId="77777777" w:rsidR="00861FBB" w:rsidRPr="00861FBB" w:rsidRDefault="00861FBB" w:rsidP="00861FBB">
            <w:pPr>
              <w:pStyle w:val="NoSpacing"/>
              <w:numPr>
                <w:ilvl w:val="0"/>
                <w:numId w:val="15"/>
              </w:numPr>
              <w:rPr>
                <w:rFonts w:ascii="Times New Roman" w:hAnsi="Times New Roman"/>
                <w:sz w:val="26"/>
                <w:szCs w:val="26"/>
              </w:rPr>
            </w:pPr>
            <w:r w:rsidRPr="00861FBB">
              <w:rPr>
                <w:rFonts w:ascii="Times New Roman" w:hAnsi="Times New Roman"/>
                <w:sz w:val="26"/>
                <w:szCs w:val="26"/>
              </w:rPr>
              <w:t>The Boston Consulting Group, Inc.</w:t>
            </w:r>
          </w:p>
          <w:p w14:paraId="467CC8C2" w14:textId="77777777" w:rsidR="00861FBB" w:rsidRPr="00861FBB" w:rsidRDefault="00861FBB" w:rsidP="00861FBB">
            <w:pPr>
              <w:pStyle w:val="NoSpacing"/>
              <w:numPr>
                <w:ilvl w:val="0"/>
                <w:numId w:val="15"/>
              </w:numPr>
              <w:rPr>
                <w:rFonts w:ascii="Times New Roman" w:hAnsi="Times New Roman"/>
                <w:sz w:val="26"/>
                <w:szCs w:val="26"/>
              </w:rPr>
            </w:pPr>
            <w:r w:rsidRPr="00861FBB">
              <w:rPr>
                <w:rFonts w:ascii="Times New Roman" w:hAnsi="Times New Roman"/>
                <w:sz w:val="26"/>
                <w:szCs w:val="26"/>
              </w:rPr>
              <w:t>Ernst &amp; Young LLP</w:t>
            </w:r>
          </w:p>
          <w:p w14:paraId="3C2E86D4" w14:textId="77777777" w:rsidR="00861FBB" w:rsidRPr="00861FBB" w:rsidRDefault="00861FBB" w:rsidP="00861FBB">
            <w:pPr>
              <w:pStyle w:val="NoSpacing"/>
              <w:numPr>
                <w:ilvl w:val="0"/>
                <w:numId w:val="15"/>
              </w:numPr>
              <w:rPr>
                <w:rFonts w:ascii="Times New Roman" w:hAnsi="Times New Roman"/>
                <w:sz w:val="26"/>
                <w:szCs w:val="26"/>
              </w:rPr>
            </w:pPr>
            <w:r w:rsidRPr="00861FBB">
              <w:rPr>
                <w:rFonts w:ascii="Times New Roman" w:hAnsi="Times New Roman"/>
                <w:sz w:val="26"/>
                <w:szCs w:val="26"/>
              </w:rPr>
              <w:t>Huron Consulting Services LLC</w:t>
            </w:r>
          </w:p>
          <w:p w14:paraId="5FF75060" w14:textId="77777777" w:rsidR="00861FBB" w:rsidRPr="00861FBB" w:rsidRDefault="00861FBB" w:rsidP="00861FBB">
            <w:pPr>
              <w:pStyle w:val="NoSpacing"/>
              <w:numPr>
                <w:ilvl w:val="0"/>
                <w:numId w:val="15"/>
              </w:numPr>
              <w:rPr>
                <w:rFonts w:ascii="Times New Roman" w:hAnsi="Times New Roman"/>
                <w:sz w:val="26"/>
                <w:szCs w:val="26"/>
              </w:rPr>
            </w:pPr>
            <w:r w:rsidRPr="00861FBB">
              <w:rPr>
                <w:rFonts w:ascii="Times New Roman" w:hAnsi="Times New Roman"/>
                <w:sz w:val="26"/>
                <w:szCs w:val="26"/>
              </w:rPr>
              <w:t>McKinsey &amp; Company, Inc.</w:t>
            </w:r>
          </w:p>
          <w:p w14:paraId="2DD35927" w14:textId="77777777" w:rsidR="00861FBB" w:rsidRPr="00861FBB" w:rsidRDefault="00861FBB" w:rsidP="00861FBB">
            <w:pPr>
              <w:pStyle w:val="NoSpacing"/>
              <w:rPr>
                <w:rFonts w:ascii="Times New Roman" w:hAnsi="Times New Roman"/>
                <w:sz w:val="26"/>
                <w:szCs w:val="26"/>
              </w:rPr>
            </w:pPr>
          </w:p>
          <w:p w14:paraId="201004B0"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lastRenderedPageBreak/>
              <w:t>In June of 2021, the University published its intent to renew the five awards under solicitation 1JWS1805.  The first renewal term is from 7/1/2021 through 6/30/2024.  The costs of this renewal were estimated at $16 Million.  There is still one three-year renewal option remaining.</w:t>
            </w:r>
          </w:p>
          <w:p w14:paraId="21908D69" w14:textId="77777777" w:rsidR="00861FBB" w:rsidRPr="00861FBB" w:rsidRDefault="00861FBB" w:rsidP="00861FBB">
            <w:pPr>
              <w:pStyle w:val="NoSpacing"/>
              <w:rPr>
                <w:rFonts w:ascii="Times New Roman" w:hAnsi="Times New Roman"/>
                <w:sz w:val="26"/>
                <w:szCs w:val="26"/>
              </w:rPr>
            </w:pPr>
          </w:p>
          <w:p w14:paraId="418DB4D5"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A task order specific to the BEAD and DE project was sent to the five awardees. Three (3) awardees responded.  McKinsey and Company, Inc. was selected based on best-value selection and will assist in the initiative summarized below.</w:t>
            </w:r>
            <w:r w:rsidRPr="00861FBB">
              <w:rPr>
                <w:rFonts w:ascii="Times New Roman" w:hAnsi="Times New Roman"/>
                <w:sz w:val="26"/>
                <w:szCs w:val="26"/>
              </w:rPr>
              <w:br/>
            </w:r>
          </w:p>
          <w:p w14:paraId="745F385A"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 xml:space="preserve">Through the Illinois Broadband Lab collaboration, the Board of Trustees of the University of Illinois (University) and its Illinois Innovation Network (IIN) assists the Illinois Office of Broadband, housed within the Illinois Department of Commerce and Economic Opportunity (DCEO), with implementation and administration of the Connect Illinois Broadband Grant Program and related programming. The collaborative work leverages funding and programs established through the American Rescue Plan Act or Infrastructure Investment and Jobs Act. </w:t>
            </w:r>
          </w:p>
          <w:p w14:paraId="0401C0E5" w14:textId="77777777" w:rsidR="00861FBB" w:rsidRPr="00861FBB" w:rsidRDefault="00861FBB" w:rsidP="00861FBB">
            <w:pPr>
              <w:pStyle w:val="NoSpacing"/>
              <w:rPr>
                <w:rFonts w:ascii="Times New Roman" w:hAnsi="Times New Roman"/>
                <w:sz w:val="26"/>
                <w:szCs w:val="26"/>
              </w:rPr>
            </w:pPr>
          </w:p>
          <w:p w14:paraId="5251CFC1"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This federally funded programming and work include but is not limited to, provisions included in the Infrastructure Investment and Jobs Act, which dedicates $42.5 billion to broadband network expansion and $2.75 billion to establish three digital equity grant programs. Together, these programs promote broadband deployment and digital equity to ensure that all individuals and communities have the skills, technology, and capacity needed to reap the benefits of a 21st digital economy.</w:t>
            </w:r>
          </w:p>
          <w:p w14:paraId="279C12A8" w14:textId="77777777" w:rsidR="00861FBB" w:rsidRPr="00861FBB" w:rsidRDefault="00861FBB" w:rsidP="00861FBB">
            <w:pPr>
              <w:pStyle w:val="NoSpacing"/>
              <w:rPr>
                <w:rFonts w:ascii="Times New Roman" w:hAnsi="Times New Roman"/>
                <w:sz w:val="26"/>
                <w:szCs w:val="26"/>
              </w:rPr>
            </w:pPr>
          </w:p>
          <w:p w14:paraId="29846DF5" w14:textId="77777777" w:rsidR="00861FBB" w:rsidRPr="00861FBB" w:rsidRDefault="00861FBB" w:rsidP="00861FBB">
            <w:pPr>
              <w:pStyle w:val="NoSpacing"/>
              <w:rPr>
                <w:rFonts w:ascii="Times New Roman" w:hAnsi="Times New Roman"/>
                <w:sz w:val="26"/>
                <w:szCs w:val="26"/>
              </w:rPr>
            </w:pPr>
            <w:r w:rsidRPr="00861FBB">
              <w:rPr>
                <w:rFonts w:ascii="Times New Roman" w:hAnsi="Times New Roman"/>
                <w:sz w:val="26"/>
                <w:szCs w:val="26"/>
              </w:rPr>
              <w:t>Funding specific to this project will be appropriated through the National Telecommunications &amp; Information Administration (part of U.S. Department of Commerce) that will be granted to the Illinois Department of Commerce and Economic Opportunity (IL DCEO).  IL DCEO will then relay the funding to the U of I System.</w:t>
            </w:r>
          </w:p>
          <w:p w14:paraId="587B08F3" w14:textId="77777777" w:rsidR="00861FBB" w:rsidRPr="00861FBB" w:rsidRDefault="00861FBB" w:rsidP="00861FBB">
            <w:pPr>
              <w:pStyle w:val="NoSpacing"/>
              <w:rPr>
                <w:rFonts w:ascii="Times New Roman" w:hAnsi="Times New Roman"/>
                <w:sz w:val="26"/>
                <w:szCs w:val="26"/>
              </w:rPr>
            </w:pPr>
          </w:p>
          <w:p w14:paraId="20F5C4C1" w14:textId="03132DEB" w:rsidR="00861FBB" w:rsidRDefault="00861FBB" w:rsidP="00861FBB">
            <w:pPr>
              <w:pStyle w:val="NoSpacing"/>
              <w:jc w:val="both"/>
              <w:rPr>
                <w:rFonts w:ascii="Times New Roman" w:hAnsi="Times New Roman"/>
                <w:sz w:val="26"/>
                <w:szCs w:val="26"/>
              </w:rPr>
            </w:pPr>
            <w:r w:rsidRPr="00861FBB">
              <w:rPr>
                <w:rFonts w:ascii="Times New Roman" w:hAnsi="Times New Roman"/>
                <w:sz w:val="26"/>
                <w:szCs w:val="26"/>
              </w:rPr>
              <w:t xml:space="preserve">A 25% aspirational BEP goal was established for this procurement.  McKinsey &amp; Company, Inc. will use Seventeenth Addition for an estimated 9% of the services and Columbia Telecommunications Corporation dba CTC Technology &amp; Energy for 16% of the services.  </w:t>
            </w:r>
          </w:p>
          <w:p w14:paraId="0F89F47D" w14:textId="77777777" w:rsidR="00861FBB" w:rsidRDefault="00861FBB" w:rsidP="005B5B93">
            <w:pPr>
              <w:pStyle w:val="NoSpacing"/>
              <w:jc w:val="both"/>
              <w:rPr>
                <w:rFonts w:ascii="Times New Roman" w:hAnsi="Times New Roman"/>
                <w:sz w:val="26"/>
                <w:szCs w:val="26"/>
              </w:rPr>
            </w:pPr>
          </w:p>
          <w:p w14:paraId="3A7517C2" w14:textId="77777777" w:rsidR="00861FBB" w:rsidRPr="00C77C31" w:rsidRDefault="00861FBB" w:rsidP="005B5B93">
            <w:pPr>
              <w:pStyle w:val="NoSpacing"/>
              <w:jc w:val="both"/>
              <w:rPr>
                <w:rFonts w:ascii="Times New Roman" w:hAnsi="Times New Roman"/>
                <w:sz w:val="26"/>
                <w:szCs w:val="26"/>
              </w:rPr>
            </w:pPr>
          </w:p>
        </w:tc>
      </w:tr>
    </w:tbl>
    <w:p w14:paraId="40407EBA" w14:textId="2CEEA003"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597D54A7" w14:textId="38256209"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0D2EC52B" w14:textId="77777777"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14D8DE66" w14:textId="77777777"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4EE435A8" w14:textId="054A778C" w:rsidR="006735E7" w:rsidRPr="00162A4C"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 xml:space="preserve">RENEWAL OPTIONS </w:t>
      </w:r>
      <w:r w:rsidRPr="00162A4C">
        <w:rPr>
          <w:rFonts w:ascii="Times New Roman" w:eastAsia="Times New Roman" w:hAnsi="Times New Roman"/>
          <w:b/>
          <w:color w:val="000000"/>
          <w:sz w:val="26"/>
          <w:szCs w:val="26"/>
        </w:rPr>
        <w:t>RECOMMENDED</w:t>
      </w:r>
    </w:p>
    <w:p w14:paraId="23EB427A" w14:textId="77777777" w:rsidR="006735E7" w:rsidRPr="00162A4C" w:rsidRDefault="006735E7" w:rsidP="006735E7">
      <w:pPr>
        <w:spacing w:after="0" w:line="240" w:lineRule="auto"/>
        <w:rPr>
          <w:rFonts w:ascii="Times New Roman" w:hAnsi="Times New Roman"/>
          <w:vanish/>
          <w:sz w:val="26"/>
          <w:szCs w:val="26"/>
        </w:rPr>
      </w:pPr>
    </w:p>
    <w:p w14:paraId="13621100" w14:textId="77777777" w:rsidR="006735E7" w:rsidRPr="00220F05"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6735E7" w:rsidRPr="00220F05" w14:paraId="1D424C5C" w14:textId="77777777" w:rsidTr="00D506C3">
        <w:trPr>
          <w:trHeight w:val="114"/>
        </w:trPr>
        <w:tc>
          <w:tcPr>
            <w:tcW w:w="9454" w:type="dxa"/>
            <w:tcBorders>
              <w:top w:val="single" w:sz="18" w:space="0" w:color="auto"/>
              <w:bottom w:val="single" w:sz="18" w:space="0" w:color="auto"/>
            </w:tcBorders>
          </w:tcPr>
          <w:p w14:paraId="3432D5D6" w14:textId="647DCF49" w:rsidR="006735E7" w:rsidRPr="00220F05" w:rsidRDefault="006735E7" w:rsidP="00D506C3">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Urbana-Champaign</w:t>
            </w:r>
          </w:p>
        </w:tc>
      </w:tr>
    </w:tbl>
    <w:p w14:paraId="13782231" w14:textId="77777777" w:rsidR="006735E7"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6735E7" w:rsidRPr="00E50F57" w14:paraId="2D0D953B" w14:textId="77777777" w:rsidTr="00D506C3">
        <w:trPr>
          <w:trHeight w:val="120"/>
        </w:trPr>
        <w:tc>
          <w:tcPr>
            <w:tcW w:w="342" w:type="dxa"/>
            <w:tcBorders>
              <w:bottom w:val="double" w:sz="6" w:space="0" w:color="auto"/>
            </w:tcBorders>
          </w:tcPr>
          <w:p w14:paraId="02C47132" w14:textId="4075D4BA" w:rsidR="006735E7" w:rsidRPr="00E50F57" w:rsidRDefault="00861FBB" w:rsidP="00D506C3">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453731E7"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7182413C" w14:textId="57EE6927" w:rsidR="006735E7" w:rsidRPr="00C77C31" w:rsidRDefault="006735E7" w:rsidP="00D506C3">
            <w:pPr>
              <w:pStyle w:val="NoSpacing"/>
              <w:rPr>
                <w:rFonts w:ascii="Times New Roman" w:hAnsi="Times New Roman"/>
                <w:sz w:val="26"/>
                <w:szCs w:val="26"/>
              </w:rPr>
            </w:pPr>
            <w:r w:rsidRPr="006735E7">
              <w:rPr>
                <w:rFonts w:ascii="Times New Roman" w:hAnsi="Times New Roman"/>
                <w:spacing w:val="-3"/>
                <w:sz w:val="26"/>
                <w:szCs w:val="26"/>
              </w:rPr>
              <w:t>Department of Atmospheric Sciences</w:t>
            </w:r>
          </w:p>
        </w:tc>
      </w:tr>
      <w:tr w:rsidR="006735E7" w:rsidRPr="00C77C31" w14:paraId="39444550" w14:textId="77777777" w:rsidTr="00D506C3">
        <w:trPr>
          <w:trHeight w:val="648"/>
        </w:trPr>
        <w:tc>
          <w:tcPr>
            <w:tcW w:w="342" w:type="dxa"/>
          </w:tcPr>
          <w:p w14:paraId="7D22CAC7" w14:textId="77777777" w:rsidR="006735E7" w:rsidRPr="00C77C31" w:rsidRDefault="006735E7" w:rsidP="00D506C3">
            <w:pPr>
              <w:pStyle w:val="NoSpacing"/>
              <w:rPr>
                <w:rFonts w:ascii="Times New Roman" w:hAnsi="Times New Roman"/>
                <w:sz w:val="26"/>
                <w:szCs w:val="26"/>
              </w:rPr>
            </w:pPr>
          </w:p>
        </w:tc>
        <w:tc>
          <w:tcPr>
            <w:tcW w:w="990" w:type="dxa"/>
          </w:tcPr>
          <w:p w14:paraId="3ACA2609" w14:textId="77777777" w:rsidR="006735E7" w:rsidRPr="00C77C31" w:rsidRDefault="006735E7" w:rsidP="00D506C3">
            <w:pPr>
              <w:pStyle w:val="NoSpacing"/>
              <w:rPr>
                <w:rFonts w:ascii="Times New Roman" w:hAnsi="Times New Roman"/>
                <w:sz w:val="26"/>
                <w:szCs w:val="26"/>
              </w:rPr>
            </w:pPr>
          </w:p>
          <w:p w14:paraId="7821F6EA"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4A0A726F" w14:textId="77777777" w:rsidR="006735E7" w:rsidRPr="00E42C5B" w:rsidRDefault="006735E7" w:rsidP="00D506C3">
            <w:pPr>
              <w:pStyle w:val="NoSpacing"/>
              <w:jc w:val="both"/>
              <w:rPr>
                <w:rFonts w:ascii="Times New Roman" w:hAnsi="Times New Roman"/>
                <w:sz w:val="26"/>
                <w:szCs w:val="26"/>
              </w:rPr>
            </w:pPr>
          </w:p>
          <w:p w14:paraId="0DD4D6E2" w14:textId="7D6F2D65" w:rsidR="006735E7" w:rsidRPr="00E42C5B" w:rsidRDefault="006735E7" w:rsidP="00D506C3">
            <w:pPr>
              <w:pStyle w:val="NoSpacing"/>
              <w:jc w:val="both"/>
              <w:rPr>
                <w:rFonts w:ascii="Times New Roman" w:hAnsi="Times New Roman"/>
                <w:b/>
                <w:sz w:val="26"/>
                <w:szCs w:val="26"/>
              </w:rPr>
            </w:pPr>
            <w:r w:rsidRPr="006735E7">
              <w:rPr>
                <w:rFonts w:ascii="Times New Roman" w:hAnsi="Times New Roman"/>
                <w:sz w:val="26"/>
                <w:szCs w:val="26"/>
              </w:rPr>
              <w:t>Renewal option for the rental of Meteorological Equipment and Science Engineering Support for the period October 23, 2022, through October 22, 2023.</w:t>
            </w:r>
          </w:p>
        </w:tc>
      </w:tr>
      <w:tr w:rsidR="006735E7" w:rsidRPr="00C77C31" w14:paraId="1C36A295" w14:textId="77777777" w:rsidTr="00D506C3">
        <w:trPr>
          <w:trHeight w:val="315"/>
        </w:trPr>
        <w:tc>
          <w:tcPr>
            <w:tcW w:w="342" w:type="dxa"/>
          </w:tcPr>
          <w:p w14:paraId="0B23E429" w14:textId="77777777" w:rsidR="006735E7" w:rsidRPr="00C77C31" w:rsidRDefault="006735E7" w:rsidP="00D506C3">
            <w:pPr>
              <w:pStyle w:val="NoSpacing"/>
              <w:rPr>
                <w:rFonts w:ascii="Times New Roman" w:hAnsi="Times New Roman"/>
                <w:sz w:val="26"/>
                <w:szCs w:val="26"/>
              </w:rPr>
            </w:pPr>
          </w:p>
        </w:tc>
        <w:tc>
          <w:tcPr>
            <w:tcW w:w="990" w:type="dxa"/>
          </w:tcPr>
          <w:p w14:paraId="7AF4A10E" w14:textId="77777777" w:rsidR="006735E7" w:rsidRPr="00C77C31" w:rsidRDefault="006735E7" w:rsidP="00D506C3">
            <w:pPr>
              <w:pStyle w:val="NoSpacing"/>
              <w:rPr>
                <w:rFonts w:ascii="Times New Roman" w:hAnsi="Times New Roman"/>
                <w:sz w:val="26"/>
                <w:szCs w:val="26"/>
              </w:rPr>
            </w:pPr>
          </w:p>
          <w:p w14:paraId="15D37DB7"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6D8A910C" w14:textId="77777777" w:rsidR="006735E7" w:rsidRPr="00C77C31" w:rsidRDefault="006735E7" w:rsidP="00D506C3">
            <w:pPr>
              <w:pStyle w:val="NoSpacing"/>
              <w:rPr>
                <w:rFonts w:ascii="Times New Roman" w:hAnsi="Times New Roman"/>
                <w:sz w:val="26"/>
                <w:szCs w:val="26"/>
              </w:rPr>
            </w:pPr>
          </w:p>
          <w:p w14:paraId="77EB62B5" w14:textId="4272F61E" w:rsidR="006735E7" w:rsidRPr="00C77C31" w:rsidRDefault="006735E7" w:rsidP="00D506C3">
            <w:pPr>
              <w:pStyle w:val="NoSpacing"/>
              <w:rPr>
                <w:rFonts w:ascii="Times New Roman" w:hAnsi="Times New Roman"/>
                <w:sz w:val="26"/>
                <w:szCs w:val="26"/>
              </w:rPr>
            </w:pPr>
            <w:r>
              <w:rPr>
                <w:rFonts w:ascii="Times New Roman" w:hAnsi="Times New Roman"/>
                <w:sz w:val="26"/>
                <w:szCs w:val="26"/>
              </w:rPr>
              <w:t>$2,000,000 (estimated)</w:t>
            </w:r>
          </w:p>
        </w:tc>
      </w:tr>
      <w:tr w:rsidR="006735E7" w:rsidRPr="00C77C31" w14:paraId="552D9152" w14:textId="77777777" w:rsidTr="00D506C3">
        <w:trPr>
          <w:trHeight w:val="150"/>
        </w:trPr>
        <w:tc>
          <w:tcPr>
            <w:tcW w:w="342" w:type="dxa"/>
          </w:tcPr>
          <w:p w14:paraId="7707E619" w14:textId="77777777" w:rsidR="006735E7" w:rsidRPr="00C77C31" w:rsidRDefault="006735E7" w:rsidP="00D506C3">
            <w:pPr>
              <w:pStyle w:val="NoSpacing"/>
              <w:rPr>
                <w:rFonts w:ascii="Times New Roman" w:hAnsi="Times New Roman"/>
                <w:sz w:val="26"/>
                <w:szCs w:val="26"/>
              </w:rPr>
            </w:pPr>
          </w:p>
        </w:tc>
        <w:tc>
          <w:tcPr>
            <w:tcW w:w="990" w:type="dxa"/>
            <w:shd w:val="clear" w:color="auto" w:fill="auto"/>
          </w:tcPr>
          <w:p w14:paraId="0513413A" w14:textId="77777777" w:rsidR="006735E7" w:rsidRPr="00C77C31" w:rsidRDefault="006735E7" w:rsidP="00D506C3">
            <w:pPr>
              <w:pStyle w:val="NoSpacing"/>
              <w:rPr>
                <w:rFonts w:ascii="Times New Roman" w:hAnsi="Times New Roman"/>
                <w:sz w:val="26"/>
                <w:szCs w:val="26"/>
              </w:rPr>
            </w:pPr>
          </w:p>
          <w:p w14:paraId="4EB9F02A"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4E3F4789" w14:textId="77777777" w:rsidR="006735E7" w:rsidRPr="00C77C31" w:rsidRDefault="006735E7" w:rsidP="00D506C3">
            <w:pPr>
              <w:pStyle w:val="NoSpacing"/>
              <w:rPr>
                <w:rFonts w:ascii="Times New Roman" w:hAnsi="Times New Roman"/>
                <w:sz w:val="26"/>
                <w:szCs w:val="26"/>
              </w:rPr>
            </w:pPr>
          </w:p>
          <w:p w14:paraId="0A3FF44C" w14:textId="319DE4F9" w:rsidR="006735E7" w:rsidRDefault="006735E7" w:rsidP="00D506C3">
            <w:pPr>
              <w:pStyle w:val="NoSpacing"/>
              <w:jc w:val="both"/>
              <w:rPr>
                <w:rFonts w:ascii="Times New Roman" w:hAnsi="Times New Roman"/>
                <w:bCs/>
                <w:sz w:val="26"/>
                <w:szCs w:val="26"/>
              </w:rPr>
            </w:pPr>
            <w:r>
              <w:rPr>
                <w:rFonts w:ascii="Times New Roman" w:hAnsi="Times New Roman"/>
                <w:bCs/>
                <w:sz w:val="26"/>
                <w:szCs w:val="26"/>
              </w:rPr>
              <w:t xml:space="preserve">Targeted Meteorological Systems </w:t>
            </w:r>
            <w:r w:rsidRPr="00E42C5B">
              <w:rPr>
                <w:rFonts w:ascii="Times New Roman" w:hAnsi="Times New Roman"/>
                <w:bCs/>
                <w:sz w:val="26"/>
                <w:szCs w:val="26"/>
              </w:rPr>
              <w:t xml:space="preserve">              </w:t>
            </w:r>
            <w:r>
              <w:rPr>
                <w:rFonts w:ascii="Times New Roman" w:hAnsi="Times New Roman"/>
                <w:bCs/>
                <w:sz w:val="26"/>
                <w:szCs w:val="26"/>
              </w:rPr>
              <w:t xml:space="preserve">                  </w:t>
            </w:r>
            <w:r w:rsidR="00AB6641">
              <w:rPr>
                <w:rFonts w:ascii="Times New Roman" w:hAnsi="Times New Roman"/>
                <w:bCs/>
                <w:sz w:val="26"/>
                <w:szCs w:val="26"/>
              </w:rPr>
              <w:t xml:space="preserve">     </w:t>
            </w:r>
            <w:r>
              <w:rPr>
                <w:rFonts w:ascii="Times New Roman" w:hAnsi="Times New Roman"/>
                <w:bCs/>
                <w:sz w:val="26"/>
                <w:szCs w:val="26"/>
              </w:rPr>
              <w:t xml:space="preserve"> Boulder, Colorado </w:t>
            </w:r>
          </w:p>
          <w:p w14:paraId="10CA4658" w14:textId="3AF95F75" w:rsidR="006735E7" w:rsidRDefault="006735E7" w:rsidP="00D506C3">
            <w:pPr>
              <w:pStyle w:val="NoSpacing"/>
              <w:jc w:val="both"/>
              <w:rPr>
                <w:rFonts w:ascii="Times New Roman" w:hAnsi="Times New Roman"/>
                <w:bCs/>
                <w:sz w:val="26"/>
                <w:szCs w:val="26"/>
              </w:rPr>
            </w:pPr>
          </w:p>
          <w:p w14:paraId="713B1BF6" w14:textId="77777777" w:rsidR="006735E7" w:rsidRPr="006735E7" w:rsidRDefault="006735E7" w:rsidP="00F23BAF">
            <w:pPr>
              <w:pStyle w:val="NoSpacing"/>
              <w:rPr>
                <w:rFonts w:ascii="Times New Roman" w:hAnsi="Times New Roman"/>
                <w:sz w:val="26"/>
                <w:szCs w:val="26"/>
              </w:rPr>
            </w:pPr>
            <w:r w:rsidRPr="006735E7">
              <w:rPr>
                <w:rFonts w:ascii="Times New Roman" w:hAnsi="Times New Roman"/>
                <w:sz w:val="26"/>
                <w:szCs w:val="26"/>
              </w:rPr>
              <w:t>This will exercise the second of six renewal options approved by the Board of Trustees on November 18, 2021, for an estimated $1,300,000 for the period October 23, 2021, through October 22, 2022.  This purchase is a sole source because the items are required for research and no other source can meet the researcher’s documented need.</w:t>
            </w:r>
          </w:p>
          <w:p w14:paraId="03ACA322" w14:textId="77777777" w:rsidR="006735E7" w:rsidRPr="006735E7" w:rsidRDefault="006735E7" w:rsidP="006735E7">
            <w:pPr>
              <w:pStyle w:val="NoSpacing"/>
              <w:jc w:val="both"/>
              <w:rPr>
                <w:rFonts w:ascii="Times New Roman" w:hAnsi="Times New Roman"/>
                <w:sz w:val="26"/>
                <w:szCs w:val="26"/>
              </w:rPr>
            </w:pPr>
          </w:p>
          <w:p w14:paraId="10FAFF16" w14:textId="77777777" w:rsidR="006735E7" w:rsidRPr="006735E7" w:rsidRDefault="006735E7" w:rsidP="00F23BAF">
            <w:pPr>
              <w:pStyle w:val="NoSpacing"/>
              <w:rPr>
                <w:rFonts w:ascii="Times New Roman" w:hAnsi="Times New Roman"/>
                <w:sz w:val="26"/>
                <w:szCs w:val="26"/>
              </w:rPr>
            </w:pPr>
            <w:r w:rsidRPr="006735E7">
              <w:rPr>
                <w:rFonts w:ascii="Times New Roman" w:hAnsi="Times New Roman"/>
                <w:sz w:val="26"/>
                <w:szCs w:val="26"/>
              </w:rPr>
              <w:t>The Department of Atmospheric Sciences is conducting research that involves collecting unique data on atmospheric and related phenomena that will allow research into, but not limited to, such topics as how tornadoes are generated within lines of thunderstorms, and what controls the snowfall rates in large snowstorms.</w:t>
            </w:r>
          </w:p>
          <w:p w14:paraId="08189728" w14:textId="77777777" w:rsidR="006735E7" w:rsidRPr="006735E7" w:rsidRDefault="006735E7" w:rsidP="006735E7">
            <w:pPr>
              <w:pStyle w:val="NoSpacing"/>
              <w:jc w:val="both"/>
              <w:rPr>
                <w:rFonts w:ascii="Times New Roman" w:hAnsi="Times New Roman"/>
                <w:sz w:val="26"/>
                <w:szCs w:val="26"/>
              </w:rPr>
            </w:pPr>
          </w:p>
          <w:p w14:paraId="0BCFDBE8" w14:textId="48657178" w:rsidR="006735E7" w:rsidRDefault="006735E7" w:rsidP="00F23BAF">
            <w:pPr>
              <w:pStyle w:val="NoSpacing"/>
              <w:rPr>
                <w:rFonts w:ascii="Times New Roman" w:hAnsi="Times New Roman"/>
                <w:sz w:val="26"/>
                <w:szCs w:val="26"/>
              </w:rPr>
            </w:pPr>
            <w:r w:rsidRPr="006735E7">
              <w:rPr>
                <w:rFonts w:ascii="Times New Roman" w:hAnsi="Times New Roman"/>
                <w:sz w:val="26"/>
                <w:szCs w:val="26"/>
              </w:rPr>
              <w:t xml:space="preserve">Targeted Meteorological Systems (TMS) will provide multiple mobile X-Band radars, a deployable C-Band radar and vehicles equipped with meteorological sensors for observing meteorological conditions, weather balloon launch systems, and educational support for these sensors for faculty-led research, teaching, and service/outreach.  TMS has the only systems and support personnel capable of making the radar and other meteorological measurements as required.  The TMS radars are the only dual-wavelength vehicle mount dual-polarization radars.  This capability enables scan rates twice that of a </w:t>
            </w:r>
            <w:r w:rsidR="00E6061D">
              <w:rPr>
                <w:rFonts w:ascii="Times New Roman" w:hAnsi="Times New Roman"/>
                <w:sz w:val="26"/>
                <w:szCs w:val="26"/>
              </w:rPr>
              <w:t>single-frequency</w:t>
            </w:r>
            <w:r w:rsidRPr="006735E7">
              <w:rPr>
                <w:rFonts w:ascii="Times New Roman" w:hAnsi="Times New Roman"/>
                <w:sz w:val="26"/>
                <w:szCs w:val="26"/>
              </w:rPr>
              <w:t xml:space="preserve"> radar system.  This allows double </w:t>
            </w:r>
            <w:r w:rsidR="00E85A4C">
              <w:rPr>
                <w:rFonts w:ascii="Times New Roman" w:hAnsi="Times New Roman"/>
                <w:sz w:val="26"/>
                <w:szCs w:val="26"/>
              </w:rPr>
              <w:t>data collection</w:t>
            </w:r>
            <w:r w:rsidRPr="006735E7">
              <w:rPr>
                <w:rFonts w:ascii="Times New Roman" w:hAnsi="Times New Roman"/>
                <w:sz w:val="26"/>
                <w:szCs w:val="26"/>
              </w:rPr>
              <w:t xml:space="preserve"> as other mobile radar facilities, </w:t>
            </w:r>
            <w:r w:rsidR="00E6061D">
              <w:rPr>
                <w:rFonts w:ascii="Times New Roman" w:hAnsi="Times New Roman"/>
                <w:sz w:val="26"/>
                <w:szCs w:val="26"/>
              </w:rPr>
              <w:t>reducing measurement errors</w:t>
            </w:r>
            <w:r w:rsidRPr="006735E7">
              <w:rPr>
                <w:rFonts w:ascii="Times New Roman" w:hAnsi="Times New Roman"/>
                <w:sz w:val="26"/>
                <w:szCs w:val="26"/>
              </w:rPr>
              <w:t xml:space="preserve"> due to slow data collection.</w:t>
            </w:r>
          </w:p>
          <w:p w14:paraId="547AD953" w14:textId="07F031F4" w:rsidR="006735E7" w:rsidRDefault="006735E7" w:rsidP="006735E7">
            <w:pPr>
              <w:pStyle w:val="NoSpacing"/>
              <w:jc w:val="both"/>
              <w:rPr>
                <w:rFonts w:ascii="Times New Roman" w:hAnsi="Times New Roman"/>
                <w:sz w:val="26"/>
                <w:szCs w:val="26"/>
              </w:rPr>
            </w:pPr>
          </w:p>
          <w:p w14:paraId="24B9073A" w14:textId="77777777" w:rsidR="006735E7" w:rsidRDefault="006735E7" w:rsidP="006735E7">
            <w:pPr>
              <w:pStyle w:val="NoSpacing"/>
              <w:jc w:val="both"/>
              <w:rPr>
                <w:rFonts w:ascii="Times New Roman" w:hAnsi="Times New Roman"/>
                <w:sz w:val="26"/>
                <w:szCs w:val="26"/>
              </w:rPr>
            </w:pPr>
          </w:p>
          <w:p w14:paraId="528BB863" w14:textId="77777777" w:rsidR="006735E7" w:rsidRPr="00C77C31" w:rsidRDefault="006735E7" w:rsidP="00D506C3">
            <w:pPr>
              <w:pStyle w:val="NoSpacing"/>
              <w:jc w:val="both"/>
              <w:rPr>
                <w:rFonts w:ascii="Times New Roman" w:hAnsi="Times New Roman"/>
                <w:sz w:val="26"/>
                <w:szCs w:val="26"/>
              </w:rPr>
            </w:pPr>
          </w:p>
        </w:tc>
      </w:tr>
    </w:tbl>
    <w:p w14:paraId="256226F9" w14:textId="77777777" w:rsidR="006735E7" w:rsidRDefault="006735E7"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17A2D92F" w14:textId="77777777" w:rsidR="006735E7" w:rsidRDefault="006735E7"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158DB31C" w14:textId="417DF167" w:rsidR="004C72BE" w:rsidRPr="00162A4C" w:rsidRDefault="004C72BE"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 xml:space="preserve">CHANGE ORDER </w:t>
      </w:r>
      <w:r w:rsidRPr="00162A4C">
        <w:rPr>
          <w:rFonts w:ascii="Times New Roman" w:eastAsia="Times New Roman" w:hAnsi="Times New Roman"/>
          <w:b/>
          <w:color w:val="000000"/>
          <w:sz w:val="26"/>
          <w:szCs w:val="26"/>
        </w:rPr>
        <w:t>RECOMMENDED</w:t>
      </w:r>
    </w:p>
    <w:p w14:paraId="781CE706" w14:textId="77777777" w:rsidR="004C72BE" w:rsidRPr="00162A4C" w:rsidRDefault="004C72BE" w:rsidP="004C72BE">
      <w:pPr>
        <w:spacing w:after="0" w:line="240" w:lineRule="auto"/>
        <w:rPr>
          <w:rFonts w:ascii="Times New Roman" w:hAnsi="Times New Roman"/>
          <w:vanish/>
          <w:sz w:val="26"/>
          <w:szCs w:val="26"/>
        </w:rPr>
      </w:pPr>
    </w:p>
    <w:p w14:paraId="07D7D7AE" w14:textId="77777777" w:rsidR="004C72BE" w:rsidRPr="00220F05" w:rsidRDefault="004C72BE"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4C72BE" w:rsidRPr="00220F05" w14:paraId="2518EB82" w14:textId="77777777" w:rsidTr="007E33C0">
        <w:trPr>
          <w:trHeight w:val="114"/>
        </w:trPr>
        <w:tc>
          <w:tcPr>
            <w:tcW w:w="9454" w:type="dxa"/>
            <w:tcBorders>
              <w:top w:val="single" w:sz="18" w:space="0" w:color="auto"/>
              <w:bottom w:val="single" w:sz="18" w:space="0" w:color="auto"/>
            </w:tcBorders>
          </w:tcPr>
          <w:p w14:paraId="7E79E37B" w14:textId="77777777" w:rsidR="004C72BE" w:rsidRPr="00220F05" w:rsidRDefault="004C72BE" w:rsidP="007E33C0">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Chicago</w:t>
            </w:r>
          </w:p>
        </w:tc>
      </w:tr>
      <w:bookmarkEnd w:id="5"/>
    </w:tbl>
    <w:p w14:paraId="480F9D96" w14:textId="77777777" w:rsidR="004C72BE" w:rsidRDefault="004C72BE"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E27893" w:rsidRPr="00E50F57" w14:paraId="24BCC4E1" w14:textId="77777777" w:rsidTr="007E33C0">
        <w:trPr>
          <w:trHeight w:val="120"/>
        </w:trPr>
        <w:tc>
          <w:tcPr>
            <w:tcW w:w="342" w:type="dxa"/>
            <w:tcBorders>
              <w:bottom w:val="double" w:sz="6" w:space="0" w:color="auto"/>
            </w:tcBorders>
          </w:tcPr>
          <w:p w14:paraId="1A1D68A6" w14:textId="48FDE6FB" w:rsidR="00E27893" w:rsidRPr="00E50F57" w:rsidRDefault="00861FBB" w:rsidP="00E27893">
            <w:pPr>
              <w:pStyle w:val="NoSpacing"/>
              <w:rPr>
                <w:rFonts w:ascii="Times New Roman" w:hAnsi="Times New Roman"/>
                <w:sz w:val="26"/>
                <w:szCs w:val="26"/>
              </w:rPr>
            </w:pPr>
            <w:r>
              <w:rPr>
                <w:rFonts w:ascii="Times New Roman" w:hAnsi="Times New Roman"/>
                <w:sz w:val="26"/>
                <w:szCs w:val="26"/>
              </w:rPr>
              <w:t>6</w:t>
            </w:r>
          </w:p>
        </w:tc>
        <w:tc>
          <w:tcPr>
            <w:tcW w:w="990" w:type="dxa"/>
            <w:tcBorders>
              <w:bottom w:val="double" w:sz="6" w:space="0" w:color="auto"/>
            </w:tcBorders>
          </w:tcPr>
          <w:p w14:paraId="75446405" w14:textId="77777777" w:rsidR="00E27893" w:rsidRPr="00C77C31" w:rsidRDefault="00E27893" w:rsidP="00E27893">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5BBE0B1A" w14:textId="7AAF6791" w:rsidR="00E27893" w:rsidRPr="00C77C31" w:rsidRDefault="00E27893" w:rsidP="00E27893">
            <w:pPr>
              <w:pStyle w:val="NoSpacing"/>
              <w:rPr>
                <w:rFonts w:ascii="Times New Roman" w:hAnsi="Times New Roman"/>
                <w:sz w:val="26"/>
                <w:szCs w:val="26"/>
              </w:rPr>
            </w:pPr>
            <w:r>
              <w:rPr>
                <w:rFonts w:ascii="Times New Roman" w:hAnsi="Times New Roman"/>
                <w:spacing w:val="-3"/>
                <w:sz w:val="26"/>
                <w:szCs w:val="26"/>
              </w:rPr>
              <w:t>Office of the Vice Chancellor for Administrative Services</w:t>
            </w:r>
          </w:p>
        </w:tc>
      </w:tr>
      <w:tr w:rsidR="00E27893" w:rsidRPr="00C77C31" w14:paraId="77384B2B" w14:textId="77777777" w:rsidTr="007E33C0">
        <w:trPr>
          <w:trHeight w:val="648"/>
        </w:trPr>
        <w:tc>
          <w:tcPr>
            <w:tcW w:w="342" w:type="dxa"/>
          </w:tcPr>
          <w:p w14:paraId="78D9BCCF" w14:textId="77777777" w:rsidR="00E27893" w:rsidRPr="00C77C31" w:rsidRDefault="00E27893" w:rsidP="00E27893">
            <w:pPr>
              <w:pStyle w:val="NoSpacing"/>
              <w:rPr>
                <w:rFonts w:ascii="Times New Roman" w:hAnsi="Times New Roman"/>
                <w:sz w:val="26"/>
                <w:szCs w:val="26"/>
              </w:rPr>
            </w:pPr>
          </w:p>
        </w:tc>
        <w:tc>
          <w:tcPr>
            <w:tcW w:w="990" w:type="dxa"/>
          </w:tcPr>
          <w:p w14:paraId="542D3F91" w14:textId="77777777" w:rsidR="00E27893" w:rsidRPr="00C77C31" w:rsidRDefault="00E27893" w:rsidP="00E27893">
            <w:pPr>
              <w:pStyle w:val="NoSpacing"/>
              <w:rPr>
                <w:rFonts w:ascii="Times New Roman" w:hAnsi="Times New Roman"/>
                <w:sz w:val="26"/>
                <w:szCs w:val="26"/>
              </w:rPr>
            </w:pPr>
          </w:p>
          <w:p w14:paraId="66EC8CF1" w14:textId="77777777" w:rsidR="00E27893" w:rsidRPr="00C77C31" w:rsidRDefault="00E27893" w:rsidP="00E27893">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1BE7EFA4" w14:textId="77777777" w:rsidR="00E27893" w:rsidRPr="00E42C5B" w:rsidRDefault="00E27893" w:rsidP="00E27893">
            <w:pPr>
              <w:pStyle w:val="NoSpacing"/>
              <w:jc w:val="both"/>
              <w:rPr>
                <w:rFonts w:ascii="Times New Roman" w:hAnsi="Times New Roman"/>
                <w:sz w:val="26"/>
                <w:szCs w:val="26"/>
              </w:rPr>
            </w:pPr>
          </w:p>
          <w:p w14:paraId="2BE1243F" w14:textId="420760A1" w:rsidR="00E27893" w:rsidRPr="00E42C5B" w:rsidRDefault="00E27893" w:rsidP="00E27893">
            <w:pPr>
              <w:pStyle w:val="NoSpacing"/>
              <w:jc w:val="both"/>
              <w:rPr>
                <w:rFonts w:ascii="Times New Roman" w:hAnsi="Times New Roman"/>
                <w:b/>
                <w:sz w:val="26"/>
                <w:szCs w:val="26"/>
              </w:rPr>
            </w:pPr>
            <w:r>
              <w:rPr>
                <w:rFonts w:ascii="Times New Roman" w:hAnsi="Times New Roman"/>
                <w:sz w:val="26"/>
                <w:szCs w:val="26"/>
              </w:rPr>
              <w:t>Change Order of existing agreement with United Security Services, Inc. for unarmed security guard services at various UI Health and Hospital Clinic locations throughout the University campus.  Services will be for a two (2) year period beginning September 27, 2022 through September 26, 2024.  There are two (2), two (2) year renewal options remaining.</w:t>
            </w:r>
          </w:p>
        </w:tc>
      </w:tr>
      <w:tr w:rsidR="00E27893" w:rsidRPr="00C77C31" w14:paraId="1A1FF382" w14:textId="77777777" w:rsidTr="007E33C0">
        <w:trPr>
          <w:trHeight w:val="315"/>
        </w:trPr>
        <w:tc>
          <w:tcPr>
            <w:tcW w:w="342" w:type="dxa"/>
          </w:tcPr>
          <w:p w14:paraId="45A898FF" w14:textId="77777777" w:rsidR="00E27893" w:rsidRPr="00C77C31" w:rsidRDefault="00E27893" w:rsidP="00E27893">
            <w:pPr>
              <w:pStyle w:val="NoSpacing"/>
              <w:rPr>
                <w:rFonts w:ascii="Times New Roman" w:hAnsi="Times New Roman"/>
                <w:sz w:val="26"/>
                <w:szCs w:val="26"/>
              </w:rPr>
            </w:pPr>
          </w:p>
        </w:tc>
        <w:tc>
          <w:tcPr>
            <w:tcW w:w="990" w:type="dxa"/>
          </w:tcPr>
          <w:p w14:paraId="70024986" w14:textId="77777777" w:rsidR="00E27893" w:rsidRPr="00C77C31" w:rsidRDefault="00E27893" w:rsidP="00E27893">
            <w:pPr>
              <w:pStyle w:val="NoSpacing"/>
              <w:rPr>
                <w:rFonts w:ascii="Times New Roman" w:hAnsi="Times New Roman"/>
                <w:sz w:val="26"/>
                <w:szCs w:val="26"/>
              </w:rPr>
            </w:pPr>
          </w:p>
          <w:p w14:paraId="22CB802F" w14:textId="77777777" w:rsidR="00E27893" w:rsidRPr="00C77C31" w:rsidRDefault="00E27893" w:rsidP="00E27893">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74015121" w14:textId="77777777" w:rsidR="00E27893" w:rsidRPr="00C77C31" w:rsidRDefault="00E27893" w:rsidP="00E27893">
            <w:pPr>
              <w:pStyle w:val="NoSpacing"/>
              <w:rPr>
                <w:rFonts w:ascii="Times New Roman" w:hAnsi="Times New Roman"/>
                <w:sz w:val="26"/>
                <w:szCs w:val="26"/>
              </w:rPr>
            </w:pPr>
          </w:p>
          <w:p w14:paraId="56085E8C" w14:textId="5708E78B" w:rsidR="00E27893" w:rsidRPr="00C77C31" w:rsidRDefault="00E27893" w:rsidP="00E27893">
            <w:pPr>
              <w:pStyle w:val="NoSpacing"/>
              <w:rPr>
                <w:rFonts w:ascii="Times New Roman" w:hAnsi="Times New Roman"/>
                <w:sz w:val="26"/>
                <w:szCs w:val="26"/>
              </w:rPr>
            </w:pPr>
            <w:r>
              <w:rPr>
                <w:rFonts w:ascii="Times New Roman" w:hAnsi="Times New Roman"/>
                <w:sz w:val="26"/>
                <w:szCs w:val="26"/>
              </w:rPr>
              <w:t>$1,697,023. (estimated)</w:t>
            </w:r>
          </w:p>
        </w:tc>
      </w:tr>
      <w:tr w:rsidR="00E27893" w:rsidRPr="00C77C31" w14:paraId="3B8C2279" w14:textId="77777777" w:rsidTr="007E33C0">
        <w:trPr>
          <w:trHeight w:val="150"/>
        </w:trPr>
        <w:tc>
          <w:tcPr>
            <w:tcW w:w="342" w:type="dxa"/>
          </w:tcPr>
          <w:p w14:paraId="56CD831D" w14:textId="77777777" w:rsidR="00E27893" w:rsidRPr="00C77C31" w:rsidRDefault="00E27893" w:rsidP="00E27893">
            <w:pPr>
              <w:pStyle w:val="NoSpacing"/>
              <w:rPr>
                <w:rFonts w:ascii="Times New Roman" w:hAnsi="Times New Roman"/>
                <w:sz w:val="26"/>
                <w:szCs w:val="26"/>
              </w:rPr>
            </w:pPr>
          </w:p>
        </w:tc>
        <w:tc>
          <w:tcPr>
            <w:tcW w:w="990" w:type="dxa"/>
            <w:shd w:val="clear" w:color="auto" w:fill="auto"/>
          </w:tcPr>
          <w:p w14:paraId="252BD4EA" w14:textId="77777777" w:rsidR="00E27893" w:rsidRPr="00C77C31" w:rsidRDefault="00E27893" w:rsidP="00E27893">
            <w:pPr>
              <w:pStyle w:val="NoSpacing"/>
              <w:rPr>
                <w:rFonts w:ascii="Times New Roman" w:hAnsi="Times New Roman"/>
                <w:sz w:val="26"/>
                <w:szCs w:val="26"/>
              </w:rPr>
            </w:pPr>
          </w:p>
          <w:p w14:paraId="1D93E5A2" w14:textId="77777777" w:rsidR="00E27893" w:rsidRPr="00C77C31" w:rsidRDefault="00E27893" w:rsidP="00E27893">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4DDD3C69" w14:textId="77777777" w:rsidR="00E27893" w:rsidRPr="00C77C31" w:rsidRDefault="00E27893" w:rsidP="00E27893">
            <w:pPr>
              <w:pStyle w:val="NoSpacing"/>
              <w:rPr>
                <w:rFonts w:ascii="Times New Roman" w:hAnsi="Times New Roman"/>
                <w:sz w:val="26"/>
                <w:szCs w:val="26"/>
              </w:rPr>
            </w:pPr>
          </w:p>
          <w:p w14:paraId="420CBCFA" w14:textId="6E4952ED" w:rsidR="00E27893" w:rsidRDefault="00E27893" w:rsidP="00E27893">
            <w:pPr>
              <w:pStyle w:val="NoSpacing"/>
              <w:jc w:val="both"/>
              <w:rPr>
                <w:rFonts w:ascii="Times New Roman" w:hAnsi="Times New Roman"/>
                <w:sz w:val="26"/>
                <w:szCs w:val="26"/>
              </w:rPr>
            </w:pPr>
            <w:bookmarkStart w:id="6" w:name="_Hlk115936171"/>
            <w:r>
              <w:rPr>
                <w:rFonts w:ascii="Times New Roman" w:hAnsi="Times New Roman"/>
                <w:bCs/>
                <w:sz w:val="26"/>
                <w:szCs w:val="26"/>
              </w:rPr>
              <w:t>United Security Services, Inc</w:t>
            </w:r>
            <w:bookmarkEnd w:id="6"/>
            <w:r>
              <w:rPr>
                <w:rFonts w:ascii="Times New Roman" w:hAnsi="Times New Roman"/>
                <w:bCs/>
                <w:sz w:val="26"/>
                <w:szCs w:val="26"/>
              </w:rPr>
              <w:t>.</w:t>
            </w:r>
            <w:r w:rsidRPr="00E42C5B">
              <w:rPr>
                <w:rFonts w:ascii="Times New Roman" w:hAnsi="Times New Roman"/>
                <w:bCs/>
                <w:sz w:val="26"/>
                <w:szCs w:val="26"/>
              </w:rPr>
              <w:t xml:space="preserve">                           </w:t>
            </w:r>
            <w:r>
              <w:rPr>
                <w:rFonts w:ascii="Times New Roman" w:hAnsi="Times New Roman"/>
                <w:bCs/>
                <w:sz w:val="26"/>
                <w:szCs w:val="26"/>
              </w:rPr>
              <w:t xml:space="preserve">                    Chicago, Illinois</w:t>
            </w:r>
          </w:p>
          <w:p w14:paraId="6FDAE4E5" w14:textId="4842B453" w:rsidR="000A5C47" w:rsidRPr="00C77C31" w:rsidRDefault="000A5C47" w:rsidP="00E27893">
            <w:pPr>
              <w:pStyle w:val="NoSpacing"/>
              <w:jc w:val="both"/>
              <w:rPr>
                <w:rFonts w:ascii="Times New Roman" w:hAnsi="Times New Roman"/>
                <w:sz w:val="26"/>
                <w:szCs w:val="26"/>
              </w:rPr>
            </w:pPr>
          </w:p>
        </w:tc>
      </w:tr>
    </w:tbl>
    <w:p w14:paraId="5984D8CA" w14:textId="77777777" w:rsidR="000A5C47" w:rsidRPr="000A5C47" w:rsidRDefault="000A5C47" w:rsidP="000A5C47">
      <w:pPr>
        <w:spacing w:after="0"/>
        <w:ind w:left="1440"/>
        <w:jc w:val="both"/>
        <w:rPr>
          <w:rFonts w:ascii="Times New Roman" w:hAnsi="Times New Roman"/>
          <w:spacing w:val="-3"/>
          <w:sz w:val="26"/>
          <w:szCs w:val="26"/>
        </w:rPr>
      </w:pPr>
      <w:r w:rsidRPr="000A5C47">
        <w:rPr>
          <w:rFonts w:ascii="Times New Roman" w:hAnsi="Times New Roman"/>
          <w:spacing w:val="-3"/>
          <w:sz w:val="26"/>
          <w:szCs w:val="26"/>
        </w:rPr>
        <w:t xml:space="preserve">Competitive selection procedures were followed in accordance with the Illinois Procurement Code (30 ILCS 500/20-15). </w:t>
      </w:r>
    </w:p>
    <w:p w14:paraId="587D9233" w14:textId="77777777" w:rsidR="000A5C47" w:rsidRPr="000A5C47" w:rsidRDefault="000A5C47" w:rsidP="000A5C47">
      <w:pPr>
        <w:spacing w:after="0"/>
        <w:ind w:left="1440"/>
        <w:jc w:val="both"/>
        <w:rPr>
          <w:rFonts w:ascii="Times New Roman" w:hAnsi="Times New Roman"/>
          <w:spacing w:val="-3"/>
          <w:sz w:val="26"/>
          <w:szCs w:val="26"/>
        </w:rPr>
      </w:pPr>
    </w:p>
    <w:p w14:paraId="645EA00B" w14:textId="77777777" w:rsidR="000A5C47" w:rsidRPr="000A5C47" w:rsidRDefault="000A5C47" w:rsidP="00F23BAF">
      <w:pPr>
        <w:spacing w:after="0"/>
        <w:ind w:left="1440"/>
        <w:rPr>
          <w:rFonts w:ascii="Times New Roman" w:hAnsi="Times New Roman"/>
          <w:spacing w:val="-3"/>
          <w:sz w:val="26"/>
          <w:szCs w:val="26"/>
        </w:rPr>
      </w:pPr>
      <w:r w:rsidRPr="000A5C47">
        <w:rPr>
          <w:rFonts w:ascii="Times New Roman" w:hAnsi="Times New Roman"/>
          <w:spacing w:val="-3"/>
          <w:sz w:val="26"/>
          <w:szCs w:val="26"/>
        </w:rPr>
        <w:t xml:space="preserve">In Fiscal Year 2018, the University issued a request for proposal for unarmed security services under RFP# IJW050.  Monterrey Security Consultants, Inc., United Security Services, Inc., and Allied Universal Security Services received approval for a four-year contract award. Contracts were successfully negotiated with Monterrey Security Consultants, Inc. and United Security Services, Inc. for the period beginning September 27, 2018 through September 26, 2022 with the option to renew for three (3) two (2) year periods, subject to continuing need, availability of funds, and satisfactory performance.  The initial IJW050 award did not require BOT approval at that time because the estimated spend per fiscal year was below the threshold for BOT review/approval. </w:t>
      </w:r>
    </w:p>
    <w:p w14:paraId="1D2EA6F5" w14:textId="77777777" w:rsidR="000A5C47" w:rsidRPr="000A5C47" w:rsidRDefault="000A5C47" w:rsidP="000A5C47">
      <w:pPr>
        <w:spacing w:after="0"/>
        <w:ind w:left="1440"/>
        <w:jc w:val="both"/>
        <w:rPr>
          <w:rFonts w:ascii="Times New Roman" w:hAnsi="Times New Roman"/>
          <w:spacing w:val="-3"/>
          <w:sz w:val="26"/>
          <w:szCs w:val="26"/>
        </w:rPr>
      </w:pPr>
    </w:p>
    <w:p w14:paraId="21C7BA21" w14:textId="5BB2C0DB" w:rsidR="000A5C47" w:rsidRDefault="000A5C47" w:rsidP="00F23BAF">
      <w:pPr>
        <w:spacing w:after="0"/>
        <w:ind w:left="1440"/>
        <w:rPr>
          <w:rFonts w:ascii="Times New Roman" w:hAnsi="Times New Roman"/>
          <w:spacing w:val="-3"/>
          <w:sz w:val="26"/>
          <w:szCs w:val="26"/>
        </w:rPr>
      </w:pPr>
      <w:r w:rsidRPr="000A5C47">
        <w:rPr>
          <w:rFonts w:ascii="Times New Roman" w:hAnsi="Times New Roman"/>
          <w:spacing w:val="-3"/>
          <w:sz w:val="26"/>
          <w:szCs w:val="26"/>
        </w:rPr>
        <w:t xml:space="preserve">United Security Services, Inc. (United) had the necessary medical trained staff to provide unarmed security guards for the University of Illinois Chicago Hospital and Health Sciences System (UI Health). </w:t>
      </w:r>
      <w:bookmarkStart w:id="7" w:name="_Hlk115195207"/>
      <w:r w:rsidRPr="000A5C47">
        <w:rPr>
          <w:rFonts w:ascii="Times New Roman" w:hAnsi="Times New Roman"/>
          <w:spacing w:val="-3"/>
          <w:sz w:val="26"/>
          <w:szCs w:val="26"/>
        </w:rPr>
        <w:t xml:space="preserve">The UIC Police Department increased the number </w:t>
      </w:r>
      <w:bookmarkStart w:id="8" w:name="_Hlk115195088"/>
      <w:r w:rsidRPr="000A5C47">
        <w:rPr>
          <w:rFonts w:ascii="Times New Roman" w:hAnsi="Times New Roman"/>
          <w:spacing w:val="-3"/>
          <w:sz w:val="26"/>
          <w:szCs w:val="26"/>
        </w:rPr>
        <w:t xml:space="preserve">of unarmed security guards that were deployed under this award during the COVID-19 pandemic.  United provided security services for </w:t>
      </w:r>
      <w:r w:rsidR="00E85A4C">
        <w:rPr>
          <w:rFonts w:ascii="Times New Roman" w:hAnsi="Times New Roman"/>
          <w:spacing w:val="-3"/>
          <w:sz w:val="26"/>
          <w:szCs w:val="26"/>
        </w:rPr>
        <w:t>COVID-19-related</w:t>
      </w:r>
      <w:r w:rsidRPr="000A5C47">
        <w:rPr>
          <w:rFonts w:ascii="Times New Roman" w:hAnsi="Times New Roman"/>
          <w:spacing w:val="-3"/>
          <w:sz w:val="26"/>
          <w:szCs w:val="26"/>
        </w:rPr>
        <w:t xml:space="preserve"> operations at the UI Health Hospital, including the outside COVID-19 intake tent and various indoor locations. This vendor has been providing these services since the implementation of COV</w:t>
      </w:r>
      <w:r w:rsidR="00E85A4C">
        <w:rPr>
          <w:rFonts w:ascii="Times New Roman" w:hAnsi="Times New Roman"/>
          <w:spacing w:val="-3"/>
          <w:sz w:val="26"/>
          <w:szCs w:val="26"/>
        </w:rPr>
        <w:t>I</w:t>
      </w:r>
      <w:r w:rsidRPr="000A5C47">
        <w:rPr>
          <w:rFonts w:ascii="Times New Roman" w:hAnsi="Times New Roman"/>
          <w:spacing w:val="-3"/>
          <w:sz w:val="26"/>
          <w:szCs w:val="26"/>
        </w:rPr>
        <w:t xml:space="preserve">D-19 security protocols and is proficient at working in and supporting </w:t>
      </w:r>
      <w:r w:rsidRPr="000A5C47">
        <w:rPr>
          <w:rFonts w:ascii="Times New Roman" w:hAnsi="Times New Roman"/>
          <w:spacing w:val="-3"/>
          <w:sz w:val="26"/>
          <w:szCs w:val="26"/>
        </w:rPr>
        <w:lastRenderedPageBreak/>
        <w:t xml:space="preserve">this environment. As the pandemic intensified and critical healthcare services increased at the Hospital, so </w:t>
      </w:r>
      <w:r w:rsidR="008328A7">
        <w:rPr>
          <w:rFonts w:ascii="Times New Roman" w:hAnsi="Times New Roman"/>
          <w:spacing w:val="-3"/>
          <w:sz w:val="26"/>
          <w:szCs w:val="26"/>
        </w:rPr>
        <w:t>did the need</w:t>
      </w:r>
      <w:r w:rsidRPr="000A5C47">
        <w:rPr>
          <w:rFonts w:ascii="Times New Roman" w:hAnsi="Times New Roman"/>
          <w:spacing w:val="-3"/>
          <w:sz w:val="26"/>
          <w:szCs w:val="26"/>
        </w:rPr>
        <w:t xml:space="preserve"> </w:t>
      </w:r>
      <w:r w:rsidR="008328A7">
        <w:rPr>
          <w:rFonts w:ascii="Times New Roman" w:hAnsi="Times New Roman"/>
          <w:spacing w:val="-3"/>
          <w:sz w:val="26"/>
          <w:szCs w:val="26"/>
        </w:rPr>
        <w:t xml:space="preserve">of </w:t>
      </w:r>
      <w:r w:rsidRPr="000A5C47">
        <w:rPr>
          <w:rFonts w:ascii="Times New Roman" w:hAnsi="Times New Roman"/>
          <w:spacing w:val="-3"/>
          <w:sz w:val="26"/>
          <w:szCs w:val="26"/>
        </w:rPr>
        <w:t xml:space="preserve">unarmed security services. The unpredictable nature of the pandemic and dynamic staffing needs has created an environment whereby additional unarmed security services have been required. </w:t>
      </w:r>
    </w:p>
    <w:p w14:paraId="3EFA6CDD" w14:textId="77777777" w:rsidR="00F72D15" w:rsidRPr="000A5C47" w:rsidRDefault="00F72D15" w:rsidP="000A5C47">
      <w:pPr>
        <w:spacing w:after="0"/>
        <w:ind w:left="1440"/>
        <w:jc w:val="both"/>
        <w:rPr>
          <w:rFonts w:ascii="Times New Roman" w:hAnsi="Times New Roman"/>
          <w:spacing w:val="-3"/>
          <w:sz w:val="26"/>
          <w:szCs w:val="26"/>
        </w:rPr>
      </w:pPr>
    </w:p>
    <w:p w14:paraId="063C5584" w14:textId="282F2C8F" w:rsidR="000A5C47" w:rsidRDefault="000A5C47" w:rsidP="00F23BAF">
      <w:pPr>
        <w:spacing w:after="0"/>
        <w:ind w:left="1440"/>
        <w:rPr>
          <w:rFonts w:ascii="Times New Roman" w:hAnsi="Times New Roman"/>
          <w:spacing w:val="-3"/>
          <w:sz w:val="26"/>
          <w:szCs w:val="26"/>
        </w:rPr>
      </w:pPr>
      <w:r w:rsidRPr="000A5C47">
        <w:rPr>
          <w:rFonts w:ascii="Times New Roman" w:hAnsi="Times New Roman"/>
          <w:spacing w:val="-3"/>
          <w:sz w:val="26"/>
          <w:szCs w:val="26"/>
        </w:rPr>
        <w:t xml:space="preserve">Additionally, UI Health has opened a new Specialty Care Building (SCB) which has expanded the medical operations.  This new facility also requires security services. </w:t>
      </w:r>
      <w:bookmarkStart w:id="9" w:name="_Hlk115195459"/>
      <w:bookmarkEnd w:id="7"/>
      <w:bookmarkEnd w:id="8"/>
      <w:r w:rsidRPr="000A5C47">
        <w:rPr>
          <w:rFonts w:ascii="Times New Roman" w:hAnsi="Times New Roman"/>
          <w:spacing w:val="-3"/>
          <w:sz w:val="26"/>
          <w:szCs w:val="26"/>
        </w:rPr>
        <w:t>The opening of the SCB has occurred while the University is experiencing a staffing shortage of security guard-classified employees. This means that without additional assistance from United, the University will not be able to provide enough security guards to maintain a safe environment at these critical medical care centers. Continued use of this vendor will allow the UI Health Hospital, Clinics, and Specialty Care Building to maintain continuity in their operations, which supports public health and safety.</w:t>
      </w:r>
      <w:bookmarkEnd w:id="9"/>
    </w:p>
    <w:p w14:paraId="34CD2E5C" w14:textId="77777777" w:rsidR="00F72D15" w:rsidRPr="000A5C47" w:rsidRDefault="00F72D15" w:rsidP="000A5C47">
      <w:pPr>
        <w:spacing w:after="0"/>
        <w:ind w:left="1440"/>
        <w:jc w:val="both"/>
        <w:rPr>
          <w:rFonts w:ascii="Times New Roman" w:hAnsi="Times New Roman"/>
          <w:spacing w:val="-3"/>
          <w:sz w:val="26"/>
          <w:szCs w:val="26"/>
        </w:rPr>
      </w:pPr>
    </w:p>
    <w:p w14:paraId="53A94E0B" w14:textId="1199CEF6" w:rsidR="000A5C47" w:rsidRPr="000A5C47" w:rsidRDefault="000A5C47" w:rsidP="00F23BAF">
      <w:pPr>
        <w:spacing w:after="0"/>
        <w:ind w:left="1440"/>
        <w:rPr>
          <w:rFonts w:ascii="Times New Roman" w:hAnsi="Times New Roman"/>
          <w:spacing w:val="-3"/>
          <w:sz w:val="26"/>
          <w:szCs w:val="26"/>
        </w:rPr>
      </w:pPr>
      <w:r w:rsidRPr="000A5C47">
        <w:rPr>
          <w:rFonts w:ascii="Times New Roman" w:hAnsi="Times New Roman"/>
          <w:spacing w:val="-3"/>
          <w:sz w:val="26"/>
          <w:szCs w:val="26"/>
        </w:rPr>
        <w:t xml:space="preserve">A new solicitation will be issued to meet the </w:t>
      </w:r>
      <w:r w:rsidR="00E85A4C">
        <w:rPr>
          <w:rFonts w:ascii="Times New Roman" w:hAnsi="Times New Roman"/>
          <w:spacing w:val="-3"/>
          <w:sz w:val="26"/>
          <w:szCs w:val="26"/>
        </w:rPr>
        <w:t>Hospital’s</w:t>
      </w:r>
      <w:r w:rsidRPr="000A5C47">
        <w:rPr>
          <w:rFonts w:ascii="Times New Roman" w:hAnsi="Times New Roman"/>
          <w:spacing w:val="-3"/>
          <w:sz w:val="26"/>
          <w:szCs w:val="26"/>
        </w:rPr>
        <w:t xml:space="preserve"> needs for unarmed security services. The department is currently working with Purchasing to complete the procurement process. </w:t>
      </w:r>
      <w:bookmarkStart w:id="10" w:name="_Hlk115195389"/>
      <w:r w:rsidRPr="000A5C47">
        <w:rPr>
          <w:rFonts w:ascii="Times New Roman" w:hAnsi="Times New Roman"/>
          <w:spacing w:val="-3"/>
          <w:sz w:val="26"/>
          <w:szCs w:val="26"/>
        </w:rPr>
        <w:t xml:space="preserve">These additional funds will allow the UIC Police Department to address operational needs for these services through the completion and award of the new solicitation.  </w:t>
      </w:r>
    </w:p>
    <w:bookmarkEnd w:id="10"/>
    <w:p w14:paraId="2123D277" w14:textId="77777777" w:rsidR="000A5C47" w:rsidRPr="000A5C47" w:rsidRDefault="000A5C47" w:rsidP="000A5C47">
      <w:pPr>
        <w:spacing w:after="0"/>
        <w:ind w:left="1440"/>
        <w:jc w:val="both"/>
        <w:rPr>
          <w:rFonts w:ascii="Times New Roman" w:hAnsi="Times New Roman"/>
          <w:spacing w:val="-3"/>
          <w:sz w:val="26"/>
          <w:szCs w:val="26"/>
        </w:rPr>
      </w:pPr>
    </w:p>
    <w:p w14:paraId="5F11A89B" w14:textId="54A57AB3" w:rsidR="00F72D15" w:rsidRDefault="000A5C47" w:rsidP="00F23BAF">
      <w:pPr>
        <w:spacing w:after="0"/>
        <w:ind w:left="1440"/>
        <w:rPr>
          <w:rFonts w:ascii="Times New Roman" w:hAnsi="Times New Roman"/>
          <w:spacing w:val="-3"/>
          <w:sz w:val="26"/>
          <w:szCs w:val="26"/>
        </w:rPr>
      </w:pPr>
      <w:r w:rsidRPr="000A5C47">
        <w:rPr>
          <w:rFonts w:ascii="Times New Roman" w:hAnsi="Times New Roman"/>
          <w:spacing w:val="-3"/>
          <w:sz w:val="26"/>
          <w:szCs w:val="26"/>
        </w:rPr>
        <w:t>The goal for BEP participation under RFP #IJW050 was 25%</w:t>
      </w:r>
      <w:r w:rsidR="00E85A4C">
        <w:rPr>
          <w:rFonts w:ascii="Times New Roman" w:hAnsi="Times New Roman"/>
          <w:spacing w:val="-3"/>
          <w:sz w:val="26"/>
          <w:szCs w:val="26"/>
        </w:rPr>
        <w:t>,</w:t>
      </w:r>
      <w:r w:rsidRPr="000A5C47">
        <w:rPr>
          <w:rFonts w:ascii="Times New Roman" w:hAnsi="Times New Roman"/>
          <w:spacing w:val="-3"/>
          <w:sz w:val="26"/>
          <w:szCs w:val="26"/>
        </w:rPr>
        <w:t xml:space="preserve"> and the goal for Veteran-owned business participation was 3%.  United Security Services, Inc. submitted a BEP Utilization Plan and will utilize Page Security, Inc. as their BEP vendor and Halo Security Group for the Veteran-owned business.</w:t>
      </w:r>
    </w:p>
    <w:p w14:paraId="4577DFDC" w14:textId="77777777" w:rsidR="00F72D15" w:rsidRDefault="00F72D15" w:rsidP="00910CA6">
      <w:pPr>
        <w:spacing w:after="0"/>
        <w:jc w:val="both"/>
        <w:rPr>
          <w:rFonts w:ascii="Times New Roman" w:hAnsi="Times New Roman"/>
          <w:spacing w:val="-3"/>
          <w:sz w:val="26"/>
          <w:szCs w:val="26"/>
        </w:rPr>
      </w:pPr>
    </w:p>
    <w:p w14:paraId="21C21D49" w14:textId="77777777" w:rsidR="007C2FAD"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7C2FAD" w:rsidRPr="00B212DC" w14:paraId="6D0E734B" w14:textId="77777777" w:rsidTr="00EA2295">
        <w:trPr>
          <w:trHeight w:val="114"/>
        </w:trPr>
        <w:tc>
          <w:tcPr>
            <w:tcW w:w="9454" w:type="dxa"/>
            <w:tcBorders>
              <w:top w:val="single" w:sz="18" w:space="0" w:color="auto"/>
              <w:bottom w:val="single" w:sz="18" w:space="0" w:color="auto"/>
            </w:tcBorders>
          </w:tcPr>
          <w:p w14:paraId="2EEA4965" w14:textId="48FD262E" w:rsidR="007C2FAD" w:rsidRPr="00B212DC" w:rsidRDefault="007C2FAD" w:rsidP="00EA2295">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 xml:space="preserve">University of Illinois at </w:t>
            </w:r>
            <w:r w:rsidR="004C72BE">
              <w:rPr>
                <w:rFonts w:ascii="Times New Roman" w:eastAsia="Times New Roman" w:hAnsi="Times New Roman"/>
                <w:b/>
                <w:sz w:val="26"/>
                <w:szCs w:val="26"/>
              </w:rPr>
              <w:t>System Office</w:t>
            </w:r>
          </w:p>
        </w:tc>
      </w:tr>
    </w:tbl>
    <w:p w14:paraId="1AD01289" w14:textId="77777777" w:rsidR="007C2FAD"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hAnsi="Times New Roman"/>
          <w:spacing w:val="-3"/>
          <w:sz w:val="26"/>
          <w:szCs w:val="26"/>
        </w:rPr>
        <w:tab/>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E50F57" w14:paraId="2B46B141" w14:textId="77777777" w:rsidTr="00EA2295">
        <w:trPr>
          <w:trHeight w:val="120"/>
        </w:trPr>
        <w:tc>
          <w:tcPr>
            <w:tcW w:w="342" w:type="dxa"/>
            <w:tcBorders>
              <w:bottom w:val="double" w:sz="6" w:space="0" w:color="auto"/>
            </w:tcBorders>
          </w:tcPr>
          <w:p w14:paraId="3B63CDB7" w14:textId="5898CD4E" w:rsidR="007C2FAD" w:rsidRPr="00E50F57" w:rsidRDefault="00861FBB" w:rsidP="00EA2295">
            <w:pPr>
              <w:pStyle w:val="NoSpacing"/>
              <w:rPr>
                <w:rFonts w:ascii="Times New Roman" w:hAnsi="Times New Roman"/>
                <w:sz w:val="26"/>
                <w:szCs w:val="26"/>
              </w:rPr>
            </w:pPr>
            <w:bookmarkStart w:id="11" w:name="_Hlk115864817"/>
            <w:r>
              <w:rPr>
                <w:rFonts w:ascii="Times New Roman" w:hAnsi="Times New Roman"/>
                <w:sz w:val="26"/>
                <w:szCs w:val="26"/>
              </w:rPr>
              <w:t>7</w:t>
            </w:r>
          </w:p>
        </w:tc>
        <w:tc>
          <w:tcPr>
            <w:tcW w:w="990" w:type="dxa"/>
            <w:tcBorders>
              <w:bottom w:val="double" w:sz="6" w:space="0" w:color="auto"/>
            </w:tcBorders>
          </w:tcPr>
          <w:p w14:paraId="7ED7BBF2"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35522448" w14:textId="2860EE9F" w:rsidR="007C2FAD" w:rsidRPr="002D45A5" w:rsidRDefault="00EB004C" w:rsidP="00EA2295">
            <w:pPr>
              <w:pStyle w:val="NoSpacing"/>
              <w:rPr>
                <w:rFonts w:ascii="Times New Roman" w:hAnsi="Times New Roman"/>
                <w:color w:val="FF0000"/>
                <w:sz w:val="26"/>
                <w:szCs w:val="26"/>
              </w:rPr>
            </w:pPr>
            <w:r w:rsidRPr="00EB004C">
              <w:rPr>
                <w:rFonts w:ascii="Times New Roman" w:eastAsia="Times New Roman" w:hAnsi="Times New Roman"/>
                <w:sz w:val="26"/>
                <w:szCs w:val="24"/>
              </w:rPr>
              <w:t>SHIELD Illinois Deployment</w:t>
            </w:r>
          </w:p>
        </w:tc>
      </w:tr>
      <w:tr w:rsidR="007C2FAD" w:rsidRPr="00E50F57" w14:paraId="7BEC67AB" w14:textId="77777777" w:rsidTr="00EA2295">
        <w:tc>
          <w:tcPr>
            <w:tcW w:w="342" w:type="dxa"/>
            <w:tcBorders>
              <w:top w:val="double" w:sz="6" w:space="0" w:color="auto"/>
            </w:tcBorders>
          </w:tcPr>
          <w:p w14:paraId="520ACEF2" w14:textId="77777777" w:rsidR="007C2FAD" w:rsidRPr="00E50F57" w:rsidRDefault="007C2FAD" w:rsidP="00EA2295">
            <w:pPr>
              <w:pStyle w:val="NoSpacing"/>
              <w:rPr>
                <w:rFonts w:ascii="Times New Roman" w:hAnsi="Times New Roman"/>
                <w:sz w:val="26"/>
                <w:szCs w:val="26"/>
              </w:rPr>
            </w:pPr>
          </w:p>
        </w:tc>
        <w:tc>
          <w:tcPr>
            <w:tcW w:w="990" w:type="dxa"/>
            <w:tcBorders>
              <w:top w:val="double" w:sz="6" w:space="0" w:color="auto"/>
            </w:tcBorders>
          </w:tcPr>
          <w:p w14:paraId="03B20CEF" w14:textId="77777777" w:rsidR="007C2FAD" w:rsidRPr="00E50F57" w:rsidRDefault="007C2FAD" w:rsidP="00EA2295">
            <w:pPr>
              <w:pStyle w:val="NoSpacing"/>
              <w:rPr>
                <w:rFonts w:ascii="Times New Roman" w:hAnsi="Times New Roman"/>
                <w:sz w:val="26"/>
                <w:szCs w:val="26"/>
              </w:rPr>
            </w:pPr>
          </w:p>
        </w:tc>
        <w:tc>
          <w:tcPr>
            <w:tcW w:w="8118" w:type="dxa"/>
            <w:tcBorders>
              <w:top w:val="double" w:sz="6" w:space="0" w:color="auto"/>
            </w:tcBorders>
          </w:tcPr>
          <w:p w14:paraId="60A6D954" w14:textId="77777777" w:rsidR="007C2FAD" w:rsidRPr="00837CEB" w:rsidRDefault="007C2FAD" w:rsidP="00EA2295">
            <w:pPr>
              <w:pStyle w:val="NoSpacing"/>
              <w:rPr>
                <w:rFonts w:ascii="Times New Roman" w:hAnsi="Times New Roman"/>
                <w:sz w:val="26"/>
                <w:szCs w:val="26"/>
              </w:rPr>
            </w:pPr>
          </w:p>
        </w:tc>
      </w:tr>
      <w:tr w:rsidR="007C2FAD" w:rsidRPr="00E50F57" w14:paraId="18C1D9FE" w14:textId="77777777" w:rsidTr="00EA2295">
        <w:trPr>
          <w:trHeight w:val="648"/>
        </w:trPr>
        <w:tc>
          <w:tcPr>
            <w:tcW w:w="342" w:type="dxa"/>
          </w:tcPr>
          <w:p w14:paraId="37520A80" w14:textId="77777777" w:rsidR="007C2FAD" w:rsidRPr="00E50F57" w:rsidRDefault="007C2FAD" w:rsidP="00EA2295">
            <w:pPr>
              <w:pStyle w:val="NoSpacing"/>
              <w:rPr>
                <w:rFonts w:ascii="Times New Roman" w:hAnsi="Times New Roman"/>
                <w:sz w:val="26"/>
                <w:szCs w:val="26"/>
              </w:rPr>
            </w:pPr>
          </w:p>
        </w:tc>
        <w:tc>
          <w:tcPr>
            <w:tcW w:w="990" w:type="dxa"/>
          </w:tcPr>
          <w:p w14:paraId="6169A23F"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C822B3F" w14:textId="6B60FBDE" w:rsidR="007C2FAD" w:rsidRPr="009E36FB" w:rsidRDefault="00EB004C" w:rsidP="00EA2295">
            <w:pPr>
              <w:pStyle w:val="NoSpacing"/>
              <w:jc w:val="both"/>
              <w:rPr>
                <w:rFonts w:ascii="Times New Roman" w:hAnsi="Times New Roman"/>
                <w:b/>
                <w:sz w:val="26"/>
                <w:szCs w:val="26"/>
              </w:rPr>
            </w:pPr>
            <w:r w:rsidRPr="00EB004C">
              <w:rPr>
                <w:rFonts w:ascii="Times New Roman" w:eastAsia="Times New Roman" w:hAnsi="Times New Roman"/>
                <w:sz w:val="26"/>
                <w:szCs w:val="26"/>
              </w:rPr>
              <w:t>Change order to increase COVID-19 Electronic Medical Record System contract for the current contract term (January 15, 2022</w:t>
            </w:r>
            <w:r w:rsidR="00E85A4C">
              <w:rPr>
                <w:rFonts w:ascii="Times New Roman" w:eastAsia="Times New Roman" w:hAnsi="Times New Roman"/>
                <w:sz w:val="26"/>
                <w:szCs w:val="26"/>
              </w:rPr>
              <w:t>,</w:t>
            </w:r>
            <w:r w:rsidRPr="00EB004C">
              <w:rPr>
                <w:rFonts w:ascii="Times New Roman" w:eastAsia="Times New Roman" w:hAnsi="Times New Roman"/>
                <w:sz w:val="26"/>
                <w:szCs w:val="26"/>
              </w:rPr>
              <w:t xml:space="preserve"> through January 14, 2023)</w:t>
            </w:r>
          </w:p>
        </w:tc>
      </w:tr>
      <w:tr w:rsidR="007C2FAD" w:rsidRPr="00E50F57" w14:paraId="2FD60EB4" w14:textId="77777777" w:rsidTr="00EA2295">
        <w:trPr>
          <w:trHeight w:val="315"/>
        </w:trPr>
        <w:tc>
          <w:tcPr>
            <w:tcW w:w="342" w:type="dxa"/>
          </w:tcPr>
          <w:p w14:paraId="5FD4B166" w14:textId="77777777" w:rsidR="007C2FAD" w:rsidRPr="00E50F57" w:rsidRDefault="007C2FAD" w:rsidP="00EA2295">
            <w:pPr>
              <w:pStyle w:val="NoSpacing"/>
              <w:rPr>
                <w:rFonts w:ascii="Times New Roman" w:hAnsi="Times New Roman"/>
                <w:sz w:val="26"/>
                <w:szCs w:val="26"/>
              </w:rPr>
            </w:pPr>
          </w:p>
        </w:tc>
        <w:tc>
          <w:tcPr>
            <w:tcW w:w="990" w:type="dxa"/>
          </w:tcPr>
          <w:p w14:paraId="7DA684DF" w14:textId="77777777" w:rsidR="007C2FAD" w:rsidRPr="001F6EDA" w:rsidRDefault="007C2FAD" w:rsidP="00EA2295">
            <w:pPr>
              <w:pStyle w:val="NoSpacing"/>
              <w:rPr>
                <w:rFonts w:asciiTheme="minorHAnsi" w:hAnsiTheme="minorHAnsi" w:cstheme="minorHAnsi"/>
                <w:sz w:val="26"/>
                <w:szCs w:val="26"/>
              </w:rPr>
            </w:pPr>
          </w:p>
          <w:p w14:paraId="784451A6" w14:textId="77777777" w:rsidR="007C2FAD" w:rsidRPr="001F6EDA" w:rsidRDefault="007C2FAD" w:rsidP="00EA2295">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6FFD4A35" w14:textId="77777777" w:rsidR="007C2FAD" w:rsidRPr="001F6EDA" w:rsidRDefault="007C2FAD" w:rsidP="00EA2295">
            <w:pPr>
              <w:pStyle w:val="NoSpacing"/>
              <w:rPr>
                <w:rFonts w:asciiTheme="minorHAnsi" w:hAnsiTheme="minorHAnsi" w:cstheme="minorHAnsi"/>
                <w:sz w:val="26"/>
                <w:szCs w:val="26"/>
              </w:rPr>
            </w:pPr>
          </w:p>
          <w:p w14:paraId="3DE25E6A" w14:textId="77777777" w:rsidR="007C2FAD" w:rsidRDefault="00EB004C" w:rsidP="00EA2295">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Pr>
                <w:rFonts w:ascii="Times New Roman" w:hAnsi="Times New Roman"/>
                <w:spacing w:val="-3"/>
                <w:sz w:val="26"/>
                <w:szCs w:val="26"/>
              </w:rPr>
              <w:t>Change Order</w:t>
            </w:r>
          </w:p>
          <w:p w14:paraId="61D85783" w14:textId="23C8FC28" w:rsidR="00EB004C" w:rsidRDefault="00EB004C" w:rsidP="00EA2295">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Pr>
                <w:rFonts w:ascii="Times New Roman" w:hAnsi="Times New Roman"/>
                <w:spacing w:val="-3"/>
                <w:sz w:val="26"/>
                <w:szCs w:val="26"/>
              </w:rPr>
              <w:t>Original Amount (estimated): $2,000,000</w:t>
            </w:r>
          </w:p>
          <w:p w14:paraId="14C16DC5" w14:textId="77777777" w:rsidR="00EB004C" w:rsidRDefault="00EB004C" w:rsidP="00EA2295">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Pr>
                <w:rFonts w:ascii="Times New Roman" w:hAnsi="Times New Roman"/>
                <w:spacing w:val="-3"/>
                <w:sz w:val="26"/>
                <w:szCs w:val="26"/>
              </w:rPr>
              <w:t>Change Order Amount (estimated): $603,190.50</w:t>
            </w:r>
          </w:p>
          <w:p w14:paraId="3E47D515" w14:textId="77777777" w:rsidR="00EB004C" w:rsidRDefault="00EB004C" w:rsidP="00EA2295">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Pr>
                <w:rFonts w:ascii="Times New Roman" w:hAnsi="Times New Roman"/>
                <w:spacing w:val="-3"/>
                <w:sz w:val="26"/>
                <w:szCs w:val="26"/>
              </w:rPr>
              <w:t>New Total (estimated): $2,603,190.50</w:t>
            </w:r>
          </w:p>
          <w:p w14:paraId="277E63A4" w14:textId="77777777" w:rsidR="001519F5" w:rsidRDefault="001519F5" w:rsidP="00EA2295">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p>
          <w:p w14:paraId="6314CBA9" w14:textId="64C65381" w:rsidR="001519F5" w:rsidRPr="001F6EDA" w:rsidRDefault="001519F5" w:rsidP="00EA2295">
            <w:pPr>
              <w:tabs>
                <w:tab w:val="left" w:pos="-720"/>
                <w:tab w:val="left" w:pos="0"/>
                <w:tab w:val="left" w:pos="720"/>
                <w:tab w:val="left" w:pos="1080"/>
                <w:tab w:val="left" w:pos="1440"/>
              </w:tabs>
              <w:suppressAutoHyphens/>
              <w:spacing w:after="0" w:line="240" w:lineRule="auto"/>
              <w:jc w:val="both"/>
              <w:rPr>
                <w:rFonts w:asciiTheme="minorHAnsi" w:hAnsiTheme="minorHAnsi" w:cstheme="minorHAnsi"/>
                <w:sz w:val="26"/>
                <w:szCs w:val="26"/>
              </w:rPr>
            </w:pPr>
          </w:p>
        </w:tc>
      </w:tr>
      <w:bookmarkEnd w:id="11"/>
      <w:tr w:rsidR="0003083E" w:rsidRPr="009E36FB" w14:paraId="0AFE7467" w14:textId="77777777" w:rsidTr="007E33C0">
        <w:trPr>
          <w:trHeight w:val="120"/>
        </w:trPr>
        <w:tc>
          <w:tcPr>
            <w:tcW w:w="342" w:type="dxa"/>
            <w:tcBorders>
              <w:bottom w:val="double" w:sz="6" w:space="0" w:color="auto"/>
            </w:tcBorders>
          </w:tcPr>
          <w:p w14:paraId="498D2B81" w14:textId="6A69BFE8" w:rsidR="0003083E" w:rsidRPr="00E50F57" w:rsidRDefault="00861FBB" w:rsidP="007E33C0">
            <w:pPr>
              <w:pStyle w:val="NoSpacing"/>
              <w:rPr>
                <w:rFonts w:ascii="Times New Roman" w:hAnsi="Times New Roman"/>
                <w:sz w:val="26"/>
                <w:szCs w:val="26"/>
              </w:rPr>
            </w:pPr>
            <w:r>
              <w:rPr>
                <w:rFonts w:ascii="Times New Roman" w:hAnsi="Times New Roman"/>
                <w:sz w:val="26"/>
                <w:szCs w:val="26"/>
              </w:rPr>
              <w:lastRenderedPageBreak/>
              <w:t>8</w:t>
            </w:r>
          </w:p>
        </w:tc>
        <w:tc>
          <w:tcPr>
            <w:tcW w:w="990" w:type="dxa"/>
            <w:tcBorders>
              <w:bottom w:val="double" w:sz="6" w:space="0" w:color="auto"/>
            </w:tcBorders>
          </w:tcPr>
          <w:p w14:paraId="47CAC34A"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48B2B60A" w14:textId="76700ABC" w:rsidR="001519F5" w:rsidRPr="001519F5" w:rsidRDefault="0003083E" w:rsidP="007E33C0">
            <w:pPr>
              <w:pStyle w:val="NoSpacing"/>
              <w:rPr>
                <w:rFonts w:ascii="Times New Roman" w:eastAsia="Times New Roman" w:hAnsi="Times New Roman"/>
                <w:sz w:val="26"/>
                <w:szCs w:val="26"/>
              </w:rPr>
            </w:pPr>
            <w:r w:rsidRPr="0003083E">
              <w:rPr>
                <w:rFonts w:ascii="Times New Roman" w:eastAsia="Times New Roman" w:hAnsi="Times New Roman"/>
                <w:sz w:val="26"/>
                <w:szCs w:val="26"/>
              </w:rPr>
              <w:t>Discovery Partners Institute (DPI)</w:t>
            </w:r>
          </w:p>
        </w:tc>
      </w:tr>
      <w:tr w:rsidR="0003083E" w:rsidRPr="00837CEB" w14:paraId="7003095A" w14:textId="77777777" w:rsidTr="007E33C0">
        <w:tc>
          <w:tcPr>
            <w:tcW w:w="342" w:type="dxa"/>
            <w:tcBorders>
              <w:top w:val="double" w:sz="6" w:space="0" w:color="auto"/>
            </w:tcBorders>
          </w:tcPr>
          <w:p w14:paraId="5EC453EE" w14:textId="77777777" w:rsidR="0003083E" w:rsidRPr="00E50F57" w:rsidRDefault="0003083E" w:rsidP="007E33C0">
            <w:pPr>
              <w:pStyle w:val="NoSpacing"/>
              <w:rPr>
                <w:rFonts w:ascii="Times New Roman" w:hAnsi="Times New Roman"/>
                <w:sz w:val="26"/>
                <w:szCs w:val="26"/>
              </w:rPr>
            </w:pPr>
          </w:p>
        </w:tc>
        <w:tc>
          <w:tcPr>
            <w:tcW w:w="990" w:type="dxa"/>
            <w:tcBorders>
              <w:top w:val="double" w:sz="6" w:space="0" w:color="auto"/>
            </w:tcBorders>
          </w:tcPr>
          <w:p w14:paraId="2CD4BA5D" w14:textId="77777777" w:rsidR="0003083E" w:rsidRPr="00E50F57" w:rsidRDefault="0003083E" w:rsidP="007E33C0">
            <w:pPr>
              <w:pStyle w:val="NoSpacing"/>
              <w:rPr>
                <w:rFonts w:ascii="Times New Roman" w:hAnsi="Times New Roman"/>
                <w:sz w:val="26"/>
                <w:szCs w:val="26"/>
              </w:rPr>
            </w:pPr>
          </w:p>
        </w:tc>
        <w:tc>
          <w:tcPr>
            <w:tcW w:w="8118" w:type="dxa"/>
            <w:tcBorders>
              <w:top w:val="double" w:sz="6" w:space="0" w:color="auto"/>
            </w:tcBorders>
          </w:tcPr>
          <w:p w14:paraId="77FE40A6" w14:textId="77777777" w:rsidR="0003083E" w:rsidRPr="00837CEB" w:rsidRDefault="0003083E" w:rsidP="007E33C0">
            <w:pPr>
              <w:pStyle w:val="NoSpacing"/>
              <w:rPr>
                <w:rFonts w:ascii="Times New Roman" w:hAnsi="Times New Roman"/>
                <w:sz w:val="26"/>
                <w:szCs w:val="26"/>
              </w:rPr>
            </w:pPr>
          </w:p>
        </w:tc>
      </w:tr>
      <w:tr w:rsidR="0003083E" w:rsidRPr="009E36FB" w14:paraId="4AF13C1B" w14:textId="77777777" w:rsidTr="007E33C0">
        <w:trPr>
          <w:trHeight w:val="198"/>
        </w:trPr>
        <w:tc>
          <w:tcPr>
            <w:tcW w:w="342" w:type="dxa"/>
          </w:tcPr>
          <w:p w14:paraId="3F8AB503" w14:textId="77777777" w:rsidR="0003083E" w:rsidRPr="00E50F57" w:rsidRDefault="0003083E" w:rsidP="007E33C0">
            <w:pPr>
              <w:pStyle w:val="NoSpacing"/>
              <w:rPr>
                <w:rFonts w:ascii="Times New Roman" w:hAnsi="Times New Roman"/>
                <w:sz w:val="26"/>
                <w:szCs w:val="26"/>
              </w:rPr>
            </w:pPr>
          </w:p>
        </w:tc>
        <w:tc>
          <w:tcPr>
            <w:tcW w:w="990" w:type="dxa"/>
          </w:tcPr>
          <w:p w14:paraId="474EFC8C"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3C3B5323" w14:textId="77777777" w:rsidR="0003083E" w:rsidRPr="009E36FB" w:rsidRDefault="0003083E" w:rsidP="007E33C0">
            <w:pPr>
              <w:pStyle w:val="NoSpacing"/>
              <w:jc w:val="both"/>
              <w:rPr>
                <w:rFonts w:ascii="Times New Roman" w:hAnsi="Times New Roman"/>
                <w:b/>
                <w:sz w:val="26"/>
                <w:szCs w:val="26"/>
              </w:rPr>
            </w:pPr>
            <w:r>
              <w:rPr>
                <w:rFonts w:ascii="Times New Roman" w:hAnsi="Times New Roman"/>
                <w:sz w:val="26"/>
                <w:szCs w:val="26"/>
              </w:rPr>
              <w:t>Change Order to increase the award amount for wastewater sequencing.</w:t>
            </w:r>
          </w:p>
        </w:tc>
      </w:tr>
      <w:tr w:rsidR="0003083E" w:rsidRPr="001F6EDA" w14:paraId="10111603" w14:textId="77777777" w:rsidTr="007E33C0">
        <w:trPr>
          <w:trHeight w:val="315"/>
        </w:trPr>
        <w:tc>
          <w:tcPr>
            <w:tcW w:w="342" w:type="dxa"/>
          </w:tcPr>
          <w:p w14:paraId="239BC235" w14:textId="77777777" w:rsidR="0003083E" w:rsidRPr="00E50F57" w:rsidRDefault="0003083E" w:rsidP="007E33C0">
            <w:pPr>
              <w:pStyle w:val="NoSpacing"/>
              <w:rPr>
                <w:rFonts w:ascii="Times New Roman" w:hAnsi="Times New Roman"/>
                <w:sz w:val="26"/>
                <w:szCs w:val="26"/>
              </w:rPr>
            </w:pPr>
          </w:p>
        </w:tc>
        <w:tc>
          <w:tcPr>
            <w:tcW w:w="990" w:type="dxa"/>
          </w:tcPr>
          <w:p w14:paraId="29764266" w14:textId="77777777" w:rsidR="0003083E" w:rsidRPr="001F6EDA" w:rsidRDefault="0003083E" w:rsidP="007E33C0">
            <w:pPr>
              <w:pStyle w:val="NoSpacing"/>
              <w:rPr>
                <w:rFonts w:asciiTheme="minorHAnsi" w:hAnsiTheme="minorHAnsi" w:cstheme="minorHAnsi"/>
                <w:sz w:val="26"/>
                <w:szCs w:val="26"/>
              </w:rPr>
            </w:pPr>
          </w:p>
          <w:p w14:paraId="38DE000C" w14:textId="77777777" w:rsidR="0003083E" w:rsidRPr="0003083E" w:rsidRDefault="0003083E" w:rsidP="007E33C0">
            <w:pPr>
              <w:pStyle w:val="NoSpacing"/>
              <w:rPr>
                <w:rFonts w:ascii="Times New Roman" w:hAnsi="Times New Roman"/>
                <w:sz w:val="26"/>
                <w:szCs w:val="26"/>
              </w:rPr>
            </w:pPr>
            <w:r w:rsidRPr="0003083E">
              <w:rPr>
                <w:rFonts w:ascii="Times New Roman" w:hAnsi="Times New Roman"/>
                <w:sz w:val="26"/>
                <w:szCs w:val="26"/>
              </w:rPr>
              <w:t>Cost</w:t>
            </w:r>
          </w:p>
        </w:tc>
        <w:tc>
          <w:tcPr>
            <w:tcW w:w="8118" w:type="dxa"/>
          </w:tcPr>
          <w:p w14:paraId="37B4A0A8" w14:textId="77777777" w:rsidR="0003083E" w:rsidRPr="001F6EDA" w:rsidRDefault="0003083E" w:rsidP="007E33C0">
            <w:pPr>
              <w:pStyle w:val="NoSpacing"/>
              <w:rPr>
                <w:rFonts w:asciiTheme="minorHAnsi" w:hAnsiTheme="minorHAnsi" w:cstheme="minorHAnsi"/>
                <w:sz w:val="26"/>
                <w:szCs w:val="26"/>
              </w:rPr>
            </w:pPr>
          </w:p>
          <w:p w14:paraId="27840DC5" w14:textId="77777777" w:rsidR="0003083E" w:rsidRPr="001F6EDA" w:rsidRDefault="0003083E" w:rsidP="007E33C0">
            <w:pPr>
              <w:pStyle w:val="NoSpacing"/>
              <w:rPr>
                <w:rFonts w:asciiTheme="minorHAnsi" w:hAnsiTheme="minorHAnsi" w:cstheme="minorHAnsi"/>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1,930,000 (estimated) Term: July 27, 2021 through July 31, 2023 </w:t>
            </w:r>
          </w:p>
        </w:tc>
      </w:tr>
      <w:tr w:rsidR="0003083E" w:rsidRPr="00C77C31" w14:paraId="6B0C303F" w14:textId="77777777" w:rsidTr="007E33C0">
        <w:trPr>
          <w:trHeight w:val="150"/>
        </w:trPr>
        <w:tc>
          <w:tcPr>
            <w:tcW w:w="342" w:type="dxa"/>
          </w:tcPr>
          <w:p w14:paraId="7A862397" w14:textId="77777777" w:rsidR="0003083E" w:rsidRPr="00E50F57" w:rsidRDefault="0003083E" w:rsidP="007E33C0">
            <w:pPr>
              <w:pStyle w:val="NoSpacing"/>
              <w:rPr>
                <w:rFonts w:ascii="Times New Roman" w:hAnsi="Times New Roman"/>
                <w:sz w:val="26"/>
                <w:szCs w:val="26"/>
              </w:rPr>
            </w:pPr>
          </w:p>
        </w:tc>
        <w:tc>
          <w:tcPr>
            <w:tcW w:w="990" w:type="dxa"/>
            <w:shd w:val="clear" w:color="auto" w:fill="auto"/>
          </w:tcPr>
          <w:p w14:paraId="07104208" w14:textId="77777777" w:rsidR="0003083E" w:rsidRPr="00E50F57" w:rsidRDefault="0003083E" w:rsidP="007E33C0">
            <w:pPr>
              <w:pStyle w:val="NoSpacing"/>
              <w:rPr>
                <w:rFonts w:ascii="Times New Roman" w:hAnsi="Times New Roman"/>
                <w:sz w:val="26"/>
                <w:szCs w:val="26"/>
              </w:rPr>
            </w:pPr>
          </w:p>
          <w:p w14:paraId="15C1EF38"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4C0307AB" w14:textId="77777777" w:rsidR="0003083E" w:rsidRDefault="0003083E" w:rsidP="007E33C0">
            <w:pPr>
              <w:pStyle w:val="NoSpacing"/>
              <w:jc w:val="both"/>
              <w:rPr>
                <w:rFonts w:ascii="Times New Roman" w:hAnsi="Times New Roman"/>
                <w:sz w:val="26"/>
                <w:szCs w:val="26"/>
              </w:rPr>
            </w:pPr>
          </w:p>
          <w:p w14:paraId="2B49FA2C" w14:textId="77777777" w:rsidR="0003083E" w:rsidRPr="00314D02" w:rsidRDefault="0003083E" w:rsidP="007E33C0">
            <w:pPr>
              <w:pStyle w:val="Heading2"/>
              <w:spacing w:before="0" w:after="0"/>
              <w:rPr>
                <w:rFonts w:ascii="Times New Roman" w:hAnsi="Times New Roman"/>
                <w:b w:val="0"/>
                <w:i w:val="0"/>
                <w:sz w:val="24"/>
                <w:szCs w:val="24"/>
              </w:rPr>
            </w:pPr>
            <w:r>
              <w:rPr>
                <w:rFonts w:ascii="Times New Roman" w:hAnsi="Times New Roman"/>
                <w:b w:val="0"/>
                <w:i w:val="0"/>
                <w:sz w:val="24"/>
                <w:szCs w:val="24"/>
              </w:rPr>
              <w:t>UChicago Argonne LLC                                                                   Lemont, Illinois</w:t>
            </w:r>
          </w:p>
          <w:p w14:paraId="500F35A9" w14:textId="77777777" w:rsidR="0003083E" w:rsidRDefault="0003083E" w:rsidP="007E33C0">
            <w:pPr>
              <w:spacing w:after="0" w:line="240" w:lineRule="auto"/>
              <w:jc w:val="both"/>
              <w:rPr>
                <w:rFonts w:ascii="Times New Roman" w:eastAsia="Times New Roman" w:hAnsi="Times New Roman"/>
                <w:sz w:val="26"/>
                <w:szCs w:val="26"/>
              </w:rPr>
            </w:pPr>
          </w:p>
          <w:p w14:paraId="728A7FC4" w14:textId="77777777" w:rsidR="0003083E" w:rsidRPr="0003083E" w:rsidRDefault="0003083E" w:rsidP="007E33C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03083E">
              <w:rPr>
                <w:rFonts w:ascii="Times New Roman" w:eastAsia="Times New Roman" w:hAnsi="Times New Roman"/>
                <w:sz w:val="24"/>
                <w:szCs w:val="24"/>
              </w:rPr>
              <w:t>Exempt from competitive selection procedures in accordance with the Illinois Procurement Code (30 ILCS 500 / 1-13(b)(8)).</w:t>
            </w:r>
          </w:p>
          <w:p w14:paraId="46546735" w14:textId="77777777" w:rsidR="0003083E" w:rsidRPr="0003083E" w:rsidRDefault="0003083E" w:rsidP="007E33C0">
            <w:pPr>
              <w:spacing w:after="0" w:line="240" w:lineRule="auto"/>
              <w:rPr>
                <w:rFonts w:ascii="Times New Roman" w:eastAsia="Times New Roman" w:hAnsi="Times New Roman"/>
                <w:sz w:val="24"/>
                <w:szCs w:val="24"/>
              </w:rPr>
            </w:pPr>
          </w:p>
          <w:p w14:paraId="2F083066" w14:textId="77777777" w:rsidR="0003083E" w:rsidRPr="0003083E" w:rsidRDefault="0003083E" w:rsidP="007E33C0">
            <w:pPr>
              <w:spacing w:after="0" w:line="240" w:lineRule="auto"/>
              <w:rPr>
                <w:rFonts w:ascii="Times New Roman" w:eastAsia="Times New Roman" w:hAnsi="Times New Roman"/>
                <w:sz w:val="24"/>
                <w:szCs w:val="24"/>
              </w:rPr>
            </w:pPr>
            <w:r w:rsidRPr="0003083E">
              <w:rPr>
                <w:rFonts w:ascii="Times New Roman" w:eastAsia="Times New Roman" w:hAnsi="Times New Roman"/>
                <w:sz w:val="24"/>
                <w:szCs w:val="24"/>
              </w:rPr>
              <w:t>UChicago Argonne LLC was previously contracted to provide wastewater sequencing, and additional sequencing services are needed.  UChicago Argonne LLC operates the Argonne National Laboratory for the United States Department of Energy.  These services are being paid through funds provided by the Illinois Department of Public Health (IDPH) through an inter-governmental agreement for wastewater testing services.</w:t>
            </w:r>
          </w:p>
          <w:p w14:paraId="68359238" w14:textId="77777777" w:rsidR="0003083E" w:rsidRPr="0003083E" w:rsidRDefault="0003083E" w:rsidP="007E33C0">
            <w:pPr>
              <w:spacing w:after="0" w:line="240" w:lineRule="auto"/>
              <w:rPr>
                <w:rFonts w:ascii="Times New Roman" w:eastAsia="Times New Roman" w:hAnsi="Times New Roman"/>
                <w:sz w:val="24"/>
                <w:szCs w:val="24"/>
              </w:rPr>
            </w:pPr>
          </w:p>
          <w:p w14:paraId="6A374E06" w14:textId="77777777" w:rsidR="0003083E" w:rsidRDefault="0003083E" w:rsidP="007E33C0">
            <w:pPr>
              <w:jc w:val="both"/>
              <w:rPr>
                <w:rFonts w:ascii="Times New Roman" w:eastAsia="Times New Roman" w:hAnsi="Times New Roman"/>
                <w:sz w:val="24"/>
                <w:szCs w:val="24"/>
              </w:rPr>
            </w:pPr>
            <w:r w:rsidRPr="0003083E">
              <w:rPr>
                <w:rFonts w:ascii="Times New Roman" w:eastAsia="Times New Roman" w:hAnsi="Times New Roman"/>
                <w:sz w:val="24"/>
                <w:szCs w:val="24"/>
              </w:rPr>
              <w:t>Business Enterprise Program (BEP) goals are not established for contracts that are exempt from the requirements of the IL Procurement Code.</w:t>
            </w:r>
          </w:p>
          <w:p w14:paraId="66B93AA8" w14:textId="77777777" w:rsidR="0003083E" w:rsidRPr="00C77C31" w:rsidRDefault="0003083E" w:rsidP="007E33C0">
            <w:pPr>
              <w:jc w:val="both"/>
              <w:rPr>
                <w:rFonts w:ascii="Times New Roman" w:hAnsi="Times New Roman"/>
                <w:sz w:val="26"/>
                <w:szCs w:val="26"/>
              </w:rPr>
            </w:pPr>
          </w:p>
        </w:tc>
      </w:tr>
      <w:tr w:rsidR="0003083E" w:rsidRPr="002D45A5" w14:paraId="17E4526D" w14:textId="77777777" w:rsidTr="007E33C0">
        <w:trPr>
          <w:trHeight w:val="120"/>
        </w:trPr>
        <w:tc>
          <w:tcPr>
            <w:tcW w:w="342" w:type="dxa"/>
            <w:tcBorders>
              <w:bottom w:val="double" w:sz="6" w:space="0" w:color="auto"/>
            </w:tcBorders>
          </w:tcPr>
          <w:p w14:paraId="7C7CF17A" w14:textId="2D548E81" w:rsidR="0003083E" w:rsidRPr="00E50F57" w:rsidRDefault="00861FBB" w:rsidP="007E33C0">
            <w:pPr>
              <w:pStyle w:val="NoSpacing"/>
              <w:rPr>
                <w:rFonts w:ascii="Times New Roman" w:hAnsi="Times New Roman"/>
                <w:sz w:val="26"/>
                <w:szCs w:val="26"/>
              </w:rPr>
            </w:pPr>
            <w:r>
              <w:rPr>
                <w:rFonts w:ascii="Times New Roman" w:hAnsi="Times New Roman"/>
                <w:sz w:val="26"/>
                <w:szCs w:val="26"/>
              </w:rPr>
              <w:t>9</w:t>
            </w:r>
          </w:p>
        </w:tc>
        <w:tc>
          <w:tcPr>
            <w:tcW w:w="990" w:type="dxa"/>
            <w:tcBorders>
              <w:bottom w:val="double" w:sz="6" w:space="0" w:color="auto"/>
            </w:tcBorders>
          </w:tcPr>
          <w:p w14:paraId="6048D1C6"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4A48DE4" w14:textId="07078C13" w:rsidR="0003083E" w:rsidRPr="002D45A5" w:rsidRDefault="0003083E" w:rsidP="007E33C0">
            <w:pPr>
              <w:pStyle w:val="NoSpacing"/>
              <w:rPr>
                <w:rFonts w:ascii="Times New Roman" w:hAnsi="Times New Roman"/>
                <w:color w:val="FF0000"/>
                <w:sz w:val="26"/>
                <w:szCs w:val="26"/>
              </w:rPr>
            </w:pPr>
            <w:r w:rsidRPr="0003083E">
              <w:rPr>
                <w:rFonts w:ascii="Times New Roman" w:eastAsia="Times New Roman" w:hAnsi="Times New Roman"/>
                <w:sz w:val="26"/>
                <w:szCs w:val="24"/>
              </w:rPr>
              <w:t>Consortium of Academic and Research Libraries in Illinois (CARLI)</w:t>
            </w:r>
          </w:p>
        </w:tc>
      </w:tr>
      <w:tr w:rsidR="0003083E" w:rsidRPr="00837CEB" w14:paraId="35637D84" w14:textId="77777777" w:rsidTr="007E33C0">
        <w:tc>
          <w:tcPr>
            <w:tcW w:w="342" w:type="dxa"/>
            <w:tcBorders>
              <w:top w:val="double" w:sz="6" w:space="0" w:color="auto"/>
            </w:tcBorders>
          </w:tcPr>
          <w:p w14:paraId="2D3AD6F9" w14:textId="77777777" w:rsidR="0003083E" w:rsidRPr="00E50F57" w:rsidRDefault="0003083E" w:rsidP="007E33C0">
            <w:pPr>
              <w:pStyle w:val="NoSpacing"/>
              <w:rPr>
                <w:rFonts w:ascii="Times New Roman" w:hAnsi="Times New Roman"/>
                <w:sz w:val="26"/>
                <w:szCs w:val="26"/>
              </w:rPr>
            </w:pPr>
          </w:p>
        </w:tc>
        <w:tc>
          <w:tcPr>
            <w:tcW w:w="990" w:type="dxa"/>
            <w:tcBorders>
              <w:top w:val="double" w:sz="6" w:space="0" w:color="auto"/>
            </w:tcBorders>
          </w:tcPr>
          <w:p w14:paraId="4555CAD9" w14:textId="77777777" w:rsidR="0003083E" w:rsidRPr="00E50F57" w:rsidRDefault="0003083E" w:rsidP="007E33C0">
            <w:pPr>
              <w:pStyle w:val="NoSpacing"/>
              <w:rPr>
                <w:rFonts w:ascii="Times New Roman" w:hAnsi="Times New Roman"/>
                <w:sz w:val="26"/>
                <w:szCs w:val="26"/>
              </w:rPr>
            </w:pPr>
          </w:p>
        </w:tc>
        <w:tc>
          <w:tcPr>
            <w:tcW w:w="8118" w:type="dxa"/>
            <w:tcBorders>
              <w:top w:val="double" w:sz="6" w:space="0" w:color="auto"/>
            </w:tcBorders>
          </w:tcPr>
          <w:p w14:paraId="0753D01C" w14:textId="77777777" w:rsidR="0003083E" w:rsidRPr="00837CEB" w:rsidRDefault="0003083E" w:rsidP="007E33C0">
            <w:pPr>
              <w:pStyle w:val="NoSpacing"/>
              <w:rPr>
                <w:rFonts w:ascii="Times New Roman" w:hAnsi="Times New Roman"/>
                <w:sz w:val="26"/>
                <w:szCs w:val="26"/>
              </w:rPr>
            </w:pPr>
          </w:p>
        </w:tc>
      </w:tr>
      <w:tr w:rsidR="0003083E" w:rsidRPr="009E36FB" w14:paraId="0A957B0B" w14:textId="77777777" w:rsidTr="007E33C0">
        <w:trPr>
          <w:trHeight w:val="648"/>
        </w:trPr>
        <w:tc>
          <w:tcPr>
            <w:tcW w:w="342" w:type="dxa"/>
          </w:tcPr>
          <w:p w14:paraId="44D30566" w14:textId="77777777" w:rsidR="0003083E" w:rsidRPr="00E50F57" w:rsidRDefault="0003083E" w:rsidP="007E33C0">
            <w:pPr>
              <w:pStyle w:val="NoSpacing"/>
              <w:rPr>
                <w:rFonts w:ascii="Times New Roman" w:hAnsi="Times New Roman"/>
                <w:sz w:val="26"/>
                <w:szCs w:val="26"/>
              </w:rPr>
            </w:pPr>
          </w:p>
        </w:tc>
        <w:tc>
          <w:tcPr>
            <w:tcW w:w="990" w:type="dxa"/>
          </w:tcPr>
          <w:p w14:paraId="6E82E8BA"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F271D22" w14:textId="2A1D3F5A" w:rsidR="0003083E" w:rsidRPr="009E36FB" w:rsidRDefault="0003083E" w:rsidP="007E33C0">
            <w:pPr>
              <w:pStyle w:val="NoSpacing"/>
              <w:jc w:val="both"/>
              <w:rPr>
                <w:rFonts w:ascii="Times New Roman" w:hAnsi="Times New Roman"/>
                <w:b/>
                <w:sz w:val="26"/>
                <w:szCs w:val="26"/>
              </w:rPr>
            </w:pPr>
            <w:r w:rsidRPr="0003083E">
              <w:rPr>
                <w:rFonts w:ascii="Times New Roman" w:eastAsia="Times New Roman" w:hAnsi="Times New Roman"/>
                <w:sz w:val="26"/>
                <w:szCs w:val="26"/>
              </w:rPr>
              <w:t xml:space="preserve">Change Order to assign the University’s contract to provide Annual License of Full-Text Journal Article </w:t>
            </w:r>
            <w:proofErr w:type="gramStart"/>
            <w:r w:rsidRPr="0003083E">
              <w:rPr>
                <w:rFonts w:ascii="Times New Roman" w:eastAsia="Times New Roman" w:hAnsi="Times New Roman"/>
                <w:sz w:val="26"/>
                <w:szCs w:val="26"/>
              </w:rPr>
              <w:t>databases</w:t>
            </w:r>
            <w:proofErr w:type="gramEnd"/>
            <w:r w:rsidRPr="0003083E">
              <w:rPr>
                <w:rFonts w:ascii="Times New Roman" w:eastAsia="Times New Roman" w:hAnsi="Times New Roman"/>
                <w:sz w:val="26"/>
                <w:szCs w:val="26"/>
              </w:rPr>
              <w:t xml:space="preserve"> Academic Search Complete Business Source Elite</w:t>
            </w:r>
          </w:p>
        </w:tc>
      </w:tr>
      <w:tr w:rsidR="0003083E" w:rsidRPr="001F6EDA" w14:paraId="61929135" w14:textId="77777777" w:rsidTr="007E33C0">
        <w:trPr>
          <w:trHeight w:val="315"/>
        </w:trPr>
        <w:tc>
          <w:tcPr>
            <w:tcW w:w="342" w:type="dxa"/>
          </w:tcPr>
          <w:p w14:paraId="239E18BC" w14:textId="77777777" w:rsidR="0003083E" w:rsidRPr="00E50F57" w:rsidRDefault="0003083E" w:rsidP="007E33C0">
            <w:pPr>
              <w:pStyle w:val="NoSpacing"/>
              <w:rPr>
                <w:rFonts w:ascii="Times New Roman" w:hAnsi="Times New Roman"/>
                <w:sz w:val="26"/>
                <w:szCs w:val="26"/>
              </w:rPr>
            </w:pPr>
          </w:p>
        </w:tc>
        <w:tc>
          <w:tcPr>
            <w:tcW w:w="990" w:type="dxa"/>
          </w:tcPr>
          <w:p w14:paraId="03279F92" w14:textId="77777777" w:rsidR="0003083E" w:rsidRPr="001F6EDA" w:rsidRDefault="0003083E" w:rsidP="007E33C0">
            <w:pPr>
              <w:pStyle w:val="NoSpacing"/>
              <w:rPr>
                <w:rFonts w:asciiTheme="minorHAnsi" w:hAnsiTheme="minorHAnsi" w:cstheme="minorHAnsi"/>
                <w:sz w:val="26"/>
                <w:szCs w:val="26"/>
              </w:rPr>
            </w:pPr>
          </w:p>
          <w:p w14:paraId="22214B27" w14:textId="77777777" w:rsidR="0003083E" w:rsidRPr="00245573" w:rsidRDefault="0003083E" w:rsidP="007E33C0">
            <w:pPr>
              <w:pStyle w:val="NoSpacing"/>
              <w:rPr>
                <w:rFonts w:ascii="Times New Roman" w:hAnsi="Times New Roman"/>
                <w:sz w:val="26"/>
                <w:szCs w:val="26"/>
              </w:rPr>
            </w:pPr>
            <w:r w:rsidRPr="00245573">
              <w:rPr>
                <w:rFonts w:ascii="Times New Roman" w:hAnsi="Times New Roman"/>
                <w:sz w:val="26"/>
                <w:szCs w:val="26"/>
              </w:rPr>
              <w:t>Cost</w:t>
            </w:r>
          </w:p>
        </w:tc>
        <w:tc>
          <w:tcPr>
            <w:tcW w:w="8118" w:type="dxa"/>
          </w:tcPr>
          <w:p w14:paraId="724CE9F7" w14:textId="77777777" w:rsidR="0003083E" w:rsidRPr="001F6EDA" w:rsidRDefault="0003083E" w:rsidP="007E33C0">
            <w:pPr>
              <w:pStyle w:val="NoSpacing"/>
              <w:rPr>
                <w:rFonts w:asciiTheme="minorHAnsi" w:hAnsiTheme="minorHAnsi" w:cstheme="minorHAnsi"/>
                <w:sz w:val="26"/>
                <w:szCs w:val="26"/>
              </w:rPr>
            </w:pPr>
          </w:p>
          <w:p w14:paraId="260E58DC" w14:textId="00E49116" w:rsidR="00245573" w:rsidRPr="00245573" w:rsidRDefault="00245573" w:rsidP="00245573">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sidRPr="00245573">
              <w:rPr>
                <w:rFonts w:ascii="Times New Roman" w:hAnsi="Times New Roman"/>
                <w:spacing w:val="-3"/>
                <w:sz w:val="26"/>
                <w:szCs w:val="26"/>
              </w:rPr>
              <w:t>Renewal 2 of 8 $1,803,430. Estimated; Term 7/1/2022 – 6/30/2023</w:t>
            </w:r>
          </w:p>
          <w:p w14:paraId="0F73AFFD" w14:textId="77777777" w:rsidR="00245573" w:rsidRPr="00245573" w:rsidRDefault="00245573" w:rsidP="00245573">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p>
          <w:p w14:paraId="2B1862C9" w14:textId="06794C91" w:rsidR="0003083E" w:rsidRPr="001F6EDA" w:rsidRDefault="00245573" w:rsidP="00245573">
            <w:pPr>
              <w:tabs>
                <w:tab w:val="left" w:pos="-720"/>
                <w:tab w:val="left" w:pos="0"/>
                <w:tab w:val="left" w:pos="720"/>
                <w:tab w:val="left" w:pos="1080"/>
                <w:tab w:val="left" w:pos="1440"/>
              </w:tabs>
              <w:suppressAutoHyphens/>
              <w:spacing w:after="0" w:line="240" w:lineRule="auto"/>
              <w:jc w:val="both"/>
              <w:rPr>
                <w:rFonts w:asciiTheme="minorHAnsi" w:hAnsiTheme="minorHAnsi" w:cstheme="minorHAnsi"/>
                <w:sz w:val="26"/>
                <w:szCs w:val="26"/>
              </w:rPr>
            </w:pPr>
            <w:r w:rsidRPr="00245573">
              <w:rPr>
                <w:rFonts w:ascii="Times New Roman" w:hAnsi="Times New Roman"/>
                <w:spacing w:val="-3"/>
                <w:sz w:val="26"/>
                <w:szCs w:val="26"/>
              </w:rPr>
              <w:t>Renewals Remaining: 6 one-year renewal options –$11</w:t>
            </w:r>
            <w:r>
              <w:rPr>
                <w:rFonts w:ascii="Times New Roman" w:hAnsi="Times New Roman"/>
                <w:spacing w:val="-3"/>
                <w:sz w:val="26"/>
                <w:szCs w:val="26"/>
              </w:rPr>
              <w:t>,</w:t>
            </w:r>
            <w:r w:rsidRPr="00245573">
              <w:rPr>
                <w:rFonts w:ascii="Times New Roman" w:hAnsi="Times New Roman"/>
                <w:spacing w:val="-3"/>
                <w:sz w:val="26"/>
                <w:szCs w:val="26"/>
              </w:rPr>
              <w:t>2</w:t>
            </w:r>
            <w:r>
              <w:rPr>
                <w:rFonts w:ascii="Times New Roman" w:hAnsi="Times New Roman"/>
                <w:spacing w:val="-3"/>
                <w:sz w:val="26"/>
                <w:szCs w:val="26"/>
              </w:rPr>
              <w:t>00,000</w:t>
            </w:r>
            <w:r w:rsidRPr="00245573">
              <w:rPr>
                <w:rFonts w:ascii="Times New Roman" w:hAnsi="Times New Roman"/>
                <w:spacing w:val="-3"/>
                <w:sz w:val="26"/>
                <w:szCs w:val="26"/>
              </w:rPr>
              <w:t xml:space="preserve"> estimated</w:t>
            </w:r>
          </w:p>
        </w:tc>
      </w:tr>
      <w:tr w:rsidR="0003083E" w:rsidRPr="00C77C31" w14:paraId="27030D64" w14:textId="77777777" w:rsidTr="007E33C0">
        <w:trPr>
          <w:trHeight w:val="150"/>
        </w:trPr>
        <w:tc>
          <w:tcPr>
            <w:tcW w:w="342" w:type="dxa"/>
          </w:tcPr>
          <w:p w14:paraId="4ED99670" w14:textId="77777777" w:rsidR="0003083E" w:rsidRPr="00E50F57" w:rsidRDefault="0003083E" w:rsidP="007E33C0">
            <w:pPr>
              <w:pStyle w:val="NoSpacing"/>
              <w:rPr>
                <w:rFonts w:ascii="Times New Roman" w:hAnsi="Times New Roman"/>
                <w:sz w:val="26"/>
                <w:szCs w:val="26"/>
              </w:rPr>
            </w:pPr>
          </w:p>
        </w:tc>
        <w:tc>
          <w:tcPr>
            <w:tcW w:w="990" w:type="dxa"/>
            <w:shd w:val="clear" w:color="auto" w:fill="auto"/>
          </w:tcPr>
          <w:p w14:paraId="0C6D2E04" w14:textId="77777777" w:rsidR="0003083E" w:rsidRPr="00E50F57" w:rsidRDefault="0003083E" w:rsidP="007E33C0">
            <w:pPr>
              <w:pStyle w:val="NoSpacing"/>
              <w:rPr>
                <w:rFonts w:ascii="Times New Roman" w:hAnsi="Times New Roman"/>
                <w:sz w:val="26"/>
                <w:szCs w:val="26"/>
              </w:rPr>
            </w:pPr>
          </w:p>
          <w:p w14:paraId="538B156F" w14:textId="77777777" w:rsidR="0003083E" w:rsidRPr="00E50F57" w:rsidRDefault="0003083E" w:rsidP="007E33C0">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19C23631" w14:textId="77777777" w:rsidR="0003083E" w:rsidRDefault="0003083E" w:rsidP="007E33C0">
            <w:pPr>
              <w:pStyle w:val="NoSpacing"/>
              <w:jc w:val="both"/>
              <w:rPr>
                <w:rFonts w:ascii="Times New Roman" w:hAnsi="Times New Roman"/>
                <w:sz w:val="26"/>
                <w:szCs w:val="26"/>
              </w:rPr>
            </w:pPr>
          </w:p>
          <w:p w14:paraId="49697154" w14:textId="77777777" w:rsidR="00245573" w:rsidRPr="00245573" w:rsidRDefault="00245573" w:rsidP="00245573">
            <w:pPr>
              <w:spacing w:after="0" w:line="240" w:lineRule="auto"/>
              <w:rPr>
                <w:rFonts w:ascii="Times New Roman" w:hAnsi="Times New Roman"/>
                <w:sz w:val="26"/>
                <w:szCs w:val="26"/>
              </w:rPr>
            </w:pPr>
            <w:r w:rsidRPr="00245573">
              <w:rPr>
                <w:rFonts w:ascii="Times New Roman" w:hAnsi="Times New Roman"/>
                <w:sz w:val="26"/>
                <w:szCs w:val="26"/>
              </w:rPr>
              <w:t>EBSCO Information Services, LLC. (Birmingham, AL)</w:t>
            </w:r>
          </w:p>
          <w:p w14:paraId="6D2D92A2" w14:textId="77777777" w:rsidR="00245573" w:rsidRPr="00245573" w:rsidRDefault="00245573" w:rsidP="00245573">
            <w:pPr>
              <w:spacing w:after="0" w:line="240" w:lineRule="auto"/>
              <w:rPr>
                <w:rFonts w:ascii="Times New Roman" w:hAnsi="Times New Roman"/>
                <w:sz w:val="26"/>
                <w:szCs w:val="26"/>
              </w:rPr>
            </w:pPr>
          </w:p>
          <w:p w14:paraId="085F3901" w14:textId="77777777" w:rsidR="00245573" w:rsidRPr="00245573" w:rsidRDefault="00245573" w:rsidP="00245573">
            <w:pPr>
              <w:spacing w:after="0" w:line="240" w:lineRule="auto"/>
              <w:rPr>
                <w:rFonts w:ascii="Times New Roman" w:hAnsi="Times New Roman"/>
                <w:sz w:val="26"/>
                <w:szCs w:val="26"/>
              </w:rPr>
            </w:pPr>
            <w:r w:rsidRPr="00245573">
              <w:rPr>
                <w:rFonts w:ascii="Times New Roman" w:hAnsi="Times New Roman"/>
                <w:sz w:val="26"/>
                <w:szCs w:val="26"/>
              </w:rPr>
              <w:t>Exempt from competitive selection procedures in accordance with the Illinois Procurement Code (30 ILCS 500/1-13).</w:t>
            </w:r>
          </w:p>
          <w:p w14:paraId="481AA16C" w14:textId="77777777" w:rsidR="00245573" w:rsidRPr="00245573" w:rsidRDefault="00245573" w:rsidP="00245573">
            <w:pPr>
              <w:spacing w:after="0" w:line="240" w:lineRule="auto"/>
              <w:rPr>
                <w:rFonts w:ascii="Times New Roman" w:hAnsi="Times New Roman"/>
                <w:sz w:val="26"/>
                <w:szCs w:val="26"/>
              </w:rPr>
            </w:pPr>
          </w:p>
          <w:p w14:paraId="40AF7FB4" w14:textId="1CC71A08" w:rsidR="00245573" w:rsidRPr="00245573" w:rsidRDefault="00245573" w:rsidP="00245573">
            <w:pPr>
              <w:spacing w:after="0" w:line="240" w:lineRule="auto"/>
              <w:rPr>
                <w:rFonts w:ascii="Times New Roman" w:hAnsi="Times New Roman"/>
                <w:sz w:val="26"/>
                <w:szCs w:val="26"/>
              </w:rPr>
            </w:pPr>
            <w:r w:rsidRPr="00245573">
              <w:rPr>
                <w:rFonts w:ascii="Times New Roman" w:hAnsi="Times New Roman"/>
                <w:sz w:val="26"/>
                <w:szCs w:val="26"/>
              </w:rPr>
              <w:t xml:space="preserve">EBSCO Industries, Inc. was contracted to provide access to CARLI members for the following products: - Academic Search complete - Business Source Elite - Consumer Health Complete - ERIC - Health Source: Consumer Edition - Health Source: Nursing &amp; Academic Edition - </w:t>
            </w:r>
            <w:proofErr w:type="spellStart"/>
            <w:r w:rsidRPr="00245573">
              <w:rPr>
                <w:rFonts w:ascii="Times New Roman" w:hAnsi="Times New Roman"/>
                <w:sz w:val="26"/>
                <w:szCs w:val="26"/>
              </w:rPr>
              <w:lastRenderedPageBreak/>
              <w:t>MasterFILE</w:t>
            </w:r>
            <w:proofErr w:type="spellEnd"/>
            <w:r w:rsidRPr="00245573">
              <w:rPr>
                <w:rFonts w:ascii="Times New Roman" w:hAnsi="Times New Roman"/>
                <w:sz w:val="26"/>
                <w:szCs w:val="26"/>
              </w:rPr>
              <w:t xml:space="preserve"> Premier - MAS Ultra: School Edition - Military &amp; Government collection - Newspaper Source - Primary Search - Professional Development Collection - Regional Business News.  These services have been transitioned from EBSCO Industries, Inc. to EBSCO Information Services, LLC, requiring </w:t>
            </w:r>
            <w:r w:rsidR="00E85A4C">
              <w:rPr>
                <w:rFonts w:ascii="Times New Roman" w:hAnsi="Times New Roman"/>
                <w:sz w:val="26"/>
                <w:szCs w:val="26"/>
              </w:rPr>
              <w:t xml:space="preserve">the </w:t>
            </w:r>
            <w:r w:rsidRPr="00245573">
              <w:rPr>
                <w:rFonts w:ascii="Times New Roman" w:hAnsi="Times New Roman"/>
                <w:sz w:val="26"/>
                <w:szCs w:val="26"/>
              </w:rPr>
              <w:t>assignment of the University’s contract to the new entity.  There is no increase in anticipated cost with this assignment.  This subscription is being paid through funds appropriated by the State</w:t>
            </w:r>
            <w:r w:rsidR="00E85A4C">
              <w:rPr>
                <w:rFonts w:ascii="Times New Roman" w:hAnsi="Times New Roman"/>
                <w:sz w:val="26"/>
                <w:szCs w:val="26"/>
              </w:rPr>
              <w:t>.</w:t>
            </w:r>
          </w:p>
          <w:p w14:paraId="27C30392" w14:textId="77777777" w:rsidR="00245573" w:rsidRPr="00245573" w:rsidRDefault="00245573" w:rsidP="00245573">
            <w:pPr>
              <w:spacing w:after="0" w:line="240" w:lineRule="auto"/>
              <w:rPr>
                <w:rFonts w:ascii="Times New Roman" w:hAnsi="Times New Roman"/>
                <w:sz w:val="26"/>
                <w:szCs w:val="26"/>
              </w:rPr>
            </w:pPr>
          </w:p>
          <w:p w14:paraId="52F99C55" w14:textId="7F6CB015" w:rsidR="0003083E" w:rsidRDefault="00245573" w:rsidP="00245573">
            <w:pPr>
              <w:pStyle w:val="NoSpacing"/>
              <w:jc w:val="both"/>
              <w:rPr>
                <w:rFonts w:ascii="Times New Roman" w:hAnsi="Times New Roman"/>
                <w:sz w:val="26"/>
                <w:szCs w:val="26"/>
              </w:rPr>
            </w:pPr>
            <w:r w:rsidRPr="00245573">
              <w:rPr>
                <w:rFonts w:ascii="Times New Roman" w:hAnsi="Times New Roman"/>
                <w:sz w:val="26"/>
                <w:szCs w:val="26"/>
              </w:rPr>
              <w:t>Business Enterprise Program (BEP) goals are not established for contracts that are exempt from the requirements of the IL Procurement Code.</w:t>
            </w:r>
          </w:p>
          <w:p w14:paraId="4CEF4125" w14:textId="77777777" w:rsidR="0003083E" w:rsidRDefault="0003083E" w:rsidP="007E33C0">
            <w:pPr>
              <w:pStyle w:val="NoSpacing"/>
              <w:jc w:val="both"/>
              <w:rPr>
                <w:rFonts w:ascii="Times New Roman" w:hAnsi="Times New Roman"/>
                <w:sz w:val="26"/>
                <w:szCs w:val="26"/>
              </w:rPr>
            </w:pPr>
          </w:p>
          <w:p w14:paraId="019AB449" w14:textId="77777777" w:rsidR="0003083E" w:rsidRPr="00C77C31" w:rsidRDefault="0003083E" w:rsidP="00245573">
            <w:pPr>
              <w:pStyle w:val="NoSpacing"/>
              <w:jc w:val="both"/>
              <w:rPr>
                <w:rFonts w:ascii="Times New Roman" w:hAnsi="Times New Roman"/>
                <w:sz w:val="26"/>
                <w:szCs w:val="26"/>
              </w:rPr>
            </w:pPr>
          </w:p>
        </w:tc>
      </w:tr>
      <w:bookmarkEnd w:id="2"/>
    </w:tbl>
    <w:p w14:paraId="5CFA45D5" w14:textId="77777777"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3C686F8" w14:textId="3D8EE517" w:rsidR="0076023D" w:rsidRDefault="0076023D" w:rsidP="00E44C01">
      <w:pPr>
        <w:pStyle w:val="NoSpacing"/>
        <w:jc w:val="center"/>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9412F7" w14:paraId="0F237B4F" w14:textId="77777777" w:rsidTr="007D384F">
        <w:trPr>
          <w:cantSplit/>
          <w:trHeight w:val="272"/>
        </w:trPr>
        <w:tc>
          <w:tcPr>
            <w:tcW w:w="684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t>SUMMARY OF PURCHASES</w:t>
            </w:r>
          </w:p>
        </w:tc>
      </w:tr>
      <w:tr w:rsidR="004C72BE" w:rsidRPr="009412F7" w14:paraId="15CB50E3" w14:textId="77777777" w:rsidTr="001F6EDA">
        <w:trPr>
          <w:trHeight w:val="304"/>
        </w:trPr>
        <w:tc>
          <w:tcPr>
            <w:tcW w:w="4942" w:type="dxa"/>
          </w:tcPr>
          <w:p w14:paraId="1D8801C5" w14:textId="1CC67101" w:rsidR="004C72BE" w:rsidRPr="007D384F" w:rsidRDefault="004C72BE"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Chicago</w:t>
            </w:r>
          </w:p>
        </w:tc>
        <w:tc>
          <w:tcPr>
            <w:tcW w:w="1903" w:type="dxa"/>
          </w:tcPr>
          <w:p w14:paraId="05B898D2" w14:textId="71315773" w:rsidR="004C72BE" w:rsidRPr="007D384F" w:rsidRDefault="004C72BE"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FE244A" w:rsidRPr="00FE244A">
              <w:rPr>
                <w:rFonts w:ascii="Times New Roman" w:eastAsia="Times New Roman" w:hAnsi="Times New Roman"/>
                <w:sz w:val="24"/>
                <w:szCs w:val="24"/>
              </w:rPr>
              <w:t>77</w:t>
            </w:r>
            <w:r w:rsidR="001519F5">
              <w:rPr>
                <w:rFonts w:ascii="Times New Roman" w:eastAsia="Times New Roman" w:hAnsi="Times New Roman"/>
                <w:sz w:val="24"/>
                <w:szCs w:val="24"/>
              </w:rPr>
              <w:t>0</w:t>
            </w:r>
            <w:r w:rsidR="00FE244A" w:rsidRPr="00FE244A">
              <w:rPr>
                <w:rFonts w:ascii="Times New Roman" w:eastAsia="Times New Roman" w:hAnsi="Times New Roman"/>
                <w:sz w:val="24"/>
                <w:szCs w:val="24"/>
              </w:rPr>
              <w:t>,</w:t>
            </w:r>
            <w:r w:rsidR="001519F5">
              <w:rPr>
                <w:rFonts w:ascii="Times New Roman" w:eastAsia="Times New Roman" w:hAnsi="Times New Roman"/>
                <w:sz w:val="24"/>
                <w:szCs w:val="24"/>
              </w:rPr>
              <w:t>4</w:t>
            </w:r>
            <w:r w:rsidR="00FE244A" w:rsidRPr="00FE244A">
              <w:rPr>
                <w:rFonts w:ascii="Times New Roman" w:eastAsia="Times New Roman" w:hAnsi="Times New Roman"/>
                <w:sz w:val="24"/>
                <w:szCs w:val="24"/>
              </w:rPr>
              <w:t>32,660.60</w:t>
            </w:r>
            <w:r w:rsidRPr="00FE244A">
              <w:rPr>
                <w:rFonts w:ascii="Times New Roman" w:eastAsia="Times New Roman" w:hAnsi="Times New Roman"/>
              </w:rPr>
              <w:t xml:space="preserve"> </w:t>
            </w:r>
          </w:p>
        </w:tc>
      </w:tr>
      <w:tr w:rsidR="00861FBB" w:rsidRPr="009412F7" w14:paraId="6C12DAC2" w14:textId="77777777" w:rsidTr="001F6EDA">
        <w:trPr>
          <w:trHeight w:val="304"/>
        </w:trPr>
        <w:tc>
          <w:tcPr>
            <w:tcW w:w="4942" w:type="dxa"/>
          </w:tcPr>
          <w:p w14:paraId="4AC00781" w14:textId="49B74A38" w:rsidR="00861FBB" w:rsidRPr="007D384F" w:rsidRDefault="00861FBB"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System Office</w:t>
            </w:r>
          </w:p>
        </w:tc>
        <w:tc>
          <w:tcPr>
            <w:tcW w:w="1903" w:type="dxa"/>
          </w:tcPr>
          <w:p w14:paraId="43ECBCC6" w14:textId="2AA4FAB9" w:rsidR="00861FBB" w:rsidRPr="00861FBB" w:rsidRDefault="00861FBB" w:rsidP="007C33F7">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61FB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61FBB">
              <w:rPr>
                <w:rFonts w:ascii="Times New Roman" w:eastAsia="Times New Roman" w:hAnsi="Times New Roman"/>
                <w:sz w:val="24"/>
                <w:szCs w:val="24"/>
              </w:rPr>
              <w:t>5,000,000.00</w:t>
            </w:r>
          </w:p>
        </w:tc>
      </w:tr>
      <w:tr w:rsidR="00FE244A" w:rsidRPr="009412F7" w14:paraId="36796509" w14:textId="77777777" w:rsidTr="001F6EDA">
        <w:trPr>
          <w:trHeight w:val="304"/>
        </w:trPr>
        <w:tc>
          <w:tcPr>
            <w:tcW w:w="4942" w:type="dxa"/>
          </w:tcPr>
          <w:p w14:paraId="0C88B064" w14:textId="77777777" w:rsidR="00FE244A" w:rsidRPr="007D384F" w:rsidRDefault="00FE244A"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54845B55" w14:textId="72E3A2B9" w:rsidR="00FE244A" w:rsidRPr="007D384F" w:rsidRDefault="00FE244A"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Grand Total</w:t>
            </w:r>
          </w:p>
        </w:tc>
        <w:tc>
          <w:tcPr>
            <w:tcW w:w="1903" w:type="dxa"/>
          </w:tcPr>
          <w:p w14:paraId="24F43D6E" w14:textId="77777777" w:rsidR="00FE244A" w:rsidRPr="007D384F" w:rsidRDefault="00FE244A"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74B09CB9" w14:textId="558564A2" w:rsidR="00FE244A" w:rsidRPr="00D05CA4" w:rsidRDefault="00FE244A" w:rsidP="009412F7">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D384F">
              <w:rPr>
                <w:rFonts w:ascii="Times New Roman" w:eastAsia="Times New Roman" w:hAnsi="Times New Roman"/>
                <w:sz w:val="26"/>
                <w:szCs w:val="26"/>
              </w:rPr>
              <w:t>$</w:t>
            </w:r>
            <w:r w:rsidRPr="00FE244A">
              <w:rPr>
                <w:rFonts w:ascii="Times New Roman" w:eastAsia="Times New Roman" w:hAnsi="Times New Roman"/>
                <w:sz w:val="24"/>
                <w:szCs w:val="24"/>
              </w:rPr>
              <w:t>77</w:t>
            </w:r>
            <w:r w:rsidR="00D05CA4">
              <w:rPr>
                <w:rFonts w:ascii="Times New Roman" w:eastAsia="Times New Roman" w:hAnsi="Times New Roman"/>
                <w:sz w:val="24"/>
                <w:szCs w:val="24"/>
              </w:rPr>
              <w:t>5</w:t>
            </w:r>
            <w:r w:rsidRPr="00FE244A">
              <w:rPr>
                <w:rFonts w:ascii="Times New Roman" w:eastAsia="Times New Roman" w:hAnsi="Times New Roman"/>
                <w:sz w:val="24"/>
                <w:szCs w:val="24"/>
              </w:rPr>
              <w:t>,</w:t>
            </w:r>
            <w:r w:rsidR="00D05CA4">
              <w:rPr>
                <w:rFonts w:ascii="Times New Roman" w:eastAsia="Times New Roman" w:hAnsi="Times New Roman"/>
                <w:sz w:val="24"/>
                <w:szCs w:val="24"/>
              </w:rPr>
              <w:t>432</w:t>
            </w:r>
            <w:r w:rsidRPr="00FE244A">
              <w:rPr>
                <w:rFonts w:ascii="Times New Roman" w:eastAsia="Times New Roman" w:hAnsi="Times New Roman"/>
                <w:sz w:val="24"/>
                <w:szCs w:val="24"/>
              </w:rPr>
              <w:t>,660.60</w:t>
            </w:r>
          </w:p>
        </w:tc>
      </w:tr>
      <w:tr w:rsidR="006735E7" w:rsidRPr="009412F7" w14:paraId="1475776C" w14:textId="77777777" w:rsidTr="001F6EDA">
        <w:trPr>
          <w:trHeight w:val="304"/>
        </w:trPr>
        <w:tc>
          <w:tcPr>
            <w:tcW w:w="4942" w:type="dxa"/>
          </w:tcPr>
          <w:p w14:paraId="5E01492D" w14:textId="77777777" w:rsidR="006735E7" w:rsidRPr="007D384F" w:rsidRDefault="006735E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tc>
        <w:tc>
          <w:tcPr>
            <w:tcW w:w="1903" w:type="dxa"/>
          </w:tcPr>
          <w:p w14:paraId="7261292C" w14:textId="77777777" w:rsidR="006735E7" w:rsidRPr="007D384F" w:rsidRDefault="006735E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6735E7" w:rsidRPr="009412F7" w14:paraId="7FBC7D29" w14:textId="77777777" w:rsidTr="001F6EDA">
        <w:trPr>
          <w:trHeight w:val="304"/>
        </w:trPr>
        <w:tc>
          <w:tcPr>
            <w:tcW w:w="4942" w:type="dxa"/>
          </w:tcPr>
          <w:p w14:paraId="536EE1DB" w14:textId="78D57AFF" w:rsidR="006735E7" w:rsidRPr="007D384F" w:rsidRDefault="006735E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F96400">
              <w:rPr>
                <w:rFonts w:ascii="Times New Roman" w:eastAsia="Times New Roman" w:hAnsi="Times New Roman"/>
                <w:b/>
                <w:bCs/>
                <w:color w:val="000000"/>
                <w:sz w:val="26"/>
                <w:szCs w:val="26"/>
              </w:rPr>
              <w:t>SUMMARY OF</w:t>
            </w:r>
            <w:r>
              <w:rPr>
                <w:rFonts w:ascii="Times New Roman" w:eastAsia="Times New Roman" w:hAnsi="Times New Roman"/>
                <w:b/>
                <w:bCs/>
                <w:color w:val="000000"/>
                <w:sz w:val="26"/>
                <w:szCs w:val="26"/>
              </w:rPr>
              <w:t xml:space="preserve"> RENEWAL</w:t>
            </w:r>
          </w:p>
        </w:tc>
        <w:tc>
          <w:tcPr>
            <w:tcW w:w="1903" w:type="dxa"/>
          </w:tcPr>
          <w:p w14:paraId="5FDB6B9E" w14:textId="77777777" w:rsidR="006735E7" w:rsidRPr="007D384F" w:rsidRDefault="006735E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6735E7" w:rsidRPr="009412F7" w14:paraId="02ED598D" w14:textId="77777777" w:rsidTr="001F6EDA">
        <w:trPr>
          <w:trHeight w:val="304"/>
        </w:trPr>
        <w:tc>
          <w:tcPr>
            <w:tcW w:w="4942" w:type="dxa"/>
          </w:tcPr>
          <w:p w14:paraId="497BB226" w14:textId="43573DFF" w:rsidR="006735E7" w:rsidRPr="007D384F" w:rsidRDefault="006735E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Urbana-Champaign</w:t>
            </w:r>
          </w:p>
        </w:tc>
        <w:tc>
          <w:tcPr>
            <w:tcW w:w="1903" w:type="dxa"/>
          </w:tcPr>
          <w:p w14:paraId="296E2E27" w14:textId="4B8AD4BA" w:rsidR="006735E7" w:rsidRPr="006735E7" w:rsidRDefault="006735E7" w:rsidP="007C33F7">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6735E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6735E7">
              <w:rPr>
                <w:rFonts w:ascii="Times New Roman" w:eastAsia="Times New Roman" w:hAnsi="Times New Roman"/>
                <w:sz w:val="24"/>
                <w:szCs w:val="24"/>
              </w:rPr>
              <w:t>2,000,000.00</w:t>
            </w:r>
          </w:p>
        </w:tc>
      </w:tr>
      <w:tr w:rsidR="006735E7" w:rsidRPr="009412F7" w14:paraId="76991410" w14:textId="77777777" w:rsidTr="001F6EDA">
        <w:trPr>
          <w:trHeight w:val="304"/>
        </w:trPr>
        <w:tc>
          <w:tcPr>
            <w:tcW w:w="4942" w:type="dxa"/>
          </w:tcPr>
          <w:p w14:paraId="0C2134A8" w14:textId="77777777" w:rsidR="006735E7" w:rsidRPr="007D384F"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1E550E04" w14:textId="70EDBDC3" w:rsidR="006735E7" w:rsidRPr="007D384F"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Grand Total</w:t>
            </w:r>
          </w:p>
        </w:tc>
        <w:tc>
          <w:tcPr>
            <w:tcW w:w="1903" w:type="dxa"/>
          </w:tcPr>
          <w:p w14:paraId="6B95CC89" w14:textId="77777777" w:rsidR="006735E7" w:rsidRPr="007D384F" w:rsidRDefault="006735E7" w:rsidP="006735E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40076421" w14:textId="400F107A" w:rsidR="006735E7" w:rsidRPr="007D384F" w:rsidRDefault="006735E7" w:rsidP="006735E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w:t>
            </w:r>
            <w:r>
              <w:rPr>
                <w:rFonts w:ascii="Times New Roman" w:eastAsia="Times New Roman" w:hAnsi="Times New Roman"/>
                <w:sz w:val="26"/>
                <w:szCs w:val="26"/>
              </w:rPr>
              <w:t xml:space="preserve">   </w:t>
            </w:r>
            <w:r w:rsidRPr="006735E7">
              <w:rPr>
                <w:rFonts w:ascii="Times New Roman" w:eastAsia="Times New Roman" w:hAnsi="Times New Roman"/>
                <w:sz w:val="24"/>
                <w:szCs w:val="24"/>
              </w:rPr>
              <w:t>2,000,000.00</w:t>
            </w:r>
          </w:p>
        </w:tc>
      </w:tr>
      <w:tr w:rsidR="00FE244A" w:rsidRPr="009412F7" w14:paraId="141F8CE3" w14:textId="77777777" w:rsidTr="001F6EDA">
        <w:trPr>
          <w:trHeight w:val="304"/>
        </w:trPr>
        <w:tc>
          <w:tcPr>
            <w:tcW w:w="4942" w:type="dxa"/>
          </w:tcPr>
          <w:p w14:paraId="459953C7" w14:textId="22FCE129" w:rsidR="00FE244A" w:rsidRPr="007D384F" w:rsidRDefault="00FE244A"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tc>
        <w:tc>
          <w:tcPr>
            <w:tcW w:w="1903" w:type="dxa"/>
          </w:tcPr>
          <w:p w14:paraId="262FD588" w14:textId="5A56B045" w:rsidR="00FE244A" w:rsidRPr="007D384F" w:rsidRDefault="00FE244A"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FE244A" w:rsidRPr="009412F7" w14:paraId="59F5414E" w14:textId="77777777" w:rsidTr="001F6EDA">
        <w:trPr>
          <w:trHeight w:val="304"/>
        </w:trPr>
        <w:tc>
          <w:tcPr>
            <w:tcW w:w="4942" w:type="dxa"/>
          </w:tcPr>
          <w:p w14:paraId="42E8EA0E" w14:textId="4AB520C1" w:rsidR="00FE244A" w:rsidRPr="007D384F" w:rsidRDefault="00FE244A"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F96400">
              <w:rPr>
                <w:rFonts w:ascii="Times New Roman" w:eastAsia="Times New Roman" w:hAnsi="Times New Roman"/>
                <w:b/>
                <w:bCs/>
                <w:color w:val="000000"/>
                <w:sz w:val="26"/>
                <w:szCs w:val="26"/>
              </w:rPr>
              <w:t xml:space="preserve">SUMMARY OF </w:t>
            </w:r>
            <w:r>
              <w:rPr>
                <w:rFonts w:ascii="Times New Roman" w:eastAsia="Times New Roman" w:hAnsi="Times New Roman"/>
                <w:b/>
                <w:bCs/>
                <w:color w:val="000000"/>
                <w:sz w:val="26"/>
                <w:szCs w:val="26"/>
              </w:rPr>
              <w:t>CHANGE ORDERS</w:t>
            </w:r>
          </w:p>
        </w:tc>
        <w:tc>
          <w:tcPr>
            <w:tcW w:w="1903" w:type="dxa"/>
          </w:tcPr>
          <w:p w14:paraId="3CAD2871" w14:textId="4B6DD06A" w:rsidR="00FE244A" w:rsidRPr="007D384F" w:rsidRDefault="00FE244A"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FE244A" w:rsidRPr="009412F7" w14:paraId="64F3FA22" w14:textId="77777777" w:rsidTr="001F6EDA">
        <w:trPr>
          <w:trHeight w:val="304"/>
        </w:trPr>
        <w:tc>
          <w:tcPr>
            <w:tcW w:w="4942" w:type="dxa"/>
          </w:tcPr>
          <w:p w14:paraId="1AC64840" w14:textId="6FE1D73F" w:rsidR="00FE244A" w:rsidRPr="00F96400" w:rsidRDefault="00FE244A"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r>
              <w:rPr>
                <w:rFonts w:ascii="Times New Roman" w:eastAsia="Times New Roman" w:hAnsi="Times New Roman"/>
                <w:sz w:val="26"/>
                <w:szCs w:val="26"/>
              </w:rPr>
              <w:t>University of Illinois Chicago</w:t>
            </w:r>
          </w:p>
        </w:tc>
        <w:tc>
          <w:tcPr>
            <w:tcW w:w="1903" w:type="dxa"/>
          </w:tcPr>
          <w:p w14:paraId="43CE85E8" w14:textId="61FF8608" w:rsidR="009A366F" w:rsidRPr="007D384F" w:rsidRDefault="00FE244A"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9A366F">
              <w:rPr>
                <w:rFonts w:ascii="Times New Roman" w:eastAsia="Times New Roman" w:hAnsi="Times New Roman"/>
                <w:sz w:val="26"/>
                <w:szCs w:val="26"/>
              </w:rPr>
              <w:t xml:space="preserve">   </w:t>
            </w:r>
            <w:r w:rsidR="009A366F" w:rsidRPr="009A366F">
              <w:rPr>
                <w:rFonts w:ascii="Times New Roman" w:eastAsia="Times New Roman" w:hAnsi="Times New Roman"/>
                <w:sz w:val="24"/>
                <w:szCs w:val="24"/>
              </w:rPr>
              <w:t>1,697,023.00</w:t>
            </w:r>
          </w:p>
        </w:tc>
      </w:tr>
      <w:tr w:rsidR="00FE244A" w:rsidRPr="009412F7" w14:paraId="26DE50F0" w14:textId="77777777" w:rsidTr="001F6EDA">
        <w:trPr>
          <w:trHeight w:val="304"/>
        </w:trPr>
        <w:tc>
          <w:tcPr>
            <w:tcW w:w="4942" w:type="dxa"/>
          </w:tcPr>
          <w:p w14:paraId="58191BB0" w14:textId="401F05B7" w:rsidR="00FE244A" w:rsidRPr="00F96400" w:rsidRDefault="00FE244A"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r w:rsidRPr="007D384F">
              <w:rPr>
                <w:rFonts w:ascii="Times New Roman" w:eastAsia="Times New Roman" w:hAnsi="Times New Roman"/>
                <w:sz w:val="26"/>
                <w:szCs w:val="26"/>
              </w:rPr>
              <w:t xml:space="preserve">University of Illinois </w:t>
            </w:r>
            <w:r>
              <w:rPr>
                <w:rFonts w:ascii="Times New Roman" w:eastAsia="Times New Roman" w:hAnsi="Times New Roman"/>
                <w:sz w:val="26"/>
                <w:szCs w:val="26"/>
              </w:rPr>
              <w:t>System Office</w:t>
            </w:r>
          </w:p>
        </w:tc>
        <w:tc>
          <w:tcPr>
            <w:tcW w:w="1903" w:type="dxa"/>
          </w:tcPr>
          <w:p w14:paraId="5648186F" w14:textId="6A0BEB7C" w:rsidR="00FE244A" w:rsidRPr="007D384F" w:rsidRDefault="00FE244A"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xml:space="preserve">$   </w:t>
            </w:r>
            <w:r w:rsidR="00D51EE5">
              <w:rPr>
                <w:rFonts w:ascii="Times New Roman" w:eastAsia="Times New Roman" w:hAnsi="Times New Roman"/>
                <w:sz w:val="24"/>
                <w:szCs w:val="24"/>
              </w:rPr>
              <w:t>4,336,620.50</w:t>
            </w:r>
          </w:p>
        </w:tc>
      </w:tr>
      <w:tr w:rsidR="00FE244A" w:rsidRPr="009412F7" w14:paraId="28A44B4E" w14:textId="77777777" w:rsidTr="001F6EDA">
        <w:trPr>
          <w:trHeight w:val="304"/>
        </w:trPr>
        <w:tc>
          <w:tcPr>
            <w:tcW w:w="4942" w:type="dxa"/>
          </w:tcPr>
          <w:p w14:paraId="3D261E6F" w14:textId="77777777" w:rsidR="00FE244A" w:rsidRPr="007D384F" w:rsidRDefault="00FE244A"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32126789" w14:textId="7A6A5C3E" w:rsidR="00FE244A" w:rsidRDefault="00FE244A"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color w:val="000000"/>
                <w:sz w:val="26"/>
                <w:szCs w:val="26"/>
              </w:rPr>
              <w:t>Grand Total</w:t>
            </w:r>
          </w:p>
        </w:tc>
        <w:tc>
          <w:tcPr>
            <w:tcW w:w="1903" w:type="dxa"/>
          </w:tcPr>
          <w:p w14:paraId="056FF491" w14:textId="77777777" w:rsidR="00FE244A" w:rsidRPr="007D384F" w:rsidRDefault="00FE244A"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071AC280" w14:textId="227940CD" w:rsidR="00FE244A" w:rsidRDefault="00FE244A"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w:t>
            </w:r>
            <w:r w:rsidR="00D51EE5">
              <w:rPr>
                <w:rFonts w:ascii="Times New Roman" w:eastAsia="Times New Roman" w:hAnsi="Times New Roman"/>
                <w:sz w:val="26"/>
                <w:szCs w:val="26"/>
              </w:rPr>
              <w:t xml:space="preserve">   </w:t>
            </w:r>
            <w:r w:rsidR="00D51EE5" w:rsidRPr="00D51EE5">
              <w:rPr>
                <w:rFonts w:ascii="Times New Roman" w:eastAsia="Times New Roman" w:hAnsi="Times New Roman"/>
                <w:sz w:val="24"/>
                <w:szCs w:val="24"/>
              </w:rPr>
              <w:t>6,033,643.50</w:t>
            </w: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rsidSect="00910CA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CE49" w14:textId="77777777" w:rsidR="00B55034" w:rsidRDefault="00B55034" w:rsidP="00A817DF">
      <w:pPr>
        <w:spacing w:after="0" w:line="240" w:lineRule="auto"/>
      </w:pPr>
      <w:r>
        <w:separator/>
      </w:r>
    </w:p>
  </w:endnote>
  <w:endnote w:type="continuationSeparator" w:id="0">
    <w:p w14:paraId="34E15ED8" w14:textId="77777777" w:rsidR="00B55034" w:rsidRDefault="00B55034"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A2AF" w14:textId="77777777" w:rsidR="00B55034" w:rsidRDefault="00B55034" w:rsidP="00A817DF">
      <w:pPr>
        <w:spacing w:after="0" w:line="240" w:lineRule="auto"/>
      </w:pPr>
      <w:r>
        <w:separator/>
      </w:r>
    </w:p>
  </w:footnote>
  <w:footnote w:type="continuationSeparator" w:id="0">
    <w:p w14:paraId="7FAF74F4" w14:textId="77777777" w:rsidR="00B55034" w:rsidRDefault="00B55034"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285836"/>
      <w:docPartObj>
        <w:docPartGallery w:val="Page Numbers (Top of Page)"/>
        <w:docPartUnique/>
      </w:docPartObj>
    </w:sdtPr>
    <w:sdtContent>
      <w:p w14:paraId="1D76E0D9" w14:textId="7CFE2308" w:rsidR="00910CA6" w:rsidRDefault="00910CA6" w:rsidP="001C1E0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1D96EA7" w14:textId="77777777" w:rsidR="00910CA6" w:rsidRDefault="0091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D3FE" w14:textId="77777777" w:rsidR="00032931" w:rsidRDefault="00032931">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1ED"/>
    <w:multiLevelType w:val="hybridMultilevel"/>
    <w:tmpl w:val="3D60E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2937498"/>
    <w:multiLevelType w:val="hybridMultilevel"/>
    <w:tmpl w:val="36B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F0AC9"/>
    <w:multiLevelType w:val="hybridMultilevel"/>
    <w:tmpl w:val="BEA0936A"/>
    <w:lvl w:ilvl="0" w:tplc="1556F5F8">
      <w:start w:val="1"/>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4294">
    <w:abstractNumId w:val="11"/>
  </w:num>
  <w:num w:numId="2" w16cid:durableId="653528037">
    <w:abstractNumId w:val="13"/>
  </w:num>
  <w:num w:numId="3" w16cid:durableId="1326201875">
    <w:abstractNumId w:val="12"/>
  </w:num>
  <w:num w:numId="4" w16cid:durableId="91321051">
    <w:abstractNumId w:val="3"/>
  </w:num>
  <w:num w:numId="5" w16cid:durableId="1655794554">
    <w:abstractNumId w:val="1"/>
  </w:num>
  <w:num w:numId="6" w16cid:durableId="660887163">
    <w:abstractNumId w:val="8"/>
  </w:num>
  <w:num w:numId="7" w16cid:durableId="39091165">
    <w:abstractNumId w:val="10"/>
  </w:num>
  <w:num w:numId="8" w16cid:durableId="2020961156">
    <w:abstractNumId w:val="14"/>
  </w:num>
  <w:num w:numId="9" w16cid:durableId="1492141977">
    <w:abstractNumId w:val="9"/>
  </w:num>
  <w:num w:numId="10" w16cid:durableId="1600866891">
    <w:abstractNumId w:val="4"/>
  </w:num>
  <w:num w:numId="11" w16cid:durableId="63645107">
    <w:abstractNumId w:val="2"/>
  </w:num>
  <w:num w:numId="12" w16cid:durableId="1888375179">
    <w:abstractNumId w:val="5"/>
  </w:num>
  <w:num w:numId="13" w16cid:durableId="1129323210">
    <w:abstractNumId w:val="0"/>
  </w:num>
  <w:num w:numId="14" w16cid:durableId="1003701787">
    <w:abstractNumId w:val="6"/>
  </w:num>
  <w:num w:numId="15" w16cid:durableId="260264926">
    <w:abstractNumId w:val="15"/>
  </w:num>
  <w:num w:numId="16" w16cid:durableId="88963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AwNrI0NzE0sTRQ0lEKTi0uzszPAykwrgUA7X85siwAAAA="/>
  </w:docVars>
  <w:rsids>
    <w:rsidRoot w:val="00790C45"/>
    <w:rsid w:val="00012052"/>
    <w:rsid w:val="000143EE"/>
    <w:rsid w:val="0002613E"/>
    <w:rsid w:val="0003083E"/>
    <w:rsid w:val="00032931"/>
    <w:rsid w:val="00050736"/>
    <w:rsid w:val="000671B9"/>
    <w:rsid w:val="00072E1B"/>
    <w:rsid w:val="00081788"/>
    <w:rsid w:val="00081B16"/>
    <w:rsid w:val="000833FC"/>
    <w:rsid w:val="00085CAE"/>
    <w:rsid w:val="00086CBF"/>
    <w:rsid w:val="00091912"/>
    <w:rsid w:val="000A5C47"/>
    <w:rsid w:val="000B69D6"/>
    <w:rsid w:val="000C6006"/>
    <w:rsid w:val="000D65D1"/>
    <w:rsid w:val="00104AA9"/>
    <w:rsid w:val="00124B96"/>
    <w:rsid w:val="00141D9C"/>
    <w:rsid w:val="00147ACA"/>
    <w:rsid w:val="001519F5"/>
    <w:rsid w:val="00155E81"/>
    <w:rsid w:val="00157C32"/>
    <w:rsid w:val="001610D8"/>
    <w:rsid w:val="00162A4C"/>
    <w:rsid w:val="0016533E"/>
    <w:rsid w:val="0017044C"/>
    <w:rsid w:val="00172D76"/>
    <w:rsid w:val="00176ADC"/>
    <w:rsid w:val="00182841"/>
    <w:rsid w:val="00182E9F"/>
    <w:rsid w:val="00182F12"/>
    <w:rsid w:val="00184765"/>
    <w:rsid w:val="00196069"/>
    <w:rsid w:val="001A0B41"/>
    <w:rsid w:val="001A33EE"/>
    <w:rsid w:val="001A4080"/>
    <w:rsid w:val="001A5F67"/>
    <w:rsid w:val="001B2AC1"/>
    <w:rsid w:val="001B4D8B"/>
    <w:rsid w:val="001B762B"/>
    <w:rsid w:val="001D3AA7"/>
    <w:rsid w:val="001D439A"/>
    <w:rsid w:val="001D78B4"/>
    <w:rsid w:val="001E22FA"/>
    <w:rsid w:val="001E7702"/>
    <w:rsid w:val="001F3416"/>
    <w:rsid w:val="001F3C70"/>
    <w:rsid w:val="001F5883"/>
    <w:rsid w:val="001F6EDA"/>
    <w:rsid w:val="001F7E65"/>
    <w:rsid w:val="0020484C"/>
    <w:rsid w:val="0021646C"/>
    <w:rsid w:val="00220F05"/>
    <w:rsid w:val="00241688"/>
    <w:rsid w:val="0024234E"/>
    <w:rsid w:val="00245573"/>
    <w:rsid w:val="00250572"/>
    <w:rsid w:val="002579BA"/>
    <w:rsid w:val="0026270F"/>
    <w:rsid w:val="00264C63"/>
    <w:rsid w:val="00266321"/>
    <w:rsid w:val="00283AEB"/>
    <w:rsid w:val="002847BD"/>
    <w:rsid w:val="002870E8"/>
    <w:rsid w:val="002931FB"/>
    <w:rsid w:val="00293A98"/>
    <w:rsid w:val="002958E3"/>
    <w:rsid w:val="002A5B7D"/>
    <w:rsid w:val="002B0689"/>
    <w:rsid w:val="002B0DE6"/>
    <w:rsid w:val="002B66B6"/>
    <w:rsid w:val="002B7C93"/>
    <w:rsid w:val="002C0FFE"/>
    <w:rsid w:val="002C47B0"/>
    <w:rsid w:val="002D0113"/>
    <w:rsid w:val="002D28AA"/>
    <w:rsid w:val="002D35E7"/>
    <w:rsid w:val="002D45A5"/>
    <w:rsid w:val="002E0B93"/>
    <w:rsid w:val="002E26E9"/>
    <w:rsid w:val="002F4DAF"/>
    <w:rsid w:val="00302D21"/>
    <w:rsid w:val="003045AE"/>
    <w:rsid w:val="003154B1"/>
    <w:rsid w:val="00315A3D"/>
    <w:rsid w:val="003175D4"/>
    <w:rsid w:val="00322998"/>
    <w:rsid w:val="003255A5"/>
    <w:rsid w:val="00333ECF"/>
    <w:rsid w:val="003376C9"/>
    <w:rsid w:val="00343729"/>
    <w:rsid w:val="00357A9E"/>
    <w:rsid w:val="00357D48"/>
    <w:rsid w:val="00370D20"/>
    <w:rsid w:val="00372028"/>
    <w:rsid w:val="00376083"/>
    <w:rsid w:val="00385AA7"/>
    <w:rsid w:val="00390FC0"/>
    <w:rsid w:val="0039204D"/>
    <w:rsid w:val="00395D90"/>
    <w:rsid w:val="003A175C"/>
    <w:rsid w:val="003A2088"/>
    <w:rsid w:val="003A56D1"/>
    <w:rsid w:val="003B2398"/>
    <w:rsid w:val="003B5893"/>
    <w:rsid w:val="003B7D68"/>
    <w:rsid w:val="003C4265"/>
    <w:rsid w:val="003D06D9"/>
    <w:rsid w:val="003D371E"/>
    <w:rsid w:val="003D5357"/>
    <w:rsid w:val="003E14BF"/>
    <w:rsid w:val="003E3194"/>
    <w:rsid w:val="003E42E4"/>
    <w:rsid w:val="003F3088"/>
    <w:rsid w:val="003F3C8D"/>
    <w:rsid w:val="003F4DDE"/>
    <w:rsid w:val="00412C03"/>
    <w:rsid w:val="00422C7C"/>
    <w:rsid w:val="00425BB7"/>
    <w:rsid w:val="004360BD"/>
    <w:rsid w:val="00457CDE"/>
    <w:rsid w:val="00470228"/>
    <w:rsid w:val="0047290A"/>
    <w:rsid w:val="0047371B"/>
    <w:rsid w:val="00480227"/>
    <w:rsid w:val="00481670"/>
    <w:rsid w:val="0048342A"/>
    <w:rsid w:val="00485D9D"/>
    <w:rsid w:val="004A488C"/>
    <w:rsid w:val="004A7669"/>
    <w:rsid w:val="004A7B2E"/>
    <w:rsid w:val="004B4F45"/>
    <w:rsid w:val="004C0608"/>
    <w:rsid w:val="004C43B8"/>
    <w:rsid w:val="004C72BE"/>
    <w:rsid w:val="004C72EB"/>
    <w:rsid w:val="004E2F4F"/>
    <w:rsid w:val="004F43B7"/>
    <w:rsid w:val="004F4F16"/>
    <w:rsid w:val="0051134D"/>
    <w:rsid w:val="005122F2"/>
    <w:rsid w:val="005145D8"/>
    <w:rsid w:val="00517741"/>
    <w:rsid w:val="00525D4A"/>
    <w:rsid w:val="00526A44"/>
    <w:rsid w:val="00537F38"/>
    <w:rsid w:val="00542702"/>
    <w:rsid w:val="00547E70"/>
    <w:rsid w:val="00552EB0"/>
    <w:rsid w:val="00562976"/>
    <w:rsid w:val="0057172C"/>
    <w:rsid w:val="00573A23"/>
    <w:rsid w:val="00573B10"/>
    <w:rsid w:val="005745EF"/>
    <w:rsid w:val="00577FDA"/>
    <w:rsid w:val="005917CC"/>
    <w:rsid w:val="005D08FB"/>
    <w:rsid w:val="005D6E7E"/>
    <w:rsid w:val="00602119"/>
    <w:rsid w:val="0060253B"/>
    <w:rsid w:val="0060572F"/>
    <w:rsid w:val="006059B6"/>
    <w:rsid w:val="00610227"/>
    <w:rsid w:val="00611002"/>
    <w:rsid w:val="00615A19"/>
    <w:rsid w:val="00631E2A"/>
    <w:rsid w:val="00641388"/>
    <w:rsid w:val="006413AD"/>
    <w:rsid w:val="00652B42"/>
    <w:rsid w:val="00664CE2"/>
    <w:rsid w:val="006717AB"/>
    <w:rsid w:val="006718D0"/>
    <w:rsid w:val="0067279C"/>
    <w:rsid w:val="006735E7"/>
    <w:rsid w:val="00685F8B"/>
    <w:rsid w:val="00694F56"/>
    <w:rsid w:val="00696A30"/>
    <w:rsid w:val="006A2B59"/>
    <w:rsid w:val="006A498C"/>
    <w:rsid w:val="006A4FD8"/>
    <w:rsid w:val="006A77EA"/>
    <w:rsid w:val="006B23DC"/>
    <w:rsid w:val="006C5858"/>
    <w:rsid w:val="006E2C01"/>
    <w:rsid w:val="006F4DF5"/>
    <w:rsid w:val="006F6A5B"/>
    <w:rsid w:val="00704B8A"/>
    <w:rsid w:val="00705190"/>
    <w:rsid w:val="00720290"/>
    <w:rsid w:val="00725371"/>
    <w:rsid w:val="00725DF2"/>
    <w:rsid w:val="0073634D"/>
    <w:rsid w:val="00755CE8"/>
    <w:rsid w:val="0076023D"/>
    <w:rsid w:val="0076251E"/>
    <w:rsid w:val="007666D1"/>
    <w:rsid w:val="0077417A"/>
    <w:rsid w:val="00777270"/>
    <w:rsid w:val="007801A4"/>
    <w:rsid w:val="007801FE"/>
    <w:rsid w:val="00780A50"/>
    <w:rsid w:val="00790C45"/>
    <w:rsid w:val="007928FD"/>
    <w:rsid w:val="007A02CB"/>
    <w:rsid w:val="007C2FAD"/>
    <w:rsid w:val="007C33F7"/>
    <w:rsid w:val="007C715E"/>
    <w:rsid w:val="007D2DAF"/>
    <w:rsid w:val="007D384F"/>
    <w:rsid w:val="007F0D35"/>
    <w:rsid w:val="007F1BA7"/>
    <w:rsid w:val="007F466C"/>
    <w:rsid w:val="00800461"/>
    <w:rsid w:val="00803F05"/>
    <w:rsid w:val="00804CCE"/>
    <w:rsid w:val="00806DE8"/>
    <w:rsid w:val="00807109"/>
    <w:rsid w:val="008119F6"/>
    <w:rsid w:val="00814130"/>
    <w:rsid w:val="00822060"/>
    <w:rsid w:val="00824193"/>
    <w:rsid w:val="00831C2F"/>
    <w:rsid w:val="008328A7"/>
    <w:rsid w:val="00833E5D"/>
    <w:rsid w:val="00837CEB"/>
    <w:rsid w:val="00846F8D"/>
    <w:rsid w:val="00850E03"/>
    <w:rsid w:val="00852D8E"/>
    <w:rsid w:val="00856201"/>
    <w:rsid w:val="00861FBB"/>
    <w:rsid w:val="00862ECF"/>
    <w:rsid w:val="008667B4"/>
    <w:rsid w:val="0088073D"/>
    <w:rsid w:val="00886805"/>
    <w:rsid w:val="00896404"/>
    <w:rsid w:val="008A5F5A"/>
    <w:rsid w:val="008C0819"/>
    <w:rsid w:val="008C119F"/>
    <w:rsid w:val="008D3D78"/>
    <w:rsid w:val="00910CA6"/>
    <w:rsid w:val="009140AC"/>
    <w:rsid w:val="0091703F"/>
    <w:rsid w:val="009239A5"/>
    <w:rsid w:val="00927290"/>
    <w:rsid w:val="00934351"/>
    <w:rsid w:val="00937704"/>
    <w:rsid w:val="009412F7"/>
    <w:rsid w:val="009418AB"/>
    <w:rsid w:val="009433E2"/>
    <w:rsid w:val="0094759E"/>
    <w:rsid w:val="00947D9A"/>
    <w:rsid w:val="00951987"/>
    <w:rsid w:val="00977E0B"/>
    <w:rsid w:val="00995ACF"/>
    <w:rsid w:val="00996840"/>
    <w:rsid w:val="009A366F"/>
    <w:rsid w:val="009B1FAA"/>
    <w:rsid w:val="009B77D9"/>
    <w:rsid w:val="009C04C5"/>
    <w:rsid w:val="009C37EA"/>
    <w:rsid w:val="009D191D"/>
    <w:rsid w:val="009D210B"/>
    <w:rsid w:val="009D2449"/>
    <w:rsid w:val="009D6C8E"/>
    <w:rsid w:val="009E1942"/>
    <w:rsid w:val="009E36FB"/>
    <w:rsid w:val="009E6403"/>
    <w:rsid w:val="009F54F9"/>
    <w:rsid w:val="009F7098"/>
    <w:rsid w:val="009F7C35"/>
    <w:rsid w:val="00A047B2"/>
    <w:rsid w:val="00A10CC8"/>
    <w:rsid w:val="00A11DA2"/>
    <w:rsid w:val="00A15B6B"/>
    <w:rsid w:val="00A16291"/>
    <w:rsid w:val="00A4643B"/>
    <w:rsid w:val="00A612B3"/>
    <w:rsid w:val="00A72D4D"/>
    <w:rsid w:val="00A75853"/>
    <w:rsid w:val="00A817DF"/>
    <w:rsid w:val="00A84BA0"/>
    <w:rsid w:val="00A85030"/>
    <w:rsid w:val="00A9006A"/>
    <w:rsid w:val="00A940F7"/>
    <w:rsid w:val="00A96331"/>
    <w:rsid w:val="00AA03B8"/>
    <w:rsid w:val="00AA6905"/>
    <w:rsid w:val="00AA7F39"/>
    <w:rsid w:val="00AB3F1D"/>
    <w:rsid w:val="00AB46BD"/>
    <w:rsid w:val="00AB5E95"/>
    <w:rsid w:val="00AB6641"/>
    <w:rsid w:val="00AC1317"/>
    <w:rsid w:val="00AC20BC"/>
    <w:rsid w:val="00AC2DA1"/>
    <w:rsid w:val="00AE5100"/>
    <w:rsid w:val="00AE655F"/>
    <w:rsid w:val="00AE7E41"/>
    <w:rsid w:val="00AF1920"/>
    <w:rsid w:val="00AF7A7C"/>
    <w:rsid w:val="00B07E57"/>
    <w:rsid w:val="00B10C67"/>
    <w:rsid w:val="00B16D5F"/>
    <w:rsid w:val="00B175A3"/>
    <w:rsid w:val="00B34107"/>
    <w:rsid w:val="00B37520"/>
    <w:rsid w:val="00B51B04"/>
    <w:rsid w:val="00B51BEF"/>
    <w:rsid w:val="00B53ECD"/>
    <w:rsid w:val="00B55034"/>
    <w:rsid w:val="00B55900"/>
    <w:rsid w:val="00B57AE3"/>
    <w:rsid w:val="00B64FF8"/>
    <w:rsid w:val="00B7067B"/>
    <w:rsid w:val="00B7434A"/>
    <w:rsid w:val="00B7436F"/>
    <w:rsid w:val="00B74CD2"/>
    <w:rsid w:val="00B75F06"/>
    <w:rsid w:val="00B81279"/>
    <w:rsid w:val="00B81529"/>
    <w:rsid w:val="00B93AC4"/>
    <w:rsid w:val="00B95CEE"/>
    <w:rsid w:val="00B973C4"/>
    <w:rsid w:val="00BA0E12"/>
    <w:rsid w:val="00BA1D2D"/>
    <w:rsid w:val="00BA1FD0"/>
    <w:rsid w:val="00BA31FA"/>
    <w:rsid w:val="00BB45D5"/>
    <w:rsid w:val="00BE5A4B"/>
    <w:rsid w:val="00C16DFA"/>
    <w:rsid w:val="00C413AA"/>
    <w:rsid w:val="00C41497"/>
    <w:rsid w:val="00C4531C"/>
    <w:rsid w:val="00C54A45"/>
    <w:rsid w:val="00C56EDF"/>
    <w:rsid w:val="00C70B26"/>
    <w:rsid w:val="00C754ED"/>
    <w:rsid w:val="00C7645C"/>
    <w:rsid w:val="00C77C31"/>
    <w:rsid w:val="00C91560"/>
    <w:rsid w:val="00CA1216"/>
    <w:rsid w:val="00CA7B5B"/>
    <w:rsid w:val="00CB247F"/>
    <w:rsid w:val="00CB625C"/>
    <w:rsid w:val="00CD4B28"/>
    <w:rsid w:val="00CE4235"/>
    <w:rsid w:val="00CE657C"/>
    <w:rsid w:val="00CF0EC5"/>
    <w:rsid w:val="00CF6C35"/>
    <w:rsid w:val="00CF7DF5"/>
    <w:rsid w:val="00D058D4"/>
    <w:rsid w:val="00D05CA4"/>
    <w:rsid w:val="00D1519C"/>
    <w:rsid w:val="00D20988"/>
    <w:rsid w:val="00D2252D"/>
    <w:rsid w:val="00D3030D"/>
    <w:rsid w:val="00D30961"/>
    <w:rsid w:val="00D33D9D"/>
    <w:rsid w:val="00D43877"/>
    <w:rsid w:val="00D51EE5"/>
    <w:rsid w:val="00D64372"/>
    <w:rsid w:val="00D71BB4"/>
    <w:rsid w:val="00D87F39"/>
    <w:rsid w:val="00D92467"/>
    <w:rsid w:val="00DB1DE3"/>
    <w:rsid w:val="00DB4DB5"/>
    <w:rsid w:val="00DC158F"/>
    <w:rsid w:val="00DD2502"/>
    <w:rsid w:val="00DF4DBC"/>
    <w:rsid w:val="00DF565E"/>
    <w:rsid w:val="00E026AB"/>
    <w:rsid w:val="00E27893"/>
    <w:rsid w:val="00E3408D"/>
    <w:rsid w:val="00E4344E"/>
    <w:rsid w:val="00E44C01"/>
    <w:rsid w:val="00E50F57"/>
    <w:rsid w:val="00E549E5"/>
    <w:rsid w:val="00E6061D"/>
    <w:rsid w:val="00E612F0"/>
    <w:rsid w:val="00E638D2"/>
    <w:rsid w:val="00E7497E"/>
    <w:rsid w:val="00E805DA"/>
    <w:rsid w:val="00E85A4C"/>
    <w:rsid w:val="00E933BC"/>
    <w:rsid w:val="00EA11BF"/>
    <w:rsid w:val="00EA7D08"/>
    <w:rsid w:val="00EB004C"/>
    <w:rsid w:val="00EC4354"/>
    <w:rsid w:val="00EC5861"/>
    <w:rsid w:val="00EF06B3"/>
    <w:rsid w:val="00EF33AD"/>
    <w:rsid w:val="00EF47C6"/>
    <w:rsid w:val="00F03156"/>
    <w:rsid w:val="00F073A6"/>
    <w:rsid w:val="00F13CFE"/>
    <w:rsid w:val="00F23B9C"/>
    <w:rsid w:val="00F23BAF"/>
    <w:rsid w:val="00F3108F"/>
    <w:rsid w:val="00F32041"/>
    <w:rsid w:val="00F376EB"/>
    <w:rsid w:val="00F37A72"/>
    <w:rsid w:val="00F41ABD"/>
    <w:rsid w:val="00F4322A"/>
    <w:rsid w:val="00F563D3"/>
    <w:rsid w:val="00F61739"/>
    <w:rsid w:val="00F671E8"/>
    <w:rsid w:val="00F7093E"/>
    <w:rsid w:val="00F72D15"/>
    <w:rsid w:val="00F76AAB"/>
    <w:rsid w:val="00F76F2F"/>
    <w:rsid w:val="00F77A9C"/>
    <w:rsid w:val="00F85E11"/>
    <w:rsid w:val="00F9536A"/>
    <w:rsid w:val="00F96400"/>
    <w:rsid w:val="00FA2FD1"/>
    <w:rsid w:val="00FA423B"/>
    <w:rsid w:val="00FB766B"/>
    <w:rsid w:val="00FC4CA9"/>
    <w:rsid w:val="00FD10D6"/>
    <w:rsid w:val="00FE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 w:type="paragraph" w:styleId="ListParagraph">
    <w:name w:val="List Paragraph"/>
    <w:basedOn w:val="Normal"/>
    <w:uiPriority w:val="34"/>
    <w:qFormat/>
    <w:rsid w:val="00E27893"/>
    <w:pPr>
      <w:ind w:left="720"/>
      <w:contextualSpacing/>
    </w:pPr>
  </w:style>
  <w:style w:type="paragraph" w:customStyle="1" w:styleId="xmsonormal">
    <w:name w:val="x_msonormal"/>
    <w:basedOn w:val="Normal"/>
    <w:rsid w:val="00831C2F"/>
    <w:pPr>
      <w:spacing w:after="0" w:line="240" w:lineRule="auto"/>
    </w:pPr>
    <w:rPr>
      <w:rFonts w:eastAsiaTheme="minorHAnsi" w:cs="Calibri"/>
    </w:rPr>
  </w:style>
  <w:style w:type="paragraph" w:customStyle="1" w:styleId="xmsolistparagraph">
    <w:name w:val="x_msolistparagraph"/>
    <w:basedOn w:val="Normal"/>
    <w:rsid w:val="00831C2F"/>
    <w:pPr>
      <w:spacing w:line="252" w:lineRule="auto"/>
      <w:ind w:left="720"/>
    </w:pPr>
    <w:rPr>
      <w:rFonts w:eastAsiaTheme="minorHAnsi" w:cs="Calibri"/>
    </w:rPr>
  </w:style>
  <w:style w:type="character" w:styleId="PageNumber">
    <w:name w:val="page number"/>
    <w:basedOn w:val="DefaultParagraphFont"/>
    <w:uiPriority w:val="99"/>
    <w:semiHidden/>
    <w:unhideWhenUsed/>
    <w:rsid w:val="0091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848">
      <w:bodyDiv w:val="1"/>
      <w:marLeft w:val="0"/>
      <w:marRight w:val="0"/>
      <w:marTop w:val="0"/>
      <w:marBottom w:val="0"/>
      <w:divBdr>
        <w:top w:val="none" w:sz="0" w:space="0" w:color="auto"/>
        <w:left w:val="none" w:sz="0" w:space="0" w:color="auto"/>
        <w:bottom w:val="none" w:sz="0" w:space="0" w:color="auto"/>
        <w:right w:val="none" w:sz="0" w:space="0" w:color="auto"/>
      </w:divBdr>
    </w:div>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6E39-E1F6-430C-868E-1FD4C73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5</cp:revision>
  <cp:lastPrinted>2022-10-18T16:28:00Z</cp:lastPrinted>
  <dcterms:created xsi:type="dcterms:W3CDTF">2022-11-04T16:56:00Z</dcterms:created>
  <dcterms:modified xsi:type="dcterms:W3CDTF">2022-11-17T16:25:00Z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f6a5455d298889ce1c6c37a420104637af444ee67ce4c01f74565eeb8a6daeff</vt:lpwstr>
  </property>
</Properties>
</file>