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09E70" w14:textId="0276874B" w:rsidR="00CF4AA4" w:rsidRPr="00756196" w:rsidRDefault="00FA754B" w:rsidP="009B6A47">
      <w:pPr>
        <w:pStyle w:val="bdheading1"/>
      </w:pPr>
      <w:r>
        <w:t>16</w:t>
      </w:r>
    </w:p>
    <w:p w14:paraId="6C7AEDED" w14:textId="77777777" w:rsidR="009B6A47" w:rsidRDefault="009B6A47" w:rsidP="009B6A47">
      <w:pPr>
        <w:rPr>
          <w:highlight w:val="cyan"/>
        </w:rPr>
      </w:pPr>
    </w:p>
    <w:p w14:paraId="27975423" w14:textId="77777777" w:rsidR="007E3CB5" w:rsidRPr="00AF2072" w:rsidRDefault="007E3CB5" w:rsidP="009B6A47">
      <w:pPr>
        <w:rPr>
          <w:highlight w:val="cyan"/>
        </w:rPr>
      </w:pPr>
    </w:p>
    <w:p w14:paraId="430682A0" w14:textId="77777777" w:rsidR="009B6A47" w:rsidRPr="00DD6CB8" w:rsidRDefault="009B6A47" w:rsidP="009B6A47">
      <w:pPr>
        <w:pStyle w:val="bdheading2"/>
      </w:pPr>
      <w:r w:rsidRPr="00A521FC">
        <w:tab/>
      </w:r>
      <w:r w:rsidRPr="00DD6CB8">
        <w:t>Board Meeting</w:t>
      </w:r>
    </w:p>
    <w:p w14:paraId="6BCE12C2" w14:textId="36EC560B" w:rsidR="009B6A47" w:rsidRPr="00DD6CB8" w:rsidRDefault="009B6A47" w:rsidP="009B6A47">
      <w:pPr>
        <w:pStyle w:val="bdheading2"/>
      </w:pPr>
      <w:r w:rsidRPr="00DD6CB8">
        <w:tab/>
      </w:r>
      <w:r w:rsidR="00C42423" w:rsidRPr="00DD6CB8">
        <w:t xml:space="preserve">September </w:t>
      </w:r>
      <w:r w:rsidR="00DD6CB8" w:rsidRPr="00DD6CB8">
        <w:t>18</w:t>
      </w:r>
      <w:r w:rsidR="00C42423" w:rsidRPr="00DD6CB8">
        <w:t>, 20</w:t>
      </w:r>
      <w:r w:rsidR="00DD6CB8" w:rsidRPr="00DD6CB8">
        <w:t>25</w:t>
      </w:r>
    </w:p>
    <w:p w14:paraId="5BB28620" w14:textId="77777777" w:rsidR="009B6A47" w:rsidRDefault="009B6A47" w:rsidP="009B6A47">
      <w:pPr>
        <w:pStyle w:val="bdheading2"/>
      </w:pPr>
    </w:p>
    <w:p w14:paraId="4548D5F4" w14:textId="77777777" w:rsidR="007E3CB5" w:rsidRPr="00DD6CB8" w:rsidRDefault="007E3CB5" w:rsidP="009B6A47">
      <w:pPr>
        <w:pStyle w:val="bdheading2"/>
      </w:pPr>
    </w:p>
    <w:p w14:paraId="6AD057F5" w14:textId="77777777" w:rsidR="009B6A47" w:rsidRPr="00DD6CB8" w:rsidRDefault="009B6A47" w:rsidP="009B6A47">
      <w:pPr>
        <w:jc w:val="center"/>
      </w:pPr>
      <w:r w:rsidRPr="00DD6CB8">
        <w:t>ROLL CALL</w:t>
      </w:r>
    </w:p>
    <w:p w14:paraId="55CB4624" w14:textId="77777777" w:rsidR="009B6A47" w:rsidRDefault="009B6A47" w:rsidP="009B6A47">
      <w:pPr>
        <w:jc w:val="center"/>
      </w:pPr>
    </w:p>
    <w:p w14:paraId="724EC1E5" w14:textId="408651ED" w:rsidR="009B6A47" w:rsidRPr="00756196" w:rsidRDefault="007E3CB5" w:rsidP="009B6A47">
      <w:pPr>
        <w:jc w:val="center"/>
      </w:pPr>
      <w:r w:rsidRPr="00D676E4">
        <w:rPr>
          <w:caps/>
        </w:rPr>
        <w:t>Approve Project and Amend</w:t>
      </w:r>
      <w:r>
        <w:t xml:space="preserve"> </w:t>
      </w:r>
      <w:r w:rsidR="006D2746" w:rsidRPr="00DD6CB8">
        <w:t>PROFESSIONAL SERVICES CONSULTANT</w:t>
      </w:r>
      <w:r>
        <w:t xml:space="preserve"> </w:t>
      </w:r>
      <w:r w:rsidRPr="00D676E4">
        <w:rPr>
          <w:caps/>
        </w:rPr>
        <w:t>Contract</w:t>
      </w:r>
      <w:r w:rsidR="00DD6CB8" w:rsidRPr="00DD6CB8">
        <w:t xml:space="preserve"> </w:t>
      </w:r>
      <w:r w:rsidR="00A522AF" w:rsidRPr="00DD6CB8">
        <w:t xml:space="preserve">FOR </w:t>
      </w:r>
      <w:bookmarkStart w:id="0" w:name="_Hlk203982785"/>
      <w:r w:rsidR="00DD6CB8" w:rsidRPr="00DD6CB8">
        <w:t xml:space="preserve">INTEGRATED BIOPROCESSING RESEARCH LABORATORY ADDITION </w:t>
      </w:r>
      <w:r w:rsidR="00C70B2C">
        <w:t>(</w:t>
      </w:r>
      <w:r w:rsidR="00DD6CB8" w:rsidRPr="00DD6CB8">
        <w:t>IBRL 2.0</w:t>
      </w:r>
      <w:r w:rsidR="00C70B2C">
        <w:t>)</w:t>
      </w:r>
      <w:r w:rsidR="005A05A7" w:rsidRPr="00DD6CB8">
        <w:t>, URBANA</w:t>
      </w:r>
      <w:bookmarkEnd w:id="0"/>
    </w:p>
    <w:p w14:paraId="527160D5" w14:textId="77777777" w:rsidR="009B6A47" w:rsidRDefault="009B6A47" w:rsidP="009B6A47">
      <w:pPr>
        <w:jc w:val="center"/>
      </w:pPr>
    </w:p>
    <w:p w14:paraId="3C138789" w14:textId="77777777" w:rsidR="007E3CB5" w:rsidRPr="00756196" w:rsidRDefault="007E3CB5" w:rsidP="009B6A47">
      <w:pPr>
        <w:jc w:val="center"/>
      </w:pPr>
    </w:p>
    <w:p w14:paraId="629CA1EB" w14:textId="6924AF41" w:rsidR="009B6A47" w:rsidRPr="00756196" w:rsidRDefault="009B6A47" w:rsidP="009B6A47">
      <w:pPr>
        <w:pStyle w:val="bdstyle1"/>
      </w:pPr>
      <w:r w:rsidRPr="00756196">
        <w:rPr>
          <w:b/>
        </w:rPr>
        <w:t>Action:</w:t>
      </w:r>
      <w:r w:rsidRPr="00756196">
        <w:tab/>
      </w:r>
      <w:bookmarkStart w:id="1" w:name="_Hlk205279376"/>
      <w:r w:rsidR="008F131F">
        <w:t xml:space="preserve">Approve Project and Amend </w:t>
      </w:r>
      <w:bookmarkEnd w:id="1"/>
      <w:r w:rsidR="006D2746" w:rsidRPr="00DD6CB8">
        <w:t>Professional Services Consultant</w:t>
      </w:r>
      <w:r w:rsidR="00B830F0" w:rsidRPr="00DD6CB8">
        <w:t xml:space="preserve"> </w:t>
      </w:r>
      <w:r w:rsidR="008F131F">
        <w:t xml:space="preserve">Contract </w:t>
      </w:r>
      <w:r w:rsidR="00B830F0" w:rsidRPr="00DD6CB8">
        <w:t>for</w:t>
      </w:r>
      <w:r w:rsidR="0035013E" w:rsidRPr="00DD6CB8">
        <w:t xml:space="preserve"> </w:t>
      </w:r>
      <w:r w:rsidR="00DD6CB8" w:rsidRPr="00DD6CB8">
        <w:t xml:space="preserve">Integrated Bioprocessing Research Laboratory Addition </w:t>
      </w:r>
      <w:r w:rsidR="00C70B2C">
        <w:t>(</w:t>
      </w:r>
      <w:r w:rsidR="00DD6CB8" w:rsidRPr="00DD6CB8">
        <w:t>IBRL 2.0</w:t>
      </w:r>
      <w:r w:rsidR="00C70B2C">
        <w:t>)</w:t>
      </w:r>
    </w:p>
    <w:p w14:paraId="2DFCACB5" w14:textId="77777777" w:rsidR="005D221A" w:rsidRPr="00756196" w:rsidRDefault="005D221A" w:rsidP="009B6A47">
      <w:pPr>
        <w:pStyle w:val="bdstyle1"/>
      </w:pPr>
    </w:p>
    <w:p w14:paraId="61118728" w14:textId="20C344E8" w:rsidR="00DD6CB8" w:rsidRDefault="005D221A" w:rsidP="00D73CB9">
      <w:pPr>
        <w:pStyle w:val="bdstyle1"/>
      </w:pPr>
      <w:r w:rsidRPr="00756196">
        <w:rPr>
          <w:b/>
        </w:rPr>
        <w:t>Funding:</w:t>
      </w:r>
      <w:r w:rsidRPr="00756196">
        <w:tab/>
      </w:r>
      <w:bookmarkStart w:id="2" w:name="OLE_LINK3"/>
      <w:bookmarkStart w:id="3" w:name="OLE_LINK4"/>
      <w:r w:rsidR="008F131F">
        <w:t>Federal</w:t>
      </w:r>
      <w:r w:rsidR="00AF7121">
        <w:t xml:space="preserve"> and </w:t>
      </w:r>
      <w:r w:rsidR="008F131F">
        <w:t>State Grant Funds and Institutional Funds</w:t>
      </w:r>
      <w:r w:rsidR="00AF7121">
        <w:t xml:space="preserve"> Operating Budget </w:t>
      </w:r>
    </w:p>
    <w:p w14:paraId="605A6CC5" w14:textId="77777777" w:rsidR="00002F55" w:rsidRDefault="00EE6DF9" w:rsidP="00C42423">
      <w:pPr>
        <w:ind w:left="1430" w:hanging="1430"/>
      </w:pPr>
      <w:r w:rsidRPr="00756196">
        <w:tab/>
      </w:r>
    </w:p>
    <w:p w14:paraId="654F2ED1" w14:textId="77777777" w:rsidR="007E654B" w:rsidRPr="00756196" w:rsidRDefault="007E654B" w:rsidP="00C42423">
      <w:pPr>
        <w:ind w:left="1430" w:hanging="1430"/>
      </w:pPr>
    </w:p>
    <w:bookmarkEnd w:id="2"/>
    <w:bookmarkEnd w:id="3"/>
    <w:p w14:paraId="35817374" w14:textId="0B7ED995" w:rsidR="00AF7121" w:rsidRDefault="005913A2" w:rsidP="00AB2D3C">
      <w:pPr>
        <w:pStyle w:val="bdstyle2"/>
      </w:pPr>
      <w:r>
        <w:t xml:space="preserve">The existing Integrated Bioprocessing Research Laboratory (IBRL) at the University of Illinois Urbana-Champaign has experienced rapid growth since its opening in 2018. It plays a vital role in providing pilot-scale services and workforce development in the growing bioprocessing market, having served over 100 companies and trained more than 350 individuals </w:t>
      </w:r>
      <w:r w:rsidR="00FC5727">
        <w:t>since its inception</w:t>
      </w:r>
      <w:r w:rsidR="00C70B2C">
        <w:t xml:space="preserve"> seven</w:t>
      </w:r>
      <w:r w:rsidR="00FC5727">
        <w:t xml:space="preserve"> years ago</w:t>
      </w:r>
      <w:r>
        <w:t>. The facility’s flexible design and business model allow companies to access world-class pilot-scale services quickly and affordably, supported by outstanding technical staff, all while maintaining control over their intellectual property. The staff has grown to 64 employees</w:t>
      </w:r>
      <w:r w:rsidR="00C70B2C">
        <w:t>. S</w:t>
      </w:r>
      <w:r>
        <w:t xml:space="preserve">trong partnerships with clients and equipment vendors offering cutting-edge technologies have resulted in a facility that is now over capacity, with increasing lead times for access. </w:t>
      </w:r>
    </w:p>
    <w:p w14:paraId="5853FE73" w14:textId="6F25B95F" w:rsidR="005913A2" w:rsidRDefault="005913A2" w:rsidP="00AF7121">
      <w:pPr>
        <w:pStyle w:val="bdstyle2"/>
      </w:pPr>
      <w:r>
        <w:t xml:space="preserve">Due to its excellent reputation and high demand, users are seeking an expansion of the original IBRL structure to better serve the industry and support </w:t>
      </w:r>
      <w:r>
        <w:lastRenderedPageBreak/>
        <w:t xml:space="preserve">companies on their path to commercial success. </w:t>
      </w:r>
      <w:r w:rsidR="00AF7121" w:rsidRPr="00AF7121">
        <w:t>The new facility has been in the planning and early design stage since December 2022. IBRL is coordinating an effort to develop East</w:t>
      </w:r>
      <w:r w:rsidR="00C70B2C">
        <w:t xml:space="preserve"> </w:t>
      </w:r>
      <w:r w:rsidR="00AF7121" w:rsidRPr="00AF7121">
        <w:t>Central Illinois into a bioprocessing hub through the Illinois Fermentation and Agriculture Biomanufacturing (</w:t>
      </w:r>
      <w:proofErr w:type="spellStart"/>
      <w:r w:rsidR="00AF7121" w:rsidRPr="00AF7121">
        <w:t>iFAB</w:t>
      </w:r>
      <w:proofErr w:type="spellEnd"/>
      <w:r w:rsidR="00AF7121" w:rsidRPr="00AF7121">
        <w:t>) initiative, which was recently designated as a Tech Hub by the Economic Development Administration (EDA).</w:t>
      </w:r>
      <w:r w:rsidR="00AF7121">
        <w:t xml:space="preserve"> </w:t>
      </w:r>
      <w:r>
        <w:t xml:space="preserve">This project will expand the existing IBRL facility onto the adjacent empty lot to the east, supporting continued programmatic growth. The design will reflect a similar architectural style to the existing IBRL, with minor improvements based on lessons learned over the past </w:t>
      </w:r>
      <w:r w:rsidR="00C70B2C">
        <w:t xml:space="preserve">seven </w:t>
      </w:r>
      <w:r>
        <w:t>years. The total new area is expected to be 37,249 square feet, including approximately 17,000 square feet for research, 13,000 square feet for office/conference/classroom space, and the remainder for circulation and infrastructure, with a net-to-gross efficiency of 72</w:t>
      </w:r>
      <w:r w:rsidR="00C70B2C">
        <w:t xml:space="preserve"> percent</w:t>
      </w:r>
      <w:r>
        <w:t>.</w:t>
      </w:r>
    </w:p>
    <w:p w14:paraId="2681773F" w14:textId="218639F4" w:rsidR="00FF4832" w:rsidRDefault="00AF7121" w:rsidP="00D676E4">
      <w:pPr>
        <w:pStyle w:val="bdstyle2"/>
      </w:pPr>
      <w:r>
        <w:t xml:space="preserve">In </w:t>
      </w:r>
      <w:r w:rsidR="00A26662">
        <w:t>August</w:t>
      </w:r>
      <w:r w:rsidR="00A26662" w:rsidRPr="00A26662">
        <w:t xml:space="preserve"> </w:t>
      </w:r>
      <w:r w:rsidR="00A26662">
        <w:t>2025</w:t>
      </w:r>
      <w:r>
        <w:t xml:space="preserve">, a professional services consultant was employed to provide services for the </w:t>
      </w:r>
      <w:r w:rsidR="00FF4832">
        <w:t>s</w:t>
      </w:r>
      <w:r>
        <w:t xml:space="preserve">chematic </w:t>
      </w:r>
      <w:r w:rsidR="00FF4832">
        <w:t>d</w:t>
      </w:r>
      <w:r>
        <w:t xml:space="preserve">esign, </w:t>
      </w:r>
      <w:r w:rsidR="00FF4832">
        <w:t>initial d</w:t>
      </w:r>
      <w:r>
        <w:t xml:space="preserve">esign </w:t>
      </w:r>
      <w:r w:rsidR="00FF4832">
        <w:t>d</w:t>
      </w:r>
      <w:r>
        <w:t>evelopment</w:t>
      </w:r>
      <w:r w:rsidR="00FF4832">
        <w:t>, i</w:t>
      </w:r>
      <w:r>
        <w:t xml:space="preserve">nterior </w:t>
      </w:r>
      <w:r w:rsidR="00FF4832">
        <w:t>d</w:t>
      </w:r>
      <w:r>
        <w:t>esign, and related supplemental services for the Integrated Bioprocessing Research Laboratory Addition (IBRL 2.0).</w:t>
      </w:r>
      <w:r w:rsidR="00FF4832">
        <w:t xml:space="preserve"> The intent is </w:t>
      </w:r>
      <w:r w:rsidR="00FC5727">
        <w:t>to amend the contract for full professional services now</w:t>
      </w:r>
      <w:r w:rsidR="00FF4832">
        <w:t xml:space="preserve"> so that design can be completed. </w:t>
      </w:r>
    </w:p>
    <w:p w14:paraId="443289F7" w14:textId="7DFC41C7" w:rsidR="009F008C" w:rsidRPr="00284D5B" w:rsidRDefault="009E33CF" w:rsidP="00EB0417">
      <w:pPr>
        <w:pStyle w:val="bdstyle2"/>
      </w:pPr>
      <w:r w:rsidRPr="009E33CF">
        <w:t>For</w:t>
      </w:r>
      <w:r w:rsidR="00C670D7" w:rsidRPr="00C670D7">
        <w:t xml:space="preserve"> the project to proceed</w:t>
      </w:r>
      <w:r w:rsidR="00FC5727">
        <w:t>,</w:t>
      </w:r>
      <w:r w:rsidR="00C670D7" w:rsidRPr="00C670D7">
        <w:t xml:space="preserve"> </w:t>
      </w:r>
      <w:r w:rsidR="008F131F">
        <w:t xml:space="preserve">it is necessary to amend the professional services contract. </w:t>
      </w:r>
      <w:r w:rsidR="00EB0417" w:rsidRPr="00284D5B">
        <w:t xml:space="preserve">The selection of the </w:t>
      </w:r>
      <w:r w:rsidR="00C42423" w:rsidRPr="00284D5B">
        <w:t>professional services consultant</w:t>
      </w:r>
      <w:r w:rsidR="00EB0417" w:rsidRPr="00284D5B">
        <w:t xml:space="preserve"> for this project </w:t>
      </w:r>
      <w:r w:rsidR="00EB0417" w:rsidRPr="00284D5B">
        <w:lastRenderedPageBreak/>
        <w:t>was in accordance with the requirements and provisions of Public Act 87-673 (Architectural, Engineering</w:t>
      </w:r>
      <w:r w:rsidR="00C70B2C">
        <w:t>,</w:t>
      </w:r>
      <w:r w:rsidR="00EB0417" w:rsidRPr="00284D5B">
        <w:t xml:space="preserve"> and Land Surveying Qualifications</w:t>
      </w:r>
      <w:r w:rsidR="00C70B2C">
        <w:t xml:space="preserve"> </w:t>
      </w:r>
      <w:r w:rsidR="00EB0417" w:rsidRPr="00284D5B">
        <w:t>Based Selection Act).</w:t>
      </w:r>
      <w:r w:rsidR="009F008C" w:rsidRPr="00284D5B">
        <w:rPr>
          <w:rStyle w:val="FootnoteReference"/>
        </w:rPr>
        <w:footnoteReference w:id="1"/>
      </w:r>
    </w:p>
    <w:p w14:paraId="61E3A3EB" w14:textId="51745AAA" w:rsidR="00EB0417" w:rsidRPr="00284D5B" w:rsidRDefault="0020472F" w:rsidP="00EB0417">
      <w:pPr>
        <w:pStyle w:val="bdstyle2"/>
      </w:pPr>
      <w:r w:rsidRPr="00284D5B">
        <w:t>A</w:t>
      </w:r>
      <w:r w:rsidR="00C42423" w:rsidRPr="00284D5B">
        <w:t xml:space="preserve">ccordingly, the </w:t>
      </w:r>
      <w:r w:rsidR="008A7308">
        <w:t>c</w:t>
      </w:r>
      <w:r w:rsidR="00C42423" w:rsidRPr="00284D5B">
        <w:t xml:space="preserve">hancellor, University of Illinois Urbana-Champaign, and </w:t>
      </w:r>
      <w:r w:rsidR="008A7308">
        <w:t>v</w:t>
      </w:r>
      <w:r w:rsidR="00C42423" w:rsidRPr="00284D5B">
        <w:t xml:space="preserve">ice </w:t>
      </w:r>
      <w:r w:rsidR="008A7308">
        <w:t>p</w:t>
      </w:r>
      <w:r w:rsidR="00C42423" w:rsidRPr="00284D5B">
        <w:t>resident, University of Illinois</w:t>
      </w:r>
      <w:r w:rsidR="00FF4832">
        <w:t xml:space="preserve"> System</w:t>
      </w:r>
      <w:r w:rsidR="00204ED2" w:rsidRPr="00284D5B">
        <w:t>,</w:t>
      </w:r>
      <w:r w:rsidR="00EB0417" w:rsidRPr="00284D5B">
        <w:t xml:space="preserve"> with the concurrence of the appropriate administrative officers</w:t>
      </w:r>
      <w:r w:rsidR="007E654B">
        <w:t>,</w:t>
      </w:r>
      <w:r w:rsidR="00EB0417" w:rsidRPr="00284D5B">
        <w:t xml:space="preserve"> </w:t>
      </w:r>
      <w:r w:rsidR="00C670D7" w:rsidRPr="00284D5B">
        <w:t>recommends</w:t>
      </w:r>
      <w:r w:rsidR="003925A7">
        <w:t xml:space="preserve"> the IBRL addition</w:t>
      </w:r>
      <w:r w:rsidR="00C670D7" w:rsidRPr="00284D5B">
        <w:t xml:space="preserve"> </w:t>
      </w:r>
      <w:r w:rsidR="003925A7">
        <w:t xml:space="preserve">(IBRL 2.0) project be approved and </w:t>
      </w:r>
      <w:r w:rsidR="00C670D7" w:rsidRPr="00284D5B">
        <w:t>that Ross Barney Architects, P.C.</w:t>
      </w:r>
      <w:r w:rsidR="008F131F">
        <w:t xml:space="preserve"> of Chicago, Illinois, continues to be employe</w:t>
      </w:r>
      <w:r w:rsidR="003925A7">
        <w:t>d and t</w:t>
      </w:r>
      <w:r w:rsidR="00FC5727">
        <w:t>heir</w:t>
      </w:r>
      <w:r w:rsidR="008F131F">
        <w:t xml:space="preserve"> contract amended for </w:t>
      </w:r>
      <w:r w:rsidR="00FF4832">
        <w:t>remaining d</w:t>
      </w:r>
      <w:r w:rsidR="00C22D30">
        <w:t xml:space="preserve">esign </w:t>
      </w:r>
      <w:r w:rsidR="00FF4832">
        <w:t>development</w:t>
      </w:r>
      <w:r w:rsidR="00C22D30">
        <w:t xml:space="preserve">, </w:t>
      </w:r>
      <w:r w:rsidR="00FF4832">
        <w:t>construction documents</w:t>
      </w:r>
      <w:r w:rsidR="00C22D30">
        <w:t xml:space="preserve">, </w:t>
      </w:r>
      <w:r w:rsidR="00FF4832">
        <w:t xml:space="preserve">bidding, construction and post-construction </w:t>
      </w:r>
      <w:r w:rsidR="00C22D30">
        <w:t xml:space="preserve">phases of the project, and associated supplemental services. </w:t>
      </w:r>
      <w:r w:rsidR="00EB0417" w:rsidRPr="00284D5B">
        <w:t>The firm’s fee</w:t>
      </w:r>
      <w:r w:rsidR="00C22D30">
        <w:t>s</w:t>
      </w:r>
      <w:r w:rsidR="00EB0417" w:rsidRPr="00284D5B">
        <w:t xml:space="preserve"> will</w:t>
      </w:r>
      <w:r w:rsidR="00C22D30">
        <w:t xml:space="preserve"> not exceed </w:t>
      </w:r>
      <w:bookmarkStart w:id="5" w:name="OLE_LINK1"/>
      <w:bookmarkStart w:id="6" w:name="OLE_LINK2"/>
      <w:r w:rsidR="00EB0417" w:rsidRPr="00284D5B">
        <w:t>$</w:t>
      </w:r>
      <w:bookmarkEnd w:id="5"/>
      <w:bookmarkEnd w:id="6"/>
      <w:r w:rsidR="008A7308">
        <w:t>2,491,61</w:t>
      </w:r>
      <w:r w:rsidR="00DE65D2">
        <w:t>2</w:t>
      </w:r>
      <w:r w:rsidR="00535E03" w:rsidRPr="00284D5B">
        <w:t>.</w:t>
      </w:r>
    </w:p>
    <w:p w14:paraId="75144A61" w14:textId="2ADDBCDB" w:rsidR="008B50D5" w:rsidRPr="00284D5B" w:rsidRDefault="00D46DC8" w:rsidP="008B50D5">
      <w:pPr>
        <w:pStyle w:val="bdstyle2"/>
      </w:pPr>
      <w:r w:rsidRPr="00284D5B">
        <w:t xml:space="preserve">The </w:t>
      </w:r>
      <w:r w:rsidR="00477EF3" w:rsidRPr="00284D5B">
        <w:t>B</w:t>
      </w:r>
      <w:r w:rsidR="008B50D5" w:rsidRPr="00284D5B">
        <w:t xml:space="preserve">oard action recommended in this item complies in all material respects with applicable </w:t>
      </w:r>
      <w:r w:rsidR="00C70B2C">
        <w:t>S</w:t>
      </w:r>
      <w:r w:rsidR="008B50D5" w:rsidRPr="00284D5B">
        <w:t xml:space="preserve">tate and federal laws, University of Illinois </w:t>
      </w:r>
      <w:r w:rsidR="008B50D5" w:rsidRPr="008A7308">
        <w:rPr>
          <w:i/>
        </w:rPr>
        <w:t>Statutes, The General Rules Concerning University Organization and Procedure</w:t>
      </w:r>
      <w:r w:rsidR="008B50D5" w:rsidRPr="008A7308">
        <w:rPr>
          <w:iCs/>
        </w:rPr>
        <w:t>, and</w:t>
      </w:r>
      <w:r w:rsidR="008B50D5" w:rsidRPr="00284D5B">
        <w:t xml:space="preserve"> Board of Trustees policies and directives.</w:t>
      </w:r>
    </w:p>
    <w:p w14:paraId="0BC7A583" w14:textId="1AE116F6" w:rsidR="00535E03" w:rsidRPr="00284D5B" w:rsidRDefault="00D73CB9" w:rsidP="00D73CB9">
      <w:pPr>
        <w:pStyle w:val="bdstyle2"/>
      </w:pPr>
      <w:r w:rsidRPr="00284D5B">
        <w:t>F</w:t>
      </w:r>
      <w:r w:rsidR="00A61E7F" w:rsidRPr="00284D5B">
        <w:t xml:space="preserve">unds for </w:t>
      </w:r>
      <w:r w:rsidR="00C42423" w:rsidRPr="00284D5B">
        <w:t>this</w:t>
      </w:r>
      <w:r w:rsidR="00B830F0" w:rsidRPr="00284D5B">
        <w:t xml:space="preserve"> project</w:t>
      </w:r>
      <w:r w:rsidRPr="00284D5B">
        <w:t xml:space="preserve"> are available from </w:t>
      </w:r>
      <w:proofErr w:type="gramStart"/>
      <w:r w:rsidR="00FF4832">
        <w:t>federal</w:t>
      </w:r>
      <w:proofErr w:type="gramEnd"/>
      <w:r w:rsidR="00FF4832">
        <w:t xml:space="preserve"> and </w:t>
      </w:r>
      <w:r w:rsidR="00F31083">
        <w:t>S</w:t>
      </w:r>
      <w:r w:rsidR="00FF4832">
        <w:t xml:space="preserve">tate grants and institutional funds operating budget of the University of Illinois Urbana-Champaign. </w:t>
      </w:r>
    </w:p>
    <w:p w14:paraId="39CC6501" w14:textId="77B70213" w:rsidR="009F008C" w:rsidRPr="009F008C" w:rsidRDefault="000C63B2" w:rsidP="009F008C">
      <w:pPr>
        <w:tabs>
          <w:tab w:val="left" w:pos="1440"/>
          <w:tab w:val="left" w:pos="6480"/>
        </w:tabs>
        <w:spacing w:line="480" w:lineRule="auto"/>
        <w:rPr>
          <w:szCs w:val="26"/>
        </w:rPr>
      </w:pPr>
      <w:r w:rsidRPr="00284D5B">
        <w:rPr>
          <w:szCs w:val="26"/>
        </w:rPr>
        <w:tab/>
        <w:t xml:space="preserve">The </w:t>
      </w:r>
      <w:r w:rsidR="008A7308">
        <w:rPr>
          <w:szCs w:val="26"/>
        </w:rPr>
        <w:t>p</w:t>
      </w:r>
      <w:r w:rsidRPr="00284D5B">
        <w:rPr>
          <w:szCs w:val="26"/>
        </w:rPr>
        <w:t xml:space="preserve">resident of the </w:t>
      </w:r>
      <w:r w:rsidR="008A7308">
        <w:rPr>
          <w:szCs w:val="26"/>
        </w:rPr>
        <w:t>U</w:t>
      </w:r>
      <w:r w:rsidRPr="00284D5B">
        <w:rPr>
          <w:szCs w:val="26"/>
        </w:rPr>
        <w:t xml:space="preserve">niversity </w:t>
      </w:r>
      <w:r w:rsidR="008A7308">
        <w:rPr>
          <w:szCs w:val="26"/>
        </w:rPr>
        <w:t xml:space="preserve">of Illinois System </w:t>
      </w:r>
      <w:r w:rsidRPr="00284D5B">
        <w:rPr>
          <w:szCs w:val="26"/>
        </w:rPr>
        <w:t>concurs.</w:t>
      </w:r>
    </w:p>
    <w:p w14:paraId="03322C4E" w14:textId="77777777" w:rsidR="009F008C" w:rsidRDefault="009F008C" w:rsidP="009F008C">
      <w:pPr>
        <w:pStyle w:val="bdfootnote"/>
        <w:ind w:left="0" w:firstLine="0"/>
      </w:pPr>
    </w:p>
    <w:p w14:paraId="36DA6150" w14:textId="77777777" w:rsidR="009F008C" w:rsidRDefault="009F008C" w:rsidP="009F008C">
      <w:pPr>
        <w:pStyle w:val="bdfootnote"/>
      </w:pPr>
      <w:r w:rsidRPr="009F008C">
        <w:t>Table 1: Diverse Vendor Participation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00"/>
        <w:gridCol w:w="2260"/>
        <w:gridCol w:w="2410"/>
        <w:gridCol w:w="1580"/>
      </w:tblGrid>
      <w:tr w:rsidR="008836D6" w:rsidRPr="004A4C44" w14:paraId="176B7F4B" w14:textId="77777777" w:rsidTr="008836D6">
        <w:trPr>
          <w:trHeight w:val="1200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F8C3D4A" w14:textId="77777777" w:rsidR="004A4C44" w:rsidRPr="004A4C44" w:rsidRDefault="004A4C44" w:rsidP="004A4C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4A4C44">
              <w:rPr>
                <w:b/>
                <w:bCs/>
                <w:color w:val="000000"/>
                <w:sz w:val="24"/>
                <w:szCs w:val="24"/>
              </w:rPr>
              <w:t>Awarded Vendor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218062A" w14:textId="18C3CC46" w:rsidR="004A4C44" w:rsidRPr="004A4C44" w:rsidRDefault="008836D6" w:rsidP="004A4C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Vendor </w:t>
            </w:r>
            <w:r w:rsidR="004A4C44" w:rsidRPr="004A4C44">
              <w:rPr>
                <w:b/>
                <w:bCs/>
                <w:color w:val="000000"/>
                <w:sz w:val="24"/>
                <w:szCs w:val="24"/>
              </w:rPr>
              <w:t xml:space="preserve">Contract $ / Diverse </w:t>
            </w:r>
            <w:proofErr w:type="spellStart"/>
            <w:r w:rsidRPr="004A4C44">
              <w:rPr>
                <w:b/>
                <w:bCs/>
                <w:color w:val="000000"/>
                <w:sz w:val="24"/>
                <w:szCs w:val="24"/>
              </w:rPr>
              <w:t>Sub</w:t>
            </w:r>
            <w:r>
              <w:rPr>
                <w:b/>
                <w:bCs/>
                <w:color w:val="000000"/>
                <w:sz w:val="24"/>
                <w:szCs w:val="24"/>
              </w:rPr>
              <w:t>vendor</w:t>
            </w:r>
            <w:proofErr w:type="spellEnd"/>
            <w:r w:rsidRPr="004A4C4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A4C44" w:rsidRPr="004A4C44">
              <w:rPr>
                <w:b/>
                <w:bCs/>
                <w:color w:val="000000"/>
                <w:sz w:val="24"/>
                <w:szCs w:val="24"/>
              </w:rPr>
              <w:t>Certification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EB161A2" w14:textId="2A8052AD" w:rsidR="004A4C44" w:rsidRPr="004A4C44" w:rsidRDefault="004A4C44" w:rsidP="004A4C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4A4C44">
              <w:rPr>
                <w:b/>
                <w:bCs/>
                <w:color w:val="000000"/>
                <w:sz w:val="24"/>
                <w:szCs w:val="24"/>
              </w:rPr>
              <w:t xml:space="preserve">Diverse </w:t>
            </w:r>
            <w:proofErr w:type="spellStart"/>
            <w:r w:rsidR="008836D6" w:rsidRPr="004A4C44">
              <w:rPr>
                <w:b/>
                <w:bCs/>
                <w:color w:val="000000"/>
                <w:sz w:val="24"/>
                <w:szCs w:val="24"/>
              </w:rPr>
              <w:t>Sub</w:t>
            </w:r>
            <w:r w:rsidR="008836D6">
              <w:rPr>
                <w:b/>
                <w:bCs/>
                <w:color w:val="000000"/>
                <w:sz w:val="24"/>
                <w:szCs w:val="24"/>
              </w:rPr>
              <w:t>vendor</w:t>
            </w:r>
            <w:proofErr w:type="spellEnd"/>
            <w:r w:rsidR="008836D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A4C44">
              <w:rPr>
                <w:b/>
                <w:bCs/>
                <w:color w:val="000000"/>
                <w:sz w:val="24"/>
                <w:szCs w:val="24"/>
              </w:rPr>
              <w:t>Value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5FB5EAB" w14:textId="17F087FF" w:rsidR="004A4C44" w:rsidRPr="004A4C44" w:rsidRDefault="008836D6" w:rsidP="004A4C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A4C44">
              <w:rPr>
                <w:b/>
                <w:bCs/>
                <w:color w:val="000000"/>
                <w:sz w:val="24"/>
                <w:szCs w:val="24"/>
              </w:rPr>
              <w:t>Sub</w:t>
            </w:r>
            <w:r>
              <w:rPr>
                <w:b/>
                <w:bCs/>
                <w:color w:val="000000"/>
                <w:sz w:val="24"/>
                <w:szCs w:val="24"/>
              </w:rPr>
              <w:t>vendo</w:t>
            </w:r>
            <w:r w:rsidRPr="004A4C44">
              <w:rPr>
                <w:b/>
                <w:bCs/>
                <w:color w:val="000000"/>
                <w:sz w:val="24"/>
                <w:szCs w:val="24"/>
              </w:rPr>
              <w:t>r</w:t>
            </w:r>
            <w:proofErr w:type="spellEnd"/>
            <w:r w:rsidRPr="004A4C4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A4C44" w:rsidRPr="004A4C44">
              <w:rPr>
                <w:b/>
                <w:bCs/>
                <w:color w:val="000000"/>
                <w:sz w:val="24"/>
                <w:szCs w:val="24"/>
              </w:rPr>
              <w:t>% of Work</w:t>
            </w:r>
          </w:p>
        </w:tc>
      </w:tr>
      <w:tr w:rsidR="004A4C44" w:rsidRPr="004A4C44" w14:paraId="7681C089" w14:textId="77777777" w:rsidTr="00E26AD7">
        <w:trPr>
          <w:trHeight w:val="308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2A6E" w14:textId="5CFCCC3D" w:rsidR="004A4C44" w:rsidRPr="004A4C44" w:rsidRDefault="004A4C44" w:rsidP="004A4C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A4C44">
              <w:rPr>
                <w:color w:val="000000"/>
                <w:sz w:val="24"/>
                <w:szCs w:val="24"/>
              </w:rPr>
              <w:t>Ross Barney Architects</w:t>
            </w:r>
            <w:r w:rsidR="008836D6">
              <w:rPr>
                <w:color w:val="000000"/>
                <w:sz w:val="24"/>
                <w:szCs w:val="24"/>
              </w:rPr>
              <w:t>, P.C., Chicago, IL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6AB2" w14:textId="019E109E" w:rsidR="004A4C44" w:rsidRPr="004A4C44" w:rsidRDefault="004A4C44" w:rsidP="004A4C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A4C44">
              <w:rPr>
                <w:color w:val="000000"/>
                <w:sz w:val="24"/>
                <w:szCs w:val="24"/>
              </w:rPr>
              <w:t>$2,491,61</w:t>
            </w:r>
            <w:r w:rsidR="008836D6">
              <w:rPr>
                <w:color w:val="000000"/>
                <w:sz w:val="24"/>
                <w:szCs w:val="24"/>
              </w:rPr>
              <w:t>2</w:t>
            </w:r>
            <w:r w:rsidRPr="004A4C4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F300" w14:textId="77777777" w:rsidR="004A4C44" w:rsidRPr="004A4C44" w:rsidRDefault="004A4C44" w:rsidP="004A4C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A4C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13A7" w14:textId="77777777" w:rsidR="004A4C44" w:rsidRPr="004A4C44" w:rsidRDefault="004A4C44" w:rsidP="004A4C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A4C4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A4C44" w:rsidRPr="004A4C44" w14:paraId="22CD8C27" w14:textId="77777777" w:rsidTr="00E26AD7">
        <w:trPr>
          <w:trHeight w:val="308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43EC" w14:textId="77777777" w:rsidR="004A4C44" w:rsidRPr="004A4C44" w:rsidRDefault="004A4C44" w:rsidP="004A4C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A4C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B431" w14:textId="77777777" w:rsidR="004A4C44" w:rsidRPr="004A4C44" w:rsidRDefault="004A4C44" w:rsidP="004A4C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A4C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6E3A" w14:textId="77777777" w:rsidR="004A4C44" w:rsidRPr="004A4C44" w:rsidRDefault="004A4C44" w:rsidP="004A4C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A4C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8A46" w14:textId="77777777" w:rsidR="004A4C44" w:rsidRPr="004A4C44" w:rsidRDefault="004A4C44" w:rsidP="004A4C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A4C4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836D6" w:rsidRPr="004A4C44" w14:paraId="37D499AD" w14:textId="77777777" w:rsidTr="008836D6">
        <w:trPr>
          <w:trHeight w:val="308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7D39" w14:textId="77777777" w:rsidR="008836D6" w:rsidRPr="004A4C44" w:rsidRDefault="008836D6" w:rsidP="008836D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A4C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ED15E" w14:textId="27F01BBF" w:rsidR="008836D6" w:rsidRPr="004A4C44" w:rsidRDefault="008836D6" w:rsidP="008836D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MBE (AFA)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2DEEF" w14:textId="41653785" w:rsidR="008836D6" w:rsidRPr="004A4C44" w:rsidRDefault="008836D6" w:rsidP="008836D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$82,828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F6439" w14:textId="630FB315" w:rsidR="008836D6" w:rsidRPr="004A4C44" w:rsidRDefault="008836D6" w:rsidP="008836D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3%</w:t>
            </w:r>
          </w:p>
        </w:tc>
      </w:tr>
      <w:tr w:rsidR="008836D6" w:rsidRPr="004A4C44" w14:paraId="2FEA1F90" w14:textId="77777777" w:rsidTr="008836D6">
        <w:trPr>
          <w:trHeight w:val="308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59D0" w14:textId="77777777" w:rsidR="008836D6" w:rsidRPr="004A4C44" w:rsidRDefault="008836D6" w:rsidP="008836D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A4C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A7AD9" w14:textId="6C5612FB" w:rsidR="008836D6" w:rsidRPr="004A4C44" w:rsidRDefault="008836D6" w:rsidP="008836D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MBE (ASA)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79B17" w14:textId="3D2305AB" w:rsidR="008836D6" w:rsidRPr="004A4C44" w:rsidRDefault="008836D6" w:rsidP="008836D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$196,797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5AD67" w14:textId="039D4CEA" w:rsidR="008836D6" w:rsidRPr="004A4C44" w:rsidRDefault="008836D6" w:rsidP="008836D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8%</w:t>
            </w:r>
          </w:p>
        </w:tc>
      </w:tr>
      <w:tr w:rsidR="008836D6" w:rsidRPr="004A4C44" w14:paraId="06C0BB7A" w14:textId="77777777" w:rsidTr="008836D6">
        <w:trPr>
          <w:trHeight w:val="308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944E" w14:textId="77777777" w:rsidR="008836D6" w:rsidRPr="004A4C44" w:rsidRDefault="008836D6" w:rsidP="008836D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A4C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48A2" w14:textId="449C4DAD" w:rsidR="008836D6" w:rsidRPr="004A4C44" w:rsidRDefault="008836D6" w:rsidP="008836D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MBE (HA)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2F98" w14:textId="3B5CC72E" w:rsidR="008836D6" w:rsidRPr="004A4C44" w:rsidRDefault="008836D6" w:rsidP="008836D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$840,875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48B4D" w14:textId="715207AD" w:rsidR="008836D6" w:rsidRPr="004A4C44" w:rsidRDefault="008836D6" w:rsidP="008836D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34%</w:t>
            </w:r>
          </w:p>
        </w:tc>
      </w:tr>
      <w:tr w:rsidR="008836D6" w:rsidRPr="004A4C44" w14:paraId="442779B0" w14:textId="77777777" w:rsidTr="008836D6">
        <w:trPr>
          <w:trHeight w:val="308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FB22" w14:textId="77777777" w:rsidR="008836D6" w:rsidRPr="004A4C44" w:rsidRDefault="008836D6" w:rsidP="008836D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A4C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30997" w14:textId="72FD5B20" w:rsidR="008836D6" w:rsidRPr="004A4C44" w:rsidRDefault="008836D6" w:rsidP="008836D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VOSB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3AF37" w14:textId="7C9DCE63" w:rsidR="008836D6" w:rsidRPr="004A4C44" w:rsidRDefault="008836D6" w:rsidP="008836D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$143,503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57DC9" w14:textId="4D039E3B" w:rsidR="008836D6" w:rsidRPr="004A4C44" w:rsidRDefault="008836D6" w:rsidP="008836D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6%</w:t>
            </w:r>
          </w:p>
        </w:tc>
      </w:tr>
      <w:tr w:rsidR="008836D6" w:rsidRPr="004A4C44" w14:paraId="303E39ED" w14:textId="77777777" w:rsidTr="008836D6">
        <w:trPr>
          <w:trHeight w:val="308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1D78" w14:textId="77777777" w:rsidR="008836D6" w:rsidRPr="004A4C44" w:rsidRDefault="008836D6" w:rsidP="008836D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A4C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57D7" w14:textId="1EDA176D" w:rsidR="008836D6" w:rsidRPr="004A4C44" w:rsidRDefault="008836D6" w:rsidP="008836D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WBE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5A562" w14:textId="2FC169D8" w:rsidR="008836D6" w:rsidRPr="004A4C44" w:rsidRDefault="008836D6" w:rsidP="008836D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$1,185,349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63EA6" w14:textId="2A06549E" w:rsidR="008836D6" w:rsidRPr="004A4C44" w:rsidRDefault="008836D6" w:rsidP="008836D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48%</w:t>
            </w:r>
          </w:p>
        </w:tc>
      </w:tr>
      <w:tr w:rsidR="008836D6" w:rsidRPr="004A4C44" w14:paraId="0564CBBA" w14:textId="77777777" w:rsidTr="008836D6">
        <w:trPr>
          <w:trHeight w:val="315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1359" w14:textId="77777777" w:rsidR="008836D6" w:rsidRPr="004A4C44" w:rsidRDefault="008836D6" w:rsidP="008836D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4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02227" w14:textId="4FE9005F" w:rsidR="008836D6" w:rsidRPr="004A4C44" w:rsidRDefault="008836D6" w:rsidP="00883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AE1AD" w14:textId="38C02796" w:rsidR="008836D6" w:rsidRPr="004A4C44" w:rsidRDefault="008836D6" w:rsidP="008836D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$2,449,352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06378" w14:textId="3EBB6E9F" w:rsidR="008836D6" w:rsidRPr="004A4C44" w:rsidRDefault="008836D6" w:rsidP="008836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98%</w:t>
            </w:r>
          </w:p>
        </w:tc>
      </w:tr>
    </w:tbl>
    <w:p w14:paraId="723C0EF9" w14:textId="77777777" w:rsidR="009F008C" w:rsidRPr="00F23F60" w:rsidRDefault="009F008C" w:rsidP="00211361">
      <w:pPr>
        <w:pStyle w:val="bdstyle2"/>
      </w:pPr>
    </w:p>
    <w:sectPr w:rsidR="009F008C" w:rsidRPr="00F23F60" w:rsidSect="00D676E4">
      <w:headerReference w:type="default" r:id="rId8"/>
      <w:type w:val="continuous"/>
      <w:pgSz w:w="12240" w:h="15840" w:code="1"/>
      <w:pgMar w:top="720" w:right="1440" w:bottom="1440" w:left="1440" w:header="720" w:footer="720" w:gutter="0"/>
      <w:paperSrc w:first="257" w:other="257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06EF1" w14:textId="77777777" w:rsidR="006D051A" w:rsidRDefault="006D051A">
      <w:r>
        <w:separator/>
      </w:r>
    </w:p>
  </w:endnote>
  <w:endnote w:type="continuationSeparator" w:id="0">
    <w:p w14:paraId="55CF1DE4" w14:textId="77777777" w:rsidR="006D051A" w:rsidRDefault="006D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69524" w14:textId="77777777" w:rsidR="006D051A" w:rsidRDefault="006D051A">
      <w:r>
        <w:separator/>
      </w:r>
    </w:p>
  </w:footnote>
  <w:footnote w:type="continuationSeparator" w:id="0">
    <w:p w14:paraId="0F3E4383" w14:textId="77777777" w:rsidR="006D051A" w:rsidRDefault="006D051A">
      <w:r>
        <w:continuationSeparator/>
      </w:r>
    </w:p>
  </w:footnote>
  <w:footnote w:id="1">
    <w:p w14:paraId="31431785" w14:textId="17266EAC" w:rsidR="009F008C" w:rsidRDefault="009F008C" w:rsidP="00C70B2C">
      <w:pPr>
        <w:pStyle w:val="bdfootnote"/>
        <w:ind w:left="0" w:firstLine="0"/>
      </w:pPr>
      <w:r w:rsidRPr="007E654B">
        <w:rPr>
          <w:rStyle w:val="FootnoteReference"/>
          <w:szCs w:val="26"/>
        </w:rPr>
        <w:t>1</w:t>
      </w:r>
      <w:r w:rsidRPr="007E654B">
        <w:rPr>
          <w:szCs w:val="26"/>
        </w:rPr>
        <w:t xml:space="preserve"> A selection committee consisting of Tarun Kumar (</w:t>
      </w:r>
      <w:r w:rsidR="00C70B2C">
        <w:rPr>
          <w:szCs w:val="26"/>
        </w:rPr>
        <w:t>F</w:t>
      </w:r>
      <w:r w:rsidRPr="007E654B">
        <w:rPr>
          <w:szCs w:val="26"/>
        </w:rPr>
        <w:t xml:space="preserve">acilities </w:t>
      </w:r>
      <w:r w:rsidR="007E654B" w:rsidRPr="007E654B">
        <w:rPr>
          <w:szCs w:val="26"/>
        </w:rPr>
        <w:t>and</w:t>
      </w:r>
      <w:r w:rsidRPr="007E654B">
        <w:rPr>
          <w:szCs w:val="26"/>
        </w:rPr>
        <w:t xml:space="preserve"> </w:t>
      </w:r>
      <w:r w:rsidR="00C70B2C">
        <w:rPr>
          <w:szCs w:val="26"/>
        </w:rPr>
        <w:t>S</w:t>
      </w:r>
      <w:r w:rsidRPr="007E654B">
        <w:rPr>
          <w:szCs w:val="26"/>
        </w:rPr>
        <w:t xml:space="preserve">ervices, </w:t>
      </w:r>
      <w:r w:rsidR="007E654B" w:rsidRPr="007E654B">
        <w:rPr>
          <w:szCs w:val="26"/>
        </w:rPr>
        <w:t>c</w:t>
      </w:r>
      <w:r w:rsidRPr="007E654B">
        <w:rPr>
          <w:szCs w:val="26"/>
        </w:rPr>
        <w:t xml:space="preserve">apital </w:t>
      </w:r>
      <w:r w:rsidR="007E654B" w:rsidRPr="007E654B">
        <w:rPr>
          <w:szCs w:val="26"/>
        </w:rPr>
        <w:t>p</w:t>
      </w:r>
      <w:r w:rsidRPr="007E654B">
        <w:rPr>
          <w:szCs w:val="26"/>
        </w:rPr>
        <w:t>rojects, chair), James Sims (</w:t>
      </w:r>
      <w:r w:rsidR="00C70B2C">
        <w:rPr>
          <w:szCs w:val="26"/>
        </w:rPr>
        <w:t>F</w:t>
      </w:r>
      <w:r w:rsidRPr="007E654B">
        <w:rPr>
          <w:szCs w:val="26"/>
        </w:rPr>
        <w:t xml:space="preserve">acilities </w:t>
      </w:r>
      <w:r w:rsidR="007E654B" w:rsidRPr="007E654B">
        <w:rPr>
          <w:szCs w:val="26"/>
        </w:rPr>
        <w:t>and</w:t>
      </w:r>
      <w:r w:rsidRPr="007E654B">
        <w:rPr>
          <w:szCs w:val="26"/>
        </w:rPr>
        <w:t xml:space="preserve"> </w:t>
      </w:r>
      <w:r w:rsidR="00C70B2C">
        <w:rPr>
          <w:szCs w:val="26"/>
        </w:rPr>
        <w:t>S</w:t>
      </w:r>
      <w:r w:rsidRPr="007E654B">
        <w:rPr>
          <w:szCs w:val="26"/>
        </w:rPr>
        <w:t xml:space="preserve">ervices, </w:t>
      </w:r>
      <w:r w:rsidR="007E654B" w:rsidRPr="007E654B">
        <w:rPr>
          <w:szCs w:val="26"/>
        </w:rPr>
        <w:t>e</w:t>
      </w:r>
      <w:r w:rsidRPr="007E654B">
        <w:rPr>
          <w:szCs w:val="26"/>
        </w:rPr>
        <w:t xml:space="preserve">ngineering </w:t>
      </w:r>
      <w:r w:rsidR="007E654B" w:rsidRPr="007E654B">
        <w:rPr>
          <w:szCs w:val="26"/>
        </w:rPr>
        <w:t>and</w:t>
      </w:r>
      <w:r w:rsidRPr="007E654B">
        <w:rPr>
          <w:szCs w:val="26"/>
        </w:rPr>
        <w:t xml:space="preserve"> </w:t>
      </w:r>
      <w:r w:rsidR="007E654B" w:rsidRPr="007E654B">
        <w:rPr>
          <w:szCs w:val="26"/>
        </w:rPr>
        <w:t>c</w:t>
      </w:r>
      <w:r w:rsidRPr="007E654B">
        <w:rPr>
          <w:szCs w:val="26"/>
        </w:rPr>
        <w:t xml:space="preserve">onstruction </w:t>
      </w:r>
      <w:r w:rsidR="007E654B" w:rsidRPr="007E654B">
        <w:rPr>
          <w:szCs w:val="26"/>
        </w:rPr>
        <w:t>s</w:t>
      </w:r>
      <w:r w:rsidRPr="007E654B">
        <w:rPr>
          <w:szCs w:val="26"/>
        </w:rPr>
        <w:t>ervices), Douglas Wolters (</w:t>
      </w:r>
      <w:r w:rsidR="007E654B" w:rsidRPr="007E654B">
        <w:rPr>
          <w:szCs w:val="26"/>
        </w:rPr>
        <w:t>s</w:t>
      </w:r>
      <w:r w:rsidRPr="007E654B">
        <w:rPr>
          <w:szCs w:val="26"/>
        </w:rPr>
        <w:t xml:space="preserve">enior </w:t>
      </w:r>
      <w:r w:rsidR="007E654B" w:rsidRPr="007E654B">
        <w:rPr>
          <w:szCs w:val="26"/>
        </w:rPr>
        <w:t>d</w:t>
      </w:r>
      <w:r w:rsidRPr="007E654B">
        <w:rPr>
          <w:szCs w:val="26"/>
        </w:rPr>
        <w:t xml:space="preserve">irector of </w:t>
      </w:r>
      <w:r w:rsidR="007E654B" w:rsidRPr="007E654B">
        <w:rPr>
          <w:szCs w:val="26"/>
        </w:rPr>
        <w:t>o</w:t>
      </w:r>
      <w:r w:rsidRPr="007E654B">
        <w:rPr>
          <w:szCs w:val="26"/>
        </w:rPr>
        <w:t>perations, College of Agricultural, Consumer and Environmental Sciences), Douglas Reddington (</w:t>
      </w:r>
      <w:r w:rsidR="007E654B">
        <w:rPr>
          <w:szCs w:val="26"/>
        </w:rPr>
        <w:t>i</w:t>
      </w:r>
      <w:r w:rsidRPr="007E654B">
        <w:rPr>
          <w:szCs w:val="26"/>
        </w:rPr>
        <w:t xml:space="preserve">nterim </w:t>
      </w:r>
      <w:r w:rsidR="007E654B">
        <w:rPr>
          <w:szCs w:val="26"/>
        </w:rPr>
        <w:t>d</w:t>
      </w:r>
      <w:r w:rsidRPr="007E654B">
        <w:rPr>
          <w:szCs w:val="26"/>
        </w:rPr>
        <w:t xml:space="preserve">irector for </w:t>
      </w:r>
      <w:r w:rsidR="007E654B">
        <w:rPr>
          <w:szCs w:val="26"/>
        </w:rPr>
        <w:t>c</w:t>
      </w:r>
      <w:r w:rsidRPr="007E654B">
        <w:rPr>
          <w:szCs w:val="26"/>
        </w:rPr>
        <w:t xml:space="preserve">apital </w:t>
      </w:r>
      <w:r w:rsidR="007E654B">
        <w:rPr>
          <w:szCs w:val="26"/>
        </w:rPr>
        <w:t>d</w:t>
      </w:r>
      <w:r w:rsidRPr="007E654B">
        <w:rPr>
          <w:szCs w:val="26"/>
        </w:rPr>
        <w:t>elivery, System Office of Capital Programs, Real Estate</w:t>
      </w:r>
      <w:r w:rsidR="00C70B2C">
        <w:rPr>
          <w:szCs w:val="26"/>
        </w:rPr>
        <w:t>,</w:t>
      </w:r>
      <w:r w:rsidRPr="007E654B">
        <w:rPr>
          <w:szCs w:val="26"/>
        </w:rPr>
        <w:t xml:space="preserve"> and Utility Services), and Tenea Harris (</w:t>
      </w:r>
      <w:r w:rsidR="007E654B">
        <w:rPr>
          <w:szCs w:val="26"/>
        </w:rPr>
        <w:t>s</w:t>
      </w:r>
      <w:r w:rsidRPr="007E654B">
        <w:rPr>
          <w:szCs w:val="26"/>
        </w:rPr>
        <w:t xml:space="preserve">upplier </w:t>
      </w:r>
      <w:r w:rsidR="007E654B">
        <w:rPr>
          <w:szCs w:val="26"/>
        </w:rPr>
        <w:t>d</w:t>
      </w:r>
      <w:r w:rsidRPr="007E654B">
        <w:rPr>
          <w:szCs w:val="26"/>
        </w:rPr>
        <w:t xml:space="preserve">iversity </w:t>
      </w:r>
      <w:r w:rsidR="007E654B">
        <w:rPr>
          <w:szCs w:val="26"/>
        </w:rPr>
        <w:t>m</w:t>
      </w:r>
      <w:r w:rsidRPr="007E654B">
        <w:rPr>
          <w:szCs w:val="26"/>
        </w:rPr>
        <w:t>anager, Office of Procurement Diversity) interviewed the following firms: Bailey Edward Design, Inc</w:t>
      </w:r>
      <w:r w:rsidR="00C70B2C">
        <w:rPr>
          <w:szCs w:val="26"/>
        </w:rPr>
        <w:t>.</w:t>
      </w:r>
      <w:r w:rsidRPr="007E654B">
        <w:rPr>
          <w:szCs w:val="26"/>
        </w:rPr>
        <w:t xml:space="preserve">, Champaign, IL; Clark &amp; Enersen, Inc., Kansas City, MO; </w:t>
      </w:r>
      <w:bookmarkStart w:id="4" w:name="_Hlk203985138"/>
      <w:r w:rsidRPr="007E654B">
        <w:rPr>
          <w:szCs w:val="26"/>
        </w:rPr>
        <w:t>Ross Barney Architects</w:t>
      </w:r>
      <w:bookmarkEnd w:id="4"/>
      <w:r w:rsidRPr="007E654B">
        <w:rPr>
          <w:szCs w:val="26"/>
        </w:rPr>
        <w:t xml:space="preserve">, P.C., Chicago, IL; and Woolpert Architecture, LLC, Fairview Heights, IL. The committee recommends Ross Barney Architects, P.C., Chicago, IL, as best meeting the criteria for the project.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34447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8E66C4" w14:textId="79A52F7E" w:rsidR="007E3CB5" w:rsidRDefault="007E3CB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A472C9" w14:textId="77777777" w:rsidR="007E3CB5" w:rsidRDefault="007E3C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20C7B"/>
    <w:multiLevelType w:val="hybridMultilevel"/>
    <w:tmpl w:val="08D05A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3628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rawingGridVerticalSpacing w:val="17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xMDC0MDYytTQzNLUwNbFU0lEKTi0uzszPAykwrAUAAWPq+SwAAAA="/>
  </w:docVars>
  <w:rsids>
    <w:rsidRoot w:val="00B327B4"/>
    <w:rsid w:val="00002F55"/>
    <w:rsid w:val="00004FA6"/>
    <w:rsid w:val="0001629F"/>
    <w:rsid w:val="000231DC"/>
    <w:rsid w:val="0003698B"/>
    <w:rsid w:val="00044BC8"/>
    <w:rsid w:val="000574BA"/>
    <w:rsid w:val="00084E51"/>
    <w:rsid w:val="000B1FF1"/>
    <w:rsid w:val="000C63B2"/>
    <w:rsid w:val="000D7C60"/>
    <w:rsid w:val="0013413E"/>
    <w:rsid w:val="00160BC6"/>
    <w:rsid w:val="001B060C"/>
    <w:rsid w:val="0020472F"/>
    <w:rsid w:val="00204ED2"/>
    <w:rsid w:val="00211361"/>
    <w:rsid w:val="00263DA5"/>
    <w:rsid w:val="00266F06"/>
    <w:rsid w:val="00272FAE"/>
    <w:rsid w:val="00284D5B"/>
    <w:rsid w:val="002870B7"/>
    <w:rsid w:val="00291580"/>
    <w:rsid w:val="00291A1B"/>
    <w:rsid w:val="00295D7F"/>
    <w:rsid w:val="002C055A"/>
    <w:rsid w:val="002C7B9E"/>
    <w:rsid w:val="002D5FBB"/>
    <w:rsid w:val="002F2A51"/>
    <w:rsid w:val="0030794F"/>
    <w:rsid w:val="00317881"/>
    <w:rsid w:val="00340623"/>
    <w:rsid w:val="00341C05"/>
    <w:rsid w:val="003431EB"/>
    <w:rsid w:val="00343900"/>
    <w:rsid w:val="0035013E"/>
    <w:rsid w:val="00357208"/>
    <w:rsid w:val="003613A9"/>
    <w:rsid w:val="00361A1D"/>
    <w:rsid w:val="00373410"/>
    <w:rsid w:val="00382B84"/>
    <w:rsid w:val="003843A3"/>
    <w:rsid w:val="003925A7"/>
    <w:rsid w:val="003E0E55"/>
    <w:rsid w:val="003E38F1"/>
    <w:rsid w:val="0040106E"/>
    <w:rsid w:val="0040217F"/>
    <w:rsid w:val="00433062"/>
    <w:rsid w:val="00477EF3"/>
    <w:rsid w:val="00493B83"/>
    <w:rsid w:val="004A4C44"/>
    <w:rsid w:val="004B1E32"/>
    <w:rsid w:val="004C2EF9"/>
    <w:rsid w:val="004E2CC1"/>
    <w:rsid w:val="00505B3F"/>
    <w:rsid w:val="005140EB"/>
    <w:rsid w:val="0052027F"/>
    <w:rsid w:val="00535E03"/>
    <w:rsid w:val="00564B94"/>
    <w:rsid w:val="0057507D"/>
    <w:rsid w:val="005913A2"/>
    <w:rsid w:val="005A05A7"/>
    <w:rsid w:val="005B0C63"/>
    <w:rsid w:val="005C35FF"/>
    <w:rsid w:val="005D221A"/>
    <w:rsid w:val="005E79CC"/>
    <w:rsid w:val="00620245"/>
    <w:rsid w:val="00633A37"/>
    <w:rsid w:val="006504C7"/>
    <w:rsid w:val="006646A0"/>
    <w:rsid w:val="00696B5E"/>
    <w:rsid w:val="00697F75"/>
    <w:rsid w:val="006C414A"/>
    <w:rsid w:val="006C41C8"/>
    <w:rsid w:val="006C5810"/>
    <w:rsid w:val="006D051A"/>
    <w:rsid w:val="006D2746"/>
    <w:rsid w:val="006F05F1"/>
    <w:rsid w:val="006F13BB"/>
    <w:rsid w:val="006F264E"/>
    <w:rsid w:val="006F5E01"/>
    <w:rsid w:val="00703551"/>
    <w:rsid w:val="00714A54"/>
    <w:rsid w:val="0072473B"/>
    <w:rsid w:val="007329C8"/>
    <w:rsid w:val="00734E4A"/>
    <w:rsid w:val="00756196"/>
    <w:rsid w:val="00774646"/>
    <w:rsid w:val="00777D0B"/>
    <w:rsid w:val="00792842"/>
    <w:rsid w:val="00792DFB"/>
    <w:rsid w:val="007A16E4"/>
    <w:rsid w:val="007B463D"/>
    <w:rsid w:val="007C1C46"/>
    <w:rsid w:val="007D71D4"/>
    <w:rsid w:val="007E3CB5"/>
    <w:rsid w:val="007E631B"/>
    <w:rsid w:val="007E654B"/>
    <w:rsid w:val="007F5CE0"/>
    <w:rsid w:val="007F7680"/>
    <w:rsid w:val="00813421"/>
    <w:rsid w:val="0082203D"/>
    <w:rsid w:val="008318B8"/>
    <w:rsid w:val="00843AAD"/>
    <w:rsid w:val="00847957"/>
    <w:rsid w:val="00871A5E"/>
    <w:rsid w:val="00873CB4"/>
    <w:rsid w:val="008836D6"/>
    <w:rsid w:val="00890E4A"/>
    <w:rsid w:val="008A7308"/>
    <w:rsid w:val="008B50D5"/>
    <w:rsid w:val="008D1F59"/>
    <w:rsid w:val="008E6F24"/>
    <w:rsid w:val="008F131F"/>
    <w:rsid w:val="008F5501"/>
    <w:rsid w:val="00900209"/>
    <w:rsid w:val="00917FFC"/>
    <w:rsid w:val="00924FAA"/>
    <w:rsid w:val="009542FE"/>
    <w:rsid w:val="00977C6D"/>
    <w:rsid w:val="009B6A47"/>
    <w:rsid w:val="009C2994"/>
    <w:rsid w:val="009C2998"/>
    <w:rsid w:val="009D3F4F"/>
    <w:rsid w:val="009D47AF"/>
    <w:rsid w:val="009D49DD"/>
    <w:rsid w:val="009E33CF"/>
    <w:rsid w:val="009F008C"/>
    <w:rsid w:val="00A1797B"/>
    <w:rsid w:val="00A26662"/>
    <w:rsid w:val="00A4286E"/>
    <w:rsid w:val="00A513FB"/>
    <w:rsid w:val="00A521FC"/>
    <w:rsid w:val="00A522AF"/>
    <w:rsid w:val="00A551C7"/>
    <w:rsid w:val="00A61E7F"/>
    <w:rsid w:val="00A64E50"/>
    <w:rsid w:val="00A76DC4"/>
    <w:rsid w:val="00A95689"/>
    <w:rsid w:val="00AB2D3C"/>
    <w:rsid w:val="00AC27FF"/>
    <w:rsid w:val="00AD14D8"/>
    <w:rsid w:val="00AF2072"/>
    <w:rsid w:val="00AF7121"/>
    <w:rsid w:val="00B327B4"/>
    <w:rsid w:val="00B42165"/>
    <w:rsid w:val="00B830F0"/>
    <w:rsid w:val="00B92FA5"/>
    <w:rsid w:val="00BB6BCB"/>
    <w:rsid w:val="00BE5869"/>
    <w:rsid w:val="00C02A0F"/>
    <w:rsid w:val="00C20582"/>
    <w:rsid w:val="00C21025"/>
    <w:rsid w:val="00C22D30"/>
    <w:rsid w:val="00C42423"/>
    <w:rsid w:val="00C665C6"/>
    <w:rsid w:val="00C670D7"/>
    <w:rsid w:val="00C70B2C"/>
    <w:rsid w:val="00C76D97"/>
    <w:rsid w:val="00CF3CC5"/>
    <w:rsid w:val="00CF4AA4"/>
    <w:rsid w:val="00CF5C15"/>
    <w:rsid w:val="00D13821"/>
    <w:rsid w:val="00D26BD9"/>
    <w:rsid w:val="00D46DC8"/>
    <w:rsid w:val="00D676E4"/>
    <w:rsid w:val="00D73CB9"/>
    <w:rsid w:val="00D77CF0"/>
    <w:rsid w:val="00D807C1"/>
    <w:rsid w:val="00D86FD6"/>
    <w:rsid w:val="00D87C7E"/>
    <w:rsid w:val="00DB4038"/>
    <w:rsid w:val="00DD6CB8"/>
    <w:rsid w:val="00DE65D2"/>
    <w:rsid w:val="00DF6B9A"/>
    <w:rsid w:val="00E03F59"/>
    <w:rsid w:val="00E147DF"/>
    <w:rsid w:val="00E26AD7"/>
    <w:rsid w:val="00E37EF8"/>
    <w:rsid w:val="00E4319F"/>
    <w:rsid w:val="00E646E8"/>
    <w:rsid w:val="00E70A94"/>
    <w:rsid w:val="00E91E37"/>
    <w:rsid w:val="00EA623D"/>
    <w:rsid w:val="00EA7E3F"/>
    <w:rsid w:val="00EB0417"/>
    <w:rsid w:val="00EB16AD"/>
    <w:rsid w:val="00EE6DF9"/>
    <w:rsid w:val="00EF7D64"/>
    <w:rsid w:val="00F151FA"/>
    <w:rsid w:val="00F23F60"/>
    <w:rsid w:val="00F31083"/>
    <w:rsid w:val="00F76AB1"/>
    <w:rsid w:val="00F83AD3"/>
    <w:rsid w:val="00F91F81"/>
    <w:rsid w:val="00F93302"/>
    <w:rsid w:val="00FA177B"/>
    <w:rsid w:val="00FA754B"/>
    <w:rsid w:val="00FC56A4"/>
    <w:rsid w:val="00FC5727"/>
    <w:rsid w:val="00FC642B"/>
    <w:rsid w:val="00FD3EF0"/>
    <w:rsid w:val="00FD51F3"/>
    <w:rsid w:val="00FE6EE5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8C7424"/>
  <w15:chartTrackingRefBased/>
  <w15:docId w15:val="{CC1D7EA2-0229-4669-9119-1D2A1CB9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customStyle="1" w:styleId="questionhd">
    <w:name w:val="questionhd"/>
    <w:basedOn w:val="Normal"/>
    <w:pPr>
      <w:overflowPunct/>
      <w:autoSpaceDE/>
      <w:autoSpaceDN/>
      <w:adjustRightInd/>
      <w:ind w:left="153" w:right="153"/>
      <w:textAlignment w:val="auto"/>
    </w:pPr>
    <w:rPr>
      <w:rFonts w:ascii="Courier" w:hAnsi="Courier"/>
      <w:b/>
      <w:sz w:val="20"/>
    </w:rPr>
  </w:style>
  <w:style w:type="paragraph" w:customStyle="1" w:styleId="questionname">
    <w:name w:val="questionname"/>
    <w:basedOn w:val="Normal"/>
    <w:pPr>
      <w:overflowPunct/>
      <w:autoSpaceDE/>
      <w:autoSpaceDN/>
      <w:adjustRightInd/>
      <w:ind w:left="153" w:right="153"/>
      <w:textAlignment w:val="auto"/>
    </w:pPr>
    <w:rPr>
      <w:rFonts w:ascii="Tahoma" w:hAnsi="Tahoma"/>
      <w:b/>
      <w:sz w:val="24"/>
    </w:rPr>
  </w:style>
  <w:style w:type="paragraph" w:styleId="FootnoteText">
    <w:name w:val="footnote text"/>
    <w:basedOn w:val="Normal"/>
    <w:semiHidden/>
    <w:rsid w:val="00F76AB1"/>
    <w:rPr>
      <w:sz w:val="20"/>
    </w:rPr>
  </w:style>
  <w:style w:type="character" w:styleId="FootnoteReference">
    <w:name w:val="footnote reference"/>
    <w:semiHidden/>
    <w:rsid w:val="00F76AB1"/>
    <w:rPr>
      <w:vertAlign w:val="superscript"/>
    </w:rPr>
  </w:style>
  <w:style w:type="paragraph" w:styleId="BalloonText">
    <w:name w:val="Balloon Text"/>
    <w:basedOn w:val="Normal"/>
    <w:semiHidden/>
    <w:rsid w:val="0082203D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7D71D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D71D4"/>
  </w:style>
  <w:style w:type="character" w:styleId="EndnoteReference">
    <w:name w:val="endnote reference"/>
    <w:basedOn w:val="DefaultParagraphFont"/>
    <w:rsid w:val="007D71D4"/>
    <w:rPr>
      <w:vertAlign w:val="superscript"/>
    </w:rPr>
  </w:style>
  <w:style w:type="character" w:styleId="CommentReference">
    <w:name w:val="annotation reference"/>
    <w:basedOn w:val="DefaultParagraphFont"/>
    <w:rsid w:val="008F13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131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F131F"/>
  </w:style>
  <w:style w:type="paragraph" w:styleId="CommentSubject">
    <w:name w:val="annotation subject"/>
    <w:basedOn w:val="CommentText"/>
    <w:next w:val="CommentText"/>
    <w:link w:val="CommentSubjectChar"/>
    <w:rsid w:val="008F13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131F"/>
    <w:rPr>
      <w:b/>
      <w:bCs/>
    </w:rPr>
  </w:style>
  <w:style w:type="paragraph" w:styleId="Revision">
    <w:name w:val="Revision"/>
    <w:hidden/>
    <w:uiPriority w:val="99"/>
    <w:semiHidden/>
    <w:rsid w:val="007E3CB5"/>
    <w:rPr>
      <w:sz w:val="26"/>
    </w:rPr>
  </w:style>
  <w:style w:type="paragraph" w:styleId="Header">
    <w:name w:val="header"/>
    <w:basedOn w:val="Normal"/>
    <w:link w:val="HeaderChar"/>
    <w:uiPriority w:val="99"/>
    <w:rsid w:val="007E3C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CB5"/>
    <w:rPr>
      <w:sz w:val="26"/>
    </w:rPr>
  </w:style>
  <w:style w:type="paragraph" w:styleId="Footer">
    <w:name w:val="footer"/>
    <w:basedOn w:val="Normal"/>
    <w:link w:val="FooterChar"/>
    <w:rsid w:val="007E3C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E3CB5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6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1F834-7A87-4CBC-AFF8-1B27660A2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University of Illinois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cshade</dc:creator>
  <cp:keywords/>
  <dc:description/>
  <cp:lastModifiedBy>Todd, Marla Jo</cp:lastModifiedBy>
  <cp:revision>10</cp:revision>
  <cp:lastPrinted>2017-07-21T15:11:00Z</cp:lastPrinted>
  <dcterms:created xsi:type="dcterms:W3CDTF">2025-08-13T18:34:00Z</dcterms:created>
  <dcterms:modified xsi:type="dcterms:W3CDTF">2025-09-10T21:28:00Z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50058a74-5864-40cb-b838-a3f945484815</vt:lpwstr>
  </property>
</Properties>
</file>