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6DDA8" w14:textId="3BD55B05" w:rsidR="002F2D48" w:rsidRPr="006F284F" w:rsidRDefault="00CC52BB"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eastAsia="Times New Roman"/>
          <w:b/>
          <w:color w:val="000000"/>
          <w:sz w:val="60"/>
          <w:szCs w:val="60"/>
        </w:rPr>
      </w:pPr>
      <w:r>
        <w:rPr>
          <w:rFonts w:eastAsia="Times New Roman"/>
          <w:b/>
          <w:color w:val="000000"/>
          <w:sz w:val="60"/>
          <w:szCs w:val="60"/>
        </w:rPr>
        <w:t>19</w:t>
      </w:r>
      <w:r w:rsidR="00D743A9">
        <w:rPr>
          <w:rFonts w:eastAsia="Times New Roman"/>
          <w:b/>
          <w:color w:val="000000"/>
          <w:sz w:val="60"/>
          <w:szCs w:val="60"/>
        </w:rPr>
        <w:t xml:space="preserve"> </w:t>
      </w:r>
    </w:p>
    <w:p w14:paraId="49E2559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0AF965EF"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1CC83587" w14:textId="77777777" w:rsidR="002F2D48" w:rsidRPr="006F284F" w:rsidRDefault="002F2D48" w:rsidP="00D743A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color w:val="000000"/>
          <w:szCs w:val="26"/>
        </w:rPr>
      </w:pPr>
      <w:r w:rsidRPr="006F284F">
        <w:rPr>
          <w:rFonts w:eastAsia="Times New Roman"/>
          <w:color w:val="000000"/>
          <w:szCs w:val="26"/>
        </w:rPr>
        <w:t>Board Meeting</w:t>
      </w:r>
    </w:p>
    <w:p w14:paraId="47BA3C42" w14:textId="006FA82B" w:rsidR="002F2D48" w:rsidRPr="006F284F" w:rsidRDefault="00924939" w:rsidP="00D743A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szCs w:val="26"/>
        </w:rPr>
      </w:pPr>
      <w:r>
        <w:rPr>
          <w:rFonts w:eastAsia="Times New Roman"/>
          <w:szCs w:val="26"/>
        </w:rPr>
        <w:t>September 18</w:t>
      </w:r>
      <w:r w:rsidR="002F2D48" w:rsidRPr="006F284F">
        <w:rPr>
          <w:rFonts w:eastAsia="Times New Roman"/>
          <w:szCs w:val="26"/>
        </w:rPr>
        <w:t>, 202</w:t>
      </w:r>
      <w:r w:rsidR="00814D1D">
        <w:rPr>
          <w:rFonts w:eastAsia="Times New Roman"/>
          <w:szCs w:val="26"/>
        </w:rPr>
        <w:t>5</w:t>
      </w:r>
    </w:p>
    <w:p w14:paraId="4EA67D0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64165EB6"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493C53AB"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r w:rsidRPr="006F284F">
        <w:rPr>
          <w:rFonts w:eastAsia="Times New Roman"/>
          <w:color w:val="000000"/>
          <w:szCs w:val="26"/>
        </w:rPr>
        <w:t>ROLL CALL</w:t>
      </w:r>
    </w:p>
    <w:p w14:paraId="2A62A203"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24EE0D3B" w14:textId="77777777" w:rsidR="002F2D48" w:rsidRPr="00D7330E" w:rsidRDefault="002F2D48" w:rsidP="002F2D48">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3"/>
        <w:rPr>
          <w:rFonts w:eastAsia="Times New Roman"/>
          <w:color w:val="000000"/>
          <w:szCs w:val="26"/>
        </w:rPr>
      </w:pPr>
      <w:r w:rsidRPr="00D7330E">
        <w:rPr>
          <w:rFonts w:eastAsia="Times New Roman"/>
          <w:color w:val="000000"/>
          <w:szCs w:val="26"/>
        </w:rPr>
        <w:t>PURCHASE RECOMMENDATIONS</w:t>
      </w:r>
    </w:p>
    <w:p w14:paraId="5B7E567D"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18C8F33F" w14:textId="68A1BA9D"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i/>
          <w:color w:val="000000"/>
          <w:szCs w:val="26"/>
        </w:rPr>
      </w:pPr>
      <w:r w:rsidRPr="00D7330E">
        <w:rPr>
          <w:rFonts w:eastAsia="Times New Roman"/>
          <w:color w:val="000000"/>
          <w:szCs w:val="26"/>
        </w:rPr>
        <w:t xml:space="preserve">Following </w:t>
      </w:r>
      <w:proofErr w:type="gramStart"/>
      <w:r w:rsidRPr="00D7330E">
        <w:rPr>
          <w:rFonts w:eastAsia="Times New Roman"/>
          <w:color w:val="000000"/>
          <w:szCs w:val="26"/>
        </w:rPr>
        <w:t>are</w:t>
      </w:r>
      <w:proofErr w:type="gramEnd"/>
      <w:r w:rsidRPr="00D7330E">
        <w:rPr>
          <w:rFonts w:eastAsia="Times New Roman"/>
          <w:color w:val="000000"/>
          <w:szCs w:val="26"/>
        </w:rPr>
        <w:t xml:space="preserve"> purchase recommendations proposed by each </w:t>
      </w:r>
      <w:r w:rsidR="00814D1D" w:rsidRPr="00D7330E">
        <w:rPr>
          <w:rFonts w:eastAsia="Times New Roman"/>
          <w:color w:val="000000"/>
          <w:szCs w:val="26"/>
        </w:rPr>
        <w:t>u</w:t>
      </w:r>
      <w:r w:rsidRPr="00D7330E">
        <w:rPr>
          <w:rFonts w:eastAsia="Times New Roman"/>
          <w:color w:val="000000"/>
          <w:szCs w:val="26"/>
        </w:rPr>
        <w:t>niversity and the System Office.</w:t>
      </w:r>
      <w:r w:rsidR="00D743A9" w:rsidRPr="00D7330E">
        <w:rPr>
          <w:rFonts w:eastAsia="Times New Roman"/>
          <w:color w:val="000000"/>
          <w:szCs w:val="26"/>
        </w:rPr>
        <w:t xml:space="preserve"> </w:t>
      </w:r>
      <w:r w:rsidRPr="00D7330E">
        <w:rPr>
          <w:rFonts w:eastAsia="Times New Roman"/>
          <w:color w:val="000000"/>
          <w:szCs w:val="26"/>
        </w:rPr>
        <w:t>The purchases are to be funded from State appropriations or institutional funds as appropriate.</w:t>
      </w:r>
      <w:r w:rsidR="00D743A9" w:rsidRPr="00D7330E">
        <w:rPr>
          <w:rFonts w:eastAsia="Times New Roman"/>
          <w:color w:val="000000"/>
          <w:szCs w:val="26"/>
        </w:rPr>
        <w:t xml:space="preserve"> </w:t>
      </w:r>
      <w:r w:rsidRPr="00D7330E">
        <w:rPr>
          <w:rFonts w:eastAsia="Times New Roman"/>
          <w:color w:val="000000"/>
          <w:szCs w:val="26"/>
        </w:rPr>
        <w:t>Unless otherwise specified or indicated, purchases are based on the lowest acceptable bid.</w:t>
      </w:r>
      <w:r w:rsidR="00D743A9" w:rsidRPr="00D7330E">
        <w:rPr>
          <w:rFonts w:eastAsia="Times New Roman"/>
          <w:color w:val="000000"/>
          <w:szCs w:val="26"/>
        </w:rPr>
        <w:t xml:space="preserve"> </w:t>
      </w:r>
      <w:r w:rsidRPr="00D7330E">
        <w:rPr>
          <w:rFonts w:eastAsia="Times New Roman"/>
          <w:color w:val="000000"/>
          <w:szCs w:val="26"/>
        </w:rPr>
        <w:t xml:space="preserve">The </w:t>
      </w:r>
      <w:r w:rsidR="00814D1D" w:rsidRPr="00D7330E">
        <w:rPr>
          <w:rFonts w:eastAsia="Times New Roman"/>
          <w:color w:val="000000"/>
          <w:szCs w:val="26"/>
        </w:rPr>
        <w:t>v</w:t>
      </w:r>
      <w:r w:rsidRPr="00D7330E">
        <w:rPr>
          <w:rFonts w:eastAsia="Times New Roman"/>
          <w:color w:val="000000"/>
          <w:szCs w:val="26"/>
        </w:rPr>
        <w:t xml:space="preserve">ice </w:t>
      </w:r>
      <w:r w:rsidR="00814D1D" w:rsidRPr="00D7330E">
        <w:rPr>
          <w:rFonts w:eastAsia="Times New Roman"/>
          <w:color w:val="000000"/>
          <w:szCs w:val="26"/>
        </w:rPr>
        <w:t>p</w:t>
      </w:r>
      <w:r w:rsidRPr="00D7330E">
        <w:rPr>
          <w:rFonts w:eastAsia="Times New Roman"/>
          <w:color w:val="000000"/>
          <w:szCs w:val="26"/>
        </w:rPr>
        <w:t>resident</w:t>
      </w:r>
      <w:r w:rsidR="00814D1D" w:rsidRPr="00D7330E">
        <w:rPr>
          <w:rFonts w:eastAsia="Times New Roman"/>
          <w:color w:val="000000"/>
          <w:szCs w:val="26"/>
        </w:rPr>
        <w:t>/c</w:t>
      </w:r>
      <w:r w:rsidRPr="00D7330E">
        <w:rPr>
          <w:rFonts w:eastAsia="Times New Roman"/>
          <w:color w:val="000000"/>
          <w:szCs w:val="26"/>
        </w:rPr>
        <w:t xml:space="preserve">hief </w:t>
      </w:r>
      <w:r w:rsidR="00814D1D" w:rsidRPr="00D7330E">
        <w:rPr>
          <w:rFonts w:eastAsia="Times New Roman"/>
          <w:color w:val="000000"/>
          <w:szCs w:val="26"/>
        </w:rPr>
        <w:t>f</w:t>
      </w:r>
      <w:r w:rsidRPr="00D7330E">
        <w:rPr>
          <w:rFonts w:eastAsia="Times New Roman"/>
          <w:color w:val="000000"/>
          <w:szCs w:val="26"/>
        </w:rPr>
        <w:t xml:space="preserve">inancial </w:t>
      </w:r>
      <w:r w:rsidR="00814D1D" w:rsidRPr="00D7330E">
        <w:rPr>
          <w:rFonts w:eastAsia="Times New Roman"/>
          <w:color w:val="000000"/>
          <w:szCs w:val="26"/>
        </w:rPr>
        <w:t>o</w:t>
      </w:r>
      <w:r w:rsidRPr="00D7330E">
        <w:rPr>
          <w:rFonts w:eastAsia="Times New Roman"/>
          <w:color w:val="000000"/>
          <w:szCs w:val="26"/>
        </w:rPr>
        <w:t xml:space="preserve">fficer and </w:t>
      </w:r>
      <w:r w:rsidR="00814D1D" w:rsidRPr="00D7330E">
        <w:rPr>
          <w:rFonts w:eastAsia="Times New Roman"/>
          <w:color w:val="000000"/>
          <w:szCs w:val="26"/>
        </w:rPr>
        <w:t>c</w:t>
      </w:r>
      <w:r w:rsidRPr="00D7330E">
        <w:rPr>
          <w:rFonts w:eastAsia="Times New Roman"/>
          <w:color w:val="000000"/>
          <w:szCs w:val="26"/>
        </w:rPr>
        <w:t xml:space="preserve">omptroller has approved all purchases to be funded from State appropriations in accordance with the </w:t>
      </w:r>
      <w:r w:rsidRPr="00D7330E">
        <w:rPr>
          <w:rFonts w:eastAsia="Times New Roman"/>
          <w:i/>
          <w:color w:val="000000"/>
          <w:szCs w:val="26"/>
        </w:rPr>
        <w:t xml:space="preserve">Bylaws of the Board of Trustees </w:t>
      </w:r>
      <w:r w:rsidRPr="00D7330E">
        <w:rPr>
          <w:rFonts w:eastAsia="Times New Roman"/>
          <w:color w:val="000000"/>
          <w:szCs w:val="26"/>
        </w:rPr>
        <w:t xml:space="preserve">and the </w:t>
      </w:r>
      <w:r w:rsidRPr="00D7330E">
        <w:rPr>
          <w:rFonts w:eastAsia="Times New Roman"/>
          <w:i/>
          <w:color w:val="000000"/>
          <w:szCs w:val="26"/>
        </w:rPr>
        <w:t>General Rules Concerning University Organization and Procedure.</w:t>
      </w:r>
    </w:p>
    <w:p w14:paraId="702878B2"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p>
    <w:p w14:paraId="5BAB4970" w14:textId="43D7B87D"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color w:val="000000"/>
          <w:szCs w:val="26"/>
        </w:rPr>
        <w:t xml:space="preserve">The Board action recommended in this item complies in all material respects with applicable State and </w:t>
      </w:r>
      <w:r w:rsidR="00814D1D" w:rsidRPr="00D7330E">
        <w:rPr>
          <w:rFonts w:eastAsia="Times New Roman"/>
          <w:color w:val="000000"/>
          <w:szCs w:val="26"/>
        </w:rPr>
        <w:t>f</w:t>
      </w:r>
      <w:r w:rsidRPr="00D7330E">
        <w:rPr>
          <w:rFonts w:eastAsia="Times New Roman"/>
          <w:color w:val="000000"/>
          <w:szCs w:val="26"/>
        </w:rPr>
        <w:t xml:space="preserve">ederal laws, University of Illinois </w:t>
      </w:r>
      <w:r w:rsidRPr="00D7330E">
        <w:rPr>
          <w:rFonts w:eastAsia="Times New Roman"/>
          <w:i/>
          <w:color w:val="000000"/>
          <w:szCs w:val="26"/>
        </w:rPr>
        <w:t>Statutes</w:t>
      </w:r>
      <w:r w:rsidRPr="00D7330E">
        <w:rPr>
          <w:rFonts w:eastAsia="Times New Roman"/>
          <w:iCs/>
          <w:color w:val="000000"/>
          <w:szCs w:val="26"/>
        </w:rPr>
        <w:t xml:space="preserve">, </w:t>
      </w:r>
      <w:r w:rsidRPr="00D7330E">
        <w:rPr>
          <w:rFonts w:eastAsia="Times New Roman"/>
          <w:i/>
          <w:color w:val="000000"/>
          <w:szCs w:val="26"/>
        </w:rPr>
        <w:t>The General Rules Concerning University Organization and Procedure</w:t>
      </w:r>
      <w:r w:rsidRPr="00D7330E">
        <w:rPr>
          <w:rFonts w:eastAsia="Times New Roman"/>
          <w:color w:val="000000"/>
          <w:szCs w:val="26"/>
        </w:rPr>
        <w:t>, and Board of Trustees policies and directives.</w:t>
      </w:r>
    </w:p>
    <w:p w14:paraId="552D226E"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3F8EC082"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r w:rsidRPr="00D7330E">
        <w:rPr>
          <w:rFonts w:eastAsia="Times New Roman"/>
          <w:color w:val="000000"/>
          <w:szCs w:val="26"/>
        </w:rPr>
        <w:t>The president of the University of Illinois System concurs.</w:t>
      </w:r>
    </w:p>
    <w:p w14:paraId="19EA8323" w14:textId="54B584C5" w:rsidR="00252F86" w:rsidRPr="00D7330E" w:rsidRDefault="00252F86"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tbl>
      <w:tblPr>
        <w:tblW w:w="9450" w:type="dxa"/>
        <w:tblLayout w:type="fixed"/>
        <w:tblCellMar>
          <w:left w:w="72" w:type="dxa"/>
          <w:right w:w="72" w:type="dxa"/>
        </w:tblCellMar>
        <w:tblLook w:val="0000" w:firstRow="0" w:lastRow="0" w:firstColumn="0" w:lastColumn="0" w:noHBand="0" w:noVBand="0"/>
      </w:tblPr>
      <w:tblGrid>
        <w:gridCol w:w="342"/>
        <w:gridCol w:w="18"/>
        <w:gridCol w:w="972"/>
        <w:gridCol w:w="18"/>
        <w:gridCol w:w="8100"/>
      </w:tblGrid>
      <w:tr w:rsidR="00B62DED" w:rsidRPr="00D7330E" w14:paraId="53EC36B2" w14:textId="77777777" w:rsidTr="00B94181">
        <w:trPr>
          <w:trHeight w:val="150"/>
        </w:trPr>
        <w:tc>
          <w:tcPr>
            <w:tcW w:w="342" w:type="dxa"/>
          </w:tcPr>
          <w:p w14:paraId="7B4E2F25" w14:textId="77777777" w:rsidR="00B62DED" w:rsidRPr="00D7330E" w:rsidRDefault="00B62DED" w:rsidP="00772082">
            <w:pPr>
              <w:spacing w:after="0" w:line="240" w:lineRule="auto"/>
              <w:rPr>
                <w:szCs w:val="26"/>
              </w:rPr>
            </w:pPr>
          </w:p>
        </w:tc>
        <w:tc>
          <w:tcPr>
            <w:tcW w:w="990" w:type="dxa"/>
            <w:gridSpan w:val="2"/>
            <w:shd w:val="clear" w:color="auto" w:fill="auto"/>
          </w:tcPr>
          <w:p w14:paraId="0173AA1D" w14:textId="77777777" w:rsidR="00B62DED" w:rsidRPr="00D7330E" w:rsidRDefault="00B62DED" w:rsidP="00B62DED">
            <w:pPr>
              <w:pStyle w:val="NoSpacing"/>
              <w:rPr>
                <w:sz w:val="26"/>
                <w:szCs w:val="26"/>
              </w:rPr>
            </w:pPr>
          </w:p>
        </w:tc>
        <w:tc>
          <w:tcPr>
            <w:tcW w:w="8118" w:type="dxa"/>
            <w:gridSpan w:val="2"/>
            <w:shd w:val="clear" w:color="auto" w:fill="auto"/>
          </w:tcPr>
          <w:p w14:paraId="4D51BDD3" w14:textId="77777777" w:rsidR="00B62DED" w:rsidRPr="00D7330E" w:rsidRDefault="00B62DED" w:rsidP="00B62DED">
            <w:pPr>
              <w:spacing w:after="0" w:line="240" w:lineRule="auto"/>
              <w:ind w:left="1478"/>
              <w:rPr>
                <w:rFonts w:eastAsia="Times New Roman"/>
                <w:b/>
                <w:color w:val="000000"/>
                <w:szCs w:val="26"/>
              </w:rPr>
            </w:pPr>
          </w:p>
        </w:tc>
      </w:tr>
      <w:tr w:rsidR="00F052D8" w:rsidRPr="00D7330E" w14:paraId="6B2BEDBF" w14:textId="77777777" w:rsidTr="00B94181">
        <w:trPr>
          <w:trHeight w:val="333"/>
        </w:trPr>
        <w:tc>
          <w:tcPr>
            <w:tcW w:w="342" w:type="dxa"/>
          </w:tcPr>
          <w:p w14:paraId="2E72356C" w14:textId="77777777" w:rsidR="00F052D8" w:rsidRPr="00D7330E" w:rsidRDefault="00F052D8" w:rsidP="00F052D8">
            <w:pPr>
              <w:pStyle w:val="NoSpacing"/>
              <w:jc w:val="both"/>
              <w:rPr>
                <w:sz w:val="26"/>
                <w:szCs w:val="26"/>
              </w:rPr>
            </w:pPr>
          </w:p>
        </w:tc>
        <w:tc>
          <w:tcPr>
            <w:tcW w:w="990" w:type="dxa"/>
            <w:gridSpan w:val="2"/>
            <w:shd w:val="clear" w:color="auto" w:fill="auto"/>
          </w:tcPr>
          <w:p w14:paraId="6E7830BF" w14:textId="77777777" w:rsidR="00F052D8" w:rsidRPr="00D7330E" w:rsidRDefault="00F052D8" w:rsidP="00F052D8">
            <w:pPr>
              <w:pStyle w:val="NoSpacing"/>
              <w:jc w:val="both"/>
              <w:rPr>
                <w:sz w:val="26"/>
                <w:szCs w:val="26"/>
              </w:rPr>
            </w:pPr>
          </w:p>
        </w:tc>
        <w:tc>
          <w:tcPr>
            <w:tcW w:w="8118" w:type="dxa"/>
            <w:gridSpan w:val="2"/>
            <w:shd w:val="clear" w:color="auto" w:fill="auto"/>
          </w:tcPr>
          <w:p w14:paraId="13F2F84A" w14:textId="5F497DAB" w:rsidR="00F052D8" w:rsidRPr="00D7330E" w:rsidRDefault="00D743A9" w:rsidP="00F052D8">
            <w:pPr>
              <w:spacing w:after="0"/>
              <w:jc w:val="both"/>
              <w:rPr>
                <w:szCs w:val="26"/>
              </w:rPr>
            </w:pPr>
            <w:r w:rsidRPr="00D7330E">
              <w:rPr>
                <w:rFonts w:eastAsia="Times New Roman"/>
                <w:b/>
                <w:color w:val="000000"/>
                <w:szCs w:val="26"/>
              </w:rPr>
              <w:t xml:space="preserve">        </w:t>
            </w:r>
            <w:r w:rsidR="00F052D8" w:rsidRPr="00D7330E">
              <w:rPr>
                <w:rFonts w:eastAsia="Times New Roman"/>
                <w:b/>
                <w:color w:val="000000"/>
                <w:szCs w:val="26"/>
              </w:rPr>
              <w:t xml:space="preserve"> </w:t>
            </w:r>
            <w:r w:rsidR="00F33367" w:rsidRPr="00D7330E">
              <w:rPr>
                <w:rFonts w:eastAsia="Times New Roman"/>
                <w:b/>
                <w:color w:val="000000"/>
                <w:szCs w:val="26"/>
              </w:rPr>
              <w:t>CHANGE ORDER RECOMMENDED</w:t>
            </w:r>
          </w:p>
        </w:tc>
      </w:tr>
      <w:tr w:rsidR="00F052D8" w:rsidRPr="00D7330E" w14:paraId="3B7F5514" w14:textId="77777777" w:rsidTr="00B94181">
        <w:trPr>
          <w:trHeight w:val="333"/>
        </w:trPr>
        <w:tc>
          <w:tcPr>
            <w:tcW w:w="342" w:type="dxa"/>
          </w:tcPr>
          <w:p w14:paraId="2CC7D3AD" w14:textId="77777777" w:rsidR="00F052D8" w:rsidRPr="00D7330E" w:rsidRDefault="00F052D8" w:rsidP="00F052D8">
            <w:pPr>
              <w:pStyle w:val="NoSpacing"/>
              <w:jc w:val="both"/>
              <w:rPr>
                <w:sz w:val="26"/>
                <w:szCs w:val="26"/>
              </w:rPr>
            </w:pPr>
          </w:p>
        </w:tc>
        <w:tc>
          <w:tcPr>
            <w:tcW w:w="990" w:type="dxa"/>
            <w:gridSpan w:val="2"/>
            <w:shd w:val="clear" w:color="auto" w:fill="auto"/>
          </w:tcPr>
          <w:p w14:paraId="09106E5D" w14:textId="77777777" w:rsidR="00F052D8" w:rsidRPr="00D7330E" w:rsidRDefault="00F052D8" w:rsidP="00F052D8">
            <w:pPr>
              <w:pStyle w:val="NoSpacing"/>
              <w:jc w:val="both"/>
              <w:rPr>
                <w:sz w:val="26"/>
                <w:szCs w:val="26"/>
              </w:rPr>
            </w:pPr>
          </w:p>
        </w:tc>
        <w:tc>
          <w:tcPr>
            <w:tcW w:w="8118" w:type="dxa"/>
            <w:gridSpan w:val="2"/>
            <w:shd w:val="clear" w:color="auto" w:fill="auto"/>
          </w:tcPr>
          <w:p w14:paraId="5666A972" w14:textId="1B571B1A" w:rsidR="00F052D8" w:rsidRPr="00D7330E" w:rsidRDefault="00F052D8" w:rsidP="00F052D8">
            <w:pPr>
              <w:spacing w:after="0"/>
              <w:jc w:val="both"/>
              <w:rPr>
                <w:szCs w:val="26"/>
              </w:rPr>
            </w:pPr>
          </w:p>
        </w:tc>
      </w:tr>
      <w:tr w:rsidR="00F052D8" w:rsidRPr="00D7330E" w14:paraId="3B87A92D" w14:textId="77777777" w:rsidTr="00B94181">
        <w:trPr>
          <w:trHeight w:val="333"/>
        </w:trPr>
        <w:tc>
          <w:tcPr>
            <w:tcW w:w="9450" w:type="dxa"/>
            <w:gridSpan w:val="5"/>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052D8" w:rsidRPr="00D7330E" w14:paraId="2A83060F" w14:textId="77777777" w:rsidTr="00701ADE">
              <w:trPr>
                <w:trHeight w:val="114"/>
              </w:trPr>
              <w:tc>
                <w:tcPr>
                  <w:tcW w:w="9454" w:type="dxa"/>
                  <w:tcBorders>
                    <w:top w:val="single" w:sz="18" w:space="0" w:color="auto"/>
                    <w:bottom w:val="single" w:sz="18" w:space="0" w:color="auto"/>
                  </w:tcBorders>
                </w:tcPr>
                <w:p w14:paraId="41F68CC4" w14:textId="6303AE99" w:rsidR="00F052D8" w:rsidRPr="00D7330E" w:rsidRDefault="00F052D8" w:rsidP="00F052D8">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D7330E">
                    <w:rPr>
                      <w:rFonts w:eastAsia="Times New Roman"/>
                      <w:b/>
                      <w:szCs w:val="26"/>
                    </w:rPr>
                    <w:t xml:space="preserve">University of Illinois </w:t>
                  </w:r>
                  <w:r w:rsidR="007412C4">
                    <w:rPr>
                      <w:rFonts w:eastAsia="Times New Roman"/>
                      <w:b/>
                      <w:szCs w:val="26"/>
                    </w:rPr>
                    <w:t xml:space="preserve">System </w:t>
                  </w:r>
                  <w:r w:rsidR="00F33367">
                    <w:rPr>
                      <w:rFonts w:eastAsia="Times New Roman"/>
                      <w:b/>
                      <w:szCs w:val="26"/>
                    </w:rPr>
                    <w:t>Office</w:t>
                  </w:r>
                </w:p>
              </w:tc>
            </w:tr>
          </w:tbl>
          <w:p w14:paraId="385F4FDD" w14:textId="77777777" w:rsidR="00F052D8" w:rsidRPr="00D7330E" w:rsidRDefault="00F052D8" w:rsidP="00F052D8">
            <w:pPr>
              <w:spacing w:after="0"/>
              <w:jc w:val="both"/>
              <w:rPr>
                <w:szCs w:val="26"/>
              </w:rPr>
            </w:pPr>
          </w:p>
        </w:tc>
      </w:tr>
      <w:tr w:rsidR="00F052D8" w:rsidRPr="00D7330E" w14:paraId="7A096C94" w14:textId="77777777" w:rsidTr="00B94181">
        <w:trPr>
          <w:trHeight w:val="333"/>
        </w:trPr>
        <w:tc>
          <w:tcPr>
            <w:tcW w:w="342" w:type="dxa"/>
            <w:tcBorders>
              <w:bottom w:val="double" w:sz="4" w:space="0" w:color="auto"/>
            </w:tcBorders>
          </w:tcPr>
          <w:p w14:paraId="7CCA554E" w14:textId="7F623BE5" w:rsidR="00F052D8" w:rsidRPr="00D7330E" w:rsidRDefault="00772082" w:rsidP="00F052D8">
            <w:pPr>
              <w:pStyle w:val="NoSpacing"/>
              <w:jc w:val="both"/>
              <w:rPr>
                <w:sz w:val="26"/>
                <w:szCs w:val="26"/>
              </w:rPr>
            </w:pPr>
            <w:r>
              <w:rPr>
                <w:sz w:val="26"/>
                <w:szCs w:val="26"/>
              </w:rPr>
              <w:t>1</w:t>
            </w:r>
          </w:p>
        </w:tc>
        <w:tc>
          <w:tcPr>
            <w:tcW w:w="990" w:type="dxa"/>
            <w:gridSpan w:val="2"/>
            <w:tcBorders>
              <w:bottom w:val="double" w:sz="4" w:space="0" w:color="auto"/>
            </w:tcBorders>
            <w:shd w:val="clear" w:color="auto" w:fill="auto"/>
          </w:tcPr>
          <w:p w14:paraId="7937997A" w14:textId="74F70072" w:rsidR="00F052D8" w:rsidRPr="00D7330E" w:rsidRDefault="00F052D8" w:rsidP="00F052D8">
            <w:pPr>
              <w:pStyle w:val="NoSpacing"/>
              <w:jc w:val="both"/>
              <w:rPr>
                <w:sz w:val="26"/>
                <w:szCs w:val="26"/>
              </w:rPr>
            </w:pPr>
            <w:r w:rsidRPr="00D7330E">
              <w:rPr>
                <w:sz w:val="26"/>
                <w:szCs w:val="26"/>
              </w:rPr>
              <w:t>Unit</w:t>
            </w:r>
          </w:p>
        </w:tc>
        <w:tc>
          <w:tcPr>
            <w:tcW w:w="8118" w:type="dxa"/>
            <w:gridSpan w:val="2"/>
            <w:tcBorders>
              <w:bottom w:val="double" w:sz="4" w:space="0" w:color="auto"/>
            </w:tcBorders>
            <w:shd w:val="clear" w:color="auto" w:fill="auto"/>
          </w:tcPr>
          <w:p w14:paraId="6507DF2B" w14:textId="4E4BA8AA" w:rsidR="00F052D8" w:rsidRPr="00D7330E" w:rsidRDefault="007412C4" w:rsidP="00EE4B1E">
            <w:pPr>
              <w:spacing w:after="0"/>
              <w:rPr>
                <w:szCs w:val="26"/>
              </w:rPr>
            </w:pPr>
            <w:r>
              <w:t>Office of the Vice President for Economic Development and Innovation</w:t>
            </w:r>
          </w:p>
        </w:tc>
      </w:tr>
      <w:tr w:rsidR="00F052D8" w:rsidRPr="00D7330E" w14:paraId="0BBEAEF1" w14:textId="77777777" w:rsidTr="00B94181">
        <w:trPr>
          <w:trHeight w:val="333"/>
        </w:trPr>
        <w:tc>
          <w:tcPr>
            <w:tcW w:w="342" w:type="dxa"/>
            <w:tcBorders>
              <w:top w:val="double" w:sz="4" w:space="0" w:color="auto"/>
            </w:tcBorders>
          </w:tcPr>
          <w:p w14:paraId="37049EC9" w14:textId="77777777" w:rsidR="00F052D8" w:rsidRPr="00D7330E" w:rsidRDefault="00F052D8" w:rsidP="00F052D8">
            <w:pPr>
              <w:pStyle w:val="NoSpacing"/>
              <w:jc w:val="both"/>
              <w:rPr>
                <w:sz w:val="26"/>
                <w:szCs w:val="26"/>
              </w:rPr>
            </w:pPr>
          </w:p>
        </w:tc>
        <w:tc>
          <w:tcPr>
            <w:tcW w:w="990" w:type="dxa"/>
            <w:gridSpan w:val="2"/>
            <w:tcBorders>
              <w:top w:val="double" w:sz="4" w:space="0" w:color="auto"/>
            </w:tcBorders>
            <w:shd w:val="clear" w:color="auto" w:fill="auto"/>
          </w:tcPr>
          <w:p w14:paraId="42D904FC" w14:textId="77777777" w:rsidR="00F052D8" w:rsidRPr="00D7330E" w:rsidRDefault="00F052D8" w:rsidP="00F052D8">
            <w:pPr>
              <w:pStyle w:val="NoSpacing"/>
              <w:rPr>
                <w:sz w:val="26"/>
                <w:szCs w:val="26"/>
              </w:rPr>
            </w:pPr>
          </w:p>
          <w:p w14:paraId="474C636E" w14:textId="1AA0FCDC" w:rsidR="00F052D8" w:rsidRPr="00D7330E" w:rsidRDefault="00F052D8" w:rsidP="00F052D8">
            <w:pPr>
              <w:pStyle w:val="NoSpacing"/>
              <w:jc w:val="both"/>
              <w:rPr>
                <w:sz w:val="26"/>
                <w:szCs w:val="26"/>
              </w:rPr>
            </w:pPr>
            <w:r w:rsidRPr="00D7330E">
              <w:rPr>
                <w:sz w:val="26"/>
                <w:szCs w:val="26"/>
              </w:rPr>
              <w:t>Item</w:t>
            </w:r>
          </w:p>
        </w:tc>
        <w:tc>
          <w:tcPr>
            <w:tcW w:w="8118" w:type="dxa"/>
            <w:gridSpan w:val="2"/>
            <w:tcBorders>
              <w:top w:val="double" w:sz="4" w:space="0" w:color="auto"/>
            </w:tcBorders>
            <w:shd w:val="clear" w:color="auto" w:fill="auto"/>
          </w:tcPr>
          <w:p w14:paraId="3F2F7796" w14:textId="77777777" w:rsidR="00F052D8" w:rsidRPr="00D7330E" w:rsidRDefault="00F052D8" w:rsidP="00EE4B1E">
            <w:pPr>
              <w:pStyle w:val="NoSpacing"/>
              <w:rPr>
                <w:sz w:val="26"/>
                <w:szCs w:val="26"/>
              </w:rPr>
            </w:pPr>
          </w:p>
          <w:p w14:paraId="588F47B4" w14:textId="3177CBE1" w:rsidR="00F052D8" w:rsidRPr="00D7330E" w:rsidRDefault="00F33367" w:rsidP="00EE4B1E">
            <w:pPr>
              <w:spacing w:after="0"/>
              <w:rPr>
                <w:szCs w:val="26"/>
              </w:rPr>
            </w:pPr>
            <w:r>
              <w:t>Change order for consultant to assist with duties in s</w:t>
            </w:r>
            <w:r w:rsidRPr="00525641">
              <w:t>upport of the federal Broadband</w:t>
            </w:r>
            <w:r>
              <w:t>,</w:t>
            </w:r>
            <w:r w:rsidRPr="00525641">
              <w:t xml:space="preserve"> Equity, Adoption, and Deployment (BEAD) and Digital Equity (DE) programs, including completion of Illinois’s 5-Year Action Plan and/or Digital Equity Plan.</w:t>
            </w:r>
          </w:p>
        </w:tc>
      </w:tr>
      <w:tr w:rsidR="00F052D8" w:rsidRPr="00D7330E" w14:paraId="6AD4E238" w14:textId="77777777" w:rsidTr="00B94181">
        <w:trPr>
          <w:trHeight w:val="333"/>
        </w:trPr>
        <w:tc>
          <w:tcPr>
            <w:tcW w:w="342" w:type="dxa"/>
          </w:tcPr>
          <w:p w14:paraId="1903403F" w14:textId="77777777" w:rsidR="00F052D8" w:rsidRPr="00D7330E" w:rsidRDefault="00F052D8" w:rsidP="00F052D8">
            <w:pPr>
              <w:pStyle w:val="NoSpacing"/>
              <w:jc w:val="both"/>
              <w:rPr>
                <w:sz w:val="26"/>
                <w:szCs w:val="26"/>
              </w:rPr>
            </w:pPr>
          </w:p>
        </w:tc>
        <w:tc>
          <w:tcPr>
            <w:tcW w:w="990" w:type="dxa"/>
            <w:gridSpan w:val="2"/>
            <w:shd w:val="clear" w:color="auto" w:fill="auto"/>
          </w:tcPr>
          <w:p w14:paraId="2D113813" w14:textId="77777777" w:rsidR="00F052D8" w:rsidRPr="00D7330E" w:rsidRDefault="00F052D8" w:rsidP="00F052D8">
            <w:pPr>
              <w:pStyle w:val="NoSpacing"/>
              <w:rPr>
                <w:sz w:val="26"/>
                <w:szCs w:val="26"/>
              </w:rPr>
            </w:pPr>
          </w:p>
          <w:p w14:paraId="2CC4803D" w14:textId="08A0F491" w:rsidR="00F052D8" w:rsidRPr="00D7330E" w:rsidRDefault="00F052D8" w:rsidP="00F052D8">
            <w:pPr>
              <w:pStyle w:val="NoSpacing"/>
              <w:jc w:val="both"/>
              <w:rPr>
                <w:sz w:val="26"/>
                <w:szCs w:val="26"/>
              </w:rPr>
            </w:pPr>
            <w:r w:rsidRPr="00D7330E">
              <w:rPr>
                <w:sz w:val="26"/>
                <w:szCs w:val="26"/>
              </w:rPr>
              <w:t>Cost</w:t>
            </w:r>
          </w:p>
        </w:tc>
        <w:tc>
          <w:tcPr>
            <w:tcW w:w="8118" w:type="dxa"/>
            <w:gridSpan w:val="2"/>
            <w:shd w:val="clear" w:color="auto" w:fill="auto"/>
          </w:tcPr>
          <w:p w14:paraId="27B14898" w14:textId="77777777" w:rsidR="00F052D8" w:rsidRPr="00D7330E" w:rsidRDefault="00F052D8" w:rsidP="00EE4B1E">
            <w:pPr>
              <w:pStyle w:val="NoSpacing"/>
              <w:rPr>
                <w:sz w:val="26"/>
                <w:szCs w:val="26"/>
              </w:rPr>
            </w:pPr>
          </w:p>
          <w:p w14:paraId="0978655A" w14:textId="0DB4B641" w:rsidR="00F052D8" w:rsidRPr="00D7330E" w:rsidRDefault="00F33367" w:rsidP="00EE4B1E">
            <w:pPr>
              <w:tabs>
                <w:tab w:val="left" w:pos="-720"/>
                <w:tab w:val="left" w:pos="0"/>
                <w:tab w:val="left" w:pos="720"/>
                <w:tab w:val="left" w:pos="1080"/>
                <w:tab w:val="left" w:pos="1440"/>
              </w:tabs>
              <w:suppressAutoHyphens/>
              <w:rPr>
                <w:szCs w:val="26"/>
              </w:rPr>
            </w:pPr>
            <w:r>
              <w:rPr>
                <w:szCs w:val="26"/>
              </w:rPr>
              <w:t>$</w:t>
            </w:r>
            <w:r w:rsidR="001C1494">
              <w:rPr>
                <w:szCs w:val="26"/>
              </w:rPr>
              <w:t>1,000,000</w:t>
            </w:r>
            <w:r>
              <w:rPr>
                <w:szCs w:val="26"/>
              </w:rPr>
              <w:t xml:space="preserve"> (Estimated)</w:t>
            </w:r>
            <w:r w:rsidR="004F01BB">
              <w:rPr>
                <w:szCs w:val="26"/>
              </w:rPr>
              <w:t xml:space="preserve"> </w:t>
            </w:r>
            <w:r w:rsidR="004F01BB" w:rsidRPr="004F01BB">
              <w:rPr>
                <w:szCs w:val="26"/>
              </w:rPr>
              <w:t>Original Estimate: $4,800,0</w:t>
            </w:r>
            <w:r w:rsidR="004F01BB">
              <w:rPr>
                <w:szCs w:val="26"/>
              </w:rPr>
              <w:t>0</w:t>
            </w:r>
            <w:r w:rsidR="004F01BB" w:rsidRPr="004F01BB">
              <w:rPr>
                <w:szCs w:val="26"/>
              </w:rPr>
              <w:t>0. New Total Estimate $5,800,</w:t>
            </w:r>
            <w:r w:rsidR="004F01BB">
              <w:rPr>
                <w:szCs w:val="26"/>
              </w:rPr>
              <w:t>0</w:t>
            </w:r>
            <w:r w:rsidR="004F01BB" w:rsidRPr="004F01BB">
              <w:rPr>
                <w:szCs w:val="26"/>
              </w:rPr>
              <w:t>00</w:t>
            </w:r>
          </w:p>
        </w:tc>
      </w:tr>
      <w:tr w:rsidR="00F052D8" w:rsidRPr="00D7330E" w14:paraId="0E234F1E" w14:textId="77777777" w:rsidTr="00B94181">
        <w:trPr>
          <w:trHeight w:val="333"/>
        </w:trPr>
        <w:tc>
          <w:tcPr>
            <w:tcW w:w="342" w:type="dxa"/>
          </w:tcPr>
          <w:p w14:paraId="0B2E18D9" w14:textId="77777777" w:rsidR="00F052D8" w:rsidRPr="00D7330E" w:rsidRDefault="00F052D8" w:rsidP="00F052D8">
            <w:pPr>
              <w:pStyle w:val="NoSpacing"/>
              <w:jc w:val="both"/>
              <w:rPr>
                <w:sz w:val="26"/>
                <w:szCs w:val="26"/>
              </w:rPr>
            </w:pPr>
          </w:p>
        </w:tc>
        <w:tc>
          <w:tcPr>
            <w:tcW w:w="990" w:type="dxa"/>
            <w:gridSpan w:val="2"/>
            <w:shd w:val="clear" w:color="auto" w:fill="auto"/>
          </w:tcPr>
          <w:p w14:paraId="027BE1C7" w14:textId="21D312FA" w:rsidR="00F052D8" w:rsidRPr="00D7330E" w:rsidRDefault="00F052D8" w:rsidP="00F052D8">
            <w:pPr>
              <w:pStyle w:val="NoSpacing"/>
              <w:jc w:val="both"/>
              <w:rPr>
                <w:sz w:val="26"/>
                <w:szCs w:val="26"/>
              </w:rPr>
            </w:pPr>
            <w:r w:rsidRPr="00D7330E">
              <w:rPr>
                <w:sz w:val="26"/>
                <w:szCs w:val="26"/>
              </w:rPr>
              <w:t>Vendor</w:t>
            </w:r>
          </w:p>
        </w:tc>
        <w:tc>
          <w:tcPr>
            <w:tcW w:w="8118" w:type="dxa"/>
            <w:gridSpan w:val="2"/>
            <w:shd w:val="clear" w:color="auto" w:fill="auto"/>
          </w:tcPr>
          <w:p w14:paraId="2ACF3150" w14:textId="715EE5C2" w:rsidR="00F33367" w:rsidRPr="00447B2C" w:rsidRDefault="00F33367" w:rsidP="00EE4B1E">
            <w:pPr>
              <w:pStyle w:val="NoSpacing"/>
              <w:rPr>
                <w:bCs/>
                <w:sz w:val="26"/>
                <w:szCs w:val="26"/>
              </w:rPr>
            </w:pPr>
            <w:r w:rsidRPr="00447B2C">
              <w:rPr>
                <w:bCs/>
                <w:sz w:val="26"/>
                <w:szCs w:val="26"/>
              </w:rPr>
              <w:t xml:space="preserve">McKinsey &amp; Company, Inc.                                            Washington, D.C. </w:t>
            </w:r>
          </w:p>
          <w:p w14:paraId="65913175" w14:textId="77777777" w:rsidR="00F052D8" w:rsidRPr="00D7330E" w:rsidRDefault="00F052D8" w:rsidP="00EE4B1E">
            <w:pPr>
              <w:spacing w:after="0"/>
              <w:rPr>
                <w:szCs w:val="26"/>
              </w:rPr>
            </w:pPr>
          </w:p>
        </w:tc>
      </w:tr>
      <w:tr w:rsidR="00F052D8" w:rsidRPr="00D7330E" w14:paraId="0F8FD728" w14:textId="77777777" w:rsidTr="00B94181">
        <w:trPr>
          <w:trHeight w:val="333"/>
        </w:trPr>
        <w:tc>
          <w:tcPr>
            <w:tcW w:w="342" w:type="dxa"/>
          </w:tcPr>
          <w:p w14:paraId="57958A15" w14:textId="77777777" w:rsidR="00F052D8" w:rsidRPr="00D7330E" w:rsidRDefault="00F052D8" w:rsidP="00F052D8">
            <w:pPr>
              <w:pStyle w:val="NoSpacing"/>
              <w:jc w:val="both"/>
              <w:rPr>
                <w:sz w:val="26"/>
                <w:szCs w:val="26"/>
              </w:rPr>
            </w:pPr>
          </w:p>
        </w:tc>
        <w:tc>
          <w:tcPr>
            <w:tcW w:w="990" w:type="dxa"/>
            <w:gridSpan w:val="2"/>
            <w:shd w:val="clear" w:color="auto" w:fill="auto"/>
          </w:tcPr>
          <w:p w14:paraId="1EDF1F5F" w14:textId="77777777" w:rsidR="00F052D8" w:rsidRPr="00D7330E" w:rsidRDefault="00F052D8" w:rsidP="00EE4B1E">
            <w:pPr>
              <w:pStyle w:val="NoSpacing"/>
              <w:rPr>
                <w:sz w:val="26"/>
                <w:szCs w:val="26"/>
              </w:rPr>
            </w:pPr>
          </w:p>
        </w:tc>
        <w:tc>
          <w:tcPr>
            <w:tcW w:w="8118" w:type="dxa"/>
            <w:gridSpan w:val="2"/>
            <w:shd w:val="clear" w:color="auto" w:fill="auto"/>
          </w:tcPr>
          <w:p w14:paraId="33CAFF66" w14:textId="7DA6066E" w:rsidR="00F33367" w:rsidRPr="00447B2C" w:rsidRDefault="00F33367" w:rsidP="00EE4B1E">
            <w:pPr>
              <w:pStyle w:val="NoSpacing"/>
              <w:rPr>
                <w:sz w:val="26"/>
                <w:szCs w:val="26"/>
              </w:rPr>
            </w:pPr>
            <w:r w:rsidRPr="00447B2C">
              <w:rPr>
                <w:sz w:val="26"/>
                <w:szCs w:val="26"/>
              </w:rPr>
              <w:t xml:space="preserve">This is </w:t>
            </w:r>
            <w:r>
              <w:rPr>
                <w:sz w:val="26"/>
                <w:szCs w:val="26"/>
              </w:rPr>
              <w:t>a change order to</w:t>
            </w:r>
            <w:r w:rsidRPr="00447B2C">
              <w:rPr>
                <w:sz w:val="26"/>
                <w:szCs w:val="26"/>
              </w:rPr>
              <w:t xml:space="preserve"> a task order </w:t>
            </w:r>
            <w:r>
              <w:rPr>
                <w:sz w:val="26"/>
                <w:szCs w:val="26"/>
              </w:rPr>
              <w:t xml:space="preserve">awarded </w:t>
            </w:r>
            <w:r w:rsidRPr="00447B2C">
              <w:rPr>
                <w:sz w:val="26"/>
                <w:szCs w:val="26"/>
              </w:rPr>
              <w:t>to McKinsey &amp; Company, Inc. based on the request for proposal (RFP) 1JWS1805 for Consulting for Strategic/Financial Planning and Related Services.</w:t>
            </w:r>
            <w:r>
              <w:rPr>
                <w:sz w:val="26"/>
                <w:szCs w:val="26"/>
              </w:rPr>
              <w:t xml:space="preserve"> This change order request is necessary </w:t>
            </w:r>
            <w:r w:rsidRPr="00C56BB4">
              <w:rPr>
                <w:sz w:val="26"/>
                <w:szCs w:val="26"/>
              </w:rPr>
              <w:t xml:space="preserve">to meet the new federal policy requirements issued in June 2025 and to meet the new submission deadline that was moved up unexpectedly to September 4,2025. Without this </w:t>
            </w:r>
            <w:r>
              <w:rPr>
                <w:sz w:val="26"/>
                <w:szCs w:val="26"/>
              </w:rPr>
              <w:t>change order</w:t>
            </w:r>
            <w:r w:rsidRPr="00C56BB4">
              <w:rPr>
                <w:sz w:val="26"/>
                <w:szCs w:val="26"/>
              </w:rPr>
              <w:t>, McKinsey cannot produce the work on time nor hire emergency workers. The state of Illinois could lose more than $1BN in broadband funding if the new September 4, 2025, deadline for submission is not met.</w:t>
            </w:r>
            <w:r>
              <w:rPr>
                <w:sz w:val="26"/>
                <w:szCs w:val="26"/>
              </w:rPr>
              <w:t xml:space="preserve">  The change order will increase the estimated total amount to $5.8M.</w:t>
            </w:r>
            <w:r w:rsidRPr="00447B2C">
              <w:rPr>
                <w:sz w:val="26"/>
                <w:szCs w:val="26"/>
              </w:rPr>
              <w:br/>
            </w:r>
          </w:p>
          <w:p w14:paraId="0DB4C932" w14:textId="6551B7CC" w:rsidR="00F33367" w:rsidRPr="00447B2C" w:rsidRDefault="00F33367" w:rsidP="00EE4B1E">
            <w:pPr>
              <w:pStyle w:val="NoSpacing"/>
              <w:rPr>
                <w:sz w:val="26"/>
                <w:szCs w:val="26"/>
              </w:rPr>
            </w:pPr>
            <w:r w:rsidRPr="00447B2C">
              <w:rPr>
                <w:sz w:val="26"/>
                <w:szCs w:val="26"/>
              </w:rPr>
              <w:t>In May of 2018, the University published solicitation reference number 1JWS1805, a request for proposal (RFP) to provide consulting services in two categories: 1) strategic planning and related services and 2) financial and process analysis. Proposals were opened on June 28, 2018.</w:t>
            </w:r>
          </w:p>
          <w:p w14:paraId="6B972E2C" w14:textId="77777777" w:rsidR="00F33367" w:rsidRPr="00447B2C" w:rsidRDefault="00F33367" w:rsidP="00EE4B1E">
            <w:pPr>
              <w:pStyle w:val="NoSpacing"/>
              <w:rPr>
                <w:sz w:val="26"/>
                <w:szCs w:val="26"/>
              </w:rPr>
            </w:pPr>
          </w:p>
          <w:p w14:paraId="21D331DE" w14:textId="375C8E59" w:rsidR="00F33367" w:rsidRPr="00447B2C" w:rsidRDefault="00F33367" w:rsidP="00EE4B1E">
            <w:pPr>
              <w:pStyle w:val="NoSpacing"/>
              <w:rPr>
                <w:sz w:val="26"/>
                <w:szCs w:val="26"/>
              </w:rPr>
            </w:pPr>
            <w:r w:rsidRPr="00447B2C">
              <w:rPr>
                <w:sz w:val="26"/>
                <w:szCs w:val="26"/>
              </w:rPr>
              <w:t xml:space="preserve">A team of five evaluators evaluated the 23 qualified proposals. The University’s RFP stated that it would select up to five awardees for each of the identified categories (strategic planning and related services, and financial and process analysis). The award would establish a qualified pool of vendors. When an individual project becomes available under the award, the University would send a task order outlining the scope of work to the respondents in the relevant category for the services being requested. The RFP did not request pricing information. Pricing was to be requested and evaluated at the time of a specific task order evaluation.  </w:t>
            </w:r>
            <w:r w:rsidRPr="00447B2C">
              <w:rPr>
                <w:sz w:val="26"/>
                <w:szCs w:val="26"/>
              </w:rPr>
              <w:br/>
            </w:r>
          </w:p>
          <w:p w14:paraId="3E2CCA12" w14:textId="74CDBE3A" w:rsidR="00F33367" w:rsidRPr="00447B2C" w:rsidRDefault="00F33367" w:rsidP="00EE4B1E">
            <w:pPr>
              <w:pStyle w:val="NoSpacing"/>
              <w:rPr>
                <w:sz w:val="26"/>
                <w:szCs w:val="26"/>
              </w:rPr>
            </w:pPr>
            <w:r w:rsidRPr="00447B2C">
              <w:rPr>
                <w:sz w:val="26"/>
                <w:szCs w:val="26"/>
              </w:rPr>
              <w:t>In December 2018, the University published its intent to award the top five scoring respondents, which were the same for both categories. The awarded vendors are:</w:t>
            </w:r>
          </w:p>
          <w:p w14:paraId="5750E5C3" w14:textId="77777777" w:rsidR="00F33367" w:rsidRPr="00447B2C" w:rsidRDefault="00F33367" w:rsidP="00EE4B1E">
            <w:pPr>
              <w:pStyle w:val="NoSpacing"/>
              <w:numPr>
                <w:ilvl w:val="0"/>
                <w:numId w:val="14"/>
              </w:numPr>
              <w:rPr>
                <w:sz w:val="26"/>
                <w:szCs w:val="26"/>
              </w:rPr>
            </w:pPr>
            <w:r w:rsidRPr="00447B2C">
              <w:rPr>
                <w:sz w:val="26"/>
                <w:szCs w:val="26"/>
              </w:rPr>
              <w:t>Baker Tilly Virchow Krause, LLP</w:t>
            </w:r>
          </w:p>
          <w:p w14:paraId="558B3FC8" w14:textId="77777777" w:rsidR="00F33367" w:rsidRPr="00447B2C" w:rsidRDefault="00F33367" w:rsidP="00EE4B1E">
            <w:pPr>
              <w:pStyle w:val="NoSpacing"/>
              <w:numPr>
                <w:ilvl w:val="0"/>
                <w:numId w:val="14"/>
              </w:numPr>
              <w:rPr>
                <w:sz w:val="26"/>
                <w:szCs w:val="26"/>
              </w:rPr>
            </w:pPr>
            <w:r w:rsidRPr="00447B2C">
              <w:rPr>
                <w:sz w:val="26"/>
                <w:szCs w:val="26"/>
              </w:rPr>
              <w:t>The Boston Consulting Group, Inc.</w:t>
            </w:r>
          </w:p>
          <w:p w14:paraId="5A1AC29B" w14:textId="77777777" w:rsidR="00F33367" w:rsidRPr="00447B2C" w:rsidRDefault="00F33367" w:rsidP="00EE4B1E">
            <w:pPr>
              <w:pStyle w:val="NoSpacing"/>
              <w:numPr>
                <w:ilvl w:val="0"/>
                <w:numId w:val="14"/>
              </w:numPr>
              <w:rPr>
                <w:sz w:val="26"/>
                <w:szCs w:val="26"/>
              </w:rPr>
            </w:pPr>
            <w:r w:rsidRPr="00447B2C">
              <w:rPr>
                <w:sz w:val="26"/>
                <w:szCs w:val="26"/>
              </w:rPr>
              <w:t>Ernst &amp; Young LLP</w:t>
            </w:r>
          </w:p>
          <w:p w14:paraId="4FA8A42D" w14:textId="77777777" w:rsidR="00F33367" w:rsidRPr="00447B2C" w:rsidRDefault="00F33367" w:rsidP="00EE4B1E">
            <w:pPr>
              <w:pStyle w:val="NoSpacing"/>
              <w:numPr>
                <w:ilvl w:val="0"/>
                <w:numId w:val="14"/>
              </w:numPr>
              <w:rPr>
                <w:sz w:val="26"/>
                <w:szCs w:val="26"/>
              </w:rPr>
            </w:pPr>
            <w:r w:rsidRPr="00447B2C">
              <w:rPr>
                <w:sz w:val="26"/>
                <w:szCs w:val="26"/>
              </w:rPr>
              <w:t>Huron Consulting Services LLC</w:t>
            </w:r>
          </w:p>
          <w:p w14:paraId="13AF3375" w14:textId="77777777" w:rsidR="00F33367" w:rsidRPr="00447B2C" w:rsidRDefault="00F33367" w:rsidP="00EE4B1E">
            <w:pPr>
              <w:pStyle w:val="NoSpacing"/>
              <w:numPr>
                <w:ilvl w:val="0"/>
                <w:numId w:val="14"/>
              </w:numPr>
              <w:rPr>
                <w:sz w:val="26"/>
                <w:szCs w:val="26"/>
              </w:rPr>
            </w:pPr>
            <w:r w:rsidRPr="00447B2C">
              <w:rPr>
                <w:sz w:val="26"/>
                <w:szCs w:val="26"/>
              </w:rPr>
              <w:t>McKinsey &amp; Company, Inc.</w:t>
            </w:r>
          </w:p>
          <w:p w14:paraId="4355D291" w14:textId="77777777" w:rsidR="00F33367" w:rsidRPr="00447B2C" w:rsidRDefault="00F33367" w:rsidP="00EE4B1E">
            <w:pPr>
              <w:pStyle w:val="NoSpacing"/>
              <w:rPr>
                <w:sz w:val="26"/>
                <w:szCs w:val="26"/>
              </w:rPr>
            </w:pPr>
          </w:p>
          <w:p w14:paraId="4E7BCDF5" w14:textId="582A8168" w:rsidR="00F33367" w:rsidRPr="00447B2C" w:rsidRDefault="00F33367" w:rsidP="00EE4B1E">
            <w:pPr>
              <w:pStyle w:val="NoSpacing"/>
              <w:rPr>
                <w:sz w:val="26"/>
                <w:szCs w:val="26"/>
              </w:rPr>
            </w:pPr>
            <w:r w:rsidRPr="0048277E">
              <w:rPr>
                <w:sz w:val="26"/>
                <w:szCs w:val="26"/>
              </w:rPr>
              <w:t>In June of 2021, the University renewed the five awards under solicitation 1JWS1805. The first renewal term was from 7/1/2021 through 6/30/2024. The costs of this renewal were estimated at $16 Million. On May 23, 2024, the University exercised the last renewal of the five awards under solicitation 1JWS1805. The second renewal term is from 7/01/2024 through 6/30/2027.</w:t>
            </w:r>
          </w:p>
          <w:p w14:paraId="7E98FC34" w14:textId="03F59F83" w:rsidR="00F33367" w:rsidRPr="00447B2C" w:rsidRDefault="00F33367" w:rsidP="00EE4B1E">
            <w:pPr>
              <w:pStyle w:val="NoSpacing"/>
              <w:rPr>
                <w:sz w:val="26"/>
                <w:szCs w:val="26"/>
              </w:rPr>
            </w:pPr>
            <w:r w:rsidRPr="00447B2C">
              <w:rPr>
                <w:sz w:val="26"/>
                <w:szCs w:val="26"/>
              </w:rPr>
              <w:t xml:space="preserve">A task order specific to the BEAD and DE project was sent to the five awardees. Two (2) awardees responded.  McKinsey and Company, Inc. responded to both Task #1 and Task #2 in the task order. Boston Consulting </w:t>
            </w:r>
            <w:r w:rsidRPr="00447B2C">
              <w:rPr>
                <w:sz w:val="26"/>
                <w:szCs w:val="26"/>
              </w:rPr>
              <w:lastRenderedPageBreak/>
              <w:t xml:space="preserve">Group responded to Task #2 only. </w:t>
            </w:r>
            <w:r>
              <w:rPr>
                <w:sz w:val="26"/>
                <w:szCs w:val="26"/>
              </w:rPr>
              <w:t>The</w:t>
            </w:r>
            <w:r w:rsidRPr="00447B2C">
              <w:rPr>
                <w:sz w:val="26"/>
                <w:szCs w:val="26"/>
              </w:rPr>
              <w:t xml:space="preserve"> University </w:t>
            </w:r>
            <w:r>
              <w:rPr>
                <w:sz w:val="26"/>
                <w:szCs w:val="26"/>
              </w:rPr>
              <w:t xml:space="preserve">needs to add an additional $1M for the work </w:t>
            </w:r>
            <w:r w:rsidRPr="00447B2C">
              <w:rPr>
                <w:sz w:val="26"/>
                <w:szCs w:val="26"/>
              </w:rPr>
              <w:t xml:space="preserve">McKinsey and Company, Inc. </w:t>
            </w:r>
            <w:r>
              <w:rPr>
                <w:sz w:val="26"/>
                <w:szCs w:val="26"/>
              </w:rPr>
              <w:t>is doing for Task #1</w:t>
            </w:r>
            <w:r w:rsidRPr="00447B2C">
              <w:rPr>
                <w:sz w:val="26"/>
                <w:szCs w:val="26"/>
              </w:rPr>
              <w:t>.</w:t>
            </w:r>
            <w:r>
              <w:rPr>
                <w:sz w:val="26"/>
                <w:szCs w:val="26"/>
              </w:rPr>
              <w:t xml:space="preserve"> </w:t>
            </w:r>
          </w:p>
          <w:p w14:paraId="4E104CAD" w14:textId="77777777" w:rsidR="00F33367" w:rsidRPr="00447B2C" w:rsidRDefault="00F33367" w:rsidP="00EE4B1E">
            <w:pPr>
              <w:pStyle w:val="NoSpacing"/>
              <w:rPr>
                <w:sz w:val="26"/>
                <w:szCs w:val="26"/>
              </w:rPr>
            </w:pPr>
            <w:r w:rsidRPr="00447B2C">
              <w:rPr>
                <w:sz w:val="26"/>
                <w:szCs w:val="26"/>
              </w:rPr>
              <w:t xml:space="preserve">Through the Illinois Broadband Lab collaboration, the Board of Trustees of the University of Illinois (University) and its Illinois Innovation Network (IIN) assists the Illinois Office of Broadband, housed within the Illinois Department of Commerce and Economic Opportunity (DCEO), with implementation and administration of the Connect Illinois Broadband Grant Program and related programming. The collaborative work leverages funding and programs established through the American Rescue Plan Act or Infrastructure Investment and Jobs Act. </w:t>
            </w:r>
          </w:p>
          <w:p w14:paraId="625A775D" w14:textId="77777777" w:rsidR="00F33367" w:rsidRPr="00447B2C" w:rsidRDefault="00F33367" w:rsidP="00EE4B1E">
            <w:pPr>
              <w:pStyle w:val="NoSpacing"/>
              <w:rPr>
                <w:sz w:val="26"/>
                <w:szCs w:val="26"/>
              </w:rPr>
            </w:pPr>
          </w:p>
          <w:p w14:paraId="43A227EA" w14:textId="77777777" w:rsidR="00F33367" w:rsidRPr="00447B2C" w:rsidRDefault="00F33367" w:rsidP="00EE4B1E">
            <w:pPr>
              <w:pStyle w:val="NoSpacing"/>
              <w:rPr>
                <w:sz w:val="26"/>
                <w:szCs w:val="26"/>
              </w:rPr>
            </w:pPr>
            <w:r w:rsidRPr="00447B2C">
              <w:rPr>
                <w:sz w:val="26"/>
                <w:szCs w:val="26"/>
              </w:rPr>
              <w:t>This federally funded programming and work include but is not limited to, provisions included in the Infrastructure Investment and Jobs Act, which dedicates $42.5 billion to broadband network expansion and $2.75 billion to establish three digital equity grant programs. Together, these programs promote broadband deployment and digital equity to ensure that all individuals and communities have the skills, technology, and capacity needed to reap the benefits of a 21st digital economy.</w:t>
            </w:r>
          </w:p>
          <w:p w14:paraId="3EE222E2" w14:textId="77777777" w:rsidR="00F33367" w:rsidRPr="00447B2C" w:rsidRDefault="00F33367" w:rsidP="00EE4B1E">
            <w:pPr>
              <w:pStyle w:val="NoSpacing"/>
              <w:rPr>
                <w:sz w:val="26"/>
                <w:szCs w:val="26"/>
              </w:rPr>
            </w:pPr>
          </w:p>
          <w:p w14:paraId="04612101" w14:textId="00F507A9" w:rsidR="00F33367" w:rsidRPr="00447B2C" w:rsidRDefault="00F33367" w:rsidP="00EE4B1E">
            <w:pPr>
              <w:pStyle w:val="NoSpacing"/>
              <w:rPr>
                <w:sz w:val="26"/>
                <w:szCs w:val="26"/>
              </w:rPr>
            </w:pPr>
            <w:r w:rsidRPr="00447B2C">
              <w:rPr>
                <w:sz w:val="26"/>
                <w:szCs w:val="26"/>
              </w:rPr>
              <w:t xml:space="preserve">Funding specific to this project </w:t>
            </w:r>
            <w:r>
              <w:rPr>
                <w:sz w:val="26"/>
                <w:szCs w:val="26"/>
              </w:rPr>
              <w:t>is</w:t>
            </w:r>
            <w:r w:rsidRPr="00447B2C">
              <w:rPr>
                <w:sz w:val="26"/>
                <w:szCs w:val="26"/>
              </w:rPr>
              <w:t xml:space="preserve"> be appropriated through the National Telecommunications &amp; Information Administration (part of U.S. Department of Commerce) that will be granted to the Illinois Department of Commerce and Economic Opportunity (IL DCEO). IL DCEO will then relay the funding to the U of I System.</w:t>
            </w:r>
          </w:p>
          <w:p w14:paraId="42F4790C" w14:textId="77777777" w:rsidR="00F052D8" w:rsidRDefault="00F052D8" w:rsidP="00EE4B1E">
            <w:pPr>
              <w:spacing w:after="0"/>
              <w:rPr>
                <w:szCs w:val="26"/>
              </w:rPr>
            </w:pPr>
          </w:p>
          <w:p w14:paraId="70C34DE2" w14:textId="33477A45" w:rsidR="00F33367" w:rsidRPr="00D7330E" w:rsidRDefault="00F33367" w:rsidP="00EE4B1E">
            <w:pPr>
              <w:spacing w:after="0"/>
              <w:rPr>
                <w:szCs w:val="26"/>
              </w:rPr>
            </w:pPr>
            <w:r w:rsidRPr="00D7330E">
              <w:rPr>
                <w:b/>
                <w:bCs/>
                <w:szCs w:val="26"/>
              </w:rPr>
              <w:t>Business Enterprise Program (BEP)</w:t>
            </w:r>
            <w:r w:rsidRPr="00F33367">
              <w:rPr>
                <w:szCs w:val="26"/>
              </w:rPr>
              <w:t xml:space="preserve"> </w:t>
            </w:r>
            <w:r w:rsidRPr="00447B2C">
              <w:rPr>
                <w:szCs w:val="26"/>
              </w:rPr>
              <w:t>A 25% aspirational BEP goal was established for this procurement.</w:t>
            </w:r>
            <w:r w:rsidR="007142B1">
              <w:rPr>
                <w:szCs w:val="26"/>
              </w:rPr>
              <w:t xml:space="preserve"> </w:t>
            </w:r>
            <w:r w:rsidRPr="00447B2C">
              <w:rPr>
                <w:szCs w:val="26"/>
              </w:rPr>
              <w:t>McKinsey</w:t>
            </w:r>
            <w:r>
              <w:rPr>
                <w:szCs w:val="26"/>
              </w:rPr>
              <w:t xml:space="preserve"> </w:t>
            </w:r>
            <w:r w:rsidRPr="00447B2C">
              <w:rPr>
                <w:szCs w:val="26"/>
              </w:rPr>
              <w:t>&amp; Company, Inc. will use Columbia Telecommunications Corporation dba CTC Technology &amp; for an estimated 12% of the services.</w:t>
            </w:r>
          </w:p>
        </w:tc>
      </w:tr>
      <w:tr w:rsidR="00F052D8" w:rsidRPr="00D7330E" w14:paraId="69BB627E" w14:textId="77777777" w:rsidTr="00B94181">
        <w:trPr>
          <w:trHeight w:val="333"/>
        </w:trPr>
        <w:tc>
          <w:tcPr>
            <w:tcW w:w="342" w:type="dxa"/>
          </w:tcPr>
          <w:p w14:paraId="51C0FF68" w14:textId="77777777" w:rsidR="00F052D8" w:rsidRPr="00D7330E" w:rsidRDefault="00F052D8" w:rsidP="00F052D8">
            <w:pPr>
              <w:pStyle w:val="NoSpacing"/>
              <w:jc w:val="both"/>
              <w:rPr>
                <w:sz w:val="26"/>
                <w:szCs w:val="26"/>
              </w:rPr>
            </w:pPr>
          </w:p>
        </w:tc>
        <w:tc>
          <w:tcPr>
            <w:tcW w:w="990" w:type="dxa"/>
            <w:gridSpan w:val="2"/>
            <w:shd w:val="clear" w:color="auto" w:fill="auto"/>
          </w:tcPr>
          <w:p w14:paraId="741312C4" w14:textId="77777777" w:rsidR="00F052D8" w:rsidRPr="00D7330E" w:rsidRDefault="00F052D8" w:rsidP="00F052D8">
            <w:pPr>
              <w:pStyle w:val="NoSpacing"/>
              <w:jc w:val="both"/>
              <w:rPr>
                <w:sz w:val="26"/>
                <w:szCs w:val="26"/>
              </w:rPr>
            </w:pPr>
          </w:p>
        </w:tc>
        <w:tc>
          <w:tcPr>
            <w:tcW w:w="8118" w:type="dxa"/>
            <w:gridSpan w:val="2"/>
            <w:shd w:val="clear" w:color="auto" w:fill="auto"/>
          </w:tcPr>
          <w:p w14:paraId="1AC3EF2D" w14:textId="77777777" w:rsidR="003C7B60" w:rsidRPr="00D7330E" w:rsidRDefault="003C7B60" w:rsidP="00F052D8">
            <w:pPr>
              <w:spacing w:after="0"/>
              <w:jc w:val="both"/>
              <w:rPr>
                <w:szCs w:val="26"/>
              </w:rPr>
            </w:pPr>
          </w:p>
        </w:tc>
      </w:tr>
      <w:tr w:rsidR="003C7B60" w:rsidRPr="00D7330E" w14:paraId="61C33591" w14:textId="77777777" w:rsidTr="00B42F1A">
        <w:trPr>
          <w:trHeight w:val="120"/>
        </w:trPr>
        <w:tc>
          <w:tcPr>
            <w:tcW w:w="9450" w:type="dxa"/>
            <w:gridSpan w:val="5"/>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3C7B60" w:rsidRPr="00D7330E" w14:paraId="5802545B" w14:textId="77777777" w:rsidTr="00B42F1A">
              <w:trPr>
                <w:trHeight w:val="114"/>
              </w:trPr>
              <w:tc>
                <w:tcPr>
                  <w:tcW w:w="9454" w:type="dxa"/>
                  <w:tcBorders>
                    <w:top w:val="single" w:sz="18" w:space="0" w:color="auto"/>
                    <w:bottom w:val="single" w:sz="18" w:space="0" w:color="auto"/>
                  </w:tcBorders>
                </w:tcPr>
                <w:p w14:paraId="724EE70A" w14:textId="77777777" w:rsidR="003C7B60" w:rsidRPr="00D7330E" w:rsidRDefault="003C7B60" w:rsidP="00B42F1A">
                  <w:pPr>
                    <w:tabs>
                      <w:tab w:val="left" w:pos="-720"/>
                      <w:tab w:val="center" w:pos="4684"/>
                      <w:tab w:val="left" w:pos="9090"/>
                    </w:tabs>
                    <w:suppressAutoHyphens/>
                    <w:overflowPunct w:val="0"/>
                    <w:autoSpaceDE w:val="0"/>
                    <w:autoSpaceDN w:val="0"/>
                    <w:adjustRightInd w:val="0"/>
                    <w:spacing w:after="0" w:line="240" w:lineRule="auto"/>
                    <w:textAlignment w:val="baseline"/>
                    <w:rPr>
                      <w:rFonts w:eastAsia="Times New Roman"/>
                      <w:b/>
                      <w:szCs w:val="26"/>
                    </w:rPr>
                  </w:pPr>
                  <w:r>
                    <w:rPr>
                      <w:rFonts w:eastAsia="Times New Roman"/>
                      <w:b/>
                      <w:szCs w:val="26"/>
                    </w:rPr>
                    <w:tab/>
                  </w:r>
                  <w:r w:rsidRPr="00D7330E">
                    <w:rPr>
                      <w:rFonts w:eastAsia="Times New Roman"/>
                      <w:b/>
                      <w:szCs w:val="26"/>
                    </w:rPr>
                    <w:t xml:space="preserve">University of Illinois </w:t>
                  </w:r>
                  <w:r>
                    <w:rPr>
                      <w:rFonts w:eastAsia="Times New Roman"/>
                      <w:b/>
                      <w:szCs w:val="26"/>
                    </w:rPr>
                    <w:t>Springfield</w:t>
                  </w:r>
                </w:p>
              </w:tc>
            </w:tr>
          </w:tbl>
          <w:p w14:paraId="6C6B0C49" w14:textId="77777777" w:rsidR="003C7B60" w:rsidRPr="00D7330E" w:rsidRDefault="003C7B60" w:rsidP="00B42F1A">
            <w:pPr>
              <w:pStyle w:val="NoSpacing"/>
              <w:rPr>
                <w:spacing w:val="-3"/>
                <w:sz w:val="26"/>
                <w:szCs w:val="26"/>
              </w:rPr>
            </w:pPr>
          </w:p>
        </w:tc>
      </w:tr>
      <w:tr w:rsidR="008E1FC9" w:rsidRPr="00D7330E" w14:paraId="753958E9" w14:textId="77777777" w:rsidTr="00B94181">
        <w:trPr>
          <w:trHeight w:val="333"/>
        </w:trPr>
        <w:tc>
          <w:tcPr>
            <w:tcW w:w="342" w:type="dxa"/>
            <w:tcBorders>
              <w:bottom w:val="double" w:sz="4" w:space="0" w:color="auto"/>
            </w:tcBorders>
          </w:tcPr>
          <w:p w14:paraId="702FBEB8" w14:textId="581753AB" w:rsidR="008E1FC9" w:rsidRPr="00D7330E" w:rsidRDefault="00772082" w:rsidP="008E1FC9">
            <w:pPr>
              <w:pStyle w:val="NoSpacing"/>
              <w:jc w:val="both"/>
              <w:rPr>
                <w:sz w:val="26"/>
                <w:szCs w:val="26"/>
              </w:rPr>
            </w:pPr>
            <w:r>
              <w:rPr>
                <w:sz w:val="26"/>
                <w:szCs w:val="26"/>
              </w:rPr>
              <w:t>2</w:t>
            </w:r>
          </w:p>
        </w:tc>
        <w:tc>
          <w:tcPr>
            <w:tcW w:w="990" w:type="dxa"/>
            <w:gridSpan w:val="2"/>
            <w:tcBorders>
              <w:bottom w:val="double" w:sz="4" w:space="0" w:color="auto"/>
            </w:tcBorders>
            <w:shd w:val="clear" w:color="auto" w:fill="auto"/>
          </w:tcPr>
          <w:p w14:paraId="72B49EAA" w14:textId="1B983C50" w:rsidR="008E1FC9" w:rsidRPr="00D7330E" w:rsidRDefault="008E1FC9" w:rsidP="008E1FC9">
            <w:pPr>
              <w:pStyle w:val="NoSpacing"/>
              <w:jc w:val="both"/>
              <w:rPr>
                <w:sz w:val="26"/>
                <w:szCs w:val="26"/>
              </w:rPr>
            </w:pPr>
            <w:r w:rsidRPr="00D7330E">
              <w:rPr>
                <w:sz w:val="26"/>
                <w:szCs w:val="26"/>
              </w:rPr>
              <w:t>Unit</w:t>
            </w:r>
          </w:p>
        </w:tc>
        <w:tc>
          <w:tcPr>
            <w:tcW w:w="8118" w:type="dxa"/>
            <w:gridSpan w:val="2"/>
            <w:tcBorders>
              <w:bottom w:val="double" w:sz="4" w:space="0" w:color="auto"/>
            </w:tcBorders>
            <w:shd w:val="clear" w:color="auto" w:fill="auto"/>
          </w:tcPr>
          <w:p w14:paraId="1637C97C" w14:textId="2D21BAAF" w:rsidR="008E1FC9" w:rsidRPr="00D7330E" w:rsidRDefault="008E1FC9" w:rsidP="008E1FC9">
            <w:pPr>
              <w:spacing w:after="0"/>
              <w:jc w:val="both"/>
              <w:rPr>
                <w:szCs w:val="26"/>
              </w:rPr>
            </w:pPr>
            <w:r w:rsidRPr="00D7330E">
              <w:rPr>
                <w:spacing w:val="-3"/>
                <w:szCs w:val="26"/>
              </w:rPr>
              <w:t>UI</w:t>
            </w:r>
            <w:r>
              <w:rPr>
                <w:spacing w:val="-3"/>
                <w:szCs w:val="26"/>
              </w:rPr>
              <w:t>S College of Business and Management</w:t>
            </w:r>
          </w:p>
        </w:tc>
      </w:tr>
      <w:tr w:rsidR="008E1FC9" w:rsidRPr="00D7330E" w14:paraId="01AB1587" w14:textId="77777777" w:rsidTr="00B94181">
        <w:trPr>
          <w:trHeight w:val="510"/>
        </w:trPr>
        <w:tc>
          <w:tcPr>
            <w:tcW w:w="342" w:type="dxa"/>
            <w:tcBorders>
              <w:top w:val="double" w:sz="4" w:space="0" w:color="auto"/>
            </w:tcBorders>
          </w:tcPr>
          <w:p w14:paraId="321A36F7" w14:textId="77777777" w:rsidR="008E1FC9" w:rsidRPr="00D7330E" w:rsidRDefault="008E1FC9" w:rsidP="008E1FC9">
            <w:pPr>
              <w:pStyle w:val="NoSpacing"/>
              <w:rPr>
                <w:sz w:val="26"/>
                <w:szCs w:val="26"/>
              </w:rPr>
            </w:pPr>
          </w:p>
        </w:tc>
        <w:tc>
          <w:tcPr>
            <w:tcW w:w="990" w:type="dxa"/>
            <w:gridSpan w:val="2"/>
            <w:tcBorders>
              <w:top w:val="double" w:sz="4" w:space="0" w:color="auto"/>
            </w:tcBorders>
            <w:shd w:val="clear" w:color="auto" w:fill="auto"/>
          </w:tcPr>
          <w:p w14:paraId="1AA2A11E" w14:textId="77777777" w:rsidR="008E1FC9" w:rsidRPr="00D7330E" w:rsidRDefault="008E1FC9" w:rsidP="008E1FC9">
            <w:pPr>
              <w:pStyle w:val="NoSpacing"/>
              <w:rPr>
                <w:sz w:val="26"/>
                <w:szCs w:val="26"/>
              </w:rPr>
            </w:pPr>
          </w:p>
          <w:p w14:paraId="32BB7C3F" w14:textId="6C0BCAA5" w:rsidR="008E1FC9" w:rsidRPr="00D7330E" w:rsidRDefault="008E1FC9" w:rsidP="008E1FC9">
            <w:pPr>
              <w:pStyle w:val="NoSpacing"/>
              <w:rPr>
                <w:sz w:val="26"/>
                <w:szCs w:val="26"/>
              </w:rPr>
            </w:pPr>
            <w:r w:rsidRPr="00D7330E">
              <w:rPr>
                <w:sz w:val="26"/>
                <w:szCs w:val="26"/>
              </w:rPr>
              <w:t>Item</w:t>
            </w:r>
          </w:p>
        </w:tc>
        <w:tc>
          <w:tcPr>
            <w:tcW w:w="8118" w:type="dxa"/>
            <w:gridSpan w:val="2"/>
            <w:tcBorders>
              <w:top w:val="double" w:sz="4" w:space="0" w:color="auto"/>
            </w:tcBorders>
            <w:shd w:val="clear" w:color="auto" w:fill="auto"/>
            <w:vAlign w:val="center"/>
          </w:tcPr>
          <w:p w14:paraId="3172DB01" w14:textId="77777777" w:rsidR="008E1FC9" w:rsidRPr="00D7330E" w:rsidRDefault="008E1FC9" w:rsidP="008E1FC9">
            <w:pPr>
              <w:pStyle w:val="NoSpacing"/>
              <w:rPr>
                <w:sz w:val="26"/>
                <w:szCs w:val="26"/>
              </w:rPr>
            </w:pPr>
          </w:p>
          <w:p w14:paraId="5D9A408C" w14:textId="2D273CC5" w:rsidR="008E1FC9" w:rsidRPr="00D7330E" w:rsidRDefault="008E1FC9" w:rsidP="008E1FC9">
            <w:pPr>
              <w:pStyle w:val="NoSpacing"/>
              <w:rPr>
                <w:sz w:val="26"/>
                <w:szCs w:val="26"/>
              </w:rPr>
            </w:pPr>
            <w:r>
              <w:rPr>
                <w:sz w:val="26"/>
                <w:szCs w:val="26"/>
              </w:rPr>
              <w:t>Online Learning Management Support</w:t>
            </w:r>
          </w:p>
        </w:tc>
      </w:tr>
      <w:tr w:rsidR="008E1FC9" w:rsidRPr="00D7330E" w14:paraId="796AD199" w14:textId="77777777" w:rsidTr="00B94181">
        <w:trPr>
          <w:trHeight w:val="150"/>
        </w:trPr>
        <w:tc>
          <w:tcPr>
            <w:tcW w:w="342" w:type="dxa"/>
          </w:tcPr>
          <w:p w14:paraId="568FF330" w14:textId="77777777" w:rsidR="008E1FC9" w:rsidRPr="00D7330E" w:rsidRDefault="008E1FC9" w:rsidP="008E1FC9">
            <w:pPr>
              <w:pStyle w:val="NoSpacing"/>
              <w:rPr>
                <w:sz w:val="26"/>
                <w:szCs w:val="26"/>
              </w:rPr>
            </w:pPr>
          </w:p>
        </w:tc>
        <w:tc>
          <w:tcPr>
            <w:tcW w:w="990" w:type="dxa"/>
            <w:gridSpan w:val="2"/>
            <w:shd w:val="clear" w:color="auto" w:fill="auto"/>
          </w:tcPr>
          <w:p w14:paraId="50127206" w14:textId="77777777" w:rsidR="008E1FC9" w:rsidRPr="00D7330E" w:rsidRDefault="008E1FC9" w:rsidP="008E1FC9">
            <w:pPr>
              <w:pStyle w:val="NoSpacing"/>
              <w:rPr>
                <w:sz w:val="26"/>
                <w:szCs w:val="26"/>
              </w:rPr>
            </w:pPr>
          </w:p>
          <w:p w14:paraId="6B716F1F" w14:textId="6EAD2A2B" w:rsidR="008E1FC9" w:rsidRPr="00D7330E" w:rsidRDefault="008E1FC9" w:rsidP="008E1FC9">
            <w:pPr>
              <w:pStyle w:val="NoSpacing"/>
              <w:rPr>
                <w:sz w:val="26"/>
                <w:szCs w:val="26"/>
              </w:rPr>
            </w:pPr>
            <w:r w:rsidRPr="00D7330E">
              <w:rPr>
                <w:sz w:val="26"/>
                <w:szCs w:val="26"/>
              </w:rPr>
              <w:t>Cost</w:t>
            </w:r>
          </w:p>
        </w:tc>
        <w:tc>
          <w:tcPr>
            <w:tcW w:w="8118" w:type="dxa"/>
            <w:gridSpan w:val="2"/>
            <w:shd w:val="clear" w:color="auto" w:fill="auto"/>
          </w:tcPr>
          <w:p w14:paraId="42671ED7" w14:textId="77777777" w:rsidR="008E1FC9" w:rsidRDefault="008E1FC9" w:rsidP="008E1FC9">
            <w:pPr>
              <w:tabs>
                <w:tab w:val="left" w:pos="-720"/>
                <w:tab w:val="left" w:pos="0"/>
                <w:tab w:val="left" w:pos="720"/>
                <w:tab w:val="left" w:pos="1080"/>
                <w:tab w:val="left" w:pos="1440"/>
              </w:tabs>
              <w:suppressAutoHyphens/>
              <w:spacing w:after="0" w:line="240" w:lineRule="auto"/>
              <w:jc w:val="both"/>
              <w:rPr>
                <w:szCs w:val="26"/>
              </w:rPr>
            </w:pPr>
          </w:p>
          <w:p w14:paraId="79C0EDAC" w14:textId="07F0A152" w:rsidR="008E1FC9" w:rsidRPr="00D7330E" w:rsidRDefault="008E1FC9" w:rsidP="008E1FC9">
            <w:pPr>
              <w:tabs>
                <w:tab w:val="left" w:pos="-720"/>
                <w:tab w:val="left" w:pos="0"/>
                <w:tab w:val="left" w:pos="720"/>
                <w:tab w:val="left" w:pos="1080"/>
                <w:tab w:val="left" w:pos="1440"/>
              </w:tabs>
              <w:suppressAutoHyphens/>
              <w:jc w:val="both"/>
              <w:rPr>
                <w:szCs w:val="26"/>
              </w:rPr>
            </w:pPr>
            <w:r w:rsidRPr="00D7330E">
              <w:rPr>
                <w:spacing w:val="-3"/>
                <w:szCs w:val="26"/>
              </w:rPr>
              <w:t>$</w:t>
            </w:r>
            <w:r>
              <w:rPr>
                <w:spacing w:val="-3"/>
                <w:szCs w:val="26"/>
              </w:rPr>
              <w:t>8,000,000</w:t>
            </w:r>
            <w:r w:rsidRPr="00D7330E">
              <w:rPr>
                <w:spacing w:val="-3"/>
                <w:szCs w:val="26"/>
              </w:rPr>
              <w:t xml:space="preserve"> (estimated)</w:t>
            </w:r>
          </w:p>
        </w:tc>
      </w:tr>
      <w:tr w:rsidR="008E1FC9" w:rsidRPr="00D7330E" w14:paraId="76B3DC5C" w14:textId="77777777" w:rsidTr="00B94181">
        <w:trPr>
          <w:trHeight w:val="150"/>
        </w:trPr>
        <w:tc>
          <w:tcPr>
            <w:tcW w:w="342" w:type="dxa"/>
          </w:tcPr>
          <w:p w14:paraId="22094E1C" w14:textId="77777777" w:rsidR="008E1FC9" w:rsidRPr="00D7330E" w:rsidRDefault="008E1FC9" w:rsidP="008E1FC9">
            <w:pPr>
              <w:pStyle w:val="NoSpacing"/>
              <w:rPr>
                <w:sz w:val="26"/>
                <w:szCs w:val="26"/>
              </w:rPr>
            </w:pPr>
          </w:p>
        </w:tc>
        <w:tc>
          <w:tcPr>
            <w:tcW w:w="990" w:type="dxa"/>
            <w:gridSpan w:val="2"/>
            <w:shd w:val="clear" w:color="auto" w:fill="auto"/>
          </w:tcPr>
          <w:p w14:paraId="5A06501A" w14:textId="5417752C" w:rsidR="008E1FC9" w:rsidRPr="00D7330E" w:rsidRDefault="008E1FC9" w:rsidP="008E1FC9">
            <w:pPr>
              <w:pStyle w:val="NoSpacing"/>
              <w:rPr>
                <w:sz w:val="26"/>
                <w:szCs w:val="26"/>
              </w:rPr>
            </w:pPr>
            <w:r w:rsidRPr="00D7330E">
              <w:rPr>
                <w:sz w:val="26"/>
                <w:szCs w:val="26"/>
              </w:rPr>
              <w:t>Vendor</w:t>
            </w:r>
          </w:p>
        </w:tc>
        <w:tc>
          <w:tcPr>
            <w:tcW w:w="8118" w:type="dxa"/>
            <w:gridSpan w:val="2"/>
            <w:shd w:val="clear" w:color="auto" w:fill="auto"/>
          </w:tcPr>
          <w:p w14:paraId="28F44698" w14:textId="77777777" w:rsidR="008E1FC9" w:rsidRPr="00D7330E" w:rsidRDefault="008E1FC9" w:rsidP="008E1FC9">
            <w:pPr>
              <w:spacing w:after="0" w:line="240" w:lineRule="auto"/>
              <w:jc w:val="both"/>
              <w:rPr>
                <w:szCs w:val="26"/>
              </w:rPr>
            </w:pPr>
            <w:proofErr w:type="spellStart"/>
            <w:r>
              <w:rPr>
                <w:bCs/>
                <w:szCs w:val="26"/>
              </w:rPr>
              <w:t>Risepoint</w:t>
            </w:r>
            <w:proofErr w:type="spellEnd"/>
            <w:r>
              <w:rPr>
                <w:bCs/>
                <w:szCs w:val="26"/>
              </w:rPr>
              <w:t xml:space="preserve">, formerly Academic Partnerships  </w:t>
            </w:r>
            <w:r w:rsidRPr="00D7330E">
              <w:rPr>
                <w:bCs/>
                <w:szCs w:val="26"/>
              </w:rPr>
              <w:t xml:space="preserve">       </w:t>
            </w:r>
            <w:r>
              <w:rPr>
                <w:bCs/>
                <w:szCs w:val="26"/>
              </w:rPr>
              <w:t xml:space="preserve">           </w:t>
            </w:r>
            <w:r w:rsidRPr="007412C4">
              <w:rPr>
                <w:bCs/>
                <w:szCs w:val="26"/>
              </w:rPr>
              <w:t>Dallas, Texas</w:t>
            </w:r>
            <w:r w:rsidRPr="00D7330E">
              <w:rPr>
                <w:bCs/>
                <w:szCs w:val="26"/>
              </w:rPr>
              <w:t xml:space="preserve">          </w:t>
            </w:r>
          </w:p>
          <w:p w14:paraId="3F3BDDAC" w14:textId="77777777" w:rsidR="008E1FC9" w:rsidRPr="00D7330E" w:rsidRDefault="008E1FC9" w:rsidP="008E1FC9">
            <w:pPr>
              <w:spacing w:after="0"/>
              <w:rPr>
                <w:szCs w:val="26"/>
              </w:rPr>
            </w:pPr>
          </w:p>
        </w:tc>
      </w:tr>
      <w:tr w:rsidR="003C7B60" w:rsidRPr="00D7330E" w14:paraId="25A50CAA" w14:textId="77777777" w:rsidTr="00B94181">
        <w:trPr>
          <w:trHeight w:val="150"/>
        </w:trPr>
        <w:tc>
          <w:tcPr>
            <w:tcW w:w="342" w:type="dxa"/>
          </w:tcPr>
          <w:p w14:paraId="7B8DEF62" w14:textId="77777777" w:rsidR="003C7B60" w:rsidRPr="00D7330E" w:rsidRDefault="003C7B60" w:rsidP="003C7B60">
            <w:pPr>
              <w:pStyle w:val="NoSpacing"/>
              <w:rPr>
                <w:sz w:val="26"/>
                <w:szCs w:val="26"/>
              </w:rPr>
            </w:pPr>
          </w:p>
        </w:tc>
        <w:tc>
          <w:tcPr>
            <w:tcW w:w="990" w:type="dxa"/>
            <w:gridSpan w:val="2"/>
            <w:shd w:val="clear" w:color="auto" w:fill="auto"/>
          </w:tcPr>
          <w:p w14:paraId="0F256E21" w14:textId="77777777" w:rsidR="003C7B60" w:rsidRPr="00D7330E" w:rsidRDefault="003C7B60" w:rsidP="003C7B60">
            <w:pPr>
              <w:pStyle w:val="NoSpacing"/>
              <w:rPr>
                <w:sz w:val="26"/>
                <w:szCs w:val="26"/>
              </w:rPr>
            </w:pPr>
          </w:p>
        </w:tc>
        <w:tc>
          <w:tcPr>
            <w:tcW w:w="8118" w:type="dxa"/>
            <w:gridSpan w:val="2"/>
            <w:shd w:val="clear" w:color="auto" w:fill="auto"/>
          </w:tcPr>
          <w:p w14:paraId="581CFA76" w14:textId="19ECEA17" w:rsidR="003C7B60" w:rsidRDefault="003C7B60" w:rsidP="003C7B60">
            <w:pPr>
              <w:pStyle w:val="NoSpacing"/>
              <w:rPr>
                <w:sz w:val="26"/>
                <w:szCs w:val="26"/>
              </w:rPr>
            </w:pPr>
            <w:r>
              <w:rPr>
                <w:sz w:val="26"/>
                <w:szCs w:val="26"/>
              </w:rPr>
              <w:t xml:space="preserve">Academic Partnerships (now </w:t>
            </w:r>
            <w:proofErr w:type="spellStart"/>
            <w:r>
              <w:rPr>
                <w:sz w:val="26"/>
                <w:szCs w:val="26"/>
              </w:rPr>
              <w:t>Risepoint</w:t>
            </w:r>
            <w:proofErr w:type="spellEnd"/>
            <w:r>
              <w:rPr>
                <w:sz w:val="26"/>
                <w:szCs w:val="26"/>
              </w:rPr>
              <w:t xml:space="preserve">) was awarded </w:t>
            </w:r>
            <w:proofErr w:type="gramStart"/>
            <w:r>
              <w:rPr>
                <w:sz w:val="26"/>
                <w:szCs w:val="26"/>
              </w:rPr>
              <w:t>a</w:t>
            </w:r>
            <w:proofErr w:type="gramEnd"/>
            <w:r>
              <w:rPr>
                <w:sz w:val="26"/>
                <w:szCs w:val="26"/>
              </w:rPr>
              <w:t xml:space="preserve"> RFP for Online Learning Support, JM1521. AP provides the research, development and launch of programs and student support to graduation for UIS students.</w:t>
            </w:r>
          </w:p>
          <w:p w14:paraId="6AC16BF0" w14:textId="77777777" w:rsidR="003C7B60" w:rsidRDefault="003C7B60" w:rsidP="003C7B60">
            <w:pPr>
              <w:pStyle w:val="NoSpacing"/>
              <w:rPr>
                <w:sz w:val="26"/>
                <w:szCs w:val="26"/>
              </w:rPr>
            </w:pPr>
          </w:p>
          <w:p w14:paraId="1956C5AF" w14:textId="7DBB48A0" w:rsidR="003C7B60" w:rsidRDefault="003C7B60" w:rsidP="003C7B60">
            <w:pPr>
              <w:pStyle w:val="NoSpacing"/>
              <w:rPr>
                <w:sz w:val="26"/>
                <w:szCs w:val="26"/>
              </w:rPr>
            </w:pPr>
            <w:r>
              <w:rPr>
                <w:sz w:val="26"/>
                <w:szCs w:val="26"/>
              </w:rPr>
              <w:lastRenderedPageBreak/>
              <w:t>AP will provide market research to identify high-demand online programs and will then market and promote these online programs to be provided by UIS programs for students. AP will work with UIS to launch the programs and support the faculty through the development of the programs.</w:t>
            </w:r>
          </w:p>
          <w:p w14:paraId="30EA88D7" w14:textId="14DE1A9D" w:rsidR="003C7B60" w:rsidRDefault="003C7B60" w:rsidP="003C7B60">
            <w:pPr>
              <w:pStyle w:val="NoSpacing"/>
              <w:rPr>
                <w:sz w:val="26"/>
                <w:szCs w:val="26"/>
              </w:rPr>
            </w:pPr>
            <w:r>
              <w:rPr>
                <w:sz w:val="26"/>
                <w:szCs w:val="26"/>
              </w:rPr>
              <w:t>AP provide staffing and equipping of a call center which calls students for recruitment for the developed programs. In addition to recruiting, through consultation with the UIS Admissions Office, AP will inform applicants of the UIS application requirements, provide program deadlines, assist through the application/registration process. AP also provides student support services throughout the process through graduation.</w:t>
            </w:r>
          </w:p>
          <w:p w14:paraId="309077C6" w14:textId="77777777" w:rsidR="003C7B60" w:rsidRDefault="003C7B60" w:rsidP="003C7B60">
            <w:pPr>
              <w:pStyle w:val="NoSpacing"/>
              <w:rPr>
                <w:sz w:val="26"/>
                <w:szCs w:val="26"/>
              </w:rPr>
            </w:pPr>
          </w:p>
          <w:p w14:paraId="314FAE56" w14:textId="27AFAF83" w:rsidR="003C7B60" w:rsidRDefault="003C7B60" w:rsidP="003C7B60">
            <w:pPr>
              <w:pStyle w:val="NoSpacing"/>
              <w:rPr>
                <w:sz w:val="26"/>
                <w:szCs w:val="26"/>
              </w:rPr>
            </w:pPr>
            <w:r>
              <w:rPr>
                <w:sz w:val="26"/>
                <w:szCs w:val="26"/>
              </w:rPr>
              <w:t xml:space="preserve">UIS has added several MBA and MIS programs as well as graduate certificate programs to the listing for students </w:t>
            </w:r>
            <w:proofErr w:type="gramStart"/>
            <w:r>
              <w:rPr>
                <w:sz w:val="26"/>
                <w:szCs w:val="26"/>
              </w:rPr>
              <w:t>as a result of</w:t>
            </w:r>
            <w:proofErr w:type="gramEnd"/>
            <w:r>
              <w:rPr>
                <w:sz w:val="26"/>
                <w:szCs w:val="26"/>
              </w:rPr>
              <w:t xml:space="preserve"> this contract which began January 22, 2021. With the addition of the programs, and their popularity, the compensation to the vendor has increased with the continuation of students advancing through the programs.</w:t>
            </w:r>
          </w:p>
          <w:p w14:paraId="58DFF70D" w14:textId="77777777" w:rsidR="003C7B60" w:rsidRDefault="003C7B60" w:rsidP="003C7B60">
            <w:pPr>
              <w:pStyle w:val="NoSpacing"/>
              <w:rPr>
                <w:sz w:val="26"/>
                <w:szCs w:val="26"/>
              </w:rPr>
            </w:pPr>
          </w:p>
          <w:p w14:paraId="23159773" w14:textId="58AAF941" w:rsidR="003C7B60" w:rsidRDefault="003C7B60" w:rsidP="003C7B60">
            <w:pPr>
              <w:pStyle w:val="NoSpacing"/>
              <w:rPr>
                <w:sz w:val="26"/>
                <w:szCs w:val="26"/>
              </w:rPr>
            </w:pPr>
            <w:r>
              <w:rPr>
                <w:sz w:val="26"/>
                <w:szCs w:val="26"/>
              </w:rPr>
              <w:t>Term of contract: January 22, 2021</w:t>
            </w:r>
            <w:r w:rsidR="00CC52BB">
              <w:rPr>
                <w:sz w:val="26"/>
                <w:szCs w:val="26"/>
              </w:rPr>
              <w:t>,</w:t>
            </w:r>
            <w:r>
              <w:rPr>
                <w:sz w:val="26"/>
                <w:szCs w:val="26"/>
              </w:rPr>
              <w:t xml:space="preserve"> through June 30, 2026</w:t>
            </w:r>
            <w:r w:rsidR="00CC52BB">
              <w:rPr>
                <w:sz w:val="26"/>
                <w:szCs w:val="26"/>
              </w:rPr>
              <w:t>,</w:t>
            </w:r>
            <w:r>
              <w:rPr>
                <w:sz w:val="26"/>
                <w:szCs w:val="26"/>
              </w:rPr>
              <w:t xml:space="preserve"> with the option to renew for a five-year term.</w:t>
            </w:r>
          </w:p>
          <w:p w14:paraId="0E5FD592" w14:textId="77777777" w:rsidR="003C7B60" w:rsidRPr="00D7330E" w:rsidRDefault="003C7B60" w:rsidP="003C7B60">
            <w:pPr>
              <w:spacing w:after="0" w:line="240" w:lineRule="auto"/>
              <w:rPr>
                <w:szCs w:val="26"/>
                <w:lang w:bidi="en-US"/>
              </w:rPr>
            </w:pPr>
          </w:p>
          <w:p w14:paraId="29FE8E47" w14:textId="0D90FDC3" w:rsidR="003C7B60" w:rsidRPr="00D7330E" w:rsidRDefault="003C7B60" w:rsidP="003C7B60">
            <w:pPr>
              <w:spacing w:after="0"/>
              <w:rPr>
                <w:szCs w:val="26"/>
              </w:rPr>
            </w:pPr>
            <w:r w:rsidRPr="00D7330E">
              <w:rPr>
                <w:rFonts w:eastAsia="Times New Roman"/>
                <w:b/>
                <w:color w:val="000000"/>
                <w:szCs w:val="26"/>
              </w:rPr>
              <w:t xml:space="preserve">Business Enterprise Program (BEP) </w:t>
            </w:r>
            <w:r>
              <w:rPr>
                <w:szCs w:val="26"/>
              </w:rPr>
              <w:t>goals are not established as there are no other sources able to meet the need.</w:t>
            </w:r>
          </w:p>
        </w:tc>
      </w:tr>
      <w:tr w:rsidR="008E1FC9" w:rsidRPr="00D7330E" w14:paraId="7BA86DBE" w14:textId="77777777" w:rsidTr="001C1494">
        <w:trPr>
          <w:trHeight w:val="432"/>
        </w:trPr>
        <w:tc>
          <w:tcPr>
            <w:tcW w:w="360" w:type="dxa"/>
            <w:gridSpan w:val="2"/>
            <w:tcBorders>
              <w:bottom w:val="single" w:sz="18" w:space="0" w:color="auto"/>
            </w:tcBorders>
          </w:tcPr>
          <w:p w14:paraId="797A53CD" w14:textId="77777777" w:rsidR="008E1FC9" w:rsidRPr="00D7330E" w:rsidRDefault="008E1FC9" w:rsidP="008E1FC9">
            <w:pPr>
              <w:pStyle w:val="NoSpacing"/>
              <w:rPr>
                <w:sz w:val="26"/>
                <w:szCs w:val="26"/>
              </w:rPr>
            </w:pPr>
          </w:p>
        </w:tc>
        <w:tc>
          <w:tcPr>
            <w:tcW w:w="990" w:type="dxa"/>
            <w:gridSpan w:val="2"/>
            <w:tcBorders>
              <w:bottom w:val="single" w:sz="18" w:space="0" w:color="auto"/>
            </w:tcBorders>
          </w:tcPr>
          <w:p w14:paraId="64EDE2E5" w14:textId="77777777" w:rsidR="008E1FC9" w:rsidRPr="00D7330E" w:rsidRDefault="008E1FC9" w:rsidP="008E1FC9">
            <w:pPr>
              <w:pStyle w:val="NoSpacing"/>
              <w:rPr>
                <w:sz w:val="26"/>
                <w:szCs w:val="26"/>
              </w:rPr>
            </w:pPr>
          </w:p>
        </w:tc>
        <w:tc>
          <w:tcPr>
            <w:tcW w:w="8100" w:type="dxa"/>
            <w:tcBorders>
              <w:bottom w:val="single" w:sz="18" w:space="0" w:color="auto"/>
            </w:tcBorders>
          </w:tcPr>
          <w:p w14:paraId="15265C1C" w14:textId="77777777" w:rsidR="008E1FC9" w:rsidRPr="00D7330E" w:rsidRDefault="008E1FC9" w:rsidP="008E1FC9">
            <w:pPr>
              <w:tabs>
                <w:tab w:val="left" w:pos="-720"/>
                <w:tab w:val="left" w:pos="9090"/>
              </w:tabs>
              <w:suppressAutoHyphens/>
              <w:overflowPunct w:val="0"/>
              <w:autoSpaceDE w:val="0"/>
              <w:autoSpaceDN w:val="0"/>
              <w:adjustRightInd w:val="0"/>
              <w:spacing w:after="0" w:line="240" w:lineRule="auto"/>
              <w:textAlignment w:val="baseline"/>
              <w:rPr>
                <w:szCs w:val="26"/>
              </w:rPr>
            </w:pPr>
          </w:p>
        </w:tc>
      </w:tr>
    </w:tbl>
    <w:p w14:paraId="4A063824" w14:textId="448C7F9F" w:rsidR="0076023D" w:rsidRPr="00B94181" w:rsidRDefault="0076023D" w:rsidP="00B94181">
      <w:pPr>
        <w:spacing w:after="0" w:line="240" w:lineRule="auto"/>
        <w:rPr>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93"/>
        <w:gridCol w:w="1902"/>
      </w:tblGrid>
      <w:tr w:rsidR="00A53454" w:rsidRPr="00D7330E" w14:paraId="35D8E633" w14:textId="77777777" w:rsidTr="00520C04">
        <w:trPr>
          <w:trHeight w:val="394"/>
        </w:trPr>
        <w:tc>
          <w:tcPr>
            <w:tcW w:w="7595" w:type="dxa"/>
            <w:gridSpan w:val="2"/>
          </w:tcPr>
          <w:p w14:paraId="22DDE64D" w14:textId="198D4AFC" w:rsidR="00A53454" w:rsidRPr="00D7330E" w:rsidRDefault="00A53454" w:rsidP="00A53454">
            <w:pPr>
              <w:overflowPunct w:val="0"/>
              <w:autoSpaceDE w:val="0"/>
              <w:autoSpaceDN w:val="0"/>
              <w:adjustRightInd w:val="0"/>
              <w:spacing w:after="0" w:line="240" w:lineRule="auto"/>
              <w:jc w:val="center"/>
              <w:textAlignment w:val="baseline"/>
              <w:rPr>
                <w:rFonts w:eastAsia="Times New Roman"/>
                <w:szCs w:val="26"/>
                <w:highlight w:val="yellow"/>
              </w:rPr>
            </w:pPr>
            <w:r w:rsidRPr="00D7330E">
              <w:rPr>
                <w:rFonts w:eastAsia="Times New Roman"/>
                <w:b/>
                <w:szCs w:val="26"/>
              </w:rPr>
              <w:t xml:space="preserve">SUMMARY OF </w:t>
            </w:r>
            <w:r w:rsidR="001C1494">
              <w:rPr>
                <w:rFonts w:eastAsia="Times New Roman"/>
                <w:b/>
                <w:szCs w:val="26"/>
              </w:rPr>
              <w:t>CHANGE ORDERS</w:t>
            </w:r>
          </w:p>
        </w:tc>
      </w:tr>
      <w:tr w:rsidR="00A53454" w:rsidRPr="00D7330E" w14:paraId="15952539" w14:textId="77777777" w:rsidTr="00A05784">
        <w:trPr>
          <w:trHeight w:val="394"/>
        </w:trPr>
        <w:tc>
          <w:tcPr>
            <w:tcW w:w="5693" w:type="dxa"/>
          </w:tcPr>
          <w:p w14:paraId="04CC1882" w14:textId="1E3797CA" w:rsidR="00A53454" w:rsidRPr="00D7330E" w:rsidRDefault="00A53454" w:rsidP="00A53454">
            <w:pPr>
              <w:overflowPunct w:val="0"/>
              <w:autoSpaceDE w:val="0"/>
              <w:autoSpaceDN w:val="0"/>
              <w:adjustRightInd w:val="0"/>
              <w:spacing w:after="0" w:line="240" w:lineRule="auto"/>
              <w:textAlignment w:val="baseline"/>
              <w:rPr>
                <w:rFonts w:eastAsia="Times New Roman"/>
                <w:szCs w:val="26"/>
              </w:rPr>
            </w:pPr>
            <w:r w:rsidRPr="00D7330E">
              <w:rPr>
                <w:rFonts w:eastAsia="Times New Roman"/>
                <w:bCs/>
                <w:szCs w:val="26"/>
              </w:rPr>
              <w:t>University of Illinois</w:t>
            </w:r>
            <w:r w:rsidR="001C1494">
              <w:rPr>
                <w:rFonts w:eastAsia="Times New Roman"/>
                <w:bCs/>
                <w:szCs w:val="26"/>
              </w:rPr>
              <w:t xml:space="preserve"> System Office</w:t>
            </w:r>
          </w:p>
        </w:tc>
        <w:tc>
          <w:tcPr>
            <w:tcW w:w="1902" w:type="dxa"/>
            <w:shd w:val="clear" w:color="auto" w:fill="auto"/>
          </w:tcPr>
          <w:p w14:paraId="24D4DFA9" w14:textId="1BCDB1BF" w:rsidR="00A53454" w:rsidRPr="00D7330E" w:rsidRDefault="00A53454" w:rsidP="00A53454">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 xml:space="preserve">$ </w:t>
            </w:r>
            <w:r w:rsidR="001C1494">
              <w:rPr>
                <w:rFonts w:eastAsia="Times New Roman"/>
                <w:szCs w:val="26"/>
              </w:rPr>
              <w:t>1,000,000</w:t>
            </w:r>
          </w:p>
        </w:tc>
      </w:tr>
      <w:tr w:rsidR="002F2D48" w:rsidRPr="00D7330E" w14:paraId="2083E0F6" w14:textId="77777777" w:rsidTr="00A05784">
        <w:trPr>
          <w:trHeight w:val="394"/>
        </w:trPr>
        <w:tc>
          <w:tcPr>
            <w:tcW w:w="5693" w:type="dxa"/>
          </w:tcPr>
          <w:p w14:paraId="354A678D" w14:textId="4DA52246" w:rsidR="002F2D48" w:rsidRPr="00D7330E" w:rsidRDefault="002F2D48" w:rsidP="00540E6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szCs w:val="26"/>
              </w:rPr>
              <w:t xml:space="preserve">University of Illinois </w:t>
            </w:r>
            <w:r w:rsidR="00850DCF">
              <w:rPr>
                <w:rFonts w:eastAsia="Times New Roman"/>
                <w:szCs w:val="26"/>
              </w:rPr>
              <w:t>Springfield</w:t>
            </w:r>
          </w:p>
        </w:tc>
        <w:tc>
          <w:tcPr>
            <w:tcW w:w="1902" w:type="dxa"/>
            <w:shd w:val="clear" w:color="auto" w:fill="auto"/>
          </w:tcPr>
          <w:p w14:paraId="027368B0" w14:textId="3511F6F5" w:rsidR="002F2D48" w:rsidRPr="00D7330E" w:rsidRDefault="0097228A" w:rsidP="00A53454">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w:t>
            </w:r>
            <w:r w:rsidR="00D743A9" w:rsidRPr="00D7330E">
              <w:rPr>
                <w:rFonts w:eastAsia="Times New Roman"/>
                <w:szCs w:val="26"/>
              </w:rPr>
              <w:t xml:space="preserve"> </w:t>
            </w:r>
            <w:r w:rsidR="00850DCF">
              <w:rPr>
                <w:rFonts w:eastAsia="Times New Roman"/>
                <w:szCs w:val="26"/>
              </w:rPr>
              <w:t>8,000,000</w:t>
            </w:r>
            <w:r w:rsidRPr="00D7330E">
              <w:rPr>
                <w:rFonts w:eastAsia="Times New Roman"/>
                <w:szCs w:val="26"/>
              </w:rPr>
              <w:t xml:space="preserve"> </w:t>
            </w:r>
          </w:p>
        </w:tc>
      </w:tr>
      <w:tr w:rsidR="00540E60" w:rsidRPr="00D7330E" w14:paraId="777789C8" w14:textId="77777777" w:rsidTr="00A05784">
        <w:trPr>
          <w:trHeight w:val="394"/>
        </w:trPr>
        <w:tc>
          <w:tcPr>
            <w:tcW w:w="5693" w:type="dxa"/>
          </w:tcPr>
          <w:p w14:paraId="577EC4B0" w14:textId="77777777" w:rsidR="00540E60" w:rsidRPr="00D7330E" w:rsidRDefault="00540E60" w:rsidP="00540E6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color w:val="000000"/>
                <w:szCs w:val="26"/>
              </w:rPr>
              <w:t>Recommended from Institutional Funds</w:t>
            </w:r>
          </w:p>
          <w:p w14:paraId="72CC3A56" w14:textId="354C73D9" w:rsidR="00540E60" w:rsidRPr="00D7330E" w:rsidRDefault="00540E60" w:rsidP="00540E60">
            <w:pPr>
              <w:overflowPunct w:val="0"/>
              <w:autoSpaceDE w:val="0"/>
              <w:autoSpaceDN w:val="0"/>
              <w:adjustRightInd w:val="0"/>
              <w:spacing w:after="0" w:line="240" w:lineRule="auto"/>
              <w:textAlignment w:val="baseline"/>
              <w:rPr>
                <w:rFonts w:eastAsia="Times New Roman"/>
                <w:bCs/>
                <w:szCs w:val="26"/>
              </w:rPr>
            </w:pPr>
            <w:r w:rsidRPr="00D7330E">
              <w:rPr>
                <w:rFonts w:eastAsia="Times New Roman"/>
                <w:color w:val="000000"/>
                <w:szCs w:val="26"/>
              </w:rPr>
              <w:t>Grand Total</w:t>
            </w:r>
          </w:p>
        </w:tc>
        <w:tc>
          <w:tcPr>
            <w:tcW w:w="1902" w:type="dxa"/>
            <w:shd w:val="clear" w:color="auto" w:fill="auto"/>
          </w:tcPr>
          <w:p w14:paraId="1FE6E1F7" w14:textId="663EC1BC" w:rsidR="00540E60" w:rsidRPr="00D7330E" w:rsidRDefault="00F3539B" w:rsidP="00A53454">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w:t>
            </w:r>
            <w:r w:rsidR="00D0692B" w:rsidRPr="00D7330E">
              <w:rPr>
                <w:rFonts w:eastAsia="Times New Roman"/>
                <w:szCs w:val="26"/>
              </w:rPr>
              <w:t xml:space="preserve"> </w:t>
            </w:r>
            <w:r w:rsidR="00850DCF">
              <w:rPr>
                <w:rFonts w:eastAsia="Times New Roman"/>
                <w:szCs w:val="26"/>
              </w:rPr>
              <w:t>9,000,000</w:t>
            </w:r>
          </w:p>
        </w:tc>
      </w:tr>
    </w:tbl>
    <w:p w14:paraId="15036B6A" w14:textId="3F3C87CA"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103238C3" w14:textId="71B84549"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4547076B" w14:textId="77777777"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3A472772" w14:textId="77777777" w:rsidR="00AC1317" w:rsidRPr="00353536" w:rsidRDefault="00AC1317" w:rsidP="00B37520">
      <w:pPr>
        <w:pStyle w:val="NoSpacing"/>
        <w:rPr>
          <w:sz w:val="26"/>
          <w:szCs w:val="26"/>
        </w:rPr>
      </w:pPr>
    </w:p>
    <w:sectPr w:rsidR="00AC1317" w:rsidRPr="00353536" w:rsidSect="003D0357">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C5E5A" w14:textId="77777777" w:rsidR="00CE734E" w:rsidRDefault="00CE734E" w:rsidP="00A817DF">
      <w:pPr>
        <w:spacing w:after="0" w:line="240" w:lineRule="auto"/>
      </w:pPr>
      <w:r>
        <w:separator/>
      </w:r>
    </w:p>
  </w:endnote>
  <w:endnote w:type="continuationSeparator" w:id="0">
    <w:p w14:paraId="4FCE2723" w14:textId="77777777" w:rsidR="00CE734E" w:rsidRDefault="00CE734E"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03E3E" w14:textId="77777777" w:rsidR="00CE734E" w:rsidRDefault="00CE734E" w:rsidP="00A817DF">
      <w:pPr>
        <w:spacing w:after="0" w:line="240" w:lineRule="auto"/>
      </w:pPr>
      <w:r>
        <w:separator/>
      </w:r>
    </w:p>
  </w:footnote>
  <w:footnote w:type="continuationSeparator" w:id="0">
    <w:p w14:paraId="3D8C6AA0" w14:textId="77777777" w:rsidR="00CE734E" w:rsidRDefault="00CE734E"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F6F3" w14:textId="77777777" w:rsidR="00A817DF" w:rsidRDefault="00A817DF">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DA3"/>
    <w:multiLevelType w:val="hybridMultilevel"/>
    <w:tmpl w:val="5B0A09FA"/>
    <w:lvl w:ilvl="0" w:tplc="F530B88A">
      <w:numFmt w:val="bullet"/>
      <w:lvlText w:val=""/>
      <w:lvlJc w:val="left"/>
      <w:pPr>
        <w:ind w:left="770" w:hanging="360"/>
      </w:pPr>
      <w:rPr>
        <w:rFonts w:ascii="Symbol" w:eastAsia="Symbol" w:hAnsi="Symbol" w:cs="Symbol" w:hint="default"/>
        <w:b w:val="0"/>
        <w:bCs w:val="0"/>
        <w:i w:val="0"/>
        <w:iCs w:val="0"/>
        <w:spacing w:val="0"/>
        <w:w w:val="100"/>
        <w:sz w:val="24"/>
        <w:szCs w:val="24"/>
        <w:lang w:val="en-US" w:eastAsia="en-US" w:bidi="ar-SA"/>
      </w:rPr>
    </w:lvl>
    <w:lvl w:ilvl="1" w:tplc="06D0B582">
      <w:numFmt w:val="bullet"/>
      <w:lvlText w:val="•"/>
      <w:lvlJc w:val="left"/>
      <w:pPr>
        <w:ind w:left="1526" w:hanging="360"/>
      </w:pPr>
      <w:rPr>
        <w:rFonts w:hint="default"/>
        <w:lang w:val="en-US" w:eastAsia="en-US" w:bidi="ar-SA"/>
      </w:rPr>
    </w:lvl>
    <w:lvl w:ilvl="2" w:tplc="F1AE6832">
      <w:numFmt w:val="bullet"/>
      <w:lvlText w:val="•"/>
      <w:lvlJc w:val="left"/>
      <w:pPr>
        <w:ind w:left="2272" w:hanging="360"/>
      </w:pPr>
      <w:rPr>
        <w:rFonts w:hint="default"/>
        <w:lang w:val="en-US" w:eastAsia="en-US" w:bidi="ar-SA"/>
      </w:rPr>
    </w:lvl>
    <w:lvl w:ilvl="3" w:tplc="BFE2D3C6">
      <w:numFmt w:val="bullet"/>
      <w:lvlText w:val="•"/>
      <w:lvlJc w:val="left"/>
      <w:pPr>
        <w:ind w:left="3018" w:hanging="360"/>
      </w:pPr>
      <w:rPr>
        <w:rFonts w:hint="default"/>
        <w:lang w:val="en-US" w:eastAsia="en-US" w:bidi="ar-SA"/>
      </w:rPr>
    </w:lvl>
    <w:lvl w:ilvl="4" w:tplc="FF3C5DF0">
      <w:numFmt w:val="bullet"/>
      <w:lvlText w:val="•"/>
      <w:lvlJc w:val="left"/>
      <w:pPr>
        <w:ind w:left="3764" w:hanging="360"/>
      </w:pPr>
      <w:rPr>
        <w:rFonts w:hint="default"/>
        <w:lang w:val="en-US" w:eastAsia="en-US" w:bidi="ar-SA"/>
      </w:rPr>
    </w:lvl>
    <w:lvl w:ilvl="5" w:tplc="1DDE3EB4">
      <w:numFmt w:val="bullet"/>
      <w:lvlText w:val="•"/>
      <w:lvlJc w:val="left"/>
      <w:pPr>
        <w:ind w:left="4511" w:hanging="360"/>
      </w:pPr>
      <w:rPr>
        <w:rFonts w:hint="default"/>
        <w:lang w:val="en-US" w:eastAsia="en-US" w:bidi="ar-SA"/>
      </w:rPr>
    </w:lvl>
    <w:lvl w:ilvl="6" w:tplc="D3BEB1EC">
      <w:numFmt w:val="bullet"/>
      <w:lvlText w:val="•"/>
      <w:lvlJc w:val="left"/>
      <w:pPr>
        <w:ind w:left="5257" w:hanging="360"/>
      </w:pPr>
      <w:rPr>
        <w:rFonts w:hint="default"/>
        <w:lang w:val="en-US" w:eastAsia="en-US" w:bidi="ar-SA"/>
      </w:rPr>
    </w:lvl>
    <w:lvl w:ilvl="7" w:tplc="4044C530">
      <w:numFmt w:val="bullet"/>
      <w:lvlText w:val="•"/>
      <w:lvlJc w:val="left"/>
      <w:pPr>
        <w:ind w:left="6003" w:hanging="360"/>
      </w:pPr>
      <w:rPr>
        <w:rFonts w:hint="default"/>
        <w:lang w:val="en-US" w:eastAsia="en-US" w:bidi="ar-SA"/>
      </w:rPr>
    </w:lvl>
    <w:lvl w:ilvl="8" w:tplc="63AC3B16">
      <w:numFmt w:val="bullet"/>
      <w:lvlText w:val="•"/>
      <w:lvlJc w:val="left"/>
      <w:pPr>
        <w:ind w:left="6749" w:hanging="360"/>
      </w:pPr>
      <w:rPr>
        <w:rFonts w:hint="default"/>
        <w:lang w:val="en-US" w:eastAsia="en-US" w:bidi="ar-SA"/>
      </w:rPr>
    </w:lvl>
  </w:abstractNum>
  <w:abstractNum w:abstractNumId="1"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76FAF"/>
    <w:multiLevelType w:val="hybridMultilevel"/>
    <w:tmpl w:val="7D0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93821"/>
    <w:multiLevelType w:val="hybridMultilevel"/>
    <w:tmpl w:val="3850DAD4"/>
    <w:lvl w:ilvl="0" w:tplc="7BE435A4">
      <w:numFmt w:val="bullet"/>
      <w:lvlText w:val=""/>
      <w:lvlJc w:val="left"/>
      <w:pPr>
        <w:ind w:left="2622" w:hanging="360"/>
      </w:pPr>
      <w:rPr>
        <w:rFonts w:ascii="Symbol" w:eastAsia="Symbol" w:hAnsi="Symbol" w:cs="Symbol" w:hint="default"/>
        <w:b w:val="0"/>
        <w:bCs w:val="0"/>
        <w:i w:val="0"/>
        <w:iCs w:val="0"/>
        <w:spacing w:val="0"/>
        <w:w w:val="100"/>
        <w:sz w:val="24"/>
        <w:szCs w:val="24"/>
        <w:lang w:val="en-US" w:eastAsia="en-US" w:bidi="ar-SA"/>
      </w:rPr>
    </w:lvl>
    <w:lvl w:ilvl="1" w:tplc="2200D9A6">
      <w:numFmt w:val="bullet"/>
      <w:lvlText w:val="•"/>
      <w:lvlJc w:val="left"/>
      <w:pPr>
        <w:ind w:left="3390" w:hanging="360"/>
      </w:pPr>
      <w:rPr>
        <w:rFonts w:hint="default"/>
        <w:lang w:val="en-US" w:eastAsia="en-US" w:bidi="ar-SA"/>
      </w:rPr>
    </w:lvl>
    <w:lvl w:ilvl="2" w:tplc="70AE4D4E">
      <w:numFmt w:val="bullet"/>
      <w:lvlText w:val="•"/>
      <w:lvlJc w:val="left"/>
      <w:pPr>
        <w:ind w:left="4160" w:hanging="360"/>
      </w:pPr>
      <w:rPr>
        <w:rFonts w:hint="default"/>
        <w:lang w:val="en-US" w:eastAsia="en-US" w:bidi="ar-SA"/>
      </w:rPr>
    </w:lvl>
    <w:lvl w:ilvl="3" w:tplc="0D12E77E">
      <w:numFmt w:val="bullet"/>
      <w:lvlText w:val="•"/>
      <w:lvlJc w:val="left"/>
      <w:pPr>
        <w:ind w:left="4930" w:hanging="360"/>
      </w:pPr>
      <w:rPr>
        <w:rFonts w:hint="default"/>
        <w:lang w:val="en-US" w:eastAsia="en-US" w:bidi="ar-SA"/>
      </w:rPr>
    </w:lvl>
    <w:lvl w:ilvl="4" w:tplc="7FC0662A">
      <w:numFmt w:val="bullet"/>
      <w:lvlText w:val="•"/>
      <w:lvlJc w:val="left"/>
      <w:pPr>
        <w:ind w:left="5700" w:hanging="360"/>
      </w:pPr>
      <w:rPr>
        <w:rFonts w:hint="default"/>
        <w:lang w:val="en-US" w:eastAsia="en-US" w:bidi="ar-SA"/>
      </w:rPr>
    </w:lvl>
    <w:lvl w:ilvl="5" w:tplc="BB6ED988">
      <w:numFmt w:val="bullet"/>
      <w:lvlText w:val="•"/>
      <w:lvlJc w:val="left"/>
      <w:pPr>
        <w:ind w:left="6470" w:hanging="360"/>
      </w:pPr>
      <w:rPr>
        <w:rFonts w:hint="default"/>
        <w:lang w:val="en-US" w:eastAsia="en-US" w:bidi="ar-SA"/>
      </w:rPr>
    </w:lvl>
    <w:lvl w:ilvl="6" w:tplc="E96428B2">
      <w:numFmt w:val="bullet"/>
      <w:lvlText w:val="•"/>
      <w:lvlJc w:val="left"/>
      <w:pPr>
        <w:ind w:left="7240" w:hanging="360"/>
      </w:pPr>
      <w:rPr>
        <w:rFonts w:hint="default"/>
        <w:lang w:val="en-US" w:eastAsia="en-US" w:bidi="ar-SA"/>
      </w:rPr>
    </w:lvl>
    <w:lvl w:ilvl="7" w:tplc="C108EF0A">
      <w:numFmt w:val="bullet"/>
      <w:lvlText w:val="•"/>
      <w:lvlJc w:val="left"/>
      <w:pPr>
        <w:ind w:left="8010" w:hanging="360"/>
      </w:pPr>
      <w:rPr>
        <w:rFonts w:hint="default"/>
        <w:lang w:val="en-US" w:eastAsia="en-US" w:bidi="ar-SA"/>
      </w:rPr>
    </w:lvl>
    <w:lvl w:ilvl="8" w:tplc="13923E18">
      <w:numFmt w:val="bullet"/>
      <w:lvlText w:val="•"/>
      <w:lvlJc w:val="left"/>
      <w:pPr>
        <w:ind w:left="8780" w:hanging="360"/>
      </w:pPr>
      <w:rPr>
        <w:rFonts w:hint="default"/>
        <w:lang w:val="en-US" w:eastAsia="en-US" w:bidi="ar-SA"/>
      </w:rPr>
    </w:lvl>
  </w:abstractNum>
  <w:abstractNum w:abstractNumId="10"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F3C54"/>
    <w:multiLevelType w:val="hybridMultilevel"/>
    <w:tmpl w:val="5D2E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12"/>
  </w:num>
  <w:num w:numId="2" w16cid:durableId="70201751">
    <w:abstractNumId w:val="14"/>
  </w:num>
  <w:num w:numId="3" w16cid:durableId="1048265266">
    <w:abstractNumId w:val="13"/>
  </w:num>
  <w:num w:numId="4" w16cid:durableId="1585650123">
    <w:abstractNumId w:val="3"/>
  </w:num>
  <w:num w:numId="5" w16cid:durableId="838888282">
    <w:abstractNumId w:val="1"/>
  </w:num>
  <w:num w:numId="6" w16cid:durableId="1045367517">
    <w:abstractNumId w:val="8"/>
  </w:num>
  <w:num w:numId="7" w16cid:durableId="897666194">
    <w:abstractNumId w:val="11"/>
  </w:num>
  <w:num w:numId="8" w16cid:durableId="2017615362">
    <w:abstractNumId w:val="15"/>
  </w:num>
  <w:num w:numId="9" w16cid:durableId="826671625">
    <w:abstractNumId w:val="10"/>
  </w:num>
  <w:num w:numId="10" w16cid:durableId="1128474828">
    <w:abstractNumId w:val="5"/>
  </w:num>
  <w:num w:numId="11" w16cid:durableId="402604075">
    <w:abstractNumId w:val="2"/>
  </w:num>
  <w:num w:numId="12" w16cid:durableId="2074963495">
    <w:abstractNumId w:val="6"/>
  </w:num>
  <w:num w:numId="13" w16cid:durableId="987980008">
    <w:abstractNumId w:val="7"/>
  </w:num>
  <w:num w:numId="14" w16cid:durableId="1276791993">
    <w:abstractNumId w:val="16"/>
  </w:num>
  <w:num w:numId="15" w16cid:durableId="2070229302">
    <w:abstractNumId w:val="4"/>
  </w:num>
  <w:num w:numId="16" w16cid:durableId="1960799502">
    <w:abstractNumId w:val="17"/>
  </w:num>
  <w:num w:numId="17" w16cid:durableId="1029793834">
    <w:abstractNumId w:val="0"/>
  </w:num>
  <w:num w:numId="18" w16cid:durableId="188757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45"/>
    <w:rsid w:val="000031A9"/>
    <w:rsid w:val="00004D4E"/>
    <w:rsid w:val="00010EA7"/>
    <w:rsid w:val="00012052"/>
    <w:rsid w:val="000143EE"/>
    <w:rsid w:val="00015DC9"/>
    <w:rsid w:val="00040E89"/>
    <w:rsid w:val="00044FA0"/>
    <w:rsid w:val="00045674"/>
    <w:rsid w:val="00050736"/>
    <w:rsid w:val="000623F4"/>
    <w:rsid w:val="000628A6"/>
    <w:rsid w:val="000671B9"/>
    <w:rsid w:val="000707D0"/>
    <w:rsid w:val="000715A9"/>
    <w:rsid w:val="00075885"/>
    <w:rsid w:val="00080C61"/>
    <w:rsid w:val="00081004"/>
    <w:rsid w:val="00081788"/>
    <w:rsid w:val="00081B16"/>
    <w:rsid w:val="00082A35"/>
    <w:rsid w:val="000833FC"/>
    <w:rsid w:val="00085CAE"/>
    <w:rsid w:val="00086CBF"/>
    <w:rsid w:val="00090A46"/>
    <w:rsid w:val="00091912"/>
    <w:rsid w:val="00091CFA"/>
    <w:rsid w:val="0009228A"/>
    <w:rsid w:val="00094741"/>
    <w:rsid w:val="0009781F"/>
    <w:rsid w:val="000A0032"/>
    <w:rsid w:val="000A16D9"/>
    <w:rsid w:val="000B04AB"/>
    <w:rsid w:val="000B3155"/>
    <w:rsid w:val="000B3742"/>
    <w:rsid w:val="000B5B85"/>
    <w:rsid w:val="000B69D6"/>
    <w:rsid w:val="000C2912"/>
    <w:rsid w:val="000C6006"/>
    <w:rsid w:val="000D35D5"/>
    <w:rsid w:val="000D5BC3"/>
    <w:rsid w:val="000D6281"/>
    <w:rsid w:val="000E15C9"/>
    <w:rsid w:val="000E51D1"/>
    <w:rsid w:val="000F53D3"/>
    <w:rsid w:val="000F72ED"/>
    <w:rsid w:val="00112E2B"/>
    <w:rsid w:val="00114F6C"/>
    <w:rsid w:val="00124B96"/>
    <w:rsid w:val="00125422"/>
    <w:rsid w:val="00130E3F"/>
    <w:rsid w:val="00141D9C"/>
    <w:rsid w:val="00151197"/>
    <w:rsid w:val="00152827"/>
    <w:rsid w:val="00153685"/>
    <w:rsid w:val="001610D8"/>
    <w:rsid w:val="00162A4C"/>
    <w:rsid w:val="00165B0B"/>
    <w:rsid w:val="00172D76"/>
    <w:rsid w:val="001730D7"/>
    <w:rsid w:val="00182841"/>
    <w:rsid w:val="00184765"/>
    <w:rsid w:val="00196069"/>
    <w:rsid w:val="001A0B41"/>
    <w:rsid w:val="001A31BF"/>
    <w:rsid w:val="001A33EE"/>
    <w:rsid w:val="001A4080"/>
    <w:rsid w:val="001A5F67"/>
    <w:rsid w:val="001B2AC1"/>
    <w:rsid w:val="001B4A24"/>
    <w:rsid w:val="001B4AC0"/>
    <w:rsid w:val="001B4D8B"/>
    <w:rsid w:val="001B58A7"/>
    <w:rsid w:val="001B762B"/>
    <w:rsid w:val="001C1494"/>
    <w:rsid w:val="001D3AA7"/>
    <w:rsid w:val="001D78B4"/>
    <w:rsid w:val="001E6078"/>
    <w:rsid w:val="001F257D"/>
    <w:rsid w:val="001F3416"/>
    <w:rsid w:val="001F3C70"/>
    <w:rsid w:val="001F55E7"/>
    <w:rsid w:val="001F5883"/>
    <w:rsid w:val="001F7A96"/>
    <w:rsid w:val="001F7E65"/>
    <w:rsid w:val="00212C6B"/>
    <w:rsid w:val="0021646C"/>
    <w:rsid w:val="002179D7"/>
    <w:rsid w:val="00236489"/>
    <w:rsid w:val="00241688"/>
    <w:rsid w:val="0024234E"/>
    <w:rsid w:val="002450A1"/>
    <w:rsid w:val="00247931"/>
    <w:rsid w:val="00250572"/>
    <w:rsid w:val="00252F86"/>
    <w:rsid w:val="00255F2C"/>
    <w:rsid w:val="002602E8"/>
    <w:rsid w:val="00264C63"/>
    <w:rsid w:val="00271695"/>
    <w:rsid w:val="00271CE3"/>
    <w:rsid w:val="00274904"/>
    <w:rsid w:val="00274EEF"/>
    <w:rsid w:val="00276FA8"/>
    <w:rsid w:val="00283AEB"/>
    <w:rsid w:val="002870E8"/>
    <w:rsid w:val="002931FB"/>
    <w:rsid w:val="0029340E"/>
    <w:rsid w:val="00293A98"/>
    <w:rsid w:val="002A5B7D"/>
    <w:rsid w:val="002A641F"/>
    <w:rsid w:val="002B0DE6"/>
    <w:rsid w:val="002B1BE5"/>
    <w:rsid w:val="002B66B6"/>
    <w:rsid w:val="002B7C93"/>
    <w:rsid w:val="002C343C"/>
    <w:rsid w:val="002C47B0"/>
    <w:rsid w:val="002C4BB1"/>
    <w:rsid w:val="002C5F64"/>
    <w:rsid w:val="002D0113"/>
    <w:rsid w:val="002D2009"/>
    <w:rsid w:val="002D28AA"/>
    <w:rsid w:val="002D35E7"/>
    <w:rsid w:val="002D4035"/>
    <w:rsid w:val="002E0B93"/>
    <w:rsid w:val="002E1375"/>
    <w:rsid w:val="002E31C2"/>
    <w:rsid w:val="002E44F4"/>
    <w:rsid w:val="002F04D8"/>
    <w:rsid w:val="002F2D48"/>
    <w:rsid w:val="002F4DAF"/>
    <w:rsid w:val="003045AE"/>
    <w:rsid w:val="00306B06"/>
    <w:rsid w:val="00307B8F"/>
    <w:rsid w:val="00307D0C"/>
    <w:rsid w:val="00315A3D"/>
    <w:rsid w:val="003165BE"/>
    <w:rsid w:val="003175D4"/>
    <w:rsid w:val="00317DD0"/>
    <w:rsid w:val="00333ECF"/>
    <w:rsid w:val="003376C9"/>
    <w:rsid w:val="00343729"/>
    <w:rsid w:val="00346ABB"/>
    <w:rsid w:val="00353536"/>
    <w:rsid w:val="00354DFE"/>
    <w:rsid w:val="00357D48"/>
    <w:rsid w:val="00361DE1"/>
    <w:rsid w:val="003701D6"/>
    <w:rsid w:val="00372028"/>
    <w:rsid w:val="00380E12"/>
    <w:rsid w:val="003900FD"/>
    <w:rsid w:val="003907E9"/>
    <w:rsid w:val="00390FC0"/>
    <w:rsid w:val="0039204D"/>
    <w:rsid w:val="00395D90"/>
    <w:rsid w:val="003A175C"/>
    <w:rsid w:val="003A2088"/>
    <w:rsid w:val="003A5B58"/>
    <w:rsid w:val="003B7D68"/>
    <w:rsid w:val="003C4265"/>
    <w:rsid w:val="003C7B60"/>
    <w:rsid w:val="003D0357"/>
    <w:rsid w:val="003D06D9"/>
    <w:rsid w:val="003D1DBE"/>
    <w:rsid w:val="003D312D"/>
    <w:rsid w:val="003D5357"/>
    <w:rsid w:val="003D7C25"/>
    <w:rsid w:val="003E14BF"/>
    <w:rsid w:val="003E1FA3"/>
    <w:rsid w:val="003E42E4"/>
    <w:rsid w:val="003E62CF"/>
    <w:rsid w:val="003F3C8D"/>
    <w:rsid w:val="003F4DDE"/>
    <w:rsid w:val="003F6C7A"/>
    <w:rsid w:val="0041505E"/>
    <w:rsid w:val="00416087"/>
    <w:rsid w:val="00420B03"/>
    <w:rsid w:val="00425BB7"/>
    <w:rsid w:val="00426458"/>
    <w:rsid w:val="00427DA3"/>
    <w:rsid w:val="00431751"/>
    <w:rsid w:val="00435F85"/>
    <w:rsid w:val="00437797"/>
    <w:rsid w:val="00450F9C"/>
    <w:rsid w:val="00457CDE"/>
    <w:rsid w:val="00464D6F"/>
    <w:rsid w:val="00467717"/>
    <w:rsid w:val="00470228"/>
    <w:rsid w:val="0047290A"/>
    <w:rsid w:val="00477568"/>
    <w:rsid w:val="00480227"/>
    <w:rsid w:val="00481670"/>
    <w:rsid w:val="0048342A"/>
    <w:rsid w:val="00487510"/>
    <w:rsid w:val="004A1335"/>
    <w:rsid w:val="004A35B9"/>
    <w:rsid w:val="004A6CB4"/>
    <w:rsid w:val="004A7669"/>
    <w:rsid w:val="004A7B2E"/>
    <w:rsid w:val="004B23AD"/>
    <w:rsid w:val="004B2BDA"/>
    <w:rsid w:val="004C0608"/>
    <w:rsid w:val="004C43B8"/>
    <w:rsid w:val="004E2F4F"/>
    <w:rsid w:val="004F01BB"/>
    <w:rsid w:val="004F31D7"/>
    <w:rsid w:val="004F787F"/>
    <w:rsid w:val="00510F1D"/>
    <w:rsid w:val="005122F2"/>
    <w:rsid w:val="005145D8"/>
    <w:rsid w:val="00517741"/>
    <w:rsid w:val="00525289"/>
    <w:rsid w:val="00525D4A"/>
    <w:rsid w:val="00526A44"/>
    <w:rsid w:val="00537F38"/>
    <w:rsid w:val="00540E60"/>
    <w:rsid w:val="00542702"/>
    <w:rsid w:val="00543A5A"/>
    <w:rsid w:val="00552EB0"/>
    <w:rsid w:val="00555371"/>
    <w:rsid w:val="0057172C"/>
    <w:rsid w:val="005733AC"/>
    <w:rsid w:val="00573A23"/>
    <w:rsid w:val="005745EF"/>
    <w:rsid w:val="00576F5F"/>
    <w:rsid w:val="005917CC"/>
    <w:rsid w:val="005978EE"/>
    <w:rsid w:val="005C38D7"/>
    <w:rsid w:val="005C393C"/>
    <w:rsid w:val="005C45AE"/>
    <w:rsid w:val="005D08FB"/>
    <w:rsid w:val="005D3635"/>
    <w:rsid w:val="005D66E5"/>
    <w:rsid w:val="005D6E7E"/>
    <w:rsid w:val="005E0483"/>
    <w:rsid w:val="005E0799"/>
    <w:rsid w:val="005E60CF"/>
    <w:rsid w:val="005E6979"/>
    <w:rsid w:val="005E70D5"/>
    <w:rsid w:val="005F7268"/>
    <w:rsid w:val="00602119"/>
    <w:rsid w:val="0060572F"/>
    <w:rsid w:val="006059B6"/>
    <w:rsid w:val="00606D2C"/>
    <w:rsid w:val="00610227"/>
    <w:rsid w:val="00616398"/>
    <w:rsid w:val="00621395"/>
    <w:rsid w:val="00630214"/>
    <w:rsid w:val="00631E2A"/>
    <w:rsid w:val="00633E36"/>
    <w:rsid w:val="00652AC9"/>
    <w:rsid w:val="00652B42"/>
    <w:rsid w:val="00652F1D"/>
    <w:rsid w:val="00660DBC"/>
    <w:rsid w:val="00664CE2"/>
    <w:rsid w:val="006718D0"/>
    <w:rsid w:val="006722F9"/>
    <w:rsid w:val="00694F56"/>
    <w:rsid w:val="00696A30"/>
    <w:rsid w:val="00697A43"/>
    <w:rsid w:val="006A2B59"/>
    <w:rsid w:val="006A4606"/>
    <w:rsid w:val="006A498C"/>
    <w:rsid w:val="006A4FD8"/>
    <w:rsid w:val="006A5B1A"/>
    <w:rsid w:val="006A77EA"/>
    <w:rsid w:val="006B4216"/>
    <w:rsid w:val="006C0830"/>
    <w:rsid w:val="006C2A16"/>
    <w:rsid w:val="006C4940"/>
    <w:rsid w:val="006C5858"/>
    <w:rsid w:val="006D4B9B"/>
    <w:rsid w:val="006D7B82"/>
    <w:rsid w:val="006E2C01"/>
    <w:rsid w:val="006F037C"/>
    <w:rsid w:val="006F4DF5"/>
    <w:rsid w:val="006F53BA"/>
    <w:rsid w:val="00703E4D"/>
    <w:rsid w:val="00711A18"/>
    <w:rsid w:val="007142B1"/>
    <w:rsid w:val="00725371"/>
    <w:rsid w:val="00725DF2"/>
    <w:rsid w:val="007412C4"/>
    <w:rsid w:val="00755CE8"/>
    <w:rsid w:val="0076023D"/>
    <w:rsid w:val="0076251E"/>
    <w:rsid w:val="007666D1"/>
    <w:rsid w:val="00772082"/>
    <w:rsid w:val="0077417A"/>
    <w:rsid w:val="00777270"/>
    <w:rsid w:val="007801FE"/>
    <w:rsid w:val="00780A50"/>
    <w:rsid w:val="00790C45"/>
    <w:rsid w:val="007928FD"/>
    <w:rsid w:val="007955CD"/>
    <w:rsid w:val="00795EBC"/>
    <w:rsid w:val="007A02CB"/>
    <w:rsid w:val="007A46D4"/>
    <w:rsid w:val="007B463D"/>
    <w:rsid w:val="007B49EB"/>
    <w:rsid w:val="007B6A11"/>
    <w:rsid w:val="007C715E"/>
    <w:rsid w:val="007D2DAF"/>
    <w:rsid w:val="007D384F"/>
    <w:rsid w:val="007E11BA"/>
    <w:rsid w:val="007E5C88"/>
    <w:rsid w:val="007F0D35"/>
    <w:rsid w:val="007F1BA7"/>
    <w:rsid w:val="007F2C48"/>
    <w:rsid w:val="00800461"/>
    <w:rsid w:val="00802220"/>
    <w:rsid w:val="00803F05"/>
    <w:rsid w:val="00804CCE"/>
    <w:rsid w:val="00806DE8"/>
    <w:rsid w:val="00814D1D"/>
    <w:rsid w:val="0081669D"/>
    <w:rsid w:val="00821EB7"/>
    <w:rsid w:val="00822060"/>
    <w:rsid w:val="00824193"/>
    <w:rsid w:val="008327E0"/>
    <w:rsid w:val="008331ED"/>
    <w:rsid w:val="00833E5D"/>
    <w:rsid w:val="00834684"/>
    <w:rsid w:val="00837CEB"/>
    <w:rsid w:val="00840758"/>
    <w:rsid w:val="00850DCF"/>
    <w:rsid w:val="00850E03"/>
    <w:rsid w:val="00852D8E"/>
    <w:rsid w:val="00856201"/>
    <w:rsid w:val="0086174B"/>
    <w:rsid w:val="00862ECF"/>
    <w:rsid w:val="00866607"/>
    <w:rsid w:val="008667B4"/>
    <w:rsid w:val="0088073D"/>
    <w:rsid w:val="00881246"/>
    <w:rsid w:val="008856C6"/>
    <w:rsid w:val="00890239"/>
    <w:rsid w:val="00896404"/>
    <w:rsid w:val="008A0A3A"/>
    <w:rsid w:val="008A49BE"/>
    <w:rsid w:val="008A5F5A"/>
    <w:rsid w:val="008A76F6"/>
    <w:rsid w:val="008B1803"/>
    <w:rsid w:val="008C5291"/>
    <w:rsid w:val="008D146E"/>
    <w:rsid w:val="008D3D78"/>
    <w:rsid w:val="008E1FC9"/>
    <w:rsid w:val="008E48B9"/>
    <w:rsid w:val="0090482B"/>
    <w:rsid w:val="009112AA"/>
    <w:rsid w:val="009140AC"/>
    <w:rsid w:val="0091530F"/>
    <w:rsid w:val="00916E9E"/>
    <w:rsid w:val="0091703F"/>
    <w:rsid w:val="009208B6"/>
    <w:rsid w:val="0092193D"/>
    <w:rsid w:val="00923084"/>
    <w:rsid w:val="009239A5"/>
    <w:rsid w:val="00924939"/>
    <w:rsid w:val="0093137B"/>
    <w:rsid w:val="00932F29"/>
    <w:rsid w:val="00934E68"/>
    <w:rsid w:val="00934FC6"/>
    <w:rsid w:val="00937704"/>
    <w:rsid w:val="009412F7"/>
    <w:rsid w:val="009433E2"/>
    <w:rsid w:val="0094759E"/>
    <w:rsid w:val="00947D9A"/>
    <w:rsid w:val="0095135F"/>
    <w:rsid w:val="00951987"/>
    <w:rsid w:val="00956A39"/>
    <w:rsid w:val="00964369"/>
    <w:rsid w:val="0097228A"/>
    <w:rsid w:val="0097563B"/>
    <w:rsid w:val="00995CB6"/>
    <w:rsid w:val="00996840"/>
    <w:rsid w:val="00996A1C"/>
    <w:rsid w:val="00997329"/>
    <w:rsid w:val="00997940"/>
    <w:rsid w:val="009B1FAA"/>
    <w:rsid w:val="009C04C5"/>
    <w:rsid w:val="009C37EA"/>
    <w:rsid w:val="009C42A4"/>
    <w:rsid w:val="009D191D"/>
    <w:rsid w:val="009D210B"/>
    <w:rsid w:val="009D6C8E"/>
    <w:rsid w:val="009E6403"/>
    <w:rsid w:val="009F0658"/>
    <w:rsid w:val="009F4C20"/>
    <w:rsid w:val="009F54F9"/>
    <w:rsid w:val="009F7098"/>
    <w:rsid w:val="009F7C35"/>
    <w:rsid w:val="00A036DB"/>
    <w:rsid w:val="00A0766E"/>
    <w:rsid w:val="00A10CC8"/>
    <w:rsid w:val="00A11DA2"/>
    <w:rsid w:val="00A15B6B"/>
    <w:rsid w:val="00A16291"/>
    <w:rsid w:val="00A22750"/>
    <w:rsid w:val="00A33C67"/>
    <w:rsid w:val="00A36B77"/>
    <w:rsid w:val="00A37123"/>
    <w:rsid w:val="00A44D7C"/>
    <w:rsid w:val="00A4617C"/>
    <w:rsid w:val="00A4643B"/>
    <w:rsid w:val="00A53454"/>
    <w:rsid w:val="00A565DF"/>
    <w:rsid w:val="00A57ABA"/>
    <w:rsid w:val="00A612B3"/>
    <w:rsid w:val="00A6468A"/>
    <w:rsid w:val="00A72D4D"/>
    <w:rsid w:val="00A817DF"/>
    <w:rsid w:val="00A84579"/>
    <w:rsid w:val="00A86CF1"/>
    <w:rsid w:val="00A9006A"/>
    <w:rsid w:val="00A93A6B"/>
    <w:rsid w:val="00A940F7"/>
    <w:rsid w:val="00A95116"/>
    <w:rsid w:val="00A96331"/>
    <w:rsid w:val="00AA6905"/>
    <w:rsid w:val="00AB3CE5"/>
    <w:rsid w:val="00AB3F1D"/>
    <w:rsid w:val="00AB46BD"/>
    <w:rsid w:val="00AB5E95"/>
    <w:rsid w:val="00AC037A"/>
    <w:rsid w:val="00AC1317"/>
    <w:rsid w:val="00AC20BC"/>
    <w:rsid w:val="00AC2DA1"/>
    <w:rsid w:val="00AC3D48"/>
    <w:rsid w:val="00AD1DD3"/>
    <w:rsid w:val="00AD2247"/>
    <w:rsid w:val="00AD2AF9"/>
    <w:rsid w:val="00AD6BCE"/>
    <w:rsid w:val="00AE5100"/>
    <w:rsid w:val="00AE655F"/>
    <w:rsid w:val="00AE6FCA"/>
    <w:rsid w:val="00AE7E41"/>
    <w:rsid w:val="00AF1920"/>
    <w:rsid w:val="00AF7580"/>
    <w:rsid w:val="00AF7A7C"/>
    <w:rsid w:val="00B07E57"/>
    <w:rsid w:val="00B16D5F"/>
    <w:rsid w:val="00B175A3"/>
    <w:rsid w:val="00B32B03"/>
    <w:rsid w:val="00B34107"/>
    <w:rsid w:val="00B341B5"/>
    <w:rsid w:val="00B37520"/>
    <w:rsid w:val="00B42D4C"/>
    <w:rsid w:val="00B51B04"/>
    <w:rsid w:val="00B53ECD"/>
    <w:rsid w:val="00B557C9"/>
    <w:rsid w:val="00B55900"/>
    <w:rsid w:val="00B57AE3"/>
    <w:rsid w:val="00B61A02"/>
    <w:rsid w:val="00B62DED"/>
    <w:rsid w:val="00B64B99"/>
    <w:rsid w:val="00B64FF8"/>
    <w:rsid w:val="00B7436F"/>
    <w:rsid w:val="00B74CD2"/>
    <w:rsid w:val="00B75F06"/>
    <w:rsid w:val="00B775E6"/>
    <w:rsid w:val="00B77647"/>
    <w:rsid w:val="00B81279"/>
    <w:rsid w:val="00B81529"/>
    <w:rsid w:val="00B93AC4"/>
    <w:rsid w:val="00B94181"/>
    <w:rsid w:val="00B973C4"/>
    <w:rsid w:val="00BA1D2D"/>
    <w:rsid w:val="00BA1FD0"/>
    <w:rsid w:val="00BA31FA"/>
    <w:rsid w:val="00BB45D5"/>
    <w:rsid w:val="00BD5FE0"/>
    <w:rsid w:val="00BE1927"/>
    <w:rsid w:val="00BE6129"/>
    <w:rsid w:val="00BF0F74"/>
    <w:rsid w:val="00BF29E2"/>
    <w:rsid w:val="00BF79DF"/>
    <w:rsid w:val="00C16DFA"/>
    <w:rsid w:val="00C279B8"/>
    <w:rsid w:val="00C411D8"/>
    <w:rsid w:val="00C413AA"/>
    <w:rsid w:val="00C41497"/>
    <w:rsid w:val="00C4531C"/>
    <w:rsid w:val="00C54A45"/>
    <w:rsid w:val="00C56EDF"/>
    <w:rsid w:val="00C70B26"/>
    <w:rsid w:val="00C71135"/>
    <w:rsid w:val="00C754ED"/>
    <w:rsid w:val="00CA1216"/>
    <w:rsid w:val="00CA6A48"/>
    <w:rsid w:val="00CA7D87"/>
    <w:rsid w:val="00CB17B7"/>
    <w:rsid w:val="00CB625C"/>
    <w:rsid w:val="00CC0310"/>
    <w:rsid w:val="00CC52BB"/>
    <w:rsid w:val="00CD33D1"/>
    <w:rsid w:val="00CD3429"/>
    <w:rsid w:val="00CD4B28"/>
    <w:rsid w:val="00CE007B"/>
    <w:rsid w:val="00CE657C"/>
    <w:rsid w:val="00CE734E"/>
    <w:rsid w:val="00CF0EC5"/>
    <w:rsid w:val="00CF585F"/>
    <w:rsid w:val="00CF6C35"/>
    <w:rsid w:val="00CF7DF5"/>
    <w:rsid w:val="00D0051A"/>
    <w:rsid w:val="00D058D4"/>
    <w:rsid w:val="00D0692B"/>
    <w:rsid w:val="00D1519C"/>
    <w:rsid w:val="00D20528"/>
    <w:rsid w:val="00D20988"/>
    <w:rsid w:val="00D2252D"/>
    <w:rsid w:val="00D23363"/>
    <w:rsid w:val="00D30961"/>
    <w:rsid w:val="00D33D9D"/>
    <w:rsid w:val="00D452DC"/>
    <w:rsid w:val="00D4686B"/>
    <w:rsid w:val="00D6273A"/>
    <w:rsid w:val="00D71BB4"/>
    <w:rsid w:val="00D7330E"/>
    <w:rsid w:val="00D743A9"/>
    <w:rsid w:val="00D821C8"/>
    <w:rsid w:val="00D8403A"/>
    <w:rsid w:val="00D86A58"/>
    <w:rsid w:val="00D87860"/>
    <w:rsid w:val="00D87F39"/>
    <w:rsid w:val="00D92467"/>
    <w:rsid w:val="00D9572D"/>
    <w:rsid w:val="00DA3B25"/>
    <w:rsid w:val="00DB1DE3"/>
    <w:rsid w:val="00DB4DB5"/>
    <w:rsid w:val="00DC158F"/>
    <w:rsid w:val="00DC1E5A"/>
    <w:rsid w:val="00DC4151"/>
    <w:rsid w:val="00DD2502"/>
    <w:rsid w:val="00DD6334"/>
    <w:rsid w:val="00DE6846"/>
    <w:rsid w:val="00DF4C72"/>
    <w:rsid w:val="00DF4DBC"/>
    <w:rsid w:val="00E026AB"/>
    <w:rsid w:val="00E11F13"/>
    <w:rsid w:val="00E31D29"/>
    <w:rsid w:val="00E3408D"/>
    <w:rsid w:val="00E44C01"/>
    <w:rsid w:val="00E44D3C"/>
    <w:rsid w:val="00E50F57"/>
    <w:rsid w:val="00E612F0"/>
    <w:rsid w:val="00E6345C"/>
    <w:rsid w:val="00E65C97"/>
    <w:rsid w:val="00E678BD"/>
    <w:rsid w:val="00E757FE"/>
    <w:rsid w:val="00E805DA"/>
    <w:rsid w:val="00E805FF"/>
    <w:rsid w:val="00E859F8"/>
    <w:rsid w:val="00E935EC"/>
    <w:rsid w:val="00E94B0E"/>
    <w:rsid w:val="00EA78BD"/>
    <w:rsid w:val="00EB675E"/>
    <w:rsid w:val="00EC160D"/>
    <w:rsid w:val="00EC188D"/>
    <w:rsid w:val="00EC4354"/>
    <w:rsid w:val="00EC5861"/>
    <w:rsid w:val="00ED2FEE"/>
    <w:rsid w:val="00ED57F4"/>
    <w:rsid w:val="00EE4B1E"/>
    <w:rsid w:val="00EF06B3"/>
    <w:rsid w:val="00EF100E"/>
    <w:rsid w:val="00EF2B70"/>
    <w:rsid w:val="00EF33AD"/>
    <w:rsid w:val="00EF47C6"/>
    <w:rsid w:val="00F03156"/>
    <w:rsid w:val="00F052D8"/>
    <w:rsid w:val="00F073A6"/>
    <w:rsid w:val="00F076EC"/>
    <w:rsid w:val="00F122AF"/>
    <w:rsid w:val="00F13CFE"/>
    <w:rsid w:val="00F17643"/>
    <w:rsid w:val="00F22646"/>
    <w:rsid w:val="00F23B9C"/>
    <w:rsid w:val="00F3108F"/>
    <w:rsid w:val="00F32041"/>
    <w:rsid w:val="00F33367"/>
    <w:rsid w:val="00F33E3E"/>
    <w:rsid w:val="00F3539B"/>
    <w:rsid w:val="00F35A06"/>
    <w:rsid w:val="00F376EB"/>
    <w:rsid w:val="00F37A72"/>
    <w:rsid w:val="00F41ABD"/>
    <w:rsid w:val="00F4322A"/>
    <w:rsid w:val="00F47925"/>
    <w:rsid w:val="00F53080"/>
    <w:rsid w:val="00F53616"/>
    <w:rsid w:val="00F53FA1"/>
    <w:rsid w:val="00F563D3"/>
    <w:rsid w:val="00F601A3"/>
    <w:rsid w:val="00F61739"/>
    <w:rsid w:val="00F61FB1"/>
    <w:rsid w:val="00F6377E"/>
    <w:rsid w:val="00F671E8"/>
    <w:rsid w:val="00F7418C"/>
    <w:rsid w:val="00F76F2F"/>
    <w:rsid w:val="00F76FEF"/>
    <w:rsid w:val="00F77A9C"/>
    <w:rsid w:val="00F85E11"/>
    <w:rsid w:val="00F87EE6"/>
    <w:rsid w:val="00F91A54"/>
    <w:rsid w:val="00F9536A"/>
    <w:rsid w:val="00FA423B"/>
    <w:rsid w:val="00FB766B"/>
    <w:rsid w:val="00FC4CA9"/>
    <w:rsid w:val="00FC5D5F"/>
    <w:rsid w:val="00FD10D6"/>
    <w:rsid w:val="00FD438A"/>
    <w:rsid w:val="00FE3653"/>
    <w:rsid w:val="00FE4204"/>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60"/>
    <w:pPr>
      <w:spacing w:after="160" w:line="259" w:lineRule="auto"/>
    </w:p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eastAsia="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eastAsia="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1"/>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 w:type="paragraph" w:customStyle="1" w:styleId="Default">
    <w:name w:val="Default"/>
    <w:rsid w:val="00255F2C"/>
    <w:pPr>
      <w:autoSpaceDE w:val="0"/>
      <w:autoSpaceDN w:val="0"/>
      <w:adjustRightInd w:val="0"/>
    </w:pPr>
    <w:rPr>
      <w:color w:val="000000"/>
      <w:sz w:val="24"/>
      <w:szCs w:val="24"/>
    </w:rPr>
  </w:style>
  <w:style w:type="paragraph" w:styleId="Revision">
    <w:name w:val="Revision"/>
    <w:hidden/>
    <w:uiPriority w:val="99"/>
    <w:semiHidden/>
    <w:rsid w:val="00255F2C"/>
    <w:rPr>
      <w:sz w:val="22"/>
    </w:rPr>
  </w:style>
  <w:style w:type="character" w:styleId="HTMLCode">
    <w:name w:val="HTML Code"/>
    <w:basedOn w:val="DefaultParagraphFont"/>
    <w:uiPriority w:val="99"/>
    <w:semiHidden/>
    <w:unhideWhenUsed/>
    <w:rsid w:val="00B64B99"/>
    <w:rPr>
      <w:rFonts w:ascii="Courier New" w:eastAsia="Times New Roman" w:hAnsi="Courier New" w:cs="Courier New"/>
      <w:sz w:val="20"/>
      <w:szCs w:val="20"/>
    </w:rPr>
  </w:style>
  <w:style w:type="paragraph" w:styleId="BodyText">
    <w:name w:val="Body Text"/>
    <w:basedOn w:val="Normal"/>
    <w:link w:val="BodyTextChar"/>
    <w:rsid w:val="0009228A"/>
    <w:pPr>
      <w:spacing w:after="120" w:line="240" w:lineRule="auto"/>
    </w:pPr>
    <w:rPr>
      <w:rFonts w:eastAsia="Times New Roman"/>
      <w:sz w:val="24"/>
      <w:szCs w:val="24"/>
    </w:rPr>
  </w:style>
  <w:style w:type="character" w:customStyle="1" w:styleId="BodyTextChar">
    <w:name w:val="Body Text Char"/>
    <w:basedOn w:val="DefaultParagraphFont"/>
    <w:link w:val="BodyText"/>
    <w:rsid w:val="0009228A"/>
    <w:rPr>
      <w:rFonts w:ascii="Times New Roman" w:eastAsia="Times New Roman" w:hAnsi="Times New Roman"/>
      <w:sz w:val="24"/>
      <w:szCs w:val="24"/>
    </w:rPr>
  </w:style>
  <w:style w:type="paragraph" w:customStyle="1" w:styleId="TableParagraph">
    <w:name w:val="Table Paragraph"/>
    <w:basedOn w:val="Normal"/>
    <w:uiPriority w:val="1"/>
    <w:qFormat/>
    <w:rsid w:val="00E44D3C"/>
    <w:pPr>
      <w:widowControl w:val="0"/>
      <w:autoSpaceDE w:val="0"/>
      <w:autoSpaceDN w:val="0"/>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442">
      <w:bodyDiv w:val="1"/>
      <w:marLeft w:val="0"/>
      <w:marRight w:val="0"/>
      <w:marTop w:val="0"/>
      <w:marBottom w:val="0"/>
      <w:divBdr>
        <w:top w:val="none" w:sz="0" w:space="0" w:color="auto"/>
        <w:left w:val="none" w:sz="0" w:space="0" w:color="auto"/>
        <w:bottom w:val="none" w:sz="0" w:space="0" w:color="auto"/>
        <w:right w:val="none" w:sz="0" w:space="0" w:color="auto"/>
      </w:divBdr>
    </w:div>
    <w:div w:id="37173003">
      <w:bodyDiv w:val="1"/>
      <w:marLeft w:val="0"/>
      <w:marRight w:val="0"/>
      <w:marTop w:val="0"/>
      <w:marBottom w:val="0"/>
      <w:divBdr>
        <w:top w:val="none" w:sz="0" w:space="0" w:color="auto"/>
        <w:left w:val="none" w:sz="0" w:space="0" w:color="auto"/>
        <w:bottom w:val="none" w:sz="0" w:space="0" w:color="auto"/>
        <w:right w:val="none" w:sz="0" w:space="0" w:color="auto"/>
      </w:divBdr>
    </w:div>
    <w:div w:id="144588520">
      <w:bodyDiv w:val="1"/>
      <w:marLeft w:val="0"/>
      <w:marRight w:val="0"/>
      <w:marTop w:val="0"/>
      <w:marBottom w:val="0"/>
      <w:divBdr>
        <w:top w:val="none" w:sz="0" w:space="0" w:color="auto"/>
        <w:left w:val="none" w:sz="0" w:space="0" w:color="auto"/>
        <w:bottom w:val="none" w:sz="0" w:space="0" w:color="auto"/>
        <w:right w:val="none" w:sz="0" w:space="0" w:color="auto"/>
      </w:divBdr>
    </w:div>
    <w:div w:id="171069754">
      <w:bodyDiv w:val="1"/>
      <w:marLeft w:val="0"/>
      <w:marRight w:val="0"/>
      <w:marTop w:val="0"/>
      <w:marBottom w:val="0"/>
      <w:divBdr>
        <w:top w:val="none" w:sz="0" w:space="0" w:color="auto"/>
        <w:left w:val="none" w:sz="0" w:space="0" w:color="auto"/>
        <w:bottom w:val="none" w:sz="0" w:space="0" w:color="auto"/>
        <w:right w:val="none" w:sz="0" w:space="0" w:color="auto"/>
      </w:divBdr>
    </w:div>
    <w:div w:id="172493415">
      <w:bodyDiv w:val="1"/>
      <w:marLeft w:val="0"/>
      <w:marRight w:val="0"/>
      <w:marTop w:val="0"/>
      <w:marBottom w:val="0"/>
      <w:divBdr>
        <w:top w:val="none" w:sz="0" w:space="0" w:color="auto"/>
        <w:left w:val="none" w:sz="0" w:space="0" w:color="auto"/>
        <w:bottom w:val="none" w:sz="0" w:space="0" w:color="auto"/>
        <w:right w:val="none" w:sz="0" w:space="0" w:color="auto"/>
      </w:divBdr>
    </w:div>
    <w:div w:id="351952520">
      <w:bodyDiv w:val="1"/>
      <w:marLeft w:val="0"/>
      <w:marRight w:val="0"/>
      <w:marTop w:val="0"/>
      <w:marBottom w:val="0"/>
      <w:divBdr>
        <w:top w:val="none" w:sz="0" w:space="0" w:color="auto"/>
        <w:left w:val="none" w:sz="0" w:space="0" w:color="auto"/>
        <w:bottom w:val="none" w:sz="0" w:space="0" w:color="auto"/>
        <w:right w:val="none" w:sz="0" w:space="0" w:color="auto"/>
      </w:divBdr>
    </w:div>
    <w:div w:id="794829964">
      <w:bodyDiv w:val="1"/>
      <w:marLeft w:val="0"/>
      <w:marRight w:val="0"/>
      <w:marTop w:val="0"/>
      <w:marBottom w:val="0"/>
      <w:divBdr>
        <w:top w:val="none" w:sz="0" w:space="0" w:color="auto"/>
        <w:left w:val="none" w:sz="0" w:space="0" w:color="auto"/>
        <w:bottom w:val="none" w:sz="0" w:space="0" w:color="auto"/>
        <w:right w:val="none" w:sz="0" w:space="0" w:color="auto"/>
      </w:divBdr>
    </w:div>
    <w:div w:id="809518183">
      <w:bodyDiv w:val="1"/>
      <w:marLeft w:val="0"/>
      <w:marRight w:val="0"/>
      <w:marTop w:val="0"/>
      <w:marBottom w:val="0"/>
      <w:divBdr>
        <w:top w:val="none" w:sz="0" w:space="0" w:color="auto"/>
        <w:left w:val="none" w:sz="0" w:space="0" w:color="auto"/>
        <w:bottom w:val="none" w:sz="0" w:space="0" w:color="auto"/>
        <w:right w:val="none" w:sz="0" w:space="0" w:color="auto"/>
      </w:divBdr>
    </w:div>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946618010">
      <w:bodyDiv w:val="1"/>
      <w:marLeft w:val="0"/>
      <w:marRight w:val="0"/>
      <w:marTop w:val="0"/>
      <w:marBottom w:val="0"/>
      <w:divBdr>
        <w:top w:val="none" w:sz="0" w:space="0" w:color="auto"/>
        <w:left w:val="none" w:sz="0" w:space="0" w:color="auto"/>
        <w:bottom w:val="none" w:sz="0" w:space="0" w:color="auto"/>
        <w:right w:val="none" w:sz="0" w:space="0" w:color="auto"/>
      </w:divBdr>
    </w:div>
    <w:div w:id="1000741412">
      <w:bodyDiv w:val="1"/>
      <w:marLeft w:val="0"/>
      <w:marRight w:val="0"/>
      <w:marTop w:val="0"/>
      <w:marBottom w:val="0"/>
      <w:divBdr>
        <w:top w:val="none" w:sz="0" w:space="0" w:color="auto"/>
        <w:left w:val="none" w:sz="0" w:space="0" w:color="auto"/>
        <w:bottom w:val="none" w:sz="0" w:space="0" w:color="auto"/>
        <w:right w:val="none" w:sz="0" w:space="0" w:color="auto"/>
      </w:divBdr>
    </w:div>
    <w:div w:id="1235043543">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558585656">
      <w:bodyDiv w:val="1"/>
      <w:marLeft w:val="0"/>
      <w:marRight w:val="0"/>
      <w:marTop w:val="0"/>
      <w:marBottom w:val="0"/>
      <w:divBdr>
        <w:top w:val="none" w:sz="0" w:space="0" w:color="auto"/>
        <w:left w:val="none" w:sz="0" w:space="0" w:color="auto"/>
        <w:bottom w:val="none" w:sz="0" w:space="0" w:color="auto"/>
        <w:right w:val="none" w:sz="0" w:space="0" w:color="auto"/>
      </w:divBdr>
    </w:div>
    <w:div w:id="1679773213">
      <w:bodyDiv w:val="1"/>
      <w:marLeft w:val="0"/>
      <w:marRight w:val="0"/>
      <w:marTop w:val="0"/>
      <w:marBottom w:val="0"/>
      <w:divBdr>
        <w:top w:val="none" w:sz="0" w:space="0" w:color="auto"/>
        <w:left w:val="none" w:sz="0" w:space="0" w:color="auto"/>
        <w:bottom w:val="none" w:sz="0" w:space="0" w:color="auto"/>
        <w:right w:val="none" w:sz="0" w:space="0" w:color="auto"/>
      </w:divBdr>
    </w:div>
    <w:div w:id="1741518712">
      <w:bodyDiv w:val="1"/>
      <w:marLeft w:val="0"/>
      <w:marRight w:val="0"/>
      <w:marTop w:val="0"/>
      <w:marBottom w:val="0"/>
      <w:divBdr>
        <w:top w:val="none" w:sz="0" w:space="0" w:color="auto"/>
        <w:left w:val="none" w:sz="0" w:space="0" w:color="auto"/>
        <w:bottom w:val="none" w:sz="0" w:space="0" w:color="auto"/>
        <w:right w:val="none" w:sz="0" w:space="0" w:color="auto"/>
      </w:divBdr>
    </w:div>
    <w:div w:id="1755393771">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Todd, Marla Jo</cp:lastModifiedBy>
  <cp:revision>17</cp:revision>
  <cp:lastPrinted>2025-08-05T18:08:00Z</cp:lastPrinted>
  <dcterms:created xsi:type="dcterms:W3CDTF">2025-07-29T18:20:00Z</dcterms:created>
  <dcterms:modified xsi:type="dcterms:W3CDTF">2025-09-10T21:30:00Z</dcterms:modified>
</cp:coreProperties>
</file>