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9EDBF" w14:textId="77777777" w:rsidR="00100063" w:rsidRPr="00E70463" w:rsidRDefault="00100063" w:rsidP="0010006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color w:val="FF0000"/>
          <w:szCs w:val="26"/>
        </w:rPr>
      </w:pPr>
      <w:bookmarkStart w:id="0" w:name="_Hlk77839959"/>
      <w:bookmarkStart w:id="1" w:name="_Hlk93577479"/>
      <w:r w:rsidRPr="00E70463">
        <w:rPr>
          <w:color w:val="FF0000"/>
          <w:szCs w:val="26"/>
        </w:rPr>
        <w:t>Approved by the Board of Trustees</w:t>
      </w:r>
    </w:p>
    <w:bookmarkEnd w:id="0"/>
    <w:bookmarkEnd w:id="1"/>
    <w:p w14:paraId="21D29321" w14:textId="77777777" w:rsidR="00100063" w:rsidRPr="00E70463" w:rsidRDefault="00100063" w:rsidP="0010006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color w:val="FF0000"/>
          <w:szCs w:val="26"/>
        </w:rPr>
      </w:pPr>
      <w:r w:rsidRPr="00E70463">
        <w:rPr>
          <w:color w:val="FF0000"/>
          <w:szCs w:val="26"/>
        </w:rPr>
        <w:t>September 19, 2024</w:t>
      </w:r>
    </w:p>
    <w:p w14:paraId="1F293ED2" w14:textId="6E1EB38E" w:rsidR="00CB5F0D" w:rsidRDefault="007E1A74">
      <w:pPr>
        <w:spacing w:after="0" w:line="259" w:lineRule="auto"/>
        <w:ind w:left="0" w:firstLine="0"/>
        <w:jc w:val="right"/>
      </w:pPr>
      <w:r>
        <w:rPr>
          <w:b/>
          <w:sz w:val="60"/>
        </w:rPr>
        <w:t>10</w:t>
      </w:r>
    </w:p>
    <w:p w14:paraId="0C5BC998" w14:textId="77777777" w:rsidR="00CB5F0D" w:rsidRDefault="003D6FFC" w:rsidP="004A504C">
      <w:pPr>
        <w:spacing w:after="0" w:line="240" w:lineRule="auto"/>
        <w:ind w:left="0" w:firstLine="0"/>
      </w:pPr>
      <w:r>
        <w:rPr>
          <w:b/>
        </w:rPr>
        <w:t xml:space="preserve"> </w:t>
      </w:r>
    </w:p>
    <w:p w14:paraId="385194C0" w14:textId="77777777" w:rsidR="00CB5F0D" w:rsidRDefault="003D6FFC" w:rsidP="004A504C">
      <w:pPr>
        <w:spacing w:after="0" w:line="240" w:lineRule="auto"/>
        <w:ind w:left="0" w:firstLine="0"/>
      </w:pPr>
      <w:r>
        <w:rPr>
          <w:b/>
        </w:rPr>
        <w:t xml:space="preserve"> </w:t>
      </w:r>
    </w:p>
    <w:p w14:paraId="62A4A128" w14:textId="60C75645" w:rsidR="004A504C" w:rsidRDefault="003D6FFC" w:rsidP="004A504C">
      <w:pPr>
        <w:spacing w:after="0" w:line="240" w:lineRule="auto"/>
        <w:ind w:left="7200" w:firstLine="0"/>
      </w:pPr>
      <w:r>
        <w:t>Board Meeting</w:t>
      </w:r>
    </w:p>
    <w:p w14:paraId="2CC45CFF" w14:textId="782C9D8A" w:rsidR="00CB5F0D" w:rsidRDefault="007C6706" w:rsidP="004A504C">
      <w:pPr>
        <w:spacing w:after="0" w:line="240" w:lineRule="auto"/>
        <w:ind w:left="7200" w:firstLine="0"/>
      </w:pPr>
      <w:r>
        <w:t>September</w:t>
      </w:r>
      <w:r w:rsidR="003D6FFC">
        <w:t xml:space="preserve"> 1</w:t>
      </w:r>
      <w:r>
        <w:t>9</w:t>
      </w:r>
      <w:r w:rsidR="003D6FFC">
        <w:t>, 20</w:t>
      </w:r>
      <w:r>
        <w:t>24</w:t>
      </w:r>
      <w:r w:rsidR="003D6FFC">
        <w:t xml:space="preserve"> </w:t>
      </w:r>
    </w:p>
    <w:p w14:paraId="043074E9" w14:textId="77777777" w:rsidR="00CB5F0D" w:rsidRDefault="003D6FFC" w:rsidP="004A504C">
      <w:pPr>
        <w:spacing w:after="0" w:line="240" w:lineRule="auto"/>
        <w:ind w:left="0" w:firstLine="0"/>
      </w:pPr>
      <w:r>
        <w:t xml:space="preserve"> </w:t>
      </w:r>
    </w:p>
    <w:p w14:paraId="5201D30E" w14:textId="669026AC" w:rsidR="00CB5F0D" w:rsidRDefault="003D6FFC" w:rsidP="004A504C">
      <w:pPr>
        <w:spacing w:after="0" w:line="240" w:lineRule="auto"/>
        <w:ind w:left="0" w:firstLine="0"/>
      </w:pPr>
      <w:r>
        <w:t xml:space="preserve"> </w:t>
      </w:r>
    </w:p>
    <w:p w14:paraId="2B0A93B5" w14:textId="77777777" w:rsidR="00CB5F0D" w:rsidRDefault="003D6FFC" w:rsidP="005B595A">
      <w:pPr>
        <w:pStyle w:val="Heading1"/>
      </w:pPr>
      <w:r>
        <w:t xml:space="preserve">ROLL CALL </w:t>
      </w:r>
    </w:p>
    <w:p w14:paraId="4FD15581" w14:textId="77777777" w:rsidR="00CB5F0D" w:rsidRDefault="003D6FFC" w:rsidP="004A504C">
      <w:pPr>
        <w:spacing w:after="0" w:line="240" w:lineRule="auto"/>
        <w:ind w:left="0" w:firstLine="0"/>
      </w:pPr>
      <w:r>
        <w:t xml:space="preserve"> </w:t>
      </w:r>
    </w:p>
    <w:p w14:paraId="5E3C6466" w14:textId="201ED6E6" w:rsidR="00CB5F0D" w:rsidRPr="005B595A" w:rsidRDefault="003D6FFC" w:rsidP="005B595A">
      <w:pPr>
        <w:pStyle w:val="Heading1"/>
      </w:pPr>
      <w:r w:rsidRPr="005B595A">
        <w:t xml:space="preserve">APPROVE ENERGY CONSERVATION PROJECT AND PROFESSIONAL AND CONSTRUCTION SERVICES AWARD, </w:t>
      </w:r>
      <w:r w:rsidR="007C6706" w:rsidRPr="005B595A">
        <w:t>UNIVERSITY HALL AND BEHAVIORAL SCIENCES BUILDING</w:t>
      </w:r>
      <w:r w:rsidRPr="005B595A">
        <w:t xml:space="preserve">, </w:t>
      </w:r>
      <w:r w:rsidR="007C6706" w:rsidRPr="005B595A">
        <w:t>CHICAGO</w:t>
      </w:r>
    </w:p>
    <w:p w14:paraId="4DE4808F" w14:textId="77777777" w:rsidR="00CB5F0D" w:rsidRDefault="003D6FFC" w:rsidP="004A504C">
      <w:pPr>
        <w:spacing w:after="0" w:line="240" w:lineRule="auto"/>
        <w:ind w:left="0" w:firstLine="0"/>
      </w:pPr>
      <w:r>
        <w:t xml:space="preserve"> </w:t>
      </w:r>
    </w:p>
    <w:p w14:paraId="5224D02E" w14:textId="77777777" w:rsidR="00CB5F0D" w:rsidRDefault="003D6FFC" w:rsidP="004A504C">
      <w:pPr>
        <w:spacing w:after="0" w:line="240" w:lineRule="auto"/>
        <w:ind w:left="0" w:firstLine="0"/>
      </w:pPr>
      <w:r>
        <w:t xml:space="preserve"> </w:t>
      </w:r>
    </w:p>
    <w:p w14:paraId="69535391" w14:textId="69D519EE" w:rsidR="00CB5F0D" w:rsidRDefault="003D6FFC" w:rsidP="004A504C">
      <w:pPr>
        <w:spacing w:after="0" w:line="240" w:lineRule="auto"/>
        <w:ind w:left="1426" w:hanging="1440"/>
      </w:pPr>
      <w:r>
        <w:rPr>
          <w:b/>
        </w:rPr>
        <w:t xml:space="preserve">Action: </w:t>
      </w:r>
      <w:r>
        <w:rPr>
          <w:b/>
        </w:rPr>
        <w:tab/>
      </w:r>
      <w:r>
        <w:t xml:space="preserve">Approve Energy Conservation Project and Professional and Construction Services Award, </w:t>
      </w:r>
      <w:r w:rsidR="007C6706">
        <w:t>University Hall and Behavioral Sciences Building</w:t>
      </w:r>
      <w:r>
        <w:t xml:space="preserve"> </w:t>
      </w:r>
    </w:p>
    <w:p w14:paraId="3CB9E03B" w14:textId="49D2F5F4" w:rsidR="00CB5F0D" w:rsidRDefault="004A504C" w:rsidP="004A504C">
      <w:pPr>
        <w:spacing w:after="0" w:line="240" w:lineRule="auto"/>
        <w:ind w:left="1" w:firstLine="0"/>
      </w:pPr>
      <w:r>
        <w:t xml:space="preserve"> </w:t>
      </w:r>
    </w:p>
    <w:p w14:paraId="41DC0941" w14:textId="77777777" w:rsidR="00CB5F0D" w:rsidRDefault="003D6FFC" w:rsidP="004A504C">
      <w:pPr>
        <w:tabs>
          <w:tab w:val="center" w:pos="3379"/>
        </w:tabs>
        <w:spacing w:after="0" w:line="240" w:lineRule="auto"/>
        <w:ind w:left="-14" w:firstLine="0"/>
      </w:pPr>
      <w:r>
        <w:rPr>
          <w:b/>
        </w:rPr>
        <w:t xml:space="preserve">Funding: </w:t>
      </w:r>
      <w:r>
        <w:rPr>
          <w:b/>
        </w:rPr>
        <w:tab/>
      </w:r>
      <w:r>
        <w:t xml:space="preserve">Institutional Funds Operating Budget </w:t>
      </w:r>
    </w:p>
    <w:p w14:paraId="315BE9F1" w14:textId="77777777" w:rsidR="00CB5F0D" w:rsidRDefault="003D6FFC" w:rsidP="004A504C">
      <w:pPr>
        <w:spacing w:after="0" w:line="240" w:lineRule="auto"/>
        <w:ind w:left="1" w:firstLine="0"/>
      </w:pPr>
      <w:r>
        <w:t xml:space="preserve"> </w:t>
      </w:r>
    </w:p>
    <w:p w14:paraId="2E2A8889" w14:textId="5396F0BE" w:rsidR="00CB5F0D" w:rsidRDefault="003D6FFC" w:rsidP="004A504C">
      <w:pPr>
        <w:spacing w:after="0" w:line="240" w:lineRule="auto"/>
        <w:ind w:left="1" w:firstLine="0"/>
      </w:pPr>
      <w:r>
        <w:t xml:space="preserve"> </w:t>
      </w:r>
      <w:r>
        <w:tab/>
      </w:r>
      <w:r w:rsidR="004A504C">
        <w:t xml:space="preserve"> </w:t>
      </w:r>
    </w:p>
    <w:p w14:paraId="65C05BB0" w14:textId="49B5524E" w:rsidR="007C6706" w:rsidRDefault="003D6FFC" w:rsidP="004A504C">
      <w:pPr>
        <w:spacing w:after="0" w:line="480" w:lineRule="auto"/>
        <w:ind w:left="-4" w:firstLine="1444"/>
      </w:pPr>
      <w:r>
        <w:t>The Public University Energy Conservation Act (110 ILCS 62/1 et seq.) allows the University to undertake “energy conservation measures” (ECMs) by engaging energy service companies. The guaranteed energy savings agreement shall include a written guarantee from the energy service company (ESCO) that either the energy or operational costs savings, or both, will meet or exceed within 20 years the costs of the energy conservation measures.</w:t>
      </w:r>
      <w:r w:rsidR="004A504C">
        <w:t xml:space="preserve"> </w:t>
      </w:r>
      <w:r>
        <w:t>The ESCO shall reimburse the public university for any shortfall of guaranteed energy savings projected in the contract.</w:t>
      </w:r>
      <w:r w:rsidR="004A504C">
        <w:t xml:space="preserve"> </w:t>
      </w:r>
    </w:p>
    <w:p w14:paraId="4C77DCFC" w14:textId="4AC8327E" w:rsidR="00CB5F0D" w:rsidRDefault="003D6FFC" w:rsidP="004A504C">
      <w:pPr>
        <w:spacing w:after="0" w:line="480" w:lineRule="auto"/>
        <w:ind w:left="-4" w:firstLine="1444"/>
      </w:pPr>
      <w:r>
        <w:t xml:space="preserve">The University has identified </w:t>
      </w:r>
      <w:r w:rsidR="007C6706">
        <w:t xml:space="preserve">University Hall and Behavioral Sciences Building </w:t>
      </w:r>
      <w:r w:rsidR="00D67D1F">
        <w:t xml:space="preserve">at the University of Illinois Chicago </w:t>
      </w:r>
      <w:r w:rsidR="007C6706">
        <w:t xml:space="preserve">as </w:t>
      </w:r>
      <w:r>
        <w:t>candidates for this program</w:t>
      </w:r>
      <w:r w:rsidR="007C6706">
        <w:t>.</w:t>
      </w:r>
      <w:r w:rsidR="00E5627E">
        <w:t xml:space="preserve"> </w:t>
      </w:r>
      <w:r>
        <w:t xml:space="preserve">These buildings </w:t>
      </w:r>
      <w:r w:rsidR="00E5627E">
        <w:t>were constructed in the</w:t>
      </w:r>
      <w:r w:rsidR="00CA17E6">
        <w:t xml:space="preserve"> late </w:t>
      </w:r>
      <w:r w:rsidR="00E5627E">
        <w:t>1960s</w:t>
      </w:r>
      <w:r w:rsidR="00D67D1F">
        <w:t>;</w:t>
      </w:r>
      <w:r w:rsidR="00E5627E">
        <w:t xml:space="preserve"> </w:t>
      </w:r>
      <w:r>
        <w:t>consist of research, teaching, and office spaces</w:t>
      </w:r>
      <w:r w:rsidR="00D67D1F">
        <w:t>;</w:t>
      </w:r>
      <w:r w:rsidR="00E5627E">
        <w:t xml:space="preserve"> and have major mechanical systems that have reached the end of their useful </w:t>
      </w:r>
      <w:r w:rsidR="00E5627E">
        <w:lastRenderedPageBreak/>
        <w:t>lifespan</w:t>
      </w:r>
      <w:r>
        <w:t xml:space="preserve">. </w:t>
      </w:r>
      <w:bookmarkStart w:id="2" w:name="_Hlk172014477"/>
      <w:r>
        <w:t xml:space="preserve">An energy audit was performed on these buildings to identify energy conservation measures to be implemented through energy </w:t>
      </w:r>
      <w:r w:rsidR="0090753B">
        <w:t xml:space="preserve">and operational </w:t>
      </w:r>
      <w:r>
        <w:t>savings</w:t>
      </w:r>
      <w:r w:rsidR="00D67D1F">
        <w:t>,</w:t>
      </w:r>
      <w:r>
        <w:t xml:space="preserve"> which will fund or repay design and construction costs in accordance with the Public University Energy Conservation Act.</w:t>
      </w:r>
      <w:r w:rsidR="004A504C">
        <w:t xml:space="preserve"> </w:t>
      </w:r>
    </w:p>
    <w:p w14:paraId="2D659EE4" w14:textId="34FB182B" w:rsidR="00CB5F0D" w:rsidRDefault="003D6FFC" w:rsidP="004A504C">
      <w:pPr>
        <w:tabs>
          <w:tab w:val="center" w:pos="5187"/>
        </w:tabs>
        <w:spacing w:after="0" w:line="480" w:lineRule="auto"/>
        <w:ind w:left="-14" w:firstLine="1454"/>
      </w:pPr>
      <w:r>
        <w:t xml:space="preserve">The ECMs (also referred to herein as the “project”), in an amount not to </w:t>
      </w:r>
    </w:p>
    <w:p w14:paraId="2E8D6786" w14:textId="6AA984B1" w:rsidR="00CB5F0D" w:rsidRDefault="003D6FFC" w:rsidP="004A504C">
      <w:pPr>
        <w:spacing w:after="0" w:line="480" w:lineRule="auto"/>
        <w:ind w:left="-4"/>
      </w:pPr>
      <w:r>
        <w:t>exceed $</w:t>
      </w:r>
      <w:r w:rsidR="007C6706">
        <w:t>29</w:t>
      </w:r>
      <w:r>
        <w:t>,</w:t>
      </w:r>
      <w:r w:rsidR="007C6706">
        <w:t>8</w:t>
      </w:r>
      <w:r>
        <w:t xml:space="preserve">00,000, will include, but are not limited to, the </w:t>
      </w:r>
      <w:r w:rsidR="007C6706">
        <w:t>replacement of air handling units</w:t>
      </w:r>
      <w:r>
        <w:t xml:space="preserve">, </w:t>
      </w:r>
      <w:r w:rsidR="007C6706">
        <w:t xml:space="preserve">installation of digital </w:t>
      </w:r>
      <w:r>
        <w:t xml:space="preserve">building controls systems, </w:t>
      </w:r>
      <w:r w:rsidR="00E5627E">
        <w:t>upgrading of hot water</w:t>
      </w:r>
      <w:r w:rsidR="00FF663F">
        <w:t xml:space="preserve"> pumps, </w:t>
      </w:r>
      <w:r w:rsidR="007C6706">
        <w:t>and replacement of booster coil valves</w:t>
      </w:r>
      <w:r>
        <w:t>.</w:t>
      </w:r>
    </w:p>
    <w:bookmarkEnd w:id="2"/>
    <w:p w14:paraId="01C9393B" w14:textId="7D45F1BF" w:rsidR="00CB5F0D" w:rsidRDefault="003D6FFC" w:rsidP="004A504C">
      <w:pPr>
        <w:spacing w:after="0" w:line="480" w:lineRule="auto"/>
        <w:ind w:left="-4" w:firstLine="1444"/>
      </w:pPr>
      <w:r>
        <w:t xml:space="preserve">Accordingly, the </w:t>
      </w:r>
      <w:r w:rsidR="00E71548">
        <w:t>chancellor</w:t>
      </w:r>
      <w:r>
        <w:t xml:space="preserve">, University of Illinois </w:t>
      </w:r>
      <w:r w:rsidR="007C6706">
        <w:t>Chicago</w:t>
      </w:r>
      <w:r>
        <w:t xml:space="preserve">, and </w:t>
      </w:r>
      <w:r w:rsidR="00E71548">
        <w:t>vice president</w:t>
      </w:r>
      <w:r>
        <w:t>, University of Illinois</w:t>
      </w:r>
      <w:r w:rsidR="007C6706">
        <w:t xml:space="preserve"> System</w:t>
      </w:r>
      <w:r w:rsidR="004A504C">
        <w:t>,</w:t>
      </w:r>
      <w:r>
        <w:t xml:space="preserve"> with the concurrence of the appropriate administrative officers</w:t>
      </w:r>
      <w:r w:rsidR="00D67D1F">
        <w:t>,</w:t>
      </w:r>
      <w:r>
        <w:t xml:space="preserve"> recommends that the energy conservation measures be approved with a budget of $</w:t>
      </w:r>
      <w:r w:rsidR="007C6706">
        <w:t>29</w:t>
      </w:r>
      <w:r>
        <w:t>,</w:t>
      </w:r>
      <w:r w:rsidR="007C6706">
        <w:t>8</w:t>
      </w:r>
      <w:r>
        <w:t xml:space="preserve">00,000. </w:t>
      </w:r>
    </w:p>
    <w:p w14:paraId="1EB1C06E" w14:textId="6F045442" w:rsidR="00CB5F0D" w:rsidRDefault="00B328C8" w:rsidP="00F65E24">
      <w:pPr>
        <w:spacing w:after="0" w:line="480" w:lineRule="auto"/>
        <w:ind w:left="-4" w:firstLine="1444"/>
      </w:pPr>
      <w:r>
        <w:t>Additionally, f</w:t>
      </w:r>
      <w:r w:rsidR="004A504C">
        <w:t>or</w:t>
      </w:r>
      <w:r w:rsidR="003D6FFC">
        <w:t xml:space="preserve"> the project to proceed, it is necessary to employ an ESCO for the required professional and construction services. The selection of the ESCO for this project was in accordance with the requirements and provisions of the Public University Energy Conservation Act.</w:t>
      </w:r>
      <w:r w:rsidR="003D6FFC">
        <w:rPr>
          <w:vertAlign w:val="superscript"/>
        </w:rPr>
        <w:t xml:space="preserve"> </w:t>
      </w:r>
      <w:r w:rsidR="003D6FFC">
        <w:rPr>
          <w:vertAlign w:val="superscript"/>
        </w:rPr>
        <w:footnoteReference w:id="1"/>
      </w:r>
      <w:r w:rsidR="003D6FFC">
        <w:rPr>
          <w:vertAlign w:val="superscript"/>
        </w:rPr>
        <w:t xml:space="preserve"> </w:t>
      </w:r>
    </w:p>
    <w:p w14:paraId="2BE681EA" w14:textId="79F68FEF" w:rsidR="00CB5F0D" w:rsidRDefault="003D6FFC" w:rsidP="004A504C">
      <w:pPr>
        <w:spacing w:after="0" w:line="480" w:lineRule="auto"/>
        <w:ind w:left="-4" w:firstLine="1444"/>
      </w:pPr>
      <w:r>
        <w:lastRenderedPageBreak/>
        <w:t xml:space="preserve">Accordingly, the </w:t>
      </w:r>
      <w:r w:rsidR="006C7807">
        <w:t>c</w:t>
      </w:r>
      <w:r>
        <w:t xml:space="preserve">hancellor, University of Illinois </w:t>
      </w:r>
      <w:r w:rsidR="007C6706">
        <w:t>Chicago</w:t>
      </w:r>
      <w:r>
        <w:t xml:space="preserve">, and </w:t>
      </w:r>
      <w:r w:rsidR="006C7807">
        <w:t>v</w:t>
      </w:r>
      <w:r>
        <w:t xml:space="preserve">ice </w:t>
      </w:r>
      <w:r w:rsidR="006C7807">
        <w:t>p</w:t>
      </w:r>
      <w:r>
        <w:t xml:space="preserve">resident, University of Illinois </w:t>
      </w:r>
      <w:r w:rsidR="007C6706">
        <w:t xml:space="preserve">System </w:t>
      </w:r>
      <w:r>
        <w:t xml:space="preserve">with the concurrence of the appropriate administrative officers recommends that </w:t>
      </w:r>
      <w:r w:rsidR="006F25E5">
        <w:t>Ameresco</w:t>
      </w:r>
      <w:r>
        <w:t xml:space="preserve"> of </w:t>
      </w:r>
      <w:r w:rsidR="006F25E5">
        <w:t>Chicago</w:t>
      </w:r>
      <w:r>
        <w:t>, I</w:t>
      </w:r>
      <w:r w:rsidR="004A504C">
        <w:t>L</w:t>
      </w:r>
      <w:r>
        <w:t>, be employed for the professional and construction services award for Energy Performance Contracting on</w:t>
      </w:r>
      <w:r w:rsidR="00FA30C8">
        <w:t xml:space="preserve"> </w:t>
      </w:r>
      <w:r w:rsidR="006F25E5">
        <w:t>University Hall and Behavioral Sciences Building</w:t>
      </w:r>
      <w:r>
        <w:t xml:space="preserve"> at </w:t>
      </w:r>
      <w:r w:rsidR="006F25E5">
        <w:t>Chicago</w:t>
      </w:r>
      <w:r>
        <w:t xml:space="preserve"> be approved. The ESCO’s fees will be approximately $</w:t>
      </w:r>
      <w:r w:rsidR="006F25E5">
        <w:t>28</w:t>
      </w:r>
      <w:r>
        <w:t>,</w:t>
      </w:r>
      <w:r w:rsidR="006F25E5">
        <w:t>6</w:t>
      </w:r>
      <w:r>
        <w:t>00,000.</w:t>
      </w:r>
      <w:r w:rsidR="004A504C">
        <w:t xml:space="preserve"> </w:t>
      </w:r>
      <w:bookmarkStart w:id="4" w:name="_Hlk174605378"/>
      <w:r w:rsidR="006C7807">
        <w:t xml:space="preserve">Supporting diverse business enterprises is a critical </w:t>
      </w:r>
      <w:r w:rsidR="00043C05">
        <w:t>prerequisite</w:t>
      </w:r>
      <w:r w:rsidR="006C7807">
        <w:t xml:space="preserve"> of this contract</w:t>
      </w:r>
      <w:r w:rsidR="00D67D1F">
        <w:t>,</w:t>
      </w:r>
      <w:r w:rsidR="006C7807">
        <w:t xml:space="preserve"> and Ameresco has committed itself to meet or exceed diverse business utilization rates of 31 percent for minority business enterprises and 3 percent for veteran-owned business enterprises. </w:t>
      </w:r>
      <w:bookmarkEnd w:id="4"/>
    </w:p>
    <w:p w14:paraId="4512B4BD" w14:textId="0B84DCB8" w:rsidR="00CB5F0D" w:rsidRDefault="006C7807" w:rsidP="004A504C">
      <w:pPr>
        <w:spacing w:after="0" w:line="480" w:lineRule="auto"/>
        <w:ind w:left="-4"/>
      </w:pPr>
      <w:r>
        <w:tab/>
      </w:r>
      <w:r>
        <w:tab/>
      </w:r>
      <w:r>
        <w:tab/>
      </w:r>
      <w:r>
        <w:tab/>
      </w:r>
      <w:r w:rsidR="003D6FFC">
        <w:t xml:space="preserve">The Board action recommended in this item complies in all material </w:t>
      </w:r>
    </w:p>
    <w:p w14:paraId="79ACA27B" w14:textId="77777777" w:rsidR="00CB5F0D" w:rsidRDefault="003D6FFC" w:rsidP="004A504C">
      <w:pPr>
        <w:spacing w:after="0" w:line="480" w:lineRule="auto"/>
        <w:ind w:left="-4"/>
      </w:pPr>
      <w:r>
        <w:t xml:space="preserve">respects with applicable State and federal laws, University of Illinois </w:t>
      </w:r>
      <w:r>
        <w:rPr>
          <w:i/>
        </w:rPr>
        <w:t>Statutes</w:t>
      </w:r>
      <w:r w:rsidRPr="00D67D1F">
        <w:rPr>
          <w:iCs/>
        </w:rPr>
        <w:t xml:space="preserve">, </w:t>
      </w:r>
      <w:r>
        <w:rPr>
          <w:i/>
        </w:rPr>
        <w:t xml:space="preserve">The </w:t>
      </w:r>
    </w:p>
    <w:p w14:paraId="6EE23122" w14:textId="0A9561D1" w:rsidR="00CB5F0D" w:rsidRDefault="003D6FFC" w:rsidP="004A504C">
      <w:pPr>
        <w:spacing w:after="0" w:line="480" w:lineRule="auto"/>
        <w:ind w:left="0" w:firstLine="0"/>
      </w:pPr>
      <w:r>
        <w:rPr>
          <w:i/>
        </w:rPr>
        <w:t>General Rules Concerning University Organization and Procedure</w:t>
      </w:r>
      <w:r>
        <w:t>, and Board of Trustees policies and directives.</w:t>
      </w:r>
      <w:r w:rsidR="004A504C">
        <w:t xml:space="preserve"> </w:t>
      </w:r>
    </w:p>
    <w:p w14:paraId="7683C748" w14:textId="35BDB6B8" w:rsidR="00CB5F0D" w:rsidRDefault="003D6FFC" w:rsidP="00904C68">
      <w:pPr>
        <w:spacing w:after="0" w:line="480" w:lineRule="auto"/>
        <w:ind w:left="-4" w:firstLine="1444"/>
      </w:pPr>
      <w:r>
        <w:t xml:space="preserve"> Funds for this project will be available from the institutional funds operating budget of the </w:t>
      </w:r>
      <w:r w:rsidR="00904C68">
        <w:t>University of Illinois Chi</w:t>
      </w:r>
      <w:r w:rsidR="008F17FB">
        <w:t>c</w:t>
      </w:r>
      <w:r w:rsidR="00904C68">
        <w:t>ago</w:t>
      </w:r>
      <w:r>
        <w:t xml:space="preserve"> with an anticipated resulting account that will be reimbursed through guaranteed energy </w:t>
      </w:r>
      <w:r w:rsidR="006F25E5">
        <w:t xml:space="preserve">and operational </w:t>
      </w:r>
      <w:r>
        <w:t xml:space="preserve">cost savings. </w:t>
      </w:r>
      <w:r>
        <w:tab/>
      </w:r>
      <w:r w:rsidR="004A504C">
        <w:t xml:space="preserve"> </w:t>
      </w:r>
    </w:p>
    <w:p w14:paraId="12C14173" w14:textId="77777777" w:rsidR="00473736" w:rsidRDefault="003D6FFC" w:rsidP="00473736">
      <w:pPr>
        <w:tabs>
          <w:tab w:val="center" w:pos="3540"/>
        </w:tabs>
        <w:ind w:left="-14" w:firstLine="0"/>
      </w:pPr>
      <w:r>
        <w:t xml:space="preserve"> </w:t>
      </w:r>
      <w:r>
        <w:tab/>
        <w:t xml:space="preserve">The </w:t>
      </w:r>
      <w:r w:rsidR="006C7807">
        <w:t>p</w:t>
      </w:r>
      <w:r>
        <w:t>resident of the University</w:t>
      </w:r>
      <w:r w:rsidR="00904C68">
        <w:t xml:space="preserve"> of Illinois</w:t>
      </w:r>
      <w:r w:rsidR="00D67D1F">
        <w:t xml:space="preserve"> System</w:t>
      </w:r>
      <w:r>
        <w:t xml:space="preserve"> concurs. </w:t>
      </w:r>
    </w:p>
    <w:p w14:paraId="4EDE2C1E" w14:textId="77777777" w:rsidR="00473736" w:rsidRDefault="00473736">
      <w:pPr>
        <w:spacing w:after="160" w:line="278" w:lineRule="auto"/>
        <w:ind w:left="0" w:firstLine="0"/>
      </w:pPr>
      <w:r>
        <w:br w:type="page"/>
      </w:r>
    </w:p>
    <w:tbl>
      <w:tblPr>
        <w:tblW w:w="9100" w:type="dxa"/>
        <w:tblLook w:val="04A0" w:firstRow="1" w:lastRow="0" w:firstColumn="1" w:lastColumn="0" w:noHBand="0" w:noVBand="1"/>
      </w:tblPr>
      <w:tblGrid>
        <w:gridCol w:w="3600"/>
        <w:gridCol w:w="1880"/>
        <w:gridCol w:w="1900"/>
        <w:gridCol w:w="1720"/>
      </w:tblGrid>
      <w:tr w:rsidR="00F4585F" w:rsidRPr="00DF4962" w14:paraId="61F18EFC" w14:textId="77777777" w:rsidTr="003E3D7D">
        <w:trPr>
          <w:trHeight w:val="330"/>
        </w:trPr>
        <w:tc>
          <w:tcPr>
            <w:tcW w:w="9100" w:type="dxa"/>
            <w:gridSpan w:val="4"/>
            <w:tcBorders>
              <w:top w:val="nil"/>
              <w:left w:val="nil"/>
              <w:bottom w:val="nil"/>
              <w:right w:val="nil"/>
            </w:tcBorders>
            <w:shd w:val="clear" w:color="auto" w:fill="auto"/>
            <w:noWrap/>
            <w:vAlign w:val="bottom"/>
            <w:hideMark/>
          </w:tcPr>
          <w:p w14:paraId="2A9CF1B6" w14:textId="77777777" w:rsidR="00F4585F" w:rsidRPr="00DF4962" w:rsidRDefault="00F4585F" w:rsidP="003E3D7D">
            <w:pPr>
              <w:spacing w:after="0" w:line="240" w:lineRule="auto"/>
              <w:ind w:left="0" w:firstLine="0"/>
              <w:rPr>
                <w:kern w:val="0"/>
                <w:szCs w:val="26"/>
                <w14:ligatures w14:val="none"/>
              </w:rPr>
            </w:pPr>
            <w:r w:rsidRPr="00DF4962">
              <w:rPr>
                <w:kern w:val="0"/>
                <w:szCs w:val="26"/>
                <w14:ligatures w14:val="none"/>
              </w:rPr>
              <w:lastRenderedPageBreak/>
              <w:t>Table 1: Diverse Business Utilization</w:t>
            </w:r>
          </w:p>
        </w:tc>
      </w:tr>
      <w:tr w:rsidR="00F4585F" w:rsidRPr="007A3DCC" w14:paraId="28DA7552" w14:textId="77777777" w:rsidTr="003E3D7D">
        <w:trPr>
          <w:trHeight w:val="960"/>
        </w:trPr>
        <w:tc>
          <w:tcPr>
            <w:tcW w:w="3600"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0B073869"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Awarded Vendor</w:t>
            </w:r>
          </w:p>
        </w:tc>
        <w:tc>
          <w:tcPr>
            <w:tcW w:w="1880" w:type="dxa"/>
            <w:tcBorders>
              <w:top w:val="single" w:sz="8" w:space="0" w:color="auto"/>
              <w:left w:val="nil"/>
              <w:bottom w:val="single" w:sz="8" w:space="0" w:color="auto"/>
              <w:right w:val="single" w:sz="4" w:space="0" w:color="auto"/>
            </w:tcBorders>
            <w:shd w:val="clear" w:color="000000" w:fill="DDEBF7"/>
            <w:vAlign w:val="bottom"/>
            <w:hideMark/>
          </w:tcPr>
          <w:p w14:paraId="2F0BC5F9"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Prime Contract $</w:t>
            </w:r>
          </w:p>
        </w:tc>
        <w:tc>
          <w:tcPr>
            <w:tcW w:w="1900" w:type="dxa"/>
            <w:tcBorders>
              <w:top w:val="single" w:sz="8" w:space="0" w:color="auto"/>
              <w:left w:val="nil"/>
              <w:bottom w:val="single" w:sz="8" w:space="0" w:color="auto"/>
              <w:right w:val="single" w:sz="4" w:space="0" w:color="auto"/>
            </w:tcBorders>
            <w:shd w:val="clear" w:color="000000" w:fill="DDEBF7"/>
            <w:vAlign w:val="bottom"/>
            <w:hideMark/>
          </w:tcPr>
          <w:p w14:paraId="71B6B347"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Diverse Subcontract</w:t>
            </w:r>
            <w:r w:rsidRPr="007A3DCC">
              <w:rPr>
                <w:kern w:val="0"/>
                <w:szCs w:val="26"/>
                <w14:ligatures w14:val="none"/>
              </w:rPr>
              <w:t>or</w:t>
            </w:r>
            <w:r w:rsidRPr="00DF4962">
              <w:rPr>
                <w:kern w:val="0"/>
                <w:szCs w:val="26"/>
                <w14:ligatures w14:val="none"/>
              </w:rPr>
              <w:t xml:space="preserve"> Value</w:t>
            </w:r>
          </w:p>
        </w:tc>
        <w:tc>
          <w:tcPr>
            <w:tcW w:w="1720" w:type="dxa"/>
            <w:tcBorders>
              <w:top w:val="single" w:sz="8" w:space="0" w:color="auto"/>
              <w:left w:val="nil"/>
              <w:bottom w:val="single" w:sz="8" w:space="0" w:color="auto"/>
              <w:right w:val="single" w:sz="8" w:space="0" w:color="auto"/>
            </w:tcBorders>
            <w:shd w:val="clear" w:color="000000" w:fill="DDEBF7"/>
            <w:vAlign w:val="bottom"/>
            <w:hideMark/>
          </w:tcPr>
          <w:p w14:paraId="0908921F" w14:textId="77777777" w:rsidR="00F4585F" w:rsidRPr="00DF4962" w:rsidRDefault="00F4585F" w:rsidP="003E3D7D">
            <w:pPr>
              <w:spacing w:after="0" w:line="240" w:lineRule="auto"/>
              <w:ind w:left="0" w:firstLine="0"/>
              <w:jc w:val="center"/>
              <w:rPr>
                <w:kern w:val="0"/>
                <w:szCs w:val="26"/>
                <w14:ligatures w14:val="none"/>
              </w:rPr>
            </w:pPr>
            <w:r w:rsidRPr="007A3DCC">
              <w:rPr>
                <w:kern w:val="0"/>
                <w:szCs w:val="26"/>
                <w14:ligatures w14:val="none"/>
              </w:rPr>
              <w:t xml:space="preserve">Diverse </w:t>
            </w:r>
            <w:r w:rsidRPr="00DF4962">
              <w:rPr>
                <w:kern w:val="0"/>
                <w:szCs w:val="26"/>
                <w14:ligatures w14:val="none"/>
              </w:rPr>
              <w:t>Sub</w:t>
            </w:r>
            <w:r w:rsidRPr="007A3DCC">
              <w:rPr>
                <w:kern w:val="0"/>
                <w:szCs w:val="26"/>
                <w14:ligatures w14:val="none"/>
              </w:rPr>
              <w:t xml:space="preserve">contractor </w:t>
            </w:r>
            <w:r w:rsidRPr="00DF4962">
              <w:rPr>
                <w:kern w:val="0"/>
                <w:szCs w:val="26"/>
                <w14:ligatures w14:val="none"/>
              </w:rPr>
              <w:t>% of Work</w:t>
            </w:r>
          </w:p>
        </w:tc>
      </w:tr>
      <w:tr w:rsidR="00F4585F" w:rsidRPr="00DF4962" w14:paraId="4C92FAC6" w14:textId="77777777" w:rsidTr="003E3D7D">
        <w:trPr>
          <w:trHeight w:val="315"/>
        </w:trPr>
        <w:tc>
          <w:tcPr>
            <w:tcW w:w="3600" w:type="dxa"/>
            <w:tcBorders>
              <w:top w:val="nil"/>
              <w:left w:val="single" w:sz="8" w:space="0" w:color="auto"/>
              <w:bottom w:val="nil"/>
              <w:right w:val="single" w:sz="4" w:space="0" w:color="auto"/>
            </w:tcBorders>
            <w:shd w:val="clear" w:color="auto" w:fill="auto"/>
            <w:hideMark/>
          </w:tcPr>
          <w:p w14:paraId="5FD39E42"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Ameresco, Chicago, IL</w:t>
            </w:r>
          </w:p>
        </w:tc>
        <w:tc>
          <w:tcPr>
            <w:tcW w:w="1880" w:type="dxa"/>
            <w:tcBorders>
              <w:top w:val="nil"/>
              <w:left w:val="nil"/>
              <w:bottom w:val="single" w:sz="4" w:space="0" w:color="auto"/>
              <w:right w:val="single" w:sz="4" w:space="0" w:color="auto"/>
            </w:tcBorders>
            <w:shd w:val="clear" w:color="auto" w:fill="auto"/>
            <w:hideMark/>
          </w:tcPr>
          <w:p w14:paraId="546B3127"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 xml:space="preserve">$28,597,124 </w:t>
            </w:r>
          </w:p>
        </w:tc>
        <w:tc>
          <w:tcPr>
            <w:tcW w:w="1900" w:type="dxa"/>
            <w:tcBorders>
              <w:top w:val="nil"/>
              <w:left w:val="nil"/>
              <w:bottom w:val="single" w:sz="4" w:space="0" w:color="auto"/>
              <w:right w:val="single" w:sz="4" w:space="0" w:color="auto"/>
            </w:tcBorders>
            <w:shd w:val="clear" w:color="auto" w:fill="auto"/>
            <w:hideMark/>
          </w:tcPr>
          <w:p w14:paraId="2F498394"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 </w:t>
            </w:r>
          </w:p>
        </w:tc>
        <w:tc>
          <w:tcPr>
            <w:tcW w:w="1720" w:type="dxa"/>
            <w:tcBorders>
              <w:top w:val="nil"/>
              <w:left w:val="nil"/>
              <w:bottom w:val="single" w:sz="4" w:space="0" w:color="auto"/>
              <w:right w:val="single" w:sz="8" w:space="0" w:color="auto"/>
            </w:tcBorders>
            <w:shd w:val="clear" w:color="auto" w:fill="auto"/>
            <w:noWrap/>
            <w:hideMark/>
          </w:tcPr>
          <w:p w14:paraId="32499983"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 </w:t>
            </w:r>
          </w:p>
        </w:tc>
      </w:tr>
      <w:tr w:rsidR="00F4585F" w:rsidRPr="00DF4962" w14:paraId="1EE84AC1" w14:textId="77777777" w:rsidTr="003E3D7D">
        <w:trPr>
          <w:trHeight w:val="315"/>
        </w:trPr>
        <w:tc>
          <w:tcPr>
            <w:tcW w:w="3600" w:type="dxa"/>
            <w:tcBorders>
              <w:top w:val="nil"/>
              <w:left w:val="single" w:sz="8" w:space="0" w:color="auto"/>
              <w:bottom w:val="nil"/>
              <w:right w:val="single" w:sz="4" w:space="0" w:color="auto"/>
            </w:tcBorders>
            <w:shd w:val="clear" w:color="auto" w:fill="auto"/>
            <w:hideMark/>
          </w:tcPr>
          <w:p w14:paraId="3DAB6302"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 </w:t>
            </w:r>
          </w:p>
        </w:tc>
        <w:tc>
          <w:tcPr>
            <w:tcW w:w="1880" w:type="dxa"/>
            <w:tcBorders>
              <w:top w:val="nil"/>
              <w:left w:val="nil"/>
              <w:bottom w:val="single" w:sz="4" w:space="0" w:color="auto"/>
              <w:right w:val="single" w:sz="4" w:space="0" w:color="auto"/>
            </w:tcBorders>
            <w:shd w:val="clear" w:color="auto" w:fill="auto"/>
            <w:hideMark/>
          </w:tcPr>
          <w:p w14:paraId="73021ED6"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MBE (AFA)</w:t>
            </w:r>
          </w:p>
        </w:tc>
        <w:tc>
          <w:tcPr>
            <w:tcW w:w="1900" w:type="dxa"/>
            <w:tcBorders>
              <w:top w:val="nil"/>
              <w:left w:val="nil"/>
              <w:bottom w:val="nil"/>
              <w:right w:val="single" w:sz="4" w:space="0" w:color="auto"/>
            </w:tcBorders>
            <w:shd w:val="clear" w:color="auto" w:fill="auto"/>
            <w:hideMark/>
          </w:tcPr>
          <w:p w14:paraId="3365F326"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$200,000</w:t>
            </w:r>
          </w:p>
        </w:tc>
        <w:tc>
          <w:tcPr>
            <w:tcW w:w="1720" w:type="dxa"/>
            <w:tcBorders>
              <w:top w:val="nil"/>
              <w:left w:val="nil"/>
              <w:bottom w:val="nil"/>
              <w:right w:val="single" w:sz="8" w:space="0" w:color="auto"/>
            </w:tcBorders>
            <w:shd w:val="clear" w:color="auto" w:fill="auto"/>
            <w:noWrap/>
            <w:hideMark/>
          </w:tcPr>
          <w:p w14:paraId="692DD8EF"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1%</w:t>
            </w:r>
          </w:p>
        </w:tc>
      </w:tr>
      <w:tr w:rsidR="00F4585F" w:rsidRPr="00DF4962" w14:paraId="7AFAB754" w14:textId="77777777" w:rsidTr="003E3D7D">
        <w:trPr>
          <w:trHeight w:val="315"/>
        </w:trPr>
        <w:tc>
          <w:tcPr>
            <w:tcW w:w="3600" w:type="dxa"/>
            <w:tcBorders>
              <w:top w:val="nil"/>
              <w:left w:val="single" w:sz="8" w:space="0" w:color="auto"/>
              <w:bottom w:val="nil"/>
              <w:right w:val="single" w:sz="4" w:space="0" w:color="auto"/>
            </w:tcBorders>
            <w:shd w:val="clear" w:color="auto" w:fill="auto"/>
            <w:hideMark/>
          </w:tcPr>
          <w:p w14:paraId="5088803D"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 </w:t>
            </w:r>
          </w:p>
        </w:tc>
        <w:tc>
          <w:tcPr>
            <w:tcW w:w="1880" w:type="dxa"/>
            <w:tcBorders>
              <w:top w:val="nil"/>
              <w:left w:val="nil"/>
              <w:bottom w:val="single" w:sz="4" w:space="0" w:color="auto"/>
              <w:right w:val="single" w:sz="4" w:space="0" w:color="auto"/>
            </w:tcBorders>
            <w:shd w:val="clear" w:color="auto" w:fill="auto"/>
            <w:hideMark/>
          </w:tcPr>
          <w:p w14:paraId="1FAC91DC"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MBE (ASA)</w:t>
            </w:r>
          </w:p>
        </w:tc>
        <w:tc>
          <w:tcPr>
            <w:tcW w:w="1900" w:type="dxa"/>
            <w:tcBorders>
              <w:top w:val="single" w:sz="4" w:space="0" w:color="auto"/>
              <w:left w:val="nil"/>
              <w:bottom w:val="nil"/>
              <w:right w:val="single" w:sz="4" w:space="0" w:color="auto"/>
            </w:tcBorders>
            <w:shd w:val="clear" w:color="auto" w:fill="auto"/>
            <w:hideMark/>
          </w:tcPr>
          <w:p w14:paraId="3A645567"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$2,406,020</w:t>
            </w:r>
          </w:p>
        </w:tc>
        <w:tc>
          <w:tcPr>
            <w:tcW w:w="1720" w:type="dxa"/>
            <w:tcBorders>
              <w:top w:val="single" w:sz="4" w:space="0" w:color="auto"/>
              <w:left w:val="nil"/>
              <w:bottom w:val="nil"/>
              <w:right w:val="single" w:sz="8" w:space="0" w:color="auto"/>
            </w:tcBorders>
            <w:shd w:val="clear" w:color="auto" w:fill="auto"/>
            <w:noWrap/>
            <w:hideMark/>
          </w:tcPr>
          <w:p w14:paraId="362D17E7"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8%</w:t>
            </w:r>
          </w:p>
        </w:tc>
      </w:tr>
      <w:tr w:rsidR="00F4585F" w:rsidRPr="00DF4962" w14:paraId="58492C9C" w14:textId="77777777" w:rsidTr="003E3D7D">
        <w:trPr>
          <w:trHeight w:val="315"/>
        </w:trPr>
        <w:tc>
          <w:tcPr>
            <w:tcW w:w="3600" w:type="dxa"/>
            <w:tcBorders>
              <w:top w:val="nil"/>
              <w:left w:val="single" w:sz="8" w:space="0" w:color="auto"/>
              <w:bottom w:val="nil"/>
              <w:right w:val="single" w:sz="4" w:space="0" w:color="auto"/>
            </w:tcBorders>
            <w:shd w:val="clear" w:color="auto" w:fill="auto"/>
            <w:hideMark/>
          </w:tcPr>
          <w:p w14:paraId="7F581D7A"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 </w:t>
            </w:r>
          </w:p>
        </w:tc>
        <w:tc>
          <w:tcPr>
            <w:tcW w:w="1880" w:type="dxa"/>
            <w:tcBorders>
              <w:top w:val="nil"/>
              <w:left w:val="nil"/>
              <w:bottom w:val="single" w:sz="4" w:space="0" w:color="auto"/>
              <w:right w:val="single" w:sz="4" w:space="0" w:color="auto"/>
            </w:tcBorders>
            <w:shd w:val="clear" w:color="auto" w:fill="auto"/>
            <w:hideMark/>
          </w:tcPr>
          <w:p w14:paraId="726FDD35"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MBE (HA)</w:t>
            </w:r>
          </w:p>
        </w:tc>
        <w:tc>
          <w:tcPr>
            <w:tcW w:w="1900" w:type="dxa"/>
            <w:tcBorders>
              <w:top w:val="single" w:sz="4" w:space="0" w:color="auto"/>
              <w:left w:val="nil"/>
              <w:bottom w:val="single" w:sz="4" w:space="0" w:color="auto"/>
              <w:right w:val="single" w:sz="4" w:space="0" w:color="auto"/>
            </w:tcBorders>
            <w:shd w:val="clear" w:color="auto" w:fill="auto"/>
            <w:hideMark/>
          </w:tcPr>
          <w:p w14:paraId="48863F40"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$3,049,192</w:t>
            </w:r>
          </w:p>
        </w:tc>
        <w:tc>
          <w:tcPr>
            <w:tcW w:w="1720" w:type="dxa"/>
            <w:tcBorders>
              <w:top w:val="single" w:sz="4" w:space="0" w:color="auto"/>
              <w:left w:val="nil"/>
              <w:bottom w:val="single" w:sz="4" w:space="0" w:color="auto"/>
              <w:right w:val="single" w:sz="8" w:space="0" w:color="auto"/>
            </w:tcBorders>
            <w:shd w:val="clear" w:color="auto" w:fill="auto"/>
            <w:noWrap/>
            <w:hideMark/>
          </w:tcPr>
          <w:p w14:paraId="613563F9"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11%</w:t>
            </w:r>
          </w:p>
        </w:tc>
      </w:tr>
      <w:tr w:rsidR="00F4585F" w:rsidRPr="00DF4962" w14:paraId="6F7D0F3C" w14:textId="77777777" w:rsidTr="003E3D7D">
        <w:trPr>
          <w:trHeight w:val="630"/>
        </w:trPr>
        <w:tc>
          <w:tcPr>
            <w:tcW w:w="3600" w:type="dxa"/>
            <w:tcBorders>
              <w:top w:val="nil"/>
              <w:left w:val="single" w:sz="8" w:space="0" w:color="auto"/>
              <w:bottom w:val="nil"/>
              <w:right w:val="single" w:sz="4" w:space="0" w:color="auto"/>
            </w:tcBorders>
            <w:shd w:val="clear" w:color="auto" w:fill="auto"/>
            <w:hideMark/>
          </w:tcPr>
          <w:p w14:paraId="0A413EC2"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 </w:t>
            </w:r>
          </w:p>
        </w:tc>
        <w:tc>
          <w:tcPr>
            <w:tcW w:w="1880" w:type="dxa"/>
            <w:tcBorders>
              <w:top w:val="nil"/>
              <w:left w:val="nil"/>
              <w:bottom w:val="nil"/>
              <w:right w:val="single" w:sz="4" w:space="0" w:color="auto"/>
            </w:tcBorders>
            <w:shd w:val="clear" w:color="auto" w:fill="auto"/>
            <w:hideMark/>
          </w:tcPr>
          <w:p w14:paraId="0411430A"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VOSB</w:t>
            </w:r>
          </w:p>
        </w:tc>
        <w:tc>
          <w:tcPr>
            <w:tcW w:w="1900" w:type="dxa"/>
            <w:tcBorders>
              <w:top w:val="nil"/>
              <w:left w:val="nil"/>
              <w:bottom w:val="nil"/>
              <w:right w:val="single" w:sz="4" w:space="0" w:color="auto"/>
            </w:tcBorders>
            <w:shd w:val="clear" w:color="auto" w:fill="auto"/>
            <w:hideMark/>
          </w:tcPr>
          <w:p w14:paraId="254590B4"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$858,000</w:t>
            </w:r>
          </w:p>
        </w:tc>
        <w:tc>
          <w:tcPr>
            <w:tcW w:w="1720" w:type="dxa"/>
            <w:tcBorders>
              <w:top w:val="nil"/>
              <w:left w:val="nil"/>
              <w:bottom w:val="single" w:sz="4" w:space="0" w:color="auto"/>
              <w:right w:val="single" w:sz="8" w:space="0" w:color="auto"/>
            </w:tcBorders>
            <w:shd w:val="clear" w:color="auto" w:fill="auto"/>
            <w:noWrap/>
            <w:hideMark/>
          </w:tcPr>
          <w:p w14:paraId="78CD1A76"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3%</w:t>
            </w:r>
          </w:p>
        </w:tc>
      </w:tr>
      <w:tr w:rsidR="00F4585F" w:rsidRPr="00DF4962" w14:paraId="3F93BE82" w14:textId="77777777" w:rsidTr="003E3D7D">
        <w:trPr>
          <w:trHeight w:val="315"/>
        </w:trPr>
        <w:tc>
          <w:tcPr>
            <w:tcW w:w="3600" w:type="dxa"/>
            <w:tcBorders>
              <w:top w:val="nil"/>
              <w:left w:val="single" w:sz="8" w:space="0" w:color="auto"/>
              <w:bottom w:val="nil"/>
              <w:right w:val="single" w:sz="4" w:space="0" w:color="auto"/>
            </w:tcBorders>
            <w:shd w:val="clear" w:color="auto" w:fill="auto"/>
            <w:hideMark/>
          </w:tcPr>
          <w:p w14:paraId="2BBE6011"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 </w:t>
            </w:r>
          </w:p>
        </w:tc>
        <w:tc>
          <w:tcPr>
            <w:tcW w:w="1880" w:type="dxa"/>
            <w:tcBorders>
              <w:top w:val="single" w:sz="4" w:space="0" w:color="auto"/>
              <w:left w:val="nil"/>
              <w:bottom w:val="nil"/>
              <w:right w:val="single" w:sz="4" w:space="0" w:color="auto"/>
            </w:tcBorders>
            <w:shd w:val="clear" w:color="auto" w:fill="auto"/>
            <w:hideMark/>
          </w:tcPr>
          <w:p w14:paraId="41783BFA"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WBE</w:t>
            </w:r>
          </w:p>
        </w:tc>
        <w:tc>
          <w:tcPr>
            <w:tcW w:w="1900" w:type="dxa"/>
            <w:tcBorders>
              <w:top w:val="single" w:sz="4" w:space="0" w:color="auto"/>
              <w:left w:val="nil"/>
              <w:bottom w:val="nil"/>
              <w:right w:val="single" w:sz="4" w:space="0" w:color="auto"/>
            </w:tcBorders>
            <w:shd w:val="clear" w:color="auto" w:fill="auto"/>
            <w:hideMark/>
          </w:tcPr>
          <w:p w14:paraId="3CA1AA75"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$3,217,243</w:t>
            </w:r>
          </w:p>
        </w:tc>
        <w:tc>
          <w:tcPr>
            <w:tcW w:w="1720" w:type="dxa"/>
            <w:tcBorders>
              <w:top w:val="nil"/>
              <w:left w:val="nil"/>
              <w:bottom w:val="single" w:sz="4" w:space="0" w:color="auto"/>
              <w:right w:val="single" w:sz="8" w:space="0" w:color="auto"/>
            </w:tcBorders>
            <w:shd w:val="clear" w:color="auto" w:fill="auto"/>
            <w:noWrap/>
            <w:hideMark/>
          </w:tcPr>
          <w:p w14:paraId="21150CAB"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11%</w:t>
            </w:r>
          </w:p>
        </w:tc>
      </w:tr>
      <w:tr w:rsidR="00F4585F" w:rsidRPr="00DF4962" w14:paraId="2885FB1C" w14:textId="77777777" w:rsidTr="003E3D7D">
        <w:trPr>
          <w:trHeight w:val="330"/>
        </w:trPr>
        <w:tc>
          <w:tcPr>
            <w:tcW w:w="3600" w:type="dxa"/>
            <w:tcBorders>
              <w:top w:val="nil"/>
              <w:left w:val="single" w:sz="8" w:space="0" w:color="auto"/>
              <w:bottom w:val="single" w:sz="8" w:space="0" w:color="auto"/>
              <w:right w:val="single" w:sz="4" w:space="0" w:color="auto"/>
            </w:tcBorders>
            <w:shd w:val="clear" w:color="auto" w:fill="auto"/>
            <w:hideMark/>
          </w:tcPr>
          <w:p w14:paraId="22005885" w14:textId="77777777" w:rsidR="00F4585F" w:rsidRPr="00DF4962" w:rsidRDefault="00F4585F" w:rsidP="003E3D7D">
            <w:pPr>
              <w:spacing w:after="0" w:line="240" w:lineRule="auto"/>
              <w:ind w:left="0" w:firstLine="0"/>
              <w:jc w:val="center"/>
              <w:rPr>
                <w:kern w:val="0"/>
                <w:szCs w:val="26"/>
                <w14:ligatures w14:val="none"/>
              </w:rPr>
            </w:pPr>
            <w:r w:rsidRPr="00DF4962">
              <w:rPr>
                <w:kern w:val="0"/>
                <w:szCs w:val="26"/>
                <w14:ligatures w14:val="none"/>
              </w:rPr>
              <w:t> </w:t>
            </w:r>
          </w:p>
        </w:tc>
        <w:tc>
          <w:tcPr>
            <w:tcW w:w="1880" w:type="dxa"/>
            <w:tcBorders>
              <w:top w:val="single" w:sz="4" w:space="0" w:color="auto"/>
              <w:left w:val="nil"/>
              <w:bottom w:val="single" w:sz="8" w:space="0" w:color="auto"/>
              <w:right w:val="single" w:sz="4" w:space="0" w:color="auto"/>
            </w:tcBorders>
            <w:shd w:val="clear" w:color="auto" w:fill="auto"/>
            <w:hideMark/>
          </w:tcPr>
          <w:p w14:paraId="0250B140" w14:textId="77777777" w:rsidR="00F4585F" w:rsidRPr="00DF4962" w:rsidRDefault="00F4585F" w:rsidP="003E3D7D">
            <w:pPr>
              <w:spacing w:after="0" w:line="240" w:lineRule="auto"/>
              <w:ind w:left="0" w:firstLine="0"/>
              <w:jc w:val="center"/>
              <w:rPr>
                <w:b/>
                <w:bCs/>
                <w:kern w:val="0"/>
                <w:szCs w:val="26"/>
                <w14:ligatures w14:val="none"/>
              </w:rPr>
            </w:pPr>
            <w:r w:rsidRPr="00DF4962">
              <w:rPr>
                <w:b/>
                <w:bCs/>
                <w:kern w:val="0"/>
                <w:szCs w:val="26"/>
                <w14:ligatures w14:val="none"/>
              </w:rPr>
              <w:t> </w:t>
            </w:r>
          </w:p>
        </w:tc>
        <w:tc>
          <w:tcPr>
            <w:tcW w:w="1900" w:type="dxa"/>
            <w:tcBorders>
              <w:top w:val="single" w:sz="4" w:space="0" w:color="auto"/>
              <w:left w:val="nil"/>
              <w:bottom w:val="single" w:sz="8" w:space="0" w:color="auto"/>
              <w:right w:val="single" w:sz="4" w:space="0" w:color="auto"/>
            </w:tcBorders>
            <w:shd w:val="clear" w:color="auto" w:fill="auto"/>
            <w:hideMark/>
          </w:tcPr>
          <w:p w14:paraId="6CAC89F0" w14:textId="77777777" w:rsidR="00F4585F" w:rsidRPr="00DF4962" w:rsidRDefault="00F4585F" w:rsidP="003E3D7D">
            <w:pPr>
              <w:spacing w:after="0" w:line="240" w:lineRule="auto"/>
              <w:ind w:left="0" w:firstLine="0"/>
              <w:jc w:val="center"/>
              <w:rPr>
                <w:b/>
                <w:bCs/>
                <w:kern w:val="0"/>
                <w:szCs w:val="26"/>
                <w14:ligatures w14:val="none"/>
              </w:rPr>
            </w:pPr>
            <w:r w:rsidRPr="00DF4962">
              <w:rPr>
                <w:b/>
                <w:bCs/>
                <w:kern w:val="0"/>
                <w:szCs w:val="26"/>
                <w14:ligatures w14:val="none"/>
              </w:rPr>
              <w:t>$9,730,455</w:t>
            </w:r>
          </w:p>
        </w:tc>
        <w:tc>
          <w:tcPr>
            <w:tcW w:w="1720" w:type="dxa"/>
            <w:tcBorders>
              <w:top w:val="nil"/>
              <w:left w:val="nil"/>
              <w:bottom w:val="single" w:sz="8" w:space="0" w:color="auto"/>
              <w:right w:val="single" w:sz="8" w:space="0" w:color="auto"/>
            </w:tcBorders>
            <w:shd w:val="clear" w:color="auto" w:fill="auto"/>
            <w:noWrap/>
            <w:hideMark/>
          </w:tcPr>
          <w:p w14:paraId="3234A40B" w14:textId="77777777" w:rsidR="00F4585F" w:rsidRPr="00DF4962" w:rsidRDefault="00F4585F" w:rsidP="003E3D7D">
            <w:pPr>
              <w:spacing w:after="0" w:line="240" w:lineRule="auto"/>
              <w:ind w:left="0" w:firstLine="0"/>
              <w:jc w:val="center"/>
              <w:rPr>
                <w:b/>
                <w:bCs/>
                <w:kern w:val="0"/>
                <w:szCs w:val="26"/>
                <w14:ligatures w14:val="none"/>
              </w:rPr>
            </w:pPr>
            <w:r w:rsidRPr="00DF4962">
              <w:rPr>
                <w:b/>
                <w:bCs/>
                <w:kern w:val="0"/>
                <w:szCs w:val="26"/>
                <w14:ligatures w14:val="none"/>
              </w:rPr>
              <w:t>34%</w:t>
            </w:r>
          </w:p>
        </w:tc>
      </w:tr>
    </w:tbl>
    <w:p w14:paraId="081D52F9" w14:textId="4BF22813" w:rsidR="004044F0" w:rsidRDefault="004044F0" w:rsidP="00F4585F">
      <w:pPr>
        <w:tabs>
          <w:tab w:val="center" w:pos="3540"/>
        </w:tabs>
        <w:ind w:left="-14" w:firstLine="0"/>
      </w:pPr>
    </w:p>
    <w:sectPr w:rsidR="004044F0" w:rsidSect="00904C68">
      <w:headerReference w:type="default" r:id="rId6"/>
      <w:footnotePr>
        <w:numRestart w:val="eachPage"/>
      </w:footnotePr>
      <w:pgSz w:w="12240" w:h="15840"/>
      <w:pgMar w:top="72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5C45" w14:textId="77777777" w:rsidR="00125F5D" w:rsidRDefault="00125F5D">
      <w:pPr>
        <w:spacing w:after="0" w:line="240" w:lineRule="auto"/>
      </w:pPr>
      <w:r>
        <w:separator/>
      </w:r>
    </w:p>
  </w:endnote>
  <w:endnote w:type="continuationSeparator" w:id="0">
    <w:p w14:paraId="689E6426" w14:textId="77777777" w:rsidR="00125F5D" w:rsidRDefault="0012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DC0B3" w14:textId="77777777" w:rsidR="00125F5D" w:rsidRDefault="00125F5D">
      <w:pPr>
        <w:spacing w:after="0" w:line="277" w:lineRule="auto"/>
        <w:ind w:left="0" w:firstLine="0"/>
      </w:pPr>
      <w:r>
        <w:separator/>
      </w:r>
    </w:p>
  </w:footnote>
  <w:footnote w:type="continuationSeparator" w:id="0">
    <w:p w14:paraId="7D57738A" w14:textId="77777777" w:rsidR="00125F5D" w:rsidRDefault="00125F5D">
      <w:pPr>
        <w:spacing w:after="0" w:line="277" w:lineRule="auto"/>
        <w:ind w:left="0" w:firstLine="0"/>
      </w:pPr>
      <w:r>
        <w:continuationSeparator/>
      </w:r>
    </w:p>
  </w:footnote>
  <w:footnote w:id="1">
    <w:p w14:paraId="1ACD9C66" w14:textId="64B7CB13" w:rsidR="00CB5F0D" w:rsidRPr="004A504C" w:rsidRDefault="003D6FFC" w:rsidP="00FF663F">
      <w:pPr>
        <w:pStyle w:val="footnotedescription"/>
        <w:spacing w:line="277" w:lineRule="auto"/>
        <w:rPr>
          <w:sz w:val="26"/>
          <w:szCs w:val="26"/>
        </w:rPr>
      </w:pPr>
      <w:bookmarkStart w:id="3" w:name="_Hlk171966365"/>
      <w:r w:rsidRPr="004A504C">
        <w:rPr>
          <w:rStyle w:val="footnotemark"/>
          <w:sz w:val="26"/>
          <w:szCs w:val="26"/>
        </w:rPr>
        <w:footnoteRef/>
      </w:r>
      <w:r w:rsidRPr="004A504C">
        <w:rPr>
          <w:sz w:val="26"/>
          <w:szCs w:val="26"/>
        </w:rPr>
        <w:t xml:space="preserve"> </w:t>
      </w:r>
      <w:bookmarkEnd w:id="3"/>
      <w:r w:rsidR="00FF663F" w:rsidRPr="004A504C">
        <w:rPr>
          <w:sz w:val="26"/>
          <w:szCs w:val="26"/>
        </w:rPr>
        <w:t>A selection committee consisting of Chris Rogan</w:t>
      </w:r>
      <w:r w:rsidR="004A504C">
        <w:rPr>
          <w:sz w:val="26"/>
          <w:szCs w:val="26"/>
        </w:rPr>
        <w:t xml:space="preserve">, </w:t>
      </w:r>
      <w:r w:rsidR="00FF663F" w:rsidRPr="004A504C">
        <w:rPr>
          <w:sz w:val="26"/>
          <w:szCs w:val="26"/>
        </w:rPr>
        <w:t>University Office of Capital Programs and Real Estate Services; Amber Perfetti</w:t>
      </w:r>
      <w:r w:rsidR="004A504C">
        <w:rPr>
          <w:sz w:val="26"/>
          <w:szCs w:val="26"/>
        </w:rPr>
        <w:t xml:space="preserve">, </w:t>
      </w:r>
      <w:r w:rsidR="00FF663F" w:rsidRPr="004A504C">
        <w:rPr>
          <w:sz w:val="26"/>
          <w:szCs w:val="26"/>
        </w:rPr>
        <w:t xml:space="preserve">UIUC </w:t>
      </w:r>
      <w:r w:rsidR="004A504C">
        <w:rPr>
          <w:sz w:val="26"/>
          <w:szCs w:val="26"/>
        </w:rPr>
        <w:t>e</w:t>
      </w:r>
      <w:r w:rsidR="00FF663F" w:rsidRPr="004A504C">
        <w:rPr>
          <w:sz w:val="26"/>
          <w:szCs w:val="26"/>
        </w:rPr>
        <w:t xml:space="preserve">nergy </w:t>
      </w:r>
      <w:r w:rsidR="004A504C">
        <w:rPr>
          <w:sz w:val="26"/>
          <w:szCs w:val="26"/>
        </w:rPr>
        <w:t>e</w:t>
      </w:r>
      <w:r w:rsidR="00FF663F" w:rsidRPr="004A504C">
        <w:rPr>
          <w:sz w:val="26"/>
          <w:szCs w:val="26"/>
        </w:rPr>
        <w:t>ngineer; Andrew Barrett</w:t>
      </w:r>
      <w:r w:rsidR="004A504C">
        <w:rPr>
          <w:sz w:val="26"/>
          <w:szCs w:val="26"/>
        </w:rPr>
        <w:t xml:space="preserve">, </w:t>
      </w:r>
      <w:r w:rsidR="00FF663F" w:rsidRPr="004A504C">
        <w:rPr>
          <w:sz w:val="26"/>
          <w:szCs w:val="26"/>
        </w:rPr>
        <w:t>UIC Facilities</w:t>
      </w:r>
      <w:r w:rsidR="00D67D1F">
        <w:rPr>
          <w:sz w:val="26"/>
          <w:szCs w:val="26"/>
        </w:rPr>
        <w:t xml:space="preserve"> Management</w:t>
      </w:r>
      <w:r w:rsidR="00FF663F" w:rsidRPr="004A504C">
        <w:rPr>
          <w:sz w:val="26"/>
          <w:szCs w:val="26"/>
        </w:rPr>
        <w:t>; Andy Mitchel</w:t>
      </w:r>
      <w:r w:rsidR="004A504C">
        <w:rPr>
          <w:sz w:val="26"/>
          <w:szCs w:val="26"/>
        </w:rPr>
        <w:t xml:space="preserve">, </w:t>
      </w:r>
      <w:r w:rsidR="00FF663F" w:rsidRPr="004A504C">
        <w:rPr>
          <w:sz w:val="26"/>
          <w:szCs w:val="26"/>
        </w:rPr>
        <w:t xml:space="preserve">UIC </w:t>
      </w:r>
      <w:r w:rsidR="004C2A03" w:rsidRPr="004A504C">
        <w:rPr>
          <w:sz w:val="26"/>
          <w:szCs w:val="26"/>
        </w:rPr>
        <w:t>PSPM</w:t>
      </w:r>
      <w:r w:rsidR="00FF663F" w:rsidRPr="004A504C">
        <w:rPr>
          <w:sz w:val="26"/>
          <w:szCs w:val="26"/>
        </w:rPr>
        <w:t>; Branko Bogicevic</w:t>
      </w:r>
      <w:r w:rsidR="004A504C">
        <w:rPr>
          <w:sz w:val="26"/>
          <w:szCs w:val="26"/>
        </w:rPr>
        <w:t xml:space="preserve">, </w:t>
      </w:r>
      <w:r w:rsidR="00FF663F" w:rsidRPr="004A504C">
        <w:rPr>
          <w:sz w:val="26"/>
          <w:szCs w:val="26"/>
        </w:rPr>
        <w:t>UIC PSPM;</w:t>
      </w:r>
      <w:r w:rsidR="004C2A03" w:rsidRPr="004A504C">
        <w:rPr>
          <w:sz w:val="26"/>
          <w:szCs w:val="26"/>
        </w:rPr>
        <w:t xml:space="preserve"> </w:t>
      </w:r>
      <w:r w:rsidR="00FF663F" w:rsidRPr="004A504C">
        <w:rPr>
          <w:sz w:val="26"/>
          <w:szCs w:val="26"/>
        </w:rPr>
        <w:t>Sandeep Kulkarni</w:t>
      </w:r>
      <w:r w:rsidR="004A504C">
        <w:rPr>
          <w:sz w:val="26"/>
          <w:szCs w:val="26"/>
        </w:rPr>
        <w:t xml:space="preserve">, </w:t>
      </w:r>
      <w:r w:rsidR="00FF663F" w:rsidRPr="004A504C">
        <w:rPr>
          <w:sz w:val="26"/>
          <w:szCs w:val="26"/>
        </w:rPr>
        <w:t>UIC PSPM;</w:t>
      </w:r>
      <w:r w:rsidR="004A504C">
        <w:rPr>
          <w:sz w:val="26"/>
          <w:szCs w:val="26"/>
        </w:rPr>
        <w:t xml:space="preserve"> and </w:t>
      </w:r>
      <w:r w:rsidR="00FF663F" w:rsidRPr="004A504C">
        <w:rPr>
          <w:sz w:val="26"/>
          <w:szCs w:val="26"/>
        </w:rPr>
        <w:t>Sharla Roberts</w:t>
      </w:r>
      <w:r w:rsidR="004A504C">
        <w:rPr>
          <w:sz w:val="26"/>
          <w:szCs w:val="26"/>
        </w:rPr>
        <w:t xml:space="preserve">, </w:t>
      </w:r>
      <w:r w:rsidR="00FF663F" w:rsidRPr="004A504C">
        <w:rPr>
          <w:sz w:val="26"/>
          <w:szCs w:val="26"/>
        </w:rPr>
        <w:t>Office of Procurement Diversity</w:t>
      </w:r>
      <w:r w:rsidR="00D67D1F">
        <w:rPr>
          <w:sz w:val="26"/>
          <w:szCs w:val="26"/>
        </w:rPr>
        <w:t>,</w:t>
      </w:r>
      <w:r w:rsidR="00FF663F" w:rsidRPr="004A504C">
        <w:rPr>
          <w:sz w:val="26"/>
          <w:szCs w:val="26"/>
        </w:rPr>
        <w:t xml:space="preserve"> interviewed and ranked as most qualified the following firms: Ameresco, Chicago IL; Noresco, Des Plaines, IL</w:t>
      </w:r>
      <w:r w:rsidR="004A504C">
        <w:rPr>
          <w:sz w:val="26"/>
          <w:szCs w:val="26"/>
        </w:rPr>
        <w:t>;</w:t>
      </w:r>
      <w:r w:rsidR="00FF663F" w:rsidRPr="004A504C">
        <w:rPr>
          <w:sz w:val="26"/>
          <w:szCs w:val="26"/>
        </w:rPr>
        <w:t xml:space="preserve"> and Energy Systems Group, Lisle, IL. The committee recommends Ameresco, Chicago, IL, as best meeting the criteria for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648310"/>
      <w:docPartObj>
        <w:docPartGallery w:val="Page Numbers (Top of Page)"/>
        <w:docPartUnique/>
      </w:docPartObj>
    </w:sdtPr>
    <w:sdtEndPr>
      <w:rPr>
        <w:noProof/>
      </w:rPr>
    </w:sdtEndPr>
    <w:sdtContent>
      <w:p w14:paraId="0FB79F52" w14:textId="2F8FF62A" w:rsidR="004A504C" w:rsidRDefault="004A504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4514EF" w14:textId="77777777" w:rsidR="004A504C" w:rsidRDefault="004A5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0D"/>
    <w:rsid w:val="00011CF5"/>
    <w:rsid w:val="00043C05"/>
    <w:rsid w:val="00100063"/>
    <w:rsid w:val="00125F5D"/>
    <w:rsid w:val="001869A3"/>
    <w:rsid w:val="00195245"/>
    <w:rsid w:val="0021744E"/>
    <w:rsid w:val="002B1F3A"/>
    <w:rsid w:val="0035171E"/>
    <w:rsid w:val="0039433A"/>
    <w:rsid w:val="003D6FFC"/>
    <w:rsid w:val="004044F0"/>
    <w:rsid w:val="004357C2"/>
    <w:rsid w:val="00473736"/>
    <w:rsid w:val="004A504C"/>
    <w:rsid w:val="004B3283"/>
    <w:rsid w:val="004C2A03"/>
    <w:rsid w:val="004D51DA"/>
    <w:rsid w:val="0051325E"/>
    <w:rsid w:val="005256A4"/>
    <w:rsid w:val="00575E42"/>
    <w:rsid w:val="005B595A"/>
    <w:rsid w:val="00610A05"/>
    <w:rsid w:val="006477BE"/>
    <w:rsid w:val="0066653F"/>
    <w:rsid w:val="006C7807"/>
    <w:rsid w:val="006F25E5"/>
    <w:rsid w:val="007C6706"/>
    <w:rsid w:val="007E1A74"/>
    <w:rsid w:val="008254D2"/>
    <w:rsid w:val="008F17FB"/>
    <w:rsid w:val="00904C68"/>
    <w:rsid w:val="0090753B"/>
    <w:rsid w:val="00943F07"/>
    <w:rsid w:val="00962EAC"/>
    <w:rsid w:val="009B53FC"/>
    <w:rsid w:val="00AE101E"/>
    <w:rsid w:val="00B328C8"/>
    <w:rsid w:val="00B71F85"/>
    <w:rsid w:val="00B7227E"/>
    <w:rsid w:val="00BA5FE2"/>
    <w:rsid w:val="00C37402"/>
    <w:rsid w:val="00CA17E6"/>
    <w:rsid w:val="00CB5F0D"/>
    <w:rsid w:val="00D67D1F"/>
    <w:rsid w:val="00DC2BBE"/>
    <w:rsid w:val="00E5627E"/>
    <w:rsid w:val="00E71548"/>
    <w:rsid w:val="00E83F08"/>
    <w:rsid w:val="00F4585F"/>
    <w:rsid w:val="00F65E24"/>
    <w:rsid w:val="00F90A49"/>
    <w:rsid w:val="00FA30C8"/>
    <w:rsid w:val="00FF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89B69"/>
  <w15:docId w15:val="{C88FAEA9-2DDA-42B5-9466-AC5C634C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6"/>
    </w:rPr>
  </w:style>
  <w:style w:type="paragraph" w:styleId="Heading1">
    <w:name w:val="heading 1"/>
    <w:basedOn w:val="Normal"/>
    <w:next w:val="Normal"/>
    <w:link w:val="Heading1Char"/>
    <w:uiPriority w:val="9"/>
    <w:qFormat/>
    <w:rsid w:val="005B595A"/>
    <w:pPr>
      <w:spacing w:after="0" w:line="240" w:lineRule="auto"/>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595A"/>
    <w:rPr>
      <w:rFonts w:ascii="Times New Roman" w:eastAsia="Times New Roman" w:hAnsi="Times New Roman" w:cs="Times New Roman"/>
      <w:color w:val="000000"/>
      <w:sz w:val="26"/>
    </w:rPr>
  </w:style>
  <w:style w:type="paragraph" w:customStyle="1" w:styleId="footnotedescription">
    <w:name w:val="footnote description"/>
    <w:next w:val="Normal"/>
    <w:link w:val="footnotedescriptionChar"/>
    <w:hidden/>
    <w:pPr>
      <w:spacing w:after="0" w:line="25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4044F0"/>
    <w:rPr>
      <w:sz w:val="16"/>
      <w:szCs w:val="16"/>
    </w:rPr>
  </w:style>
  <w:style w:type="paragraph" w:styleId="CommentText">
    <w:name w:val="annotation text"/>
    <w:basedOn w:val="Normal"/>
    <w:link w:val="CommentTextChar"/>
    <w:uiPriority w:val="99"/>
    <w:unhideWhenUsed/>
    <w:rsid w:val="004044F0"/>
    <w:pPr>
      <w:spacing w:line="240" w:lineRule="auto"/>
    </w:pPr>
    <w:rPr>
      <w:sz w:val="20"/>
      <w:szCs w:val="20"/>
    </w:rPr>
  </w:style>
  <w:style w:type="character" w:customStyle="1" w:styleId="CommentTextChar">
    <w:name w:val="Comment Text Char"/>
    <w:basedOn w:val="DefaultParagraphFont"/>
    <w:link w:val="CommentText"/>
    <w:uiPriority w:val="99"/>
    <w:rsid w:val="004044F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044F0"/>
    <w:rPr>
      <w:b/>
      <w:bCs/>
    </w:rPr>
  </w:style>
  <w:style w:type="character" w:customStyle="1" w:styleId="CommentSubjectChar">
    <w:name w:val="Comment Subject Char"/>
    <w:basedOn w:val="CommentTextChar"/>
    <w:link w:val="CommentSubject"/>
    <w:uiPriority w:val="99"/>
    <w:semiHidden/>
    <w:rsid w:val="004044F0"/>
    <w:rPr>
      <w:rFonts w:ascii="Times New Roman" w:eastAsia="Times New Roman" w:hAnsi="Times New Roman" w:cs="Times New Roman"/>
      <w:b/>
      <w:bCs/>
      <w:color w:val="000000"/>
      <w:sz w:val="20"/>
      <w:szCs w:val="20"/>
    </w:rPr>
  </w:style>
  <w:style w:type="paragraph" w:styleId="Revision">
    <w:name w:val="Revision"/>
    <w:hidden/>
    <w:uiPriority w:val="99"/>
    <w:semiHidden/>
    <w:rsid w:val="006C7807"/>
    <w:pPr>
      <w:spacing w:after="0" w:line="240" w:lineRule="auto"/>
    </w:pPr>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4A5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04C"/>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4A5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04C"/>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1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bduitsma</dc:creator>
  <cp:keywords/>
  <cp:lastModifiedBy>Williams, Aubrie</cp:lastModifiedBy>
  <cp:revision>15</cp:revision>
  <dcterms:created xsi:type="dcterms:W3CDTF">2024-08-15T14:13:00Z</dcterms:created>
  <dcterms:modified xsi:type="dcterms:W3CDTF">2024-09-19T18:38:00Z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797a7e726155f9eab5656f0400376c93531ec52b3d5d841a2bdb33f56ea24369</vt:lpwstr>
  </property>
</Properties>
</file>