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10861" w14:textId="77777777" w:rsidR="00E70463" w:rsidRPr="00E70463" w:rsidRDefault="00E70463" w:rsidP="00E7046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bookmarkStart w:id="0" w:name="_Hlk77839959"/>
      <w:bookmarkStart w:id="1" w:name="_Hlk93577479"/>
      <w:r w:rsidRPr="00E70463">
        <w:rPr>
          <w:rFonts w:eastAsia="Times New Roman"/>
          <w:color w:val="FF0000"/>
          <w:szCs w:val="26"/>
        </w:rPr>
        <w:t>Approved by the Board of Trustees</w:t>
      </w:r>
    </w:p>
    <w:bookmarkEnd w:id="0"/>
    <w:bookmarkEnd w:id="1"/>
    <w:p w14:paraId="385B2850" w14:textId="77777777" w:rsidR="00E70463" w:rsidRPr="00E70463" w:rsidRDefault="00E70463" w:rsidP="00E7046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eastAsia="Times New Roman"/>
          <w:color w:val="FF0000"/>
          <w:szCs w:val="26"/>
        </w:rPr>
      </w:pPr>
      <w:r w:rsidRPr="00E70463">
        <w:rPr>
          <w:rFonts w:eastAsia="Times New Roman"/>
          <w:color w:val="FF0000"/>
          <w:szCs w:val="26"/>
        </w:rPr>
        <w:t>September 19, 2024</w:t>
      </w:r>
    </w:p>
    <w:p w14:paraId="6E36DDA8" w14:textId="0651A22D" w:rsidR="002F2D48" w:rsidRPr="00747537" w:rsidRDefault="00747537"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eastAsia="Times New Roman"/>
          <w:b/>
          <w:sz w:val="60"/>
          <w:szCs w:val="60"/>
        </w:rPr>
      </w:pPr>
      <w:r w:rsidRPr="00747537">
        <w:rPr>
          <w:rFonts w:eastAsia="Times New Roman"/>
          <w:b/>
          <w:sz w:val="60"/>
          <w:szCs w:val="60"/>
        </w:rPr>
        <w:t>11</w:t>
      </w:r>
    </w:p>
    <w:p w14:paraId="49E2559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0AF965EF"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color w:val="000000"/>
          <w:szCs w:val="26"/>
        </w:rPr>
      </w:pPr>
    </w:p>
    <w:p w14:paraId="1CC83587" w14:textId="77777777" w:rsidR="002F2D48" w:rsidRPr="006F284F" w:rsidRDefault="002F2D48" w:rsidP="0057344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color w:val="000000"/>
          <w:szCs w:val="26"/>
        </w:rPr>
      </w:pPr>
      <w:r w:rsidRPr="006F284F">
        <w:rPr>
          <w:rFonts w:eastAsia="Times New Roman"/>
          <w:color w:val="000000"/>
          <w:szCs w:val="26"/>
        </w:rPr>
        <w:t>Board Meeting</w:t>
      </w:r>
    </w:p>
    <w:p w14:paraId="47BA3C42" w14:textId="63EAEDF8" w:rsidR="002F2D48" w:rsidRPr="006F284F" w:rsidRDefault="00B852B1" w:rsidP="00573449">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ind w:left="7200"/>
        <w:textAlignment w:val="baseline"/>
        <w:rPr>
          <w:rFonts w:eastAsia="Times New Roman"/>
          <w:szCs w:val="26"/>
        </w:rPr>
      </w:pPr>
      <w:r>
        <w:rPr>
          <w:rFonts w:eastAsia="Times New Roman"/>
          <w:szCs w:val="26"/>
        </w:rPr>
        <w:t>September 19</w:t>
      </w:r>
      <w:r w:rsidR="002F2D48" w:rsidRPr="006F284F">
        <w:rPr>
          <w:rFonts w:eastAsia="Times New Roman"/>
          <w:szCs w:val="26"/>
        </w:rPr>
        <w:t>, 2024</w:t>
      </w:r>
    </w:p>
    <w:p w14:paraId="4EA67D01"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64165EB6" w14:textId="77777777" w:rsidR="002F2D48" w:rsidRPr="006F284F" w:rsidRDefault="002F2D48" w:rsidP="002F2D4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right"/>
        <w:textAlignment w:val="baseline"/>
        <w:rPr>
          <w:rFonts w:eastAsia="Times New Roman"/>
          <w:szCs w:val="26"/>
        </w:rPr>
      </w:pPr>
    </w:p>
    <w:p w14:paraId="493C53AB" w14:textId="77777777" w:rsidR="002F2D48" w:rsidRPr="006C42A4" w:rsidRDefault="002F2D48" w:rsidP="006C42A4">
      <w:pPr>
        <w:pStyle w:val="Heading1"/>
      </w:pPr>
      <w:r w:rsidRPr="006C42A4">
        <w:t>ROLL CALL</w:t>
      </w:r>
    </w:p>
    <w:p w14:paraId="2A62A203" w14:textId="77777777" w:rsidR="002F2D48" w:rsidRPr="006C42A4" w:rsidRDefault="002F2D48" w:rsidP="006C42A4">
      <w:pPr>
        <w:pStyle w:val="Heading1"/>
      </w:pPr>
    </w:p>
    <w:p w14:paraId="24EE0D3B" w14:textId="77777777" w:rsidR="002F2D48" w:rsidRPr="006C42A4" w:rsidRDefault="002F2D48" w:rsidP="006C42A4">
      <w:pPr>
        <w:pStyle w:val="Heading1"/>
      </w:pPr>
      <w:r w:rsidRPr="006C42A4">
        <w:t>PURCHASE RECOMMENDATIONS</w:t>
      </w:r>
    </w:p>
    <w:p w14:paraId="6A5918A1" w14:textId="77777777" w:rsidR="00586613" w:rsidRDefault="00586613" w:rsidP="0058661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1E5EADE4" w14:textId="22CE95E4" w:rsidR="00586613" w:rsidRPr="006F284F" w:rsidRDefault="00586613" w:rsidP="0058661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i/>
          <w:color w:val="000000"/>
          <w:szCs w:val="26"/>
        </w:rPr>
      </w:pPr>
      <w:r w:rsidRPr="006F284F">
        <w:rPr>
          <w:rFonts w:eastAsia="Times New Roman"/>
          <w:color w:val="000000"/>
          <w:szCs w:val="26"/>
        </w:rPr>
        <w:t xml:space="preserve">Following are purchase recommendations proposed by each </w:t>
      </w:r>
      <w:r>
        <w:rPr>
          <w:rFonts w:eastAsia="Times New Roman"/>
          <w:color w:val="000000"/>
          <w:szCs w:val="26"/>
        </w:rPr>
        <w:t>u</w:t>
      </w:r>
      <w:r w:rsidRPr="006F284F">
        <w:rPr>
          <w:rFonts w:eastAsia="Times New Roman"/>
          <w:color w:val="000000"/>
          <w:szCs w:val="26"/>
        </w:rPr>
        <w:t>niversity and the System Office. The purchases are to be funded from State appropriations or institutional funds as appropriate.</w:t>
      </w:r>
      <w:r>
        <w:rPr>
          <w:rFonts w:eastAsia="Times New Roman"/>
          <w:color w:val="000000"/>
          <w:szCs w:val="26"/>
        </w:rPr>
        <w:t xml:space="preserve"> </w:t>
      </w:r>
      <w:r w:rsidRPr="006F284F">
        <w:rPr>
          <w:rFonts w:eastAsia="Times New Roman"/>
          <w:color w:val="000000"/>
          <w:szCs w:val="26"/>
        </w:rPr>
        <w:t>Unless otherwise specified or indicated, purchases are based on the lowest acceptable bid.</w:t>
      </w:r>
      <w:r>
        <w:rPr>
          <w:rFonts w:eastAsia="Times New Roman"/>
          <w:color w:val="000000"/>
          <w:szCs w:val="26"/>
        </w:rPr>
        <w:t xml:space="preserve"> </w:t>
      </w:r>
      <w:r w:rsidRPr="006F284F">
        <w:rPr>
          <w:rFonts w:eastAsia="Times New Roman"/>
          <w:color w:val="000000"/>
          <w:szCs w:val="26"/>
        </w:rPr>
        <w:t xml:space="preserve">The </w:t>
      </w:r>
      <w:r>
        <w:rPr>
          <w:rFonts w:eastAsia="Times New Roman"/>
          <w:color w:val="000000"/>
          <w:szCs w:val="26"/>
        </w:rPr>
        <w:t>v</w:t>
      </w:r>
      <w:r w:rsidRPr="006F284F">
        <w:rPr>
          <w:rFonts w:eastAsia="Times New Roman"/>
          <w:color w:val="000000"/>
          <w:szCs w:val="26"/>
        </w:rPr>
        <w:t xml:space="preserve">ice </w:t>
      </w:r>
      <w:r>
        <w:rPr>
          <w:rFonts w:eastAsia="Times New Roman"/>
          <w:color w:val="000000"/>
          <w:szCs w:val="26"/>
        </w:rPr>
        <w:t>p</w:t>
      </w:r>
      <w:r w:rsidRPr="006F284F">
        <w:rPr>
          <w:rFonts w:eastAsia="Times New Roman"/>
          <w:color w:val="000000"/>
          <w:szCs w:val="26"/>
        </w:rPr>
        <w:t>resident</w:t>
      </w:r>
      <w:r>
        <w:rPr>
          <w:rFonts w:eastAsia="Times New Roman"/>
          <w:color w:val="000000"/>
          <w:szCs w:val="26"/>
        </w:rPr>
        <w:t>/c</w:t>
      </w:r>
      <w:r w:rsidRPr="006F284F">
        <w:rPr>
          <w:rFonts w:eastAsia="Times New Roman"/>
          <w:color w:val="000000"/>
          <w:szCs w:val="26"/>
        </w:rPr>
        <w:t xml:space="preserve">hief </w:t>
      </w:r>
      <w:r>
        <w:rPr>
          <w:rFonts w:eastAsia="Times New Roman"/>
          <w:color w:val="000000"/>
          <w:szCs w:val="26"/>
        </w:rPr>
        <w:t>f</w:t>
      </w:r>
      <w:r w:rsidRPr="006F284F">
        <w:rPr>
          <w:rFonts w:eastAsia="Times New Roman"/>
          <w:color w:val="000000"/>
          <w:szCs w:val="26"/>
        </w:rPr>
        <w:t xml:space="preserve">inancial </w:t>
      </w:r>
      <w:r>
        <w:rPr>
          <w:rFonts w:eastAsia="Times New Roman"/>
          <w:color w:val="000000"/>
          <w:szCs w:val="26"/>
        </w:rPr>
        <w:t>o</w:t>
      </w:r>
      <w:r w:rsidRPr="006F284F">
        <w:rPr>
          <w:rFonts w:eastAsia="Times New Roman"/>
          <w:color w:val="000000"/>
          <w:szCs w:val="26"/>
        </w:rPr>
        <w:t xml:space="preserve">fficer and </w:t>
      </w:r>
      <w:r>
        <w:rPr>
          <w:rFonts w:eastAsia="Times New Roman"/>
          <w:color w:val="000000"/>
          <w:szCs w:val="26"/>
        </w:rPr>
        <w:t>c</w:t>
      </w:r>
      <w:r w:rsidRPr="006F284F">
        <w:rPr>
          <w:rFonts w:eastAsia="Times New Roman"/>
          <w:color w:val="000000"/>
          <w:szCs w:val="26"/>
        </w:rPr>
        <w:t xml:space="preserve">omptroller has approved all purchases to be funded from State appropriations in accordance with the </w:t>
      </w:r>
      <w:r w:rsidRPr="006F284F">
        <w:rPr>
          <w:rFonts w:eastAsia="Times New Roman"/>
          <w:i/>
          <w:color w:val="000000"/>
          <w:szCs w:val="26"/>
        </w:rPr>
        <w:t xml:space="preserve">Bylaws of the Board of Trustees </w:t>
      </w:r>
      <w:r w:rsidRPr="006F284F">
        <w:rPr>
          <w:rFonts w:eastAsia="Times New Roman"/>
          <w:color w:val="000000"/>
          <w:szCs w:val="26"/>
        </w:rPr>
        <w:t xml:space="preserve">and the </w:t>
      </w:r>
      <w:r w:rsidRPr="006F284F">
        <w:rPr>
          <w:rFonts w:eastAsia="Times New Roman"/>
          <w:i/>
          <w:color w:val="000000"/>
          <w:szCs w:val="26"/>
        </w:rPr>
        <w:t>General Rules Concerning University Organization and Procedure.</w:t>
      </w:r>
    </w:p>
    <w:p w14:paraId="3141D5BA" w14:textId="77777777" w:rsidR="00586613" w:rsidRPr="006F284F" w:rsidRDefault="00586613" w:rsidP="0058661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p>
    <w:p w14:paraId="45B10880" w14:textId="77777777" w:rsidR="00586613" w:rsidRPr="006F284F" w:rsidRDefault="00586613" w:rsidP="0058661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6F284F">
        <w:rPr>
          <w:rFonts w:eastAsia="Times New Roman"/>
          <w:color w:val="000000"/>
          <w:szCs w:val="26"/>
        </w:rPr>
        <w:t xml:space="preserve">The Board action recommended in this item complies in all material respects with applicable State and </w:t>
      </w:r>
      <w:r>
        <w:rPr>
          <w:rFonts w:eastAsia="Times New Roman"/>
          <w:color w:val="000000"/>
          <w:szCs w:val="26"/>
        </w:rPr>
        <w:t>f</w:t>
      </w:r>
      <w:r w:rsidRPr="006F284F">
        <w:rPr>
          <w:rFonts w:eastAsia="Times New Roman"/>
          <w:color w:val="000000"/>
          <w:szCs w:val="26"/>
        </w:rPr>
        <w:t xml:space="preserve">ederal laws, University of Illinois </w:t>
      </w:r>
      <w:r w:rsidRPr="006F284F">
        <w:rPr>
          <w:rFonts w:eastAsia="Times New Roman"/>
          <w:i/>
          <w:color w:val="000000"/>
          <w:szCs w:val="26"/>
        </w:rPr>
        <w:t>Statutes</w:t>
      </w:r>
      <w:r w:rsidRPr="007071F3">
        <w:rPr>
          <w:rFonts w:eastAsia="Times New Roman"/>
          <w:iCs/>
          <w:color w:val="000000"/>
          <w:szCs w:val="26"/>
        </w:rPr>
        <w:t>,</w:t>
      </w:r>
      <w:r w:rsidRPr="006F284F">
        <w:rPr>
          <w:rFonts w:eastAsia="Times New Roman"/>
          <w:i/>
          <w:color w:val="000000"/>
          <w:szCs w:val="26"/>
        </w:rPr>
        <w:t xml:space="preserve"> The General Rules Concerning University Organization and Procedure</w:t>
      </w:r>
      <w:r w:rsidRPr="006F284F">
        <w:rPr>
          <w:rFonts w:eastAsia="Times New Roman"/>
          <w:color w:val="000000"/>
          <w:szCs w:val="26"/>
        </w:rPr>
        <w:t>, and Board of Trustees policies and directives.</w:t>
      </w:r>
    </w:p>
    <w:p w14:paraId="339FFEBA" w14:textId="77777777" w:rsidR="00586613" w:rsidRPr="006F284F" w:rsidRDefault="00586613" w:rsidP="0058661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1BFBF273" w14:textId="77777777" w:rsidR="00586613" w:rsidRPr="006F284F" w:rsidRDefault="00586613" w:rsidP="0058661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r w:rsidRPr="006F284F">
        <w:rPr>
          <w:rFonts w:eastAsia="Times New Roman"/>
          <w:color w:val="000000"/>
          <w:szCs w:val="26"/>
        </w:rPr>
        <w:t>The president of the University of Illinois System concurs.</w:t>
      </w:r>
    </w:p>
    <w:p w14:paraId="2B90E731" w14:textId="77777777" w:rsidR="00586613" w:rsidRPr="00353536" w:rsidRDefault="00586613" w:rsidP="0058661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eastAsia="Times New Roman"/>
          <w:color w:val="000000"/>
          <w:szCs w:val="26"/>
        </w:rPr>
      </w:pPr>
    </w:p>
    <w:p w14:paraId="0BDB4969" w14:textId="7ECED5C2" w:rsidR="00EB675E" w:rsidRDefault="00252F86" w:rsidP="00252F86">
      <w:pPr>
        <w:spacing w:after="0" w:line="240" w:lineRule="auto"/>
        <w:jc w:val="center"/>
        <w:rPr>
          <w:b/>
          <w:szCs w:val="26"/>
        </w:rPr>
      </w:pPr>
      <w:r w:rsidRPr="00353536">
        <w:rPr>
          <w:b/>
          <w:szCs w:val="26"/>
        </w:rPr>
        <w:t>PURCHASES RECOMMENDED</w:t>
      </w:r>
    </w:p>
    <w:p w14:paraId="5FEB6345" w14:textId="77777777" w:rsidR="006722F9" w:rsidRDefault="006722F9" w:rsidP="00252F86">
      <w:pPr>
        <w:spacing w:after="0" w:line="240" w:lineRule="auto"/>
        <w:jc w:val="center"/>
        <w:rPr>
          <w:b/>
          <w:szCs w:val="26"/>
        </w:rPr>
      </w:pPr>
    </w:p>
    <w:tbl>
      <w:tblPr>
        <w:tblW w:w="9450" w:type="dxa"/>
        <w:tblLayout w:type="fixed"/>
        <w:tblCellMar>
          <w:left w:w="72" w:type="dxa"/>
          <w:right w:w="72" w:type="dxa"/>
        </w:tblCellMar>
        <w:tblLook w:val="0000" w:firstRow="0" w:lastRow="0" w:firstColumn="0" w:lastColumn="0" w:noHBand="0" w:noVBand="0"/>
      </w:tblPr>
      <w:tblGrid>
        <w:gridCol w:w="342"/>
        <w:gridCol w:w="18"/>
        <w:gridCol w:w="972"/>
        <w:gridCol w:w="18"/>
        <w:gridCol w:w="8100"/>
      </w:tblGrid>
      <w:tr w:rsidR="00091CFA" w:rsidRPr="00F53616" w14:paraId="434E2894" w14:textId="77777777" w:rsidTr="00841DC8">
        <w:trPr>
          <w:trHeight w:val="120"/>
        </w:trPr>
        <w:tc>
          <w:tcPr>
            <w:tcW w:w="342" w:type="dxa"/>
          </w:tcPr>
          <w:p w14:paraId="401F0F7F" w14:textId="77777777" w:rsidR="00091CFA" w:rsidRPr="00F53616" w:rsidRDefault="00091CFA" w:rsidP="00091CFA">
            <w:pPr>
              <w:pStyle w:val="NoSpacing"/>
              <w:rPr>
                <w:sz w:val="26"/>
                <w:szCs w:val="26"/>
              </w:rPr>
            </w:pPr>
          </w:p>
        </w:tc>
        <w:tc>
          <w:tcPr>
            <w:tcW w:w="990" w:type="dxa"/>
            <w:gridSpan w:val="2"/>
          </w:tcPr>
          <w:p w14:paraId="02A261B8" w14:textId="77777777" w:rsidR="00091CFA" w:rsidRPr="00F53616" w:rsidRDefault="00091CFA" w:rsidP="00091CFA">
            <w:pPr>
              <w:pStyle w:val="NoSpacing"/>
              <w:rPr>
                <w:sz w:val="26"/>
                <w:szCs w:val="26"/>
              </w:rPr>
            </w:pPr>
          </w:p>
        </w:tc>
        <w:tc>
          <w:tcPr>
            <w:tcW w:w="8118" w:type="dxa"/>
            <w:gridSpan w:val="2"/>
          </w:tcPr>
          <w:p w14:paraId="2A8B7682" w14:textId="77777777" w:rsidR="00091CFA" w:rsidRPr="00F53616" w:rsidRDefault="00091CFA" w:rsidP="00091CFA">
            <w:pPr>
              <w:pStyle w:val="NoSpacing"/>
              <w:rPr>
                <w:spacing w:val="-3"/>
                <w:sz w:val="26"/>
                <w:szCs w:val="26"/>
              </w:rPr>
            </w:pPr>
          </w:p>
        </w:tc>
      </w:tr>
      <w:tr w:rsidR="00091CFA" w:rsidRPr="00F53616" w14:paraId="3E8AF208" w14:textId="77777777" w:rsidTr="00847A57">
        <w:trPr>
          <w:trHeight w:val="360"/>
        </w:trPr>
        <w:tc>
          <w:tcPr>
            <w:tcW w:w="9450" w:type="dxa"/>
            <w:gridSpan w:val="5"/>
          </w:tcPr>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091CFA" w:rsidRPr="00F53616" w14:paraId="209C5A9A" w14:textId="77777777" w:rsidTr="0025577D">
              <w:trPr>
                <w:trHeight w:val="114"/>
              </w:trPr>
              <w:tc>
                <w:tcPr>
                  <w:tcW w:w="9454" w:type="dxa"/>
                  <w:tcBorders>
                    <w:top w:val="single" w:sz="18" w:space="0" w:color="auto"/>
                    <w:bottom w:val="single" w:sz="18" w:space="0" w:color="auto"/>
                  </w:tcBorders>
                </w:tcPr>
                <w:p w14:paraId="55B87639" w14:textId="7712B94B" w:rsidR="00091CFA" w:rsidRPr="00F53616" w:rsidRDefault="00091CFA" w:rsidP="00091CFA">
                  <w:pPr>
                    <w:tabs>
                      <w:tab w:val="left" w:pos="-720"/>
                      <w:tab w:val="left" w:pos="9090"/>
                    </w:tabs>
                    <w:suppressAutoHyphens/>
                    <w:overflowPunct w:val="0"/>
                    <w:autoSpaceDE w:val="0"/>
                    <w:autoSpaceDN w:val="0"/>
                    <w:adjustRightInd w:val="0"/>
                    <w:spacing w:after="0" w:line="240" w:lineRule="auto"/>
                    <w:jc w:val="center"/>
                    <w:textAlignment w:val="baseline"/>
                    <w:rPr>
                      <w:rFonts w:eastAsia="Times New Roman"/>
                      <w:b/>
                      <w:szCs w:val="26"/>
                    </w:rPr>
                  </w:pPr>
                  <w:r w:rsidRPr="00F53616">
                    <w:rPr>
                      <w:rFonts w:eastAsia="Times New Roman"/>
                      <w:b/>
                      <w:szCs w:val="26"/>
                    </w:rPr>
                    <w:t xml:space="preserve">University of Illinois </w:t>
                  </w:r>
                  <w:r w:rsidR="00B62DED">
                    <w:rPr>
                      <w:rFonts w:eastAsia="Times New Roman"/>
                      <w:b/>
                      <w:szCs w:val="26"/>
                    </w:rPr>
                    <w:t>Ch</w:t>
                  </w:r>
                  <w:r w:rsidR="007123BD">
                    <w:rPr>
                      <w:rFonts w:eastAsia="Times New Roman"/>
                      <w:b/>
                      <w:szCs w:val="26"/>
                    </w:rPr>
                    <w:t>icago</w:t>
                  </w:r>
                </w:p>
              </w:tc>
            </w:tr>
          </w:tbl>
          <w:p w14:paraId="107DA0B5" w14:textId="77777777" w:rsidR="00091CFA" w:rsidRPr="00F53616" w:rsidRDefault="00091CFA" w:rsidP="00091CFA">
            <w:pPr>
              <w:pStyle w:val="NoSpacing"/>
              <w:rPr>
                <w:spacing w:val="-3"/>
                <w:sz w:val="26"/>
                <w:szCs w:val="26"/>
              </w:rPr>
            </w:pPr>
          </w:p>
        </w:tc>
      </w:tr>
      <w:tr w:rsidR="00B852B1" w:rsidRPr="00353536" w14:paraId="6FAD3153" w14:textId="77777777" w:rsidTr="00847A57">
        <w:trPr>
          <w:trHeight w:val="80"/>
        </w:trPr>
        <w:tc>
          <w:tcPr>
            <w:tcW w:w="342" w:type="dxa"/>
            <w:tcBorders>
              <w:bottom w:val="double" w:sz="4" w:space="0" w:color="auto"/>
            </w:tcBorders>
          </w:tcPr>
          <w:p w14:paraId="414628F7" w14:textId="73CC27D7" w:rsidR="00B852B1" w:rsidRPr="00F53616" w:rsidRDefault="00847A57" w:rsidP="00B852B1">
            <w:pPr>
              <w:pStyle w:val="NoSpacing"/>
              <w:rPr>
                <w:sz w:val="26"/>
                <w:szCs w:val="26"/>
              </w:rPr>
            </w:pPr>
            <w:r>
              <w:rPr>
                <w:sz w:val="26"/>
                <w:szCs w:val="26"/>
              </w:rPr>
              <w:t>1</w:t>
            </w:r>
          </w:p>
        </w:tc>
        <w:tc>
          <w:tcPr>
            <w:tcW w:w="990" w:type="dxa"/>
            <w:gridSpan w:val="2"/>
            <w:tcBorders>
              <w:bottom w:val="double" w:sz="4" w:space="0" w:color="auto"/>
            </w:tcBorders>
            <w:shd w:val="clear" w:color="auto" w:fill="auto"/>
          </w:tcPr>
          <w:p w14:paraId="3B9E5490" w14:textId="4969B5B4" w:rsidR="00B852B1" w:rsidRPr="00F53616" w:rsidRDefault="00B852B1" w:rsidP="00B852B1">
            <w:pPr>
              <w:pStyle w:val="NoSpacing"/>
              <w:rPr>
                <w:sz w:val="26"/>
                <w:szCs w:val="26"/>
              </w:rPr>
            </w:pPr>
            <w:r w:rsidRPr="00F53616">
              <w:rPr>
                <w:sz w:val="26"/>
                <w:szCs w:val="26"/>
              </w:rPr>
              <w:t>Unit</w:t>
            </w:r>
          </w:p>
        </w:tc>
        <w:tc>
          <w:tcPr>
            <w:tcW w:w="8118" w:type="dxa"/>
            <w:gridSpan w:val="2"/>
            <w:tcBorders>
              <w:bottom w:val="double" w:sz="4" w:space="0" w:color="auto"/>
            </w:tcBorders>
            <w:shd w:val="clear" w:color="auto" w:fill="auto"/>
          </w:tcPr>
          <w:p w14:paraId="441EE111" w14:textId="3212EC97" w:rsidR="00B852B1" w:rsidRPr="00F53FA1" w:rsidRDefault="00B852B1" w:rsidP="00B852B1">
            <w:pPr>
              <w:spacing w:after="0" w:line="240" w:lineRule="auto"/>
              <w:jc w:val="both"/>
              <w:rPr>
                <w:szCs w:val="26"/>
              </w:rPr>
            </w:pPr>
            <w:r>
              <w:rPr>
                <w:spacing w:val="-3"/>
                <w:szCs w:val="26"/>
              </w:rPr>
              <w:t>UI Hospital and Clinics</w:t>
            </w:r>
          </w:p>
        </w:tc>
      </w:tr>
      <w:tr w:rsidR="00B852B1" w:rsidRPr="00353536" w14:paraId="56000687" w14:textId="77777777" w:rsidTr="00841DC8">
        <w:trPr>
          <w:trHeight w:val="150"/>
        </w:trPr>
        <w:tc>
          <w:tcPr>
            <w:tcW w:w="342" w:type="dxa"/>
            <w:tcBorders>
              <w:top w:val="double" w:sz="4" w:space="0" w:color="auto"/>
            </w:tcBorders>
          </w:tcPr>
          <w:p w14:paraId="3242B2D0" w14:textId="77777777" w:rsidR="00B852B1" w:rsidRPr="00F53616" w:rsidRDefault="00B852B1" w:rsidP="00B852B1">
            <w:pPr>
              <w:pStyle w:val="NoSpacing"/>
              <w:rPr>
                <w:sz w:val="26"/>
                <w:szCs w:val="26"/>
              </w:rPr>
            </w:pPr>
          </w:p>
        </w:tc>
        <w:tc>
          <w:tcPr>
            <w:tcW w:w="990" w:type="dxa"/>
            <w:gridSpan w:val="2"/>
            <w:tcBorders>
              <w:top w:val="double" w:sz="4" w:space="0" w:color="auto"/>
            </w:tcBorders>
            <w:shd w:val="clear" w:color="auto" w:fill="auto"/>
          </w:tcPr>
          <w:p w14:paraId="426D2FF5" w14:textId="77777777" w:rsidR="00B852B1" w:rsidRDefault="00B852B1" w:rsidP="00B852B1">
            <w:pPr>
              <w:pStyle w:val="NoSpacing"/>
              <w:rPr>
                <w:sz w:val="26"/>
                <w:szCs w:val="26"/>
              </w:rPr>
            </w:pPr>
          </w:p>
          <w:p w14:paraId="43D29374" w14:textId="562AC8FB" w:rsidR="00B852B1" w:rsidRPr="00F53616" w:rsidRDefault="00B852B1" w:rsidP="00B852B1">
            <w:pPr>
              <w:pStyle w:val="NoSpacing"/>
              <w:rPr>
                <w:sz w:val="26"/>
                <w:szCs w:val="26"/>
              </w:rPr>
            </w:pPr>
            <w:r w:rsidRPr="00F53616">
              <w:rPr>
                <w:sz w:val="26"/>
                <w:szCs w:val="26"/>
              </w:rPr>
              <w:t xml:space="preserve">Item      </w:t>
            </w:r>
          </w:p>
        </w:tc>
        <w:tc>
          <w:tcPr>
            <w:tcW w:w="8118" w:type="dxa"/>
            <w:gridSpan w:val="2"/>
            <w:tcBorders>
              <w:top w:val="double" w:sz="4" w:space="0" w:color="auto"/>
            </w:tcBorders>
            <w:shd w:val="clear" w:color="auto" w:fill="auto"/>
          </w:tcPr>
          <w:p w14:paraId="2B0CD1E0" w14:textId="77777777" w:rsidR="00B852B1" w:rsidRPr="00F53FA1" w:rsidRDefault="00B852B1" w:rsidP="00B852B1">
            <w:pPr>
              <w:pStyle w:val="NoSpacing"/>
              <w:rPr>
                <w:sz w:val="26"/>
                <w:szCs w:val="26"/>
              </w:rPr>
            </w:pPr>
          </w:p>
          <w:p w14:paraId="37BDE406" w14:textId="34C7743B" w:rsidR="00B852B1" w:rsidRDefault="00841DC8" w:rsidP="00B852B1">
            <w:pPr>
              <w:spacing w:after="0" w:line="240" w:lineRule="auto"/>
              <w:rPr>
                <w:szCs w:val="26"/>
              </w:rPr>
            </w:pPr>
            <w:r w:rsidRPr="00E42C5B">
              <w:rPr>
                <w:szCs w:val="26"/>
              </w:rPr>
              <w:t xml:space="preserve">Purchase of </w:t>
            </w:r>
            <w:r>
              <w:rPr>
                <w:szCs w:val="26"/>
              </w:rPr>
              <w:t>Specialty Pharmaceuticals Yescarta and Tecartus for UI Hospital and Clinics</w:t>
            </w:r>
            <w:r w:rsidR="00EA55E5">
              <w:rPr>
                <w:szCs w:val="26"/>
              </w:rPr>
              <w:t xml:space="preserve">. For the period of </w:t>
            </w:r>
            <w:r w:rsidR="00EA55E5" w:rsidRPr="00841DC8">
              <w:rPr>
                <w:szCs w:val="26"/>
              </w:rPr>
              <w:t xml:space="preserve">October 1, </w:t>
            </w:r>
            <w:r w:rsidR="00EA55E5" w:rsidRPr="004C2A18">
              <w:rPr>
                <w:szCs w:val="26"/>
              </w:rPr>
              <w:t>2024,</w:t>
            </w:r>
            <w:r w:rsidR="00EA55E5" w:rsidRPr="00841DC8">
              <w:rPr>
                <w:szCs w:val="26"/>
              </w:rPr>
              <w:t xml:space="preserve"> to September 30, </w:t>
            </w:r>
            <w:r w:rsidR="00EA55E5" w:rsidRPr="004C2A18">
              <w:rPr>
                <w:szCs w:val="26"/>
              </w:rPr>
              <w:t>2027.</w:t>
            </w:r>
          </w:p>
          <w:p w14:paraId="006FA455" w14:textId="7A7EA664" w:rsidR="00841DC8" w:rsidRPr="004C2A18" w:rsidRDefault="00841DC8" w:rsidP="00B852B1">
            <w:pPr>
              <w:spacing w:after="0" w:line="240" w:lineRule="auto"/>
              <w:rPr>
                <w:szCs w:val="26"/>
              </w:rPr>
            </w:pPr>
          </w:p>
        </w:tc>
      </w:tr>
      <w:tr w:rsidR="00B852B1" w:rsidRPr="00353536" w14:paraId="156E60B7" w14:textId="77777777" w:rsidTr="00841DC8">
        <w:trPr>
          <w:trHeight w:val="150"/>
        </w:trPr>
        <w:tc>
          <w:tcPr>
            <w:tcW w:w="342" w:type="dxa"/>
          </w:tcPr>
          <w:p w14:paraId="07998497" w14:textId="59FE1609" w:rsidR="00B852B1" w:rsidRPr="00F53616" w:rsidRDefault="00B852B1" w:rsidP="00B852B1">
            <w:pPr>
              <w:pStyle w:val="NoSpacing"/>
              <w:rPr>
                <w:sz w:val="26"/>
                <w:szCs w:val="26"/>
              </w:rPr>
            </w:pPr>
            <w:r w:rsidRPr="00F53616">
              <w:rPr>
                <w:sz w:val="26"/>
                <w:szCs w:val="26"/>
              </w:rPr>
              <w:t xml:space="preserve"> </w:t>
            </w:r>
          </w:p>
        </w:tc>
        <w:tc>
          <w:tcPr>
            <w:tcW w:w="990" w:type="dxa"/>
            <w:gridSpan w:val="2"/>
            <w:shd w:val="clear" w:color="auto" w:fill="auto"/>
          </w:tcPr>
          <w:p w14:paraId="278055F8" w14:textId="33B6CEC7" w:rsidR="00B852B1" w:rsidRPr="00F53616" w:rsidRDefault="00B852B1" w:rsidP="00B852B1">
            <w:pPr>
              <w:pStyle w:val="NoSpacing"/>
              <w:rPr>
                <w:sz w:val="26"/>
                <w:szCs w:val="26"/>
              </w:rPr>
            </w:pPr>
            <w:r w:rsidRPr="00F53616">
              <w:rPr>
                <w:sz w:val="26"/>
                <w:szCs w:val="26"/>
              </w:rPr>
              <w:t>Cost</w:t>
            </w:r>
          </w:p>
        </w:tc>
        <w:tc>
          <w:tcPr>
            <w:tcW w:w="8118" w:type="dxa"/>
            <w:gridSpan w:val="2"/>
            <w:shd w:val="clear" w:color="auto" w:fill="auto"/>
          </w:tcPr>
          <w:p w14:paraId="62A9DE9E" w14:textId="6C104D7F" w:rsidR="00B852B1" w:rsidRPr="00C55686" w:rsidRDefault="00841DC8" w:rsidP="00841DC8">
            <w:pPr>
              <w:spacing w:after="0" w:line="240" w:lineRule="auto"/>
              <w:rPr>
                <w:spacing w:val="-3"/>
                <w:szCs w:val="26"/>
              </w:rPr>
            </w:pPr>
            <w:r w:rsidRPr="00841DC8">
              <w:rPr>
                <w:spacing w:val="-3"/>
                <w:szCs w:val="26"/>
              </w:rPr>
              <w:t xml:space="preserve">$7,000,000 (estimated) </w:t>
            </w:r>
          </w:p>
          <w:p w14:paraId="016EDF05" w14:textId="712C2796" w:rsidR="00B852B1" w:rsidRPr="00353536" w:rsidRDefault="00B852B1" w:rsidP="00B852B1">
            <w:pPr>
              <w:spacing w:after="0" w:line="240" w:lineRule="auto"/>
              <w:rPr>
                <w:rFonts w:eastAsia="Times New Roman"/>
                <w:b/>
                <w:color w:val="000000"/>
                <w:szCs w:val="26"/>
              </w:rPr>
            </w:pPr>
          </w:p>
        </w:tc>
      </w:tr>
      <w:tr w:rsidR="00B852B1" w:rsidRPr="00353536" w14:paraId="305870E5" w14:textId="77777777" w:rsidTr="00841DC8">
        <w:trPr>
          <w:trHeight w:val="150"/>
        </w:trPr>
        <w:tc>
          <w:tcPr>
            <w:tcW w:w="342" w:type="dxa"/>
          </w:tcPr>
          <w:p w14:paraId="6DAC217B" w14:textId="77777777" w:rsidR="00B852B1" w:rsidRPr="00F53616" w:rsidRDefault="00B852B1" w:rsidP="00B852B1">
            <w:pPr>
              <w:pStyle w:val="NoSpacing"/>
              <w:rPr>
                <w:sz w:val="26"/>
                <w:szCs w:val="26"/>
              </w:rPr>
            </w:pPr>
          </w:p>
        </w:tc>
        <w:tc>
          <w:tcPr>
            <w:tcW w:w="990" w:type="dxa"/>
            <w:gridSpan w:val="2"/>
            <w:shd w:val="clear" w:color="auto" w:fill="auto"/>
          </w:tcPr>
          <w:p w14:paraId="7F8D6EBB" w14:textId="58E05C92" w:rsidR="00B852B1" w:rsidRPr="00F53616" w:rsidRDefault="00B852B1" w:rsidP="00B852B1">
            <w:pPr>
              <w:pStyle w:val="NoSpacing"/>
              <w:rPr>
                <w:sz w:val="26"/>
                <w:szCs w:val="26"/>
              </w:rPr>
            </w:pPr>
            <w:r>
              <w:rPr>
                <w:sz w:val="26"/>
                <w:szCs w:val="26"/>
              </w:rPr>
              <w:t>Vendor</w:t>
            </w:r>
          </w:p>
        </w:tc>
        <w:tc>
          <w:tcPr>
            <w:tcW w:w="8118" w:type="dxa"/>
            <w:gridSpan w:val="2"/>
            <w:shd w:val="clear" w:color="auto" w:fill="auto"/>
          </w:tcPr>
          <w:p w14:paraId="19A8E1C3" w14:textId="77777777" w:rsidR="00841DC8" w:rsidRPr="00841DC8" w:rsidRDefault="00841DC8" w:rsidP="00841DC8">
            <w:pPr>
              <w:spacing w:after="0" w:line="240" w:lineRule="auto"/>
              <w:jc w:val="both"/>
              <w:rPr>
                <w:szCs w:val="26"/>
              </w:rPr>
            </w:pPr>
            <w:r w:rsidRPr="00841DC8">
              <w:rPr>
                <w:bCs/>
                <w:szCs w:val="26"/>
              </w:rPr>
              <w:t>Cardinal Health Specialty Pharmacy                          Columbia, Maryland</w:t>
            </w:r>
          </w:p>
          <w:p w14:paraId="6FDDF04B" w14:textId="1CAA785F" w:rsidR="00B852B1" w:rsidRPr="006B7E00" w:rsidRDefault="00B852B1" w:rsidP="00B852B1">
            <w:pPr>
              <w:spacing w:after="0" w:line="240" w:lineRule="auto"/>
              <w:jc w:val="both"/>
              <w:rPr>
                <w:bCs/>
                <w:szCs w:val="26"/>
              </w:rPr>
            </w:pPr>
          </w:p>
        </w:tc>
      </w:tr>
      <w:tr w:rsidR="00B852B1" w:rsidRPr="00353536" w14:paraId="76979B6C" w14:textId="77777777" w:rsidTr="00841DC8">
        <w:trPr>
          <w:trHeight w:val="150"/>
        </w:trPr>
        <w:tc>
          <w:tcPr>
            <w:tcW w:w="342" w:type="dxa"/>
          </w:tcPr>
          <w:p w14:paraId="10350B94" w14:textId="77777777" w:rsidR="00B852B1" w:rsidRPr="00F53616" w:rsidRDefault="00B852B1" w:rsidP="00B852B1">
            <w:pPr>
              <w:pStyle w:val="NoSpacing"/>
              <w:rPr>
                <w:sz w:val="26"/>
                <w:szCs w:val="26"/>
              </w:rPr>
            </w:pPr>
          </w:p>
        </w:tc>
        <w:tc>
          <w:tcPr>
            <w:tcW w:w="990" w:type="dxa"/>
            <w:gridSpan w:val="2"/>
            <w:shd w:val="clear" w:color="auto" w:fill="auto"/>
          </w:tcPr>
          <w:p w14:paraId="5E09DAD8" w14:textId="77777777" w:rsidR="00B852B1" w:rsidRPr="00F53616" w:rsidRDefault="00B852B1" w:rsidP="00B852B1">
            <w:pPr>
              <w:pStyle w:val="NoSpacing"/>
              <w:rPr>
                <w:sz w:val="26"/>
                <w:szCs w:val="26"/>
              </w:rPr>
            </w:pPr>
          </w:p>
        </w:tc>
        <w:tc>
          <w:tcPr>
            <w:tcW w:w="8118" w:type="dxa"/>
            <w:gridSpan w:val="2"/>
            <w:shd w:val="clear" w:color="auto" w:fill="auto"/>
          </w:tcPr>
          <w:p w14:paraId="1FAD25B4" w14:textId="68292857" w:rsidR="00841DC8" w:rsidRPr="00841DC8" w:rsidRDefault="00841DC8" w:rsidP="00586613">
            <w:pPr>
              <w:rPr>
                <w:bCs/>
                <w:szCs w:val="26"/>
              </w:rPr>
            </w:pPr>
            <w:r w:rsidRPr="00841DC8">
              <w:rPr>
                <w:szCs w:val="26"/>
              </w:rPr>
              <w:t>Purchase of specialty pharmaceuticals used in CAR-T (Chimeric Antigen Receptor Therapy), an immunological treatment that uses the body’s own immune system to destroy cancerous cells. These pharmaceuticals (Yescarta and Tecartus) are used as a last option for patients who have failed previous cancer treatment. CAR-T is similar to autologous bone marrow transplant.  The patient’s own white blood cells are harvested, then used to engineer and grow the cell product which is shipped back to UI Hospital to be infused to the patient in the bone marrow transplant unit</w:t>
            </w:r>
            <w:r w:rsidRPr="00841DC8">
              <w:rPr>
                <w:bCs/>
                <w:szCs w:val="26"/>
              </w:rPr>
              <w:t>.</w:t>
            </w:r>
          </w:p>
          <w:p w14:paraId="508C34F2" w14:textId="0DFD8047" w:rsidR="00841DC8" w:rsidRPr="00841DC8" w:rsidRDefault="00841DC8" w:rsidP="00586613">
            <w:pPr>
              <w:pStyle w:val="NoSpacing"/>
              <w:rPr>
                <w:sz w:val="26"/>
                <w:szCs w:val="26"/>
              </w:rPr>
            </w:pPr>
            <w:r w:rsidRPr="00841DC8">
              <w:rPr>
                <w:sz w:val="26"/>
                <w:szCs w:val="26"/>
              </w:rPr>
              <w:t>The manufacturer of Yescarta and Tecartus has</w:t>
            </w:r>
            <w:r w:rsidR="004C2A18" w:rsidRPr="004C2A18">
              <w:rPr>
                <w:sz w:val="26"/>
                <w:szCs w:val="26"/>
              </w:rPr>
              <w:t xml:space="preserve"> </w:t>
            </w:r>
            <w:r w:rsidRPr="00841DC8">
              <w:rPr>
                <w:sz w:val="26"/>
                <w:szCs w:val="26"/>
              </w:rPr>
              <w:t>licensed the exclusive distribution rights to Cardinal Health Specialty Pharmacy. These products can only be obtained through Cardinal.</w:t>
            </w:r>
          </w:p>
          <w:p w14:paraId="0B33B2F6" w14:textId="77777777" w:rsidR="00B852B1" w:rsidRPr="006B7E00" w:rsidRDefault="00B852B1" w:rsidP="00B852B1">
            <w:pPr>
              <w:spacing w:after="0" w:line="240" w:lineRule="auto"/>
              <w:jc w:val="both"/>
              <w:rPr>
                <w:bCs/>
                <w:szCs w:val="26"/>
              </w:rPr>
            </w:pPr>
          </w:p>
          <w:p w14:paraId="06239989" w14:textId="77777777" w:rsidR="00841DC8" w:rsidRPr="00841DC8" w:rsidRDefault="00841DC8" w:rsidP="00841DC8">
            <w:pPr>
              <w:jc w:val="both"/>
              <w:rPr>
                <w:szCs w:val="26"/>
              </w:rPr>
            </w:pPr>
            <w:r w:rsidRPr="00841DC8">
              <w:rPr>
                <w:szCs w:val="26"/>
              </w:rPr>
              <w:t>This purchase is exempt from competitive selection procedures in accordance with the Illinois Procurement Code (30ILCS 500/1-13(b-5)).</w:t>
            </w:r>
          </w:p>
          <w:p w14:paraId="1EC5D68B" w14:textId="77777777" w:rsidR="00841DC8" w:rsidRPr="00841DC8" w:rsidRDefault="00841DC8" w:rsidP="00841DC8">
            <w:pPr>
              <w:spacing w:after="0" w:line="240" w:lineRule="auto"/>
              <w:jc w:val="both"/>
              <w:rPr>
                <w:szCs w:val="26"/>
                <w:lang w:bidi="en-US"/>
              </w:rPr>
            </w:pPr>
          </w:p>
          <w:p w14:paraId="3B1D8582" w14:textId="26C45332" w:rsidR="00B852B1" w:rsidRPr="00841DC8" w:rsidRDefault="00841DC8" w:rsidP="00841DC8">
            <w:pPr>
              <w:spacing w:after="0" w:line="240" w:lineRule="auto"/>
              <w:rPr>
                <w:bCs/>
                <w:szCs w:val="26"/>
              </w:rPr>
            </w:pPr>
            <w:r w:rsidRPr="00841DC8">
              <w:rPr>
                <w:rFonts w:eastAsia="Times New Roman"/>
                <w:b/>
                <w:color w:val="000000"/>
                <w:szCs w:val="26"/>
              </w:rPr>
              <w:t xml:space="preserve">Business Enterprise Program (BEP) </w:t>
            </w:r>
            <w:r w:rsidRPr="00841DC8">
              <w:rPr>
                <w:rFonts w:eastAsia="Times New Roman"/>
                <w:bCs/>
                <w:color w:val="000000"/>
                <w:szCs w:val="26"/>
              </w:rPr>
              <w:t>goals are not established for contracts that are exempt from the requirements of the Illinois Procurement Code.</w:t>
            </w:r>
          </w:p>
        </w:tc>
      </w:tr>
      <w:tr w:rsidR="002F2D48" w:rsidRPr="00353536" w14:paraId="7077310F" w14:textId="77777777" w:rsidTr="00841DC8">
        <w:trPr>
          <w:trHeight w:val="423"/>
        </w:trPr>
        <w:tc>
          <w:tcPr>
            <w:tcW w:w="360" w:type="dxa"/>
            <w:gridSpan w:val="2"/>
          </w:tcPr>
          <w:p w14:paraId="1EEAAC02" w14:textId="77777777" w:rsidR="002F2D48" w:rsidRPr="00353536" w:rsidRDefault="002F2D48" w:rsidP="00841DC8">
            <w:pPr>
              <w:spacing w:after="0" w:line="240" w:lineRule="auto"/>
              <w:rPr>
                <w:szCs w:val="26"/>
              </w:rPr>
            </w:pPr>
          </w:p>
        </w:tc>
        <w:tc>
          <w:tcPr>
            <w:tcW w:w="990" w:type="dxa"/>
            <w:gridSpan w:val="2"/>
          </w:tcPr>
          <w:p w14:paraId="2ED6F657" w14:textId="77777777" w:rsidR="002F2D48" w:rsidRDefault="002F2D48" w:rsidP="002F2D48">
            <w:pPr>
              <w:pStyle w:val="NoSpacing"/>
              <w:rPr>
                <w:sz w:val="26"/>
                <w:szCs w:val="26"/>
              </w:rPr>
            </w:pPr>
          </w:p>
          <w:p w14:paraId="2BD57888" w14:textId="77777777" w:rsidR="00BD5FE0" w:rsidRPr="00353536" w:rsidRDefault="00BD5FE0" w:rsidP="002F2D48">
            <w:pPr>
              <w:pStyle w:val="NoSpacing"/>
              <w:rPr>
                <w:sz w:val="26"/>
                <w:szCs w:val="26"/>
              </w:rPr>
            </w:pPr>
          </w:p>
        </w:tc>
        <w:tc>
          <w:tcPr>
            <w:tcW w:w="8100" w:type="dxa"/>
          </w:tcPr>
          <w:p w14:paraId="377DCEE6" w14:textId="77777777" w:rsidR="002F2D48" w:rsidRPr="00353536" w:rsidRDefault="002F2D48" w:rsidP="00841DC8">
            <w:pPr>
              <w:spacing w:after="0" w:line="240" w:lineRule="auto"/>
              <w:jc w:val="both"/>
              <w:rPr>
                <w:szCs w:val="26"/>
              </w:rPr>
            </w:pPr>
          </w:p>
        </w:tc>
      </w:tr>
    </w:tbl>
    <w:p w14:paraId="33C686F8" w14:textId="6F1D6868" w:rsidR="0076023D" w:rsidRPr="00353536" w:rsidRDefault="0076023D" w:rsidP="002C343C">
      <w:pPr>
        <w:pStyle w:val="NoSpacing"/>
        <w:rPr>
          <w:rFonts w:eastAsia="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693"/>
        <w:gridCol w:w="1902"/>
      </w:tblGrid>
      <w:tr w:rsidR="009412F7" w:rsidRPr="00353536" w14:paraId="0F237B4F" w14:textId="77777777" w:rsidTr="002A641F">
        <w:trPr>
          <w:cantSplit/>
          <w:trHeight w:val="314"/>
        </w:trPr>
        <w:tc>
          <w:tcPr>
            <w:tcW w:w="7595" w:type="dxa"/>
            <w:gridSpan w:val="2"/>
          </w:tcPr>
          <w:p w14:paraId="70768D9C" w14:textId="77777777" w:rsidR="009412F7" w:rsidRPr="003535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b/>
                <w:szCs w:val="26"/>
              </w:rPr>
            </w:pPr>
            <w:r w:rsidRPr="00353536">
              <w:rPr>
                <w:rFonts w:eastAsia="Times New Roman"/>
                <w:b/>
                <w:szCs w:val="26"/>
              </w:rPr>
              <w:t>SUMMARY OF PURCHASES</w:t>
            </w:r>
          </w:p>
        </w:tc>
      </w:tr>
      <w:tr w:rsidR="00F24C73" w:rsidRPr="00353536" w14:paraId="3CAD725D" w14:textId="77777777" w:rsidTr="00A05784">
        <w:trPr>
          <w:trHeight w:val="394"/>
        </w:trPr>
        <w:tc>
          <w:tcPr>
            <w:tcW w:w="5693" w:type="dxa"/>
          </w:tcPr>
          <w:p w14:paraId="0461E231" w14:textId="13E67D33" w:rsidR="00F24C73" w:rsidRPr="00353536" w:rsidRDefault="00F24C73"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szCs w:val="26"/>
              </w:rPr>
              <w:t>University of Illinois</w:t>
            </w:r>
            <w:r>
              <w:rPr>
                <w:rFonts w:eastAsia="Times New Roman"/>
                <w:szCs w:val="26"/>
              </w:rPr>
              <w:t xml:space="preserve"> Chicago</w:t>
            </w:r>
          </w:p>
        </w:tc>
        <w:tc>
          <w:tcPr>
            <w:tcW w:w="1902" w:type="dxa"/>
            <w:shd w:val="clear" w:color="auto" w:fill="auto"/>
          </w:tcPr>
          <w:p w14:paraId="3A2F1E62" w14:textId="37117D2C" w:rsidR="00F24C73" w:rsidRPr="0097228A" w:rsidRDefault="00F24C73" w:rsidP="00AD2AF9">
            <w:pPr>
              <w:overflowPunct w:val="0"/>
              <w:autoSpaceDE w:val="0"/>
              <w:autoSpaceDN w:val="0"/>
              <w:adjustRightInd w:val="0"/>
              <w:spacing w:after="0" w:line="240" w:lineRule="auto"/>
              <w:textAlignment w:val="baseline"/>
              <w:rPr>
                <w:rFonts w:eastAsia="Times New Roman"/>
                <w:szCs w:val="26"/>
              </w:rPr>
            </w:pPr>
            <w:r>
              <w:rPr>
                <w:rFonts w:eastAsia="Times New Roman"/>
                <w:szCs w:val="26"/>
              </w:rPr>
              <w:t xml:space="preserve">$ </w:t>
            </w:r>
            <w:r w:rsidR="00EA55E5">
              <w:rPr>
                <w:rFonts w:eastAsia="Times New Roman"/>
                <w:szCs w:val="26"/>
              </w:rPr>
              <w:t>7,000,000</w:t>
            </w:r>
          </w:p>
        </w:tc>
      </w:tr>
      <w:tr w:rsidR="002C343C" w:rsidRPr="00353536" w14:paraId="5EDFE55C" w14:textId="77777777" w:rsidTr="00A05784">
        <w:trPr>
          <w:trHeight w:val="394"/>
        </w:trPr>
        <w:tc>
          <w:tcPr>
            <w:tcW w:w="5693" w:type="dxa"/>
          </w:tcPr>
          <w:p w14:paraId="2B5B80EA" w14:textId="77777777" w:rsidR="002C343C" w:rsidRPr="00353536" w:rsidRDefault="002C343C"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eastAsia="Times New Roman"/>
                <w:color w:val="000000"/>
                <w:szCs w:val="26"/>
              </w:rPr>
            </w:pPr>
            <w:r w:rsidRPr="00353536">
              <w:rPr>
                <w:rFonts w:eastAsia="Times New Roman"/>
                <w:color w:val="000000"/>
                <w:szCs w:val="26"/>
              </w:rPr>
              <w:t>Recommended from Institutional Funds</w:t>
            </w:r>
          </w:p>
          <w:p w14:paraId="3006AE46" w14:textId="706D64DA" w:rsidR="002C343C" w:rsidRPr="00353536" w:rsidRDefault="002C343C" w:rsidP="009412F7">
            <w:pPr>
              <w:overflowPunct w:val="0"/>
              <w:autoSpaceDE w:val="0"/>
              <w:autoSpaceDN w:val="0"/>
              <w:adjustRightInd w:val="0"/>
              <w:spacing w:after="0" w:line="240" w:lineRule="auto"/>
              <w:textAlignment w:val="baseline"/>
              <w:rPr>
                <w:rFonts w:eastAsia="Times New Roman"/>
                <w:szCs w:val="26"/>
              </w:rPr>
            </w:pPr>
            <w:r w:rsidRPr="00353536">
              <w:rPr>
                <w:rFonts w:eastAsia="Times New Roman"/>
                <w:color w:val="000000"/>
                <w:szCs w:val="26"/>
              </w:rPr>
              <w:t>Grand Total</w:t>
            </w:r>
          </w:p>
        </w:tc>
        <w:tc>
          <w:tcPr>
            <w:tcW w:w="1902" w:type="dxa"/>
            <w:shd w:val="clear" w:color="auto" w:fill="auto"/>
          </w:tcPr>
          <w:p w14:paraId="0B588B2D" w14:textId="49A1EA9D" w:rsidR="002C343C" w:rsidRPr="0097228A" w:rsidRDefault="002C343C" w:rsidP="002A641F">
            <w:pPr>
              <w:overflowPunct w:val="0"/>
              <w:autoSpaceDE w:val="0"/>
              <w:autoSpaceDN w:val="0"/>
              <w:adjustRightInd w:val="0"/>
              <w:spacing w:after="0" w:line="240" w:lineRule="auto"/>
              <w:textAlignment w:val="baseline"/>
              <w:rPr>
                <w:rFonts w:eastAsia="Times New Roman"/>
                <w:szCs w:val="26"/>
              </w:rPr>
            </w:pPr>
            <w:r w:rsidRPr="0097228A">
              <w:rPr>
                <w:rFonts w:eastAsia="Times New Roman"/>
                <w:szCs w:val="26"/>
              </w:rPr>
              <w:t>$</w:t>
            </w:r>
            <w:r w:rsidR="00F43D79">
              <w:rPr>
                <w:rFonts w:eastAsia="Times New Roman"/>
                <w:szCs w:val="26"/>
              </w:rPr>
              <w:t xml:space="preserve"> 7</w:t>
            </w:r>
            <w:r w:rsidR="00EA55E5">
              <w:rPr>
                <w:rFonts w:eastAsia="Times New Roman"/>
                <w:szCs w:val="26"/>
              </w:rPr>
              <w:t>,000,000</w:t>
            </w:r>
          </w:p>
        </w:tc>
      </w:tr>
      <w:tr w:rsidR="00A53454" w:rsidRPr="00353536" w14:paraId="5E40F003" w14:textId="77777777" w:rsidTr="00A05784">
        <w:trPr>
          <w:trHeight w:val="394"/>
        </w:trPr>
        <w:tc>
          <w:tcPr>
            <w:tcW w:w="5693" w:type="dxa"/>
          </w:tcPr>
          <w:p w14:paraId="6F8FE53B" w14:textId="77777777" w:rsidR="00A53454" w:rsidRPr="00353536" w:rsidRDefault="00A53454" w:rsidP="009412F7">
            <w:pPr>
              <w:overflowPunct w:val="0"/>
              <w:autoSpaceDE w:val="0"/>
              <w:autoSpaceDN w:val="0"/>
              <w:adjustRightInd w:val="0"/>
              <w:spacing w:after="0" w:line="240" w:lineRule="auto"/>
              <w:textAlignment w:val="baseline"/>
              <w:rPr>
                <w:rFonts w:eastAsia="Times New Roman"/>
                <w:szCs w:val="26"/>
              </w:rPr>
            </w:pPr>
          </w:p>
        </w:tc>
        <w:tc>
          <w:tcPr>
            <w:tcW w:w="1902" w:type="dxa"/>
            <w:shd w:val="clear" w:color="auto" w:fill="auto"/>
          </w:tcPr>
          <w:p w14:paraId="7E5A0363" w14:textId="77777777" w:rsidR="00A53454" w:rsidRPr="00353536" w:rsidRDefault="00A53454" w:rsidP="00AD2AF9">
            <w:pPr>
              <w:overflowPunct w:val="0"/>
              <w:autoSpaceDE w:val="0"/>
              <w:autoSpaceDN w:val="0"/>
              <w:adjustRightInd w:val="0"/>
              <w:spacing w:after="0" w:line="240" w:lineRule="auto"/>
              <w:textAlignment w:val="baseline"/>
              <w:rPr>
                <w:rFonts w:eastAsia="Times New Roman"/>
                <w:szCs w:val="26"/>
                <w:highlight w:val="yellow"/>
              </w:rPr>
            </w:pPr>
          </w:p>
        </w:tc>
      </w:tr>
    </w:tbl>
    <w:p w14:paraId="15036B6A" w14:textId="3F3C87CA"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103238C3" w14:textId="71B84549"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4547076B" w14:textId="77777777" w:rsidR="00B55900" w:rsidRPr="00353536" w:rsidRDefault="00B5590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eastAsia="Times New Roman"/>
          <w:szCs w:val="26"/>
        </w:rPr>
      </w:pPr>
    </w:p>
    <w:p w14:paraId="3A472772" w14:textId="77777777" w:rsidR="00AC1317" w:rsidRPr="00353536" w:rsidRDefault="00AC1317" w:rsidP="00B37520">
      <w:pPr>
        <w:pStyle w:val="NoSpacing"/>
        <w:rPr>
          <w:sz w:val="26"/>
          <w:szCs w:val="26"/>
        </w:rPr>
      </w:pPr>
    </w:p>
    <w:sectPr w:rsidR="00AC1317" w:rsidRPr="00353536" w:rsidSect="00747537">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A6D6" w14:textId="77777777" w:rsidR="000A1EFF" w:rsidRDefault="000A1EFF" w:rsidP="00A817DF">
      <w:pPr>
        <w:spacing w:after="0" w:line="240" w:lineRule="auto"/>
      </w:pPr>
      <w:r>
        <w:separator/>
      </w:r>
    </w:p>
  </w:endnote>
  <w:endnote w:type="continuationSeparator" w:id="0">
    <w:p w14:paraId="37D60D9C" w14:textId="77777777" w:rsidR="000A1EFF" w:rsidRDefault="000A1EFF"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44DB6" w14:textId="77777777" w:rsidR="000A1EFF" w:rsidRDefault="000A1EFF" w:rsidP="00A817DF">
      <w:pPr>
        <w:spacing w:after="0" w:line="240" w:lineRule="auto"/>
      </w:pPr>
      <w:r>
        <w:separator/>
      </w:r>
    </w:p>
  </w:footnote>
  <w:footnote w:type="continuationSeparator" w:id="0">
    <w:p w14:paraId="63DE10F8" w14:textId="77777777" w:rsidR="000A1EFF" w:rsidRDefault="000A1EFF"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614638"/>
      <w:docPartObj>
        <w:docPartGallery w:val="Page Numbers (Top of Page)"/>
        <w:docPartUnique/>
      </w:docPartObj>
    </w:sdtPr>
    <w:sdtEndPr>
      <w:rPr>
        <w:noProof/>
      </w:rPr>
    </w:sdtEndPr>
    <w:sdtContent>
      <w:p w14:paraId="1DDC34A8" w14:textId="66DE2ACC" w:rsidR="00747537" w:rsidRDefault="0074753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53F6F3" w14:textId="6CC6B35F" w:rsidR="00A817DF" w:rsidRDefault="00A81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DA3"/>
    <w:multiLevelType w:val="hybridMultilevel"/>
    <w:tmpl w:val="5B0A09FA"/>
    <w:lvl w:ilvl="0" w:tplc="F530B88A">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06D0B582">
      <w:numFmt w:val="bullet"/>
      <w:lvlText w:val="•"/>
      <w:lvlJc w:val="left"/>
      <w:pPr>
        <w:ind w:left="1526" w:hanging="360"/>
      </w:pPr>
      <w:rPr>
        <w:rFonts w:hint="default"/>
        <w:lang w:val="en-US" w:eastAsia="en-US" w:bidi="ar-SA"/>
      </w:rPr>
    </w:lvl>
    <w:lvl w:ilvl="2" w:tplc="F1AE6832">
      <w:numFmt w:val="bullet"/>
      <w:lvlText w:val="•"/>
      <w:lvlJc w:val="left"/>
      <w:pPr>
        <w:ind w:left="2272" w:hanging="360"/>
      </w:pPr>
      <w:rPr>
        <w:rFonts w:hint="default"/>
        <w:lang w:val="en-US" w:eastAsia="en-US" w:bidi="ar-SA"/>
      </w:rPr>
    </w:lvl>
    <w:lvl w:ilvl="3" w:tplc="BFE2D3C6">
      <w:numFmt w:val="bullet"/>
      <w:lvlText w:val="•"/>
      <w:lvlJc w:val="left"/>
      <w:pPr>
        <w:ind w:left="3018" w:hanging="360"/>
      </w:pPr>
      <w:rPr>
        <w:rFonts w:hint="default"/>
        <w:lang w:val="en-US" w:eastAsia="en-US" w:bidi="ar-SA"/>
      </w:rPr>
    </w:lvl>
    <w:lvl w:ilvl="4" w:tplc="FF3C5DF0">
      <w:numFmt w:val="bullet"/>
      <w:lvlText w:val="•"/>
      <w:lvlJc w:val="left"/>
      <w:pPr>
        <w:ind w:left="3764" w:hanging="360"/>
      </w:pPr>
      <w:rPr>
        <w:rFonts w:hint="default"/>
        <w:lang w:val="en-US" w:eastAsia="en-US" w:bidi="ar-SA"/>
      </w:rPr>
    </w:lvl>
    <w:lvl w:ilvl="5" w:tplc="1DDE3EB4">
      <w:numFmt w:val="bullet"/>
      <w:lvlText w:val="•"/>
      <w:lvlJc w:val="left"/>
      <w:pPr>
        <w:ind w:left="4511" w:hanging="360"/>
      </w:pPr>
      <w:rPr>
        <w:rFonts w:hint="default"/>
        <w:lang w:val="en-US" w:eastAsia="en-US" w:bidi="ar-SA"/>
      </w:rPr>
    </w:lvl>
    <w:lvl w:ilvl="6" w:tplc="D3BEB1EC">
      <w:numFmt w:val="bullet"/>
      <w:lvlText w:val="•"/>
      <w:lvlJc w:val="left"/>
      <w:pPr>
        <w:ind w:left="5257" w:hanging="360"/>
      </w:pPr>
      <w:rPr>
        <w:rFonts w:hint="default"/>
        <w:lang w:val="en-US" w:eastAsia="en-US" w:bidi="ar-SA"/>
      </w:rPr>
    </w:lvl>
    <w:lvl w:ilvl="7" w:tplc="4044C530">
      <w:numFmt w:val="bullet"/>
      <w:lvlText w:val="•"/>
      <w:lvlJc w:val="left"/>
      <w:pPr>
        <w:ind w:left="6003" w:hanging="360"/>
      </w:pPr>
      <w:rPr>
        <w:rFonts w:hint="default"/>
        <w:lang w:val="en-US" w:eastAsia="en-US" w:bidi="ar-SA"/>
      </w:rPr>
    </w:lvl>
    <w:lvl w:ilvl="8" w:tplc="63AC3B16">
      <w:numFmt w:val="bullet"/>
      <w:lvlText w:val="•"/>
      <w:lvlJc w:val="left"/>
      <w:pPr>
        <w:ind w:left="6749" w:hanging="360"/>
      </w:pPr>
      <w:rPr>
        <w:rFonts w:hint="default"/>
        <w:lang w:val="en-US" w:eastAsia="en-US" w:bidi="ar-SA"/>
      </w:r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FAF"/>
    <w:multiLevelType w:val="hybridMultilevel"/>
    <w:tmpl w:val="7D0E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3D04"/>
    <w:multiLevelType w:val="hybridMultilevel"/>
    <w:tmpl w:val="273ECA9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2937498"/>
    <w:multiLevelType w:val="hybridMultilevel"/>
    <w:tmpl w:val="36B082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93821"/>
    <w:multiLevelType w:val="hybridMultilevel"/>
    <w:tmpl w:val="3850DAD4"/>
    <w:lvl w:ilvl="0" w:tplc="7BE435A4">
      <w:numFmt w:val="bullet"/>
      <w:lvlText w:val=""/>
      <w:lvlJc w:val="left"/>
      <w:pPr>
        <w:ind w:left="2622" w:hanging="360"/>
      </w:pPr>
      <w:rPr>
        <w:rFonts w:ascii="Symbol" w:eastAsia="Symbol" w:hAnsi="Symbol" w:cs="Symbol" w:hint="default"/>
        <w:b w:val="0"/>
        <w:bCs w:val="0"/>
        <w:i w:val="0"/>
        <w:iCs w:val="0"/>
        <w:spacing w:val="0"/>
        <w:w w:val="100"/>
        <w:sz w:val="24"/>
        <w:szCs w:val="24"/>
        <w:lang w:val="en-US" w:eastAsia="en-US" w:bidi="ar-SA"/>
      </w:rPr>
    </w:lvl>
    <w:lvl w:ilvl="1" w:tplc="2200D9A6">
      <w:numFmt w:val="bullet"/>
      <w:lvlText w:val="•"/>
      <w:lvlJc w:val="left"/>
      <w:pPr>
        <w:ind w:left="3390" w:hanging="360"/>
      </w:pPr>
      <w:rPr>
        <w:rFonts w:hint="default"/>
        <w:lang w:val="en-US" w:eastAsia="en-US" w:bidi="ar-SA"/>
      </w:rPr>
    </w:lvl>
    <w:lvl w:ilvl="2" w:tplc="70AE4D4E">
      <w:numFmt w:val="bullet"/>
      <w:lvlText w:val="•"/>
      <w:lvlJc w:val="left"/>
      <w:pPr>
        <w:ind w:left="4160" w:hanging="360"/>
      </w:pPr>
      <w:rPr>
        <w:rFonts w:hint="default"/>
        <w:lang w:val="en-US" w:eastAsia="en-US" w:bidi="ar-SA"/>
      </w:rPr>
    </w:lvl>
    <w:lvl w:ilvl="3" w:tplc="0D12E77E">
      <w:numFmt w:val="bullet"/>
      <w:lvlText w:val="•"/>
      <w:lvlJc w:val="left"/>
      <w:pPr>
        <w:ind w:left="4930" w:hanging="360"/>
      </w:pPr>
      <w:rPr>
        <w:rFonts w:hint="default"/>
        <w:lang w:val="en-US" w:eastAsia="en-US" w:bidi="ar-SA"/>
      </w:rPr>
    </w:lvl>
    <w:lvl w:ilvl="4" w:tplc="7FC0662A">
      <w:numFmt w:val="bullet"/>
      <w:lvlText w:val="•"/>
      <w:lvlJc w:val="left"/>
      <w:pPr>
        <w:ind w:left="5700" w:hanging="360"/>
      </w:pPr>
      <w:rPr>
        <w:rFonts w:hint="default"/>
        <w:lang w:val="en-US" w:eastAsia="en-US" w:bidi="ar-SA"/>
      </w:rPr>
    </w:lvl>
    <w:lvl w:ilvl="5" w:tplc="BB6ED988">
      <w:numFmt w:val="bullet"/>
      <w:lvlText w:val="•"/>
      <w:lvlJc w:val="left"/>
      <w:pPr>
        <w:ind w:left="6470" w:hanging="360"/>
      </w:pPr>
      <w:rPr>
        <w:rFonts w:hint="default"/>
        <w:lang w:val="en-US" w:eastAsia="en-US" w:bidi="ar-SA"/>
      </w:rPr>
    </w:lvl>
    <w:lvl w:ilvl="6" w:tplc="E96428B2">
      <w:numFmt w:val="bullet"/>
      <w:lvlText w:val="•"/>
      <w:lvlJc w:val="left"/>
      <w:pPr>
        <w:ind w:left="7240" w:hanging="360"/>
      </w:pPr>
      <w:rPr>
        <w:rFonts w:hint="default"/>
        <w:lang w:val="en-US" w:eastAsia="en-US" w:bidi="ar-SA"/>
      </w:rPr>
    </w:lvl>
    <w:lvl w:ilvl="7" w:tplc="C108EF0A">
      <w:numFmt w:val="bullet"/>
      <w:lvlText w:val="•"/>
      <w:lvlJc w:val="left"/>
      <w:pPr>
        <w:ind w:left="8010" w:hanging="360"/>
      </w:pPr>
      <w:rPr>
        <w:rFonts w:hint="default"/>
        <w:lang w:val="en-US" w:eastAsia="en-US" w:bidi="ar-SA"/>
      </w:rPr>
    </w:lvl>
    <w:lvl w:ilvl="8" w:tplc="13923E18">
      <w:numFmt w:val="bullet"/>
      <w:lvlText w:val="•"/>
      <w:lvlJc w:val="left"/>
      <w:pPr>
        <w:ind w:left="8780" w:hanging="360"/>
      </w:pPr>
      <w:rPr>
        <w:rFonts w:hint="default"/>
        <w:lang w:val="en-US" w:eastAsia="en-US" w:bidi="ar-SA"/>
      </w:rPr>
    </w:lvl>
  </w:abstractNum>
  <w:abstractNum w:abstractNumId="10"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4A48"/>
    <w:multiLevelType w:val="hybridMultilevel"/>
    <w:tmpl w:val="F82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F3C54"/>
    <w:multiLevelType w:val="hybridMultilevel"/>
    <w:tmpl w:val="5D2E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727823">
    <w:abstractNumId w:val="12"/>
  </w:num>
  <w:num w:numId="2" w16cid:durableId="70201751">
    <w:abstractNumId w:val="14"/>
  </w:num>
  <w:num w:numId="3" w16cid:durableId="1048265266">
    <w:abstractNumId w:val="13"/>
  </w:num>
  <w:num w:numId="4" w16cid:durableId="1585650123">
    <w:abstractNumId w:val="3"/>
  </w:num>
  <w:num w:numId="5" w16cid:durableId="838888282">
    <w:abstractNumId w:val="1"/>
  </w:num>
  <w:num w:numId="6" w16cid:durableId="1045367517">
    <w:abstractNumId w:val="8"/>
  </w:num>
  <w:num w:numId="7" w16cid:durableId="897666194">
    <w:abstractNumId w:val="11"/>
  </w:num>
  <w:num w:numId="8" w16cid:durableId="2017615362">
    <w:abstractNumId w:val="15"/>
  </w:num>
  <w:num w:numId="9" w16cid:durableId="826671625">
    <w:abstractNumId w:val="10"/>
  </w:num>
  <w:num w:numId="10" w16cid:durableId="1128474828">
    <w:abstractNumId w:val="5"/>
  </w:num>
  <w:num w:numId="11" w16cid:durableId="402604075">
    <w:abstractNumId w:val="2"/>
  </w:num>
  <w:num w:numId="12" w16cid:durableId="2074963495">
    <w:abstractNumId w:val="6"/>
  </w:num>
  <w:num w:numId="13" w16cid:durableId="987980008">
    <w:abstractNumId w:val="7"/>
  </w:num>
  <w:num w:numId="14" w16cid:durableId="1276791993">
    <w:abstractNumId w:val="16"/>
  </w:num>
  <w:num w:numId="15" w16cid:durableId="2070229302">
    <w:abstractNumId w:val="4"/>
  </w:num>
  <w:num w:numId="16" w16cid:durableId="1960799502">
    <w:abstractNumId w:val="17"/>
  </w:num>
  <w:num w:numId="17" w16cid:durableId="1029793834">
    <w:abstractNumId w:val="0"/>
  </w:num>
  <w:num w:numId="18" w16cid:durableId="188757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31A9"/>
    <w:rsid w:val="00004D4E"/>
    <w:rsid w:val="00010EA7"/>
    <w:rsid w:val="00011B5E"/>
    <w:rsid w:val="00012052"/>
    <w:rsid w:val="000143EE"/>
    <w:rsid w:val="00015DC9"/>
    <w:rsid w:val="00040E89"/>
    <w:rsid w:val="00044FA0"/>
    <w:rsid w:val="00045674"/>
    <w:rsid w:val="00045879"/>
    <w:rsid w:val="00050736"/>
    <w:rsid w:val="000623F4"/>
    <w:rsid w:val="000628A6"/>
    <w:rsid w:val="000671B9"/>
    <w:rsid w:val="000707D0"/>
    <w:rsid w:val="000715A9"/>
    <w:rsid w:val="00075885"/>
    <w:rsid w:val="00080C61"/>
    <w:rsid w:val="00081788"/>
    <w:rsid w:val="00081B16"/>
    <w:rsid w:val="000833FC"/>
    <w:rsid w:val="00085CAE"/>
    <w:rsid w:val="00086CBF"/>
    <w:rsid w:val="00090A46"/>
    <w:rsid w:val="00091912"/>
    <w:rsid w:val="00091CFA"/>
    <w:rsid w:val="0009228A"/>
    <w:rsid w:val="00094741"/>
    <w:rsid w:val="000A0032"/>
    <w:rsid w:val="000A16D9"/>
    <w:rsid w:val="000A1EFF"/>
    <w:rsid w:val="000B04AB"/>
    <w:rsid w:val="000B3155"/>
    <w:rsid w:val="000B3742"/>
    <w:rsid w:val="000B5B85"/>
    <w:rsid w:val="000B69D6"/>
    <w:rsid w:val="000C2912"/>
    <w:rsid w:val="000C6006"/>
    <w:rsid w:val="000D0D2E"/>
    <w:rsid w:val="000D35D5"/>
    <w:rsid w:val="000D5BC3"/>
    <w:rsid w:val="000D6281"/>
    <w:rsid w:val="000E15C9"/>
    <w:rsid w:val="000E51D1"/>
    <w:rsid w:val="000F53D3"/>
    <w:rsid w:val="000F72ED"/>
    <w:rsid w:val="00112E2B"/>
    <w:rsid w:val="00114F6C"/>
    <w:rsid w:val="00124B96"/>
    <w:rsid w:val="00125422"/>
    <w:rsid w:val="00130E3F"/>
    <w:rsid w:val="00141D9C"/>
    <w:rsid w:val="00151197"/>
    <w:rsid w:val="00152827"/>
    <w:rsid w:val="001610D8"/>
    <w:rsid w:val="00162A4C"/>
    <w:rsid w:val="0016420D"/>
    <w:rsid w:val="00165B0B"/>
    <w:rsid w:val="00172D76"/>
    <w:rsid w:val="001730D7"/>
    <w:rsid w:val="00182841"/>
    <w:rsid w:val="00184765"/>
    <w:rsid w:val="00196069"/>
    <w:rsid w:val="0019733B"/>
    <w:rsid w:val="001A0B41"/>
    <w:rsid w:val="001A31BF"/>
    <w:rsid w:val="001A33EE"/>
    <w:rsid w:val="001A4080"/>
    <w:rsid w:val="001A5F67"/>
    <w:rsid w:val="001B2AC1"/>
    <w:rsid w:val="001B4A24"/>
    <w:rsid w:val="001B4AC0"/>
    <w:rsid w:val="001B4D8B"/>
    <w:rsid w:val="001B762B"/>
    <w:rsid w:val="001D3AA7"/>
    <w:rsid w:val="001D78B4"/>
    <w:rsid w:val="001E6078"/>
    <w:rsid w:val="001F257D"/>
    <w:rsid w:val="001F3416"/>
    <w:rsid w:val="001F3C70"/>
    <w:rsid w:val="001F55E7"/>
    <w:rsid w:val="001F5883"/>
    <w:rsid w:val="001F7A96"/>
    <w:rsid w:val="001F7E65"/>
    <w:rsid w:val="00212C6B"/>
    <w:rsid w:val="0021646C"/>
    <w:rsid w:val="002179D7"/>
    <w:rsid w:val="00236489"/>
    <w:rsid w:val="00241688"/>
    <w:rsid w:val="0024234E"/>
    <w:rsid w:val="002450A1"/>
    <w:rsid w:val="00247931"/>
    <w:rsid w:val="00250572"/>
    <w:rsid w:val="00252F86"/>
    <w:rsid w:val="00255F2C"/>
    <w:rsid w:val="002602E8"/>
    <w:rsid w:val="00264C63"/>
    <w:rsid w:val="00271695"/>
    <w:rsid w:val="00271CE3"/>
    <w:rsid w:val="00274904"/>
    <w:rsid w:val="00274EEF"/>
    <w:rsid w:val="00276FA8"/>
    <w:rsid w:val="002837F0"/>
    <w:rsid w:val="00283AEB"/>
    <w:rsid w:val="002870E8"/>
    <w:rsid w:val="002931FB"/>
    <w:rsid w:val="0029340E"/>
    <w:rsid w:val="00293A98"/>
    <w:rsid w:val="002A5B7D"/>
    <w:rsid w:val="002A641F"/>
    <w:rsid w:val="002B0DE6"/>
    <w:rsid w:val="002B1BE5"/>
    <w:rsid w:val="002B66B6"/>
    <w:rsid w:val="002B7C93"/>
    <w:rsid w:val="002C343C"/>
    <w:rsid w:val="002C47B0"/>
    <w:rsid w:val="002C4BB1"/>
    <w:rsid w:val="002C5F64"/>
    <w:rsid w:val="002D0113"/>
    <w:rsid w:val="002D28AA"/>
    <w:rsid w:val="002D35E7"/>
    <w:rsid w:val="002D4035"/>
    <w:rsid w:val="002E0B93"/>
    <w:rsid w:val="002E1375"/>
    <w:rsid w:val="002E31C2"/>
    <w:rsid w:val="002E44F4"/>
    <w:rsid w:val="002F04D8"/>
    <w:rsid w:val="002F2D48"/>
    <w:rsid w:val="002F4DAF"/>
    <w:rsid w:val="0030260D"/>
    <w:rsid w:val="00302C3A"/>
    <w:rsid w:val="003045AE"/>
    <w:rsid w:val="00306B06"/>
    <w:rsid w:val="00307B8F"/>
    <w:rsid w:val="00307D0C"/>
    <w:rsid w:val="00315A3D"/>
    <w:rsid w:val="003175D4"/>
    <w:rsid w:val="00317DD0"/>
    <w:rsid w:val="00333ECF"/>
    <w:rsid w:val="00334AAE"/>
    <w:rsid w:val="003376C9"/>
    <w:rsid w:val="00343729"/>
    <w:rsid w:val="00346ABB"/>
    <w:rsid w:val="00353536"/>
    <w:rsid w:val="00354DFE"/>
    <w:rsid w:val="00357D48"/>
    <w:rsid w:val="00361DE1"/>
    <w:rsid w:val="00363B1C"/>
    <w:rsid w:val="00372028"/>
    <w:rsid w:val="00380E12"/>
    <w:rsid w:val="003900FD"/>
    <w:rsid w:val="003907E9"/>
    <w:rsid w:val="00390FC0"/>
    <w:rsid w:val="00391558"/>
    <w:rsid w:val="00391CD1"/>
    <w:rsid w:val="0039204D"/>
    <w:rsid w:val="00392E0F"/>
    <w:rsid w:val="00395D90"/>
    <w:rsid w:val="003A175C"/>
    <w:rsid w:val="003A2088"/>
    <w:rsid w:val="003A5B58"/>
    <w:rsid w:val="003B7D68"/>
    <w:rsid w:val="003C4265"/>
    <w:rsid w:val="003D06D9"/>
    <w:rsid w:val="003D1DBE"/>
    <w:rsid w:val="003D312D"/>
    <w:rsid w:val="003D5357"/>
    <w:rsid w:val="003D7C25"/>
    <w:rsid w:val="003E14BF"/>
    <w:rsid w:val="003E1FA3"/>
    <w:rsid w:val="003E42E4"/>
    <w:rsid w:val="003E62CF"/>
    <w:rsid w:val="003F3C8D"/>
    <w:rsid w:val="003F4DDE"/>
    <w:rsid w:val="003F6C7A"/>
    <w:rsid w:val="00416087"/>
    <w:rsid w:val="00420B03"/>
    <w:rsid w:val="00425BB7"/>
    <w:rsid w:val="00426458"/>
    <w:rsid w:val="00427DA3"/>
    <w:rsid w:val="00431751"/>
    <w:rsid w:val="00435F85"/>
    <w:rsid w:val="00437797"/>
    <w:rsid w:val="00450F9C"/>
    <w:rsid w:val="00451ED5"/>
    <w:rsid w:val="00457CDE"/>
    <w:rsid w:val="004645D1"/>
    <w:rsid w:val="00464D6F"/>
    <w:rsid w:val="00467717"/>
    <w:rsid w:val="00470228"/>
    <w:rsid w:val="0047290A"/>
    <w:rsid w:val="00477568"/>
    <w:rsid w:val="00480227"/>
    <w:rsid w:val="00481670"/>
    <w:rsid w:val="0048342A"/>
    <w:rsid w:val="00487510"/>
    <w:rsid w:val="00495DDF"/>
    <w:rsid w:val="004A1335"/>
    <w:rsid w:val="004A6CB4"/>
    <w:rsid w:val="004A7669"/>
    <w:rsid w:val="004A7B2E"/>
    <w:rsid w:val="004B23AD"/>
    <w:rsid w:val="004B2BDA"/>
    <w:rsid w:val="004B3283"/>
    <w:rsid w:val="004C0608"/>
    <w:rsid w:val="004C09BF"/>
    <w:rsid w:val="004C2A18"/>
    <w:rsid w:val="004C43B8"/>
    <w:rsid w:val="004E2F4F"/>
    <w:rsid w:val="004E3AB6"/>
    <w:rsid w:val="004F31D7"/>
    <w:rsid w:val="004F787F"/>
    <w:rsid w:val="005122F2"/>
    <w:rsid w:val="005145D8"/>
    <w:rsid w:val="00517741"/>
    <w:rsid w:val="00525289"/>
    <w:rsid w:val="005256A4"/>
    <w:rsid w:val="00525D4A"/>
    <w:rsid w:val="00526A44"/>
    <w:rsid w:val="00537F38"/>
    <w:rsid w:val="00540E60"/>
    <w:rsid w:val="00542702"/>
    <w:rsid w:val="00552EB0"/>
    <w:rsid w:val="00555371"/>
    <w:rsid w:val="00562F88"/>
    <w:rsid w:val="0057172C"/>
    <w:rsid w:val="005733AC"/>
    <w:rsid w:val="00573449"/>
    <w:rsid w:val="00573A23"/>
    <w:rsid w:val="005745EF"/>
    <w:rsid w:val="00586613"/>
    <w:rsid w:val="005917CC"/>
    <w:rsid w:val="005978EE"/>
    <w:rsid w:val="005C04A8"/>
    <w:rsid w:val="005C38D7"/>
    <w:rsid w:val="005C393C"/>
    <w:rsid w:val="005C45AE"/>
    <w:rsid w:val="005D08FB"/>
    <w:rsid w:val="005D66E5"/>
    <w:rsid w:val="005D6E7E"/>
    <w:rsid w:val="005E0483"/>
    <w:rsid w:val="005E0799"/>
    <w:rsid w:val="005E6979"/>
    <w:rsid w:val="005E70D5"/>
    <w:rsid w:val="00602119"/>
    <w:rsid w:val="0060572F"/>
    <w:rsid w:val="006059B6"/>
    <w:rsid w:val="00606D2C"/>
    <w:rsid w:val="00610227"/>
    <w:rsid w:val="00621395"/>
    <w:rsid w:val="00631E2A"/>
    <w:rsid w:val="00652AC9"/>
    <w:rsid w:val="00652B42"/>
    <w:rsid w:val="00652F1D"/>
    <w:rsid w:val="00660DBC"/>
    <w:rsid w:val="00664CE2"/>
    <w:rsid w:val="006718D0"/>
    <w:rsid w:val="006722F9"/>
    <w:rsid w:val="00694F56"/>
    <w:rsid w:val="00696A30"/>
    <w:rsid w:val="00697A43"/>
    <w:rsid w:val="006A2B59"/>
    <w:rsid w:val="006A4606"/>
    <w:rsid w:val="006A498C"/>
    <w:rsid w:val="006A4FD8"/>
    <w:rsid w:val="006A5B1A"/>
    <w:rsid w:val="006A77EA"/>
    <w:rsid w:val="006B4216"/>
    <w:rsid w:val="006B7E00"/>
    <w:rsid w:val="006C0830"/>
    <w:rsid w:val="006C42A4"/>
    <w:rsid w:val="006C5858"/>
    <w:rsid w:val="006D4B9B"/>
    <w:rsid w:val="006D7B82"/>
    <w:rsid w:val="006E2C01"/>
    <w:rsid w:val="006F037C"/>
    <w:rsid w:val="006F4DF5"/>
    <w:rsid w:val="006F53BA"/>
    <w:rsid w:val="00703E4D"/>
    <w:rsid w:val="00711A18"/>
    <w:rsid w:val="007123BD"/>
    <w:rsid w:val="00725371"/>
    <w:rsid w:val="00725DF2"/>
    <w:rsid w:val="00747537"/>
    <w:rsid w:val="00755CE8"/>
    <w:rsid w:val="0076023D"/>
    <w:rsid w:val="0076251E"/>
    <w:rsid w:val="007666D1"/>
    <w:rsid w:val="0077417A"/>
    <w:rsid w:val="00777270"/>
    <w:rsid w:val="007801FE"/>
    <w:rsid w:val="00780A50"/>
    <w:rsid w:val="00790C45"/>
    <w:rsid w:val="007928FD"/>
    <w:rsid w:val="007955CD"/>
    <w:rsid w:val="00795EBC"/>
    <w:rsid w:val="007A02CB"/>
    <w:rsid w:val="007A46D4"/>
    <w:rsid w:val="007B49EB"/>
    <w:rsid w:val="007C715E"/>
    <w:rsid w:val="007D2DAF"/>
    <w:rsid w:val="007D384F"/>
    <w:rsid w:val="007E11BA"/>
    <w:rsid w:val="007E5C88"/>
    <w:rsid w:val="007F0D35"/>
    <w:rsid w:val="007F1BA7"/>
    <w:rsid w:val="007F2C48"/>
    <w:rsid w:val="00800461"/>
    <w:rsid w:val="00802220"/>
    <w:rsid w:val="00803F05"/>
    <w:rsid w:val="00804CCE"/>
    <w:rsid w:val="00806DE8"/>
    <w:rsid w:val="0081581A"/>
    <w:rsid w:val="0081669D"/>
    <w:rsid w:val="00821EB7"/>
    <w:rsid w:val="00822060"/>
    <w:rsid w:val="00824193"/>
    <w:rsid w:val="008327E0"/>
    <w:rsid w:val="008331ED"/>
    <w:rsid w:val="00833E5D"/>
    <w:rsid w:val="00834684"/>
    <w:rsid w:val="00837CEB"/>
    <w:rsid w:val="00840758"/>
    <w:rsid w:val="00841DC8"/>
    <w:rsid w:val="00847A57"/>
    <w:rsid w:val="00850E03"/>
    <w:rsid w:val="00852D8E"/>
    <w:rsid w:val="00856201"/>
    <w:rsid w:val="0086174B"/>
    <w:rsid w:val="00862ECF"/>
    <w:rsid w:val="00866607"/>
    <w:rsid w:val="008667B4"/>
    <w:rsid w:val="0088073D"/>
    <w:rsid w:val="00881246"/>
    <w:rsid w:val="008856C6"/>
    <w:rsid w:val="0089048C"/>
    <w:rsid w:val="00892477"/>
    <w:rsid w:val="00896404"/>
    <w:rsid w:val="008A0A3A"/>
    <w:rsid w:val="008A49BE"/>
    <w:rsid w:val="008A5F5A"/>
    <w:rsid w:val="008A76F6"/>
    <w:rsid w:val="008B1803"/>
    <w:rsid w:val="008C5291"/>
    <w:rsid w:val="008D3D78"/>
    <w:rsid w:val="008E48B9"/>
    <w:rsid w:val="0090482B"/>
    <w:rsid w:val="009112AA"/>
    <w:rsid w:val="009140AC"/>
    <w:rsid w:val="00916E9E"/>
    <w:rsid w:val="0091703F"/>
    <w:rsid w:val="009208B6"/>
    <w:rsid w:val="00921042"/>
    <w:rsid w:val="0092193D"/>
    <w:rsid w:val="00923084"/>
    <w:rsid w:val="009239A5"/>
    <w:rsid w:val="0093137B"/>
    <w:rsid w:val="00932F29"/>
    <w:rsid w:val="00934E68"/>
    <w:rsid w:val="00934FC6"/>
    <w:rsid w:val="00937704"/>
    <w:rsid w:val="00937AC3"/>
    <w:rsid w:val="009412F7"/>
    <w:rsid w:val="009433E2"/>
    <w:rsid w:val="0094759E"/>
    <w:rsid w:val="00947D9A"/>
    <w:rsid w:val="0095135F"/>
    <w:rsid w:val="00951987"/>
    <w:rsid w:val="00956A39"/>
    <w:rsid w:val="00964369"/>
    <w:rsid w:val="0097228A"/>
    <w:rsid w:val="0097563B"/>
    <w:rsid w:val="00995CB6"/>
    <w:rsid w:val="00996840"/>
    <w:rsid w:val="00996A1C"/>
    <w:rsid w:val="00997329"/>
    <w:rsid w:val="00997940"/>
    <w:rsid w:val="009B1FAA"/>
    <w:rsid w:val="009C04C5"/>
    <w:rsid w:val="009C37EA"/>
    <w:rsid w:val="009C42A4"/>
    <w:rsid w:val="009D191D"/>
    <w:rsid w:val="009D210B"/>
    <w:rsid w:val="009D6C8E"/>
    <w:rsid w:val="009E6403"/>
    <w:rsid w:val="009F0658"/>
    <w:rsid w:val="009F4C20"/>
    <w:rsid w:val="009F54F9"/>
    <w:rsid w:val="009F7098"/>
    <w:rsid w:val="009F7C35"/>
    <w:rsid w:val="00A036DB"/>
    <w:rsid w:val="00A0766E"/>
    <w:rsid w:val="00A10CC8"/>
    <w:rsid w:val="00A11DA2"/>
    <w:rsid w:val="00A15B6B"/>
    <w:rsid w:val="00A16291"/>
    <w:rsid w:val="00A23FF6"/>
    <w:rsid w:val="00A33C67"/>
    <w:rsid w:val="00A36B77"/>
    <w:rsid w:val="00A37123"/>
    <w:rsid w:val="00A44D7C"/>
    <w:rsid w:val="00A4617C"/>
    <w:rsid w:val="00A4643B"/>
    <w:rsid w:val="00A53454"/>
    <w:rsid w:val="00A565DF"/>
    <w:rsid w:val="00A57ABA"/>
    <w:rsid w:val="00A612B3"/>
    <w:rsid w:val="00A6468A"/>
    <w:rsid w:val="00A72D4D"/>
    <w:rsid w:val="00A817DF"/>
    <w:rsid w:val="00A84579"/>
    <w:rsid w:val="00A86CF1"/>
    <w:rsid w:val="00A9006A"/>
    <w:rsid w:val="00A93A6B"/>
    <w:rsid w:val="00A940F7"/>
    <w:rsid w:val="00A95116"/>
    <w:rsid w:val="00A96331"/>
    <w:rsid w:val="00AA6905"/>
    <w:rsid w:val="00AB3CE5"/>
    <w:rsid w:val="00AB3F1D"/>
    <w:rsid w:val="00AB46BD"/>
    <w:rsid w:val="00AB5E95"/>
    <w:rsid w:val="00AC037A"/>
    <w:rsid w:val="00AC1317"/>
    <w:rsid w:val="00AC20BC"/>
    <w:rsid w:val="00AC2DA1"/>
    <w:rsid w:val="00AC3D48"/>
    <w:rsid w:val="00AD1DD3"/>
    <w:rsid w:val="00AD2247"/>
    <w:rsid w:val="00AD2AF9"/>
    <w:rsid w:val="00AD572B"/>
    <w:rsid w:val="00AD6BCE"/>
    <w:rsid w:val="00AE5100"/>
    <w:rsid w:val="00AE655F"/>
    <w:rsid w:val="00AE6FCA"/>
    <w:rsid w:val="00AE7E41"/>
    <w:rsid w:val="00AF1920"/>
    <w:rsid w:val="00AF7580"/>
    <w:rsid w:val="00AF7A7C"/>
    <w:rsid w:val="00B07E57"/>
    <w:rsid w:val="00B16D5F"/>
    <w:rsid w:val="00B175A3"/>
    <w:rsid w:val="00B32B03"/>
    <w:rsid w:val="00B34107"/>
    <w:rsid w:val="00B37520"/>
    <w:rsid w:val="00B42D4C"/>
    <w:rsid w:val="00B45C6E"/>
    <w:rsid w:val="00B51B04"/>
    <w:rsid w:val="00B53ECD"/>
    <w:rsid w:val="00B557C9"/>
    <w:rsid w:val="00B55900"/>
    <w:rsid w:val="00B57AE3"/>
    <w:rsid w:val="00B62DED"/>
    <w:rsid w:val="00B64B99"/>
    <w:rsid w:val="00B64FF8"/>
    <w:rsid w:val="00B7436F"/>
    <w:rsid w:val="00B74CD2"/>
    <w:rsid w:val="00B75F06"/>
    <w:rsid w:val="00B775E6"/>
    <w:rsid w:val="00B77647"/>
    <w:rsid w:val="00B81279"/>
    <w:rsid w:val="00B81529"/>
    <w:rsid w:val="00B852B1"/>
    <w:rsid w:val="00B93AC4"/>
    <w:rsid w:val="00B973C4"/>
    <w:rsid w:val="00BA1D2D"/>
    <w:rsid w:val="00BA1FD0"/>
    <w:rsid w:val="00BA31FA"/>
    <w:rsid w:val="00BB45D5"/>
    <w:rsid w:val="00BD5FE0"/>
    <w:rsid w:val="00BE6129"/>
    <w:rsid w:val="00BF0F74"/>
    <w:rsid w:val="00BF29E2"/>
    <w:rsid w:val="00BF79DF"/>
    <w:rsid w:val="00C16DFA"/>
    <w:rsid w:val="00C279B8"/>
    <w:rsid w:val="00C411D8"/>
    <w:rsid w:val="00C413AA"/>
    <w:rsid w:val="00C41497"/>
    <w:rsid w:val="00C4531C"/>
    <w:rsid w:val="00C54A45"/>
    <w:rsid w:val="00C55686"/>
    <w:rsid w:val="00C56EDF"/>
    <w:rsid w:val="00C70B26"/>
    <w:rsid w:val="00C71135"/>
    <w:rsid w:val="00C73B9E"/>
    <w:rsid w:val="00C754ED"/>
    <w:rsid w:val="00CA1216"/>
    <w:rsid w:val="00CA6A48"/>
    <w:rsid w:val="00CA7D87"/>
    <w:rsid w:val="00CB17B7"/>
    <w:rsid w:val="00CB625C"/>
    <w:rsid w:val="00CB7456"/>
    <w:rsid w:val="00CC0310"/>
    <w:rsid w:val="00CD33D1"/>
    <w:rsid w:val="00CD3429"/>
    <w:rsid w:val="00CD3C26"/>
    <w:rsid w:val="00CD4B28"/>
    <w:rsid w:val="00CE657C"/>
    <w:rsid w:val="00CF0EC5"/>
    <w:rsid w:val="00CF6C35"/>
    <w:rsid w:val="00CF7DF5"/>
    <w:rsid w:val="00D0051A"/>
    <w:rsid w:val="00D058D4"/>
    <w:rsid w:val="00D1519C"/>
    <w:rsid w:val="00D202A1"/>
    <w:rsid w:val="00D20528"/>
    <w:rsid w:val="00D20988"/>
    <w:rsid w:val="00D2252D"/>
    <w:rsid w:val="00D23363"/>
    <w:rsid w:val="00D30961"/>
    <w:rsid w:val="00D33D9D"/>
    <w:rsid w:val="00D452DC"/>
    <w:rsid w:val="00D4686B"/>
    <w:rsid w:val="00D6273A"/>
    <w:rsid w:val="00D71BB4"/>
    <w:rsid w:val="00D8403A"/>
    <w:rsid w:val="00D86A58"/>
    <w:rsid w:val="00D87860"/>
    <w:rsid w:val="00D87F39"/>
    <w:rsid w:val="00D92467"/>
    <w:rsid w:val="00DA3B25"/>
    <w:rsid w:val="00DB1DE3"/>
    <w:rsid w:val="00DB4DB5"/>
    <w:rsid w:val="00DC158F"/>
    <w:rsid w:val="00DC1E5A"/>
    <w:rsid w:val="00DC4151"/>
    <w:rsid w:val="00DD2502"/>
    <w:rsid w:val="00DD6334"/>
    <w:rsid w:val="00DE6846"/>
    <w:rsid w:val="00DE6907"/>
    <w:rsid w:val="00DF4C72"/>
    <w:rsid w:val="00DF4DBC"/>
    <w:rsid w:val="00E026AB"/>
    <w:rsid w:val="00E11F13"/>
    <w:rsid w:val="00E31D29"/>
    <w:rsid w:val="00E3408D"/>
    <w:rsid w:val="00E44C01"/>
    <w:rsid w:val="00E44D3C"/>
    <w:rsid w:val="00E50F57"/>
    <w:rsid w:val="00E612F0"/>
    <w:rsid w:val="00E6345C"/>
    <w:rsid w:val="00E65C97"/>
    <w:rsid w:val="00E678BD"/>
    <w:rsid w:val="00E70463"/>
    <w:rsid w:val="00E757FE"/>
    <w:rsid w:val="00E805DA"/>
    <w:rsid w:val="00E805FF"/>
    <w:rsid w:val="00E859F8"/>
    <w:rsid w:val="00E94B0E"/>
    <w:rsid w:val="00EA55E5"/>
    <w:rsid w:val="00EA78BD"/>
    <w:rsid w:val="00EB675E"/>
    <w:rsid w:val="00EC160D"/>
    <w:rsid w:val="00EC188D"/>
    <w:rsid w:val="00EC4354"/>
    <w:rsid w:val="00EC5861"/>
    <w:rsid w:val="00ED2FEE"/>
    <w:rsid w:val="00ED57F4"/>
    <w:rsid w:val="00EF06B3"/>
    <w:rsid w:val="00EF100E"/>
    <w:rsid w:val="00EF2B70"/>
    <w:rsid w:val="00EF33AD"/>
    <w:rsid w:val="00EF47C6"/>
    <w:rsid w:val="00EF7D59"/>
    <w:rsid w:val="00F03156"/>
    <w:rsid w:val="00F052D8"/>
    <w:rsid w:val="00F073A6"/>
    <w:rsid w:val="00F076EC"/>
    <w:rsid w:val="00F122AF"/>
    <w:rsid w:val="00F13CFE"/>
    <w:rsid w:val="00F17643"/>
    <w:rsid w:val="00F22646"/>
    <w:rsid w:val="00F23B9C"/>
    <w:rsid w:val="00F24C73"/>
    <w:rsid w:val="00F3108F"/>
    <w:rsid w:val="00F32041"/>
    <w:rsid w:val="00F33E3E"/>
    <w:rsid w:val="00F3539B"/>
    <w:rsid w:val="00F35A06"/>
    <w:rsid w:val="00F376EB"/>
    <w:rsid w:val="00F37A72"/>
    <w:rsid w:val="00F41ABD"/>
    <w:rsid w:val="00F4322A"/>
    <w:rsid w:val="00F43D79"/>
    <w:rsid w:val="00F47925"/>
    <w:rsid w:val="00F53080"/>
    <w:rsid w:val="00F53616"/>
    <w:rsid w:val="00F53FA1"/>
    <w:rsid w:val="00F563D3"/>
    <w:rsid w:val="00F601A3"/>
    <w:rsid w:val="00F61739"/>
    <w:rsid w:val="00F61FB1"/>
    <w:rsid w:val="00F6377E"/>
    <w:rsid w:val="00F671E8"/>
    <w:rsid w:val="00F7418C"/>
    <w:rsid w:val="00F76F2F"/>
    <w:rsid w:val="00F76FEF"/>
    <w:rsid w:val="00F77A9C"/>
    <w:rsid w:val="00F83E59"/>
    <w:rsid w:val="00F85E11"/>
    <w:rsid w:val="00F87EE6"/>
    <w:rsid w:val="00F91A54"/>
    <w:rsid w:val="00F9536A"/>
    <w:rsid w:val="00FA423B"/>
    <w:rsid w:val="00FB766B"/>
    <w:rsid w:val="00FC4CA9"/>
    <w:rsid w:val="00FC5D5F"/>
    <w:rsid w:val="00FD10D6"/>
    <w:rsid w:val="00FD438A"/>
    <w:rsid w:val="00FD52BB"/>
    <w:rsid w:val="00FE3653"/>
    <w:rsid w:val="00FE4204"/>
    <w:rsid w:val="00FE4C20"/>
    <w:rsid w:val="00FF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6C42A4"/>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outlineLvl w:val="0"/>
    </w:pPr>
    <w:rPr>
      <w:rFonts w:eastAsia="Times New Roman"/>
      <w:color w:val="000000"/>
      <w:szCs w:val="26"/>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eastAsia="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eastAsia="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NormalWeb">
    <w:name w:val="Normal (Web)"/>
    <w:basedOn w:val="Normal"/>
    <w:uiPriority w:val="99"/>
    <w:unhideWhenUsed/>
    <w:rsid w:val="00A0766E"/>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1"/>
    <w:qFormat/>
    <w:rsid w:val="00F122AF"/>
    <w:pPr>
      <w:ind w:left="720"/>
      <w:contextualSpacing/>
    </w:pPr>
    <w:rPr>
      <w:rFonts w:asciiTheme="minorHAnsi" w:eastAsiaTheme="minorHAnsi" w:hAnsiTheme="minorHAnsi" w:cstheme="minorBidi"/>
    </w:rPr>
  </w:style>
  <w:style w:type="character" w:customStyle="1" w:styleId="xcontentpasted0">
    <w:name w:val="x_contentpasted0"/>
    <w:basedOn w:val="DefaultParagraphFont"/>
    <w:rsid w:val="006722F9"/>
  </w:style>
  <w:style w:type="paragraph" w:customStyle="1" w:styleId="Default">
    <w:name w:val="Default"/>
    <w:rsid w:val="00255F2C"/>
    <w:pPr>
      <w:autoSpaceDE w:val="0"/>
      <w:autoSpaceDN w:val="0"/>
      <w:adjustRightInd w:val="0"/>
    </w:pPr>
    <w:rPr>
      <w:color w:val="000000"/>
      <w:sz w:val="24"/>
      <w:szCs w:val="24"/>
    </w:rPr>
  </w:style>
  <w:style w:type="paragraph" w:styleId="Revision">
    <w:name w:val="Revision"/>
    <w:hidden/>
    <w:uiPriority w:val="99"/>
    <w:semiHidden/>
    <w:rsid w:val="00255F2C"/>
    <w:rPr>
      <w:sz w:val="22"/>
    </w:rPr>
  </w:style>
  <w:style w:type="character" w:styleId="HTMLCode">
    <w:name w:val="HTML Code"/>
    <w:basedOn w:val="DefaultParagraphFont"/>
    <w:uiPriority w:val="99"/>
    <w:semiHidden/>
    <w:unhideWhenUsed/>
    <w:rsid w:val="00B64B99"/>
    <w:rPr>
      <w:rFonts w:ascii="Courier New" w:eastAsia="Times New Roman" w:hAnsi="Courier New" w:cs="Courier New"/>
      <w:sz w:val="20"/>
      <w:szCs w:val="20"/>
    </w:rPr>
  </w:style>
  <w:style w:type="paragraph" w:styleId="BodyText">
    <w:name w:val="Body Text"/>
    <w:basedOn w:val="Normal"/>
    <w:link w:val="BodyTextChar"/>
    <w:rsid w:val="0009228A"/>
    <w:pPr>
      <w:spacing w:after="120" w:line="240" w:lineRule="auto"/>
    </w:pPr>
    <w:rPr>
      <w:rFonts w:eastAsia="Times New Roman"/>
      <w:sz w:val="24"/>
      <w:szCs w:val="24"/>
    </w:rPr>
  </w:style>
  <w:style w:type="character" w:customStyle="1" w:styleId="BodyTextChar">
    <w:name w:val="Body Text Char"/>
    <w:basedOn w:val="DefaultParagraphFont"/>
    <w:link w:val="BodyText"/>
    <w:rsid w:val="0009228A"/>
    <w:rPr>
      <w:rFonts w:ascii="Times New Roman" w:eastAsia="Times New Roman" w:hAnsi="Times New Roman"/>
      <w:sz w:val="24"/>
      <w:szCs w:val="24"/>
    </w:rPr>
  </w:style>
  <w:style w:type="paragraph" w:customStyle="1" w:styleId="TableParagraph">
    <w:name w:val="Table Paragraph"/>
    <w:basedOn w:val="Normal"/>
    <w:uiPriority w:val="1"/>
    <w:qFormat/>
    <w:rsid w:val="00E44D3C"/>
    <w:pPr>
      <w:widowControl w:val="0"/>
      <w:autoSpaceDE w:val="0"/>
      <w:autoSpaceDN w:val="0"/>
      <w:spacing w:after="0" w:line="240" w:lineRule="auto"/>
    </w:pPr>
    <w:rPr>
      <w:rFonts w:eastAsia="Times New Roman"/>
      <w:sz w:val="22"/>
    </w:rPr>
  </w:style>
  <w:style w:type="character" w:customStyle="1" w:styleId="Heading1Char">
    <w:name w:val="Heading 1 Char"/>
    <w:basedOn w:val="DefaultParagraphFont"/>
    <w:link w:val="Heading1"/>
    <w:uiPriority w:val="9"/>
    <w:rsid w:val="006C42A4"/>
    <w:rPr>
      <w:rFonts w:eastAsia="Times New Roman"/>
      <w:color w:val="0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76018">
      <w:bodyDiv w:val="1"/>
      <w:marLeft w:val="0"/>
      <w:marRight w:val="0"/>
      <w:marTop w:val="0"/>
      <w:marBottom w:val="0"/>
      <w:divBdr>
        <w:top w:val="none" w:sz="0" w:space="0" w:color="auto"/>
        <w:left w:val="none" w:sz="0" w:space="0" w:color="auto"/>
        <w:bottom w:val="none" w:sz="0" w:space="0" w:color="auto"/>
        <w:right w:val="none" w:sz="0" w:space="0" w:color="auto"/>
      </w:divBdr>
    </w:div>
    <w:div w:id="476651538">
      <w:bodyDiv w:val="1"/>
      <w:marLeft w:val="0"/>
      <w:marRight w:val="0"/>
      <w:marTop w:val="0"/>
      <w:marBottom w:val="0"/>
      <w:divBdr>
        <w:top w:val="none" w:sz="0" w:space="0" w:color="auto"/>
        <w:left w:val="none" w:sz="0" w:space="0" w:color="auto"/>
        <w:bottom w:val="none" w:sz="0" w:space="0" w:color="auto"/>
        <w:right w:val="none" w:sz="0" w:space="0" w:color="auto"/>
      </w:divBdr>
    </w:div>
    <w:div w:id="640840854">
      <w:bodyDiv w:val="1"/>
      <w:marLeft w:val="0"/>
      <w:marRight w:val="0"/>
      <w:marTop w:val="0"/>
      <w:marBottom w:val="0"/>
      <w:divBdr>
        <w:top w:val="none" w:sz="0" w:space="0" w:color="auto"/>
        <w:left w:val="none" w:sz="0" w:space="0" w:color="auto"/>
        <w:bottom w:val="none" w:sz="0" w:space="0" w:color="auto"/>
        <w:right w:val="none" w:sz="0" w:space="0" w:color="auto"/>
      </w:divBdr>
    </w:div>
    <w:div w:id="747730516">
      <w:bodyDiv w:val="1"/>
      <w:marLeft w:val="0"/>
      <w:marRight w:val="0"/>
      <w:marTop w:val="0"/>
      <w:marBottom w:val="0"/>
      <w:divBdr>
        <w:top w:val="none" w:sz="0" w:space="0" w:color="auto"/>
        <w:left w:val="none" w:sz="0" w:space="0" w:color="auto"/>
        <w:bottom w:val="none" w:sz="0" w:space="0" w:color="auto"/>
        <w:right w:val="none" w:sz="0" w:space="0" w:color="auto"/>
      </w:divBdr>
    </w:div>
    <w:div w:id="809518183">
      <w:bodyDiv w:val="1"/>
      <w:marLeft w:val="0"/>
      <w:marRight w:val="0"/>
      <w:marTop w:val="0"/>
      <w:marBottom w:val="0"/>
      <w:divBdr>
        <w:top w:val="none" w:sz="0" w:space="0" w:color="auto"/>
        <w:left w:val="none" w:sz="0" w:space="0" w:color="auto"/>
        <w:bottom w:val="none" w:sz="0" w:space="0" w:color="auto"/>
        <w:right w:val="none" w:sz="0" w:space="0" w:color="auto"/>
      </w:divBdr>
    </w:div>
    <w:div w:id="880551329">
      <w:bodyDiv w:val="1"/>
      <w:marLeft w:val="0"/>
      <w:marRight w:val="0"/>
      <w:marTop w:val="0"/>
      <w:marBottom w:val="0"/>
      <w:divBdr>
        <w:top w:val="none" w:sz="0" w:space="0" w:color="auto"/>
        <w:left w:val="none" w:sz="0" w:space="0" w:color="auto"/>
        <w:bottom w:val="none" w:sz="0" w:space="0" w:color="auto"/>
        <w:right w:val="none" w:sz="0" w:space="0" w:color="auto"/>
      </w:divBdr>
    </w:div>
    <w:div w:id="883445807">
      <w:bodyDiv w:val="1"/>
      <w:marLeft w:val="0"/>
      <w:marRight w:val="0"/>
      <w:marTop w:val="0"/>
      <w:marBottom w:val="0"/>
      <w:divBdr>
        <w:top w:val="none" w:sz="0" w:space="0" w:color="auto"/>
        <w:left w:val="none" w:sz="0" w:space="0" w:color="auto"/>
        <w:bottom w:val="none" w:sz="0" w:space="0" w:color="auto"/>
        <w:right w:val="none" w:sz="0" w:space="0" w:color="auto"/>
      </w:divBdr>
    </w:div>
    <w:div w:id="1000741412">
      <w:bodyDiv w:val="1"/>
      <w:marLeft w:val="0"/>
      <w:marRight w:val="0"/>
      <w:marTop w:val="0"/>
      <w:marBottom w:val="0"/>
      <w:divBdr>
        <w:top w:val="none" w:sz="0" w:space="0" w:color="auto"/>
        <w:left w:val="none" w:sz="0" w:space="0" w:color="auto"/>
        <w:bottom w:val="none" w:sz="0" w:space="0" w:color="auto"/>
        <w:right w:val="none" w:sz="0" w:space="0" w:color="auto"/>
      </w:divBdr>
    </w:div>
    <w:div w:id="1248928419">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401906310">
      <w:bodyDiv w:val="1"/>
      <w:marLeft w:val="0"/>
      <w:marRight w:val="0"/>
      <w:marTop w:val="0"/>
      <w:marBottom w:val="0"/>
      <w:divBdr>
        <w:top w:val="none" w:sz="0" w:space="0" w:color="auto"/>
        <w:left w:val="none" w:sz="0" w:space="0" w:color="auto"/>
        <w:bottom w:val="none" w:sz="0" w:space="0" w:color="auto"/>
        <w:right w:val="none" w:sz="0" w:space="0" w:color="auto"/>
      </w:divBdr>
    </w:div>
    <w:div w:id="1544975148">
      <w:bodyDiv w:val="1"/>
      <w:marLeft w:val="0"/>
      <w:marRight w:val="0"/>
      <w:marTop w:val="0"/>
      <w:marBottom w:val="0"/>
      <w:divBdr>
        <w:top w:val="none" w:sz="0" w:space="0" w:color="auto"/>
        <w:left w:val="none" w:sz="0" w:space="0" w:color="auto"/>
        <w:bottom w:val="none" w:sz="0" w:space="0" w:color="auto"/>
        <w:right w:val="none" w:sz="0" w:space="0" w:color="auto"/>
      </w:divBdr>
    </w:div>
    <w:div w:id="1558585656">
      <w:bodyDiv w:val="1"/>
      <w:marLeft w:val="0"/>
      <w:marRight w:val="0"/>
      <w:marTop w:val="0"/>
      <w:marBottom w:val="0"/>
      <w:divBdr>
        <w:top w:val="none" w:sz="0" w:space="0" w:color="auto"/>
        <w:left w:val="none" w:sz="0" w:space="0" w:color="auto"/>
        <w:bottom w:val="none" w:sz="0" w:space="0" w:color="auto"/>
        <w:right w:val="none" w:sz="0" w:space="0" w:color="auto"/>
      </w:divBdr>
    </w:div>
    <w:div w:id="1679773213">
      <w:bodyDiv w:val="1"/>
      <w:marLeft w:val="0"/>
      <w:marRight w:val="0"/>
      <w:marTop w:val="0"/>
      <w:marBottom w:val="0"/>
      <w:divBdr>
        <w:top w:val="none" w:sz="0" w:space="0" w:color="auto"/>
        <w:left w:val="none" w:sz="0" w:space="0" w:color="auto"/>
        <w:bottom w:val="none" w:sz="0" w:space="0" w:color="auto"/>
        <w:right w:val="none" w:sz="0" w:space="0" w:color="auto"/>
      </w:divBdr>
    </w:div>
    <w:div w:id="1840192637">
      <w:bodyDiv w:val="1"/>
      <w:marLeft w:val="0"/>
      <w:marRight w:val="0"/>
      <w:marTop w:val="0"/>
      <w:marBottom w:val="0"/>
      <w:divBdr>
        <w:top w:val="none" w:sz="0" w:space="0" w:color="auto"/>
        <w:left w:val="none" w:sz="0" w:space="0" w:color="auto"/>
        <w:bottom w:val="none" w:sz="0" w:space="0" w:color="auto"/>
        <w:right w:val="none" w:sz="0" w:space="0" w:color="auto"/>
      </w:divBdr>
    </w:div>
    <w:div w:id="2066105764">
      <w:bodyDiv w:val="1"/>
      <w:marLeft w:val="0"/>
      <w:marRight w:val="0"/>
      <w:marTop w:val="0"/>
      <w:marBottom w:val="0"/>
      <w:divBdr>
        <w:top w:val="none" w:sz="0" w:space="0" w:color="auto"/>
        <w:left w:val="none" w:sz="0" w:space="0" w:color="auto"/>
        <w:bottom w:val="none" w:sz="0" w:space="0" w:color="auto"/>
        <w:right w:val="none" w:sz="0" w:space="0" w:color="auto"/>
      </w:divBdr>
    </w:div>
    <w:div w:id="21195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8890-E8F0-4885-9EC2-EF9CC83B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cp:lastModifiedBy>
  <cp:revision>7</cp:revision>
  <cp:lastPrinted>2024-02-21T15:44:00Z</cp:lastPrinted>
  <dcterms:created xsi:type="dcterms:W3CDTF">2024-08-22T17:19:00Z</dcterms:created>
  <dcterms:modified xsi:type="dcterms:W3CDTF">2024-09-19T15:42:00Z</dcterms:modified>
</cp:coreProperties>
</file>