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Ex1.xml" ContentType="application/vnd.ms-office.chartex+xml"/>
  <Override PartName="/word/charts/style3.xml" ContentType="application/vnd.ms-office.chartstyle+xml"/>
  <Override PartName="/word/charts/colors3.xml" ContentType="application/vnd.ms-office.chartcolorstyle+xml"/>
  <Override PartName="/word/charts/chart3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4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theme/themeOverride1.xml" ContentType="application/vnd.openxmlformats-officedocument.themeOverride+xml"/>
  <Override PartName="/word/charts/chart5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6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1C4A20" w14:textId="284292ED" w:rsidR="00F45F9E" w:rsidRDefault="00F45F9E">
      <w:pPr>
        <w:rPr>
          <w:rFonts w:ascii="Times New Roman" w:hAnsi="Times New Roman" w:cs="Times New Roman"/>
          <w:b/>
          <w:sz w:val="24"/>
          <w:szCs w:val="24"/>
        </w:rPr>
      </w:pPr>
    </w:p>
    <w:p w14:paraId="49C7BB9D" w14:textId="4EB33033" w:rsidR="00F45F9E" w:rsidRDefault="00F45F9E">
      <w:pPr>
        <w:rPr>
          <w:rFonts w:ascii="Times New Roman" w:hAnsi="Times New Roman" w:cs="Times New Roman"/>
          <w:b/>
          <w:sz w:val="24"/>
          <w:szCs w:val="24"/>
        </w:rPr>
      </w:pPr>
    </w:p>
    <w:p w14:paraId="4B4CEAC5" w14:textId="6EDE50CE" w:rsidR="00F45F9E" w:rsidRDefault="00F45F9E">
      <w:pPr>
        <w:rPr>
          <w:rFonts w:ascii="Times New Roman" w:hAnsi="Times New Roman" w:cs="Times New Roman"/>
          <w:b/>
          <w:sz w:val="24"/>
          <w:szCs w:val="24"/>
        </w:rPr>
      </w:pPr>
    </w:p>
    <w:p w14:paraId="61CEE73E" w14:textId="57645F61" w:rsidR="00F45F9E" w:rsidRDefault="00F45F9E">
      <w:pPr>
        <w:rPr>
          <w:rFonts w:ascii="Times New Roman" w:hAnsi="Times New Roman" w:cs="Times New Roman"/>
          <w:b/>
          <w:sz w:val="24"/>
          <w:szCs w:val="24"/>
        </w:rPr>
      </w:pPr>
    </w:p>
    <w:p w14:paraId="40ABE720" w14:textId="0CE5ADF9" w:rsidR="00F45F9E" w:rsidRDefault="00F45F9E">
      <w:pPr>
        <w:rPr>
          <w:rFonts w:ascii="Times New Roman" w:hAnsi="Times New Roman" w:cs="Times New Roman"/>
          <w:b/>
          <w:sz w:val="24"/>
          <w:szCs w:val="24"/>
        </w:rPr>
      </w:pPr>
    </w:p>
    <w:p w14:paraId="624FE82C" w14:textId="495A607A" w:rsidR="00F45F9E" w:rsidRDefault="00F45F9E">
      <w:pPr>
        <w:rPr>
          <w:rFonts w:ascii="Times New Roman" w:hAnsi="Times New Roman" w:cs="Times New Roman"/>
          <w:b/>
          <w:sz w:val="24"/>
          <w:szCs w:val="24"/>
        </w:rPr>
      </w:pPr>
    </w:p>
    <w:p w14:paraId="2B340469" w14:textId="69CDE5F1" w:rsidR="00F45F9E" w:rsidRDefault="00F45F9E">
      <w:pPr>
        <w:rPr>
          <w:rFonts w:ascii="Times New Roman" w:hAnsi="Times New Roman" w:cs="Times New Roman"/>
          <w:b/>
          <w:sz w:val="24"/>
          <w:szCs w:val="24"/>
        </w:rPr>
      </w:pPr>
    </w:p>
    <w:p w14:paraId="1AFB34C1" w14:textId="61E723E2" w:rsidR="00F45F9E" w:rsidRDefault="00F45F9E">
      <w:pPr>
        <w:rPr>
          <w:rFonts w:ascii="Times New Roman" w:hAnsi="Times New Roman" w:cs="Times New Roman"/>
          <w:b/>
          <w:sz w:val="24"/>
          <w:szCs w:val="24"/>
        </w:rPr>
      </w:pPr>
      <w:r w:rsidRPr="00F45F9E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7B588EDB" wp14:editId="3C1895C0">
            <wp:extent cx="6400800" cy="735965"/>
            <wp:effectExtent l="0" t="0" r="0" b="6985"/>
            <wp:docPr id="11268" name="Picture 6" descr="University of Illinoi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8" name="Picture 6" descr="University of Illinois Logo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73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D0E931" w14:textId="4C8944F6" w:rsidR="00F45F9E" w:rsidRPr="007E0481" w:rsidRDefault="00F45F9E" w:rsidP="007E0481">
      <w:pPr>
        <w:pStyle w:val="Heading1"/>
      </w:pPr>
      <w:r w:rsidRPr="007E0481">
        <w:t>Office of Investments Annual Report</w:t>
      </w:r>
    </w:p>
    <w:p w14:paraId="124CF8E1" w14:textId="0381FB13" w:rsidR="00F45F9E" w:rsidRPr="00917772" w:rsidRDefault="00AD671E" w:rsidP="00F45F9E">
      <w:pPr>
        <w:pStyle w:val="Head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Fiscal </w:t>
      </w:r>
      <w:r w:rsidR="003476E2">
        <w:rPr>
          <w:rFonts w:ascii="Times New Roman" w:hAnsi="Times New Roman" w:cs="Times New Roman"/>
          <w:b/>
          <w:sz w:val="32"/>
          <w:szCs w:val="32"/>
        </w:rPr>
        <w:t>Year Ending</w:t>
      </w:r>
      <w:r w:rsidR="00F45F9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B05F2">
        <w:rPr>
          <w:rFonts w:ascii="Times New Roman" w:hAnsi="Times New Roman" w:cs="Times New Roman"/>
          <w:b/>
          <w:sz w:val="32"/>
          <w:szCs w:val="32"/>
        </w:rPr>
        <w:t>June 30, 202</w:t>
      </w:r>
      <w:r w:rsidR="00795CC9">
        <w:rPr>
          <w:rFonts w:ascii="Times New Roman" w:hAnsi="Times New Roman" w:cs="Times New Roman"/>
          <w:b/>
          <w:sz w:val="32"/>
          <w:szCs w:val="32"/>
        </w:rPr>
        <w:t>4</w:t>
      </w:r>
    </w:p>
    <w:p w14:paraId="0A9E6D52" w14:textId="77777777" w:rsidR="00F45F9E" w:rsidRDefault="00F45F9E">
      <w:pPr>
        <w:rPr>
          <w:rFonts w:ascii="Times New Roman" w:hAnsi="Times New Roman" w:cs="Times New Roman"/>
          <w:b/>
          <w:sz w:val="24"/>
          <w:szCs w:val="24"/>
        </w:rPr>
      </w:pPr>
    </w:p>
    <w:p w14:paraId="20D02C1A" w14:textId="77777777" w:rsidR="00F45F9E" w:rsidRDefault="00F45F9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25FF595" w14:textId="7290B56A" w:rsidR="001676F6" w:rsidRPr="00517B1D" w:rsidRDefault="001676F6" w:rsidP="001676F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17B1D">
        <w:rPr>
          <w:rFonts w:ascii="Times New Roman" w:hAnsi="Times New Roman" w:cs="Times New Roman"/>
          <w:b/>
          <w:sz w:val="32"/>
          <w:szCs w:val="32"/>
        </w:rPr>
        <w:lastRenderedPageBreak/>
        <w:t>Table of Contents</w:t>
      </w:r>
    </w:p>
    <w:p w14:paraId="348C9207" w14:textId="0172FD0E" w:rsidR="001676F6" w:rsidRDefault="001676F6" w:rsidP="001676F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62B1AB" w14:textId="1D740D52" w:rsidR="001676F6" w:rsidRDefault="001676F6" w:rsidP="00621A03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Introduction…………………………………………………………………</w:t>
      </w:r>
      <w:r w:rsidR="00342F64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……3</w:t>
      </w:r>
    </w:p>
    <w:p w14:paraId="02A3ECD3" w14:textId="1260BA3D" w:rsidR="001676F6" w:rsidRDefault="001676F6" w:rsidP="00621A03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23D5801E" w14:textId="064F6EFE" w:rsidR="001676F6" w:rsidRDefault="00785C28" w:rsidP="00621A03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Financial</w:t>
      </w:r>
      <w:r w:rsidR="00962EF0">
        <w:rPr>
          <w:rFonts w:ascii="Times New Roman" w:hAnsi="Times New Roman" w:cs="Times New Roman"/>
          <w:sz w:val="24"/>
          <w:szCs w:val="24"/>
        </w:rPr>
        <w:t xml:space="preserve"> Asset Overview……………………………</w:t>
      </w:r>
      <w:r w:rsidR="00342F64">
        <w:rPr>
          <w:rFonts w:ascii="Times New Roman" w:hAnsi="Times New Roman" w:cs="Times New Roman"/>
          <w:sz w:val="24"/>
          <w:szCs w:val="24"/>
        </w:rPr>
        <w:t>..</w:t>
      </w:r>
      <w:r w:rsidR="00962EF0">
        <w:rPr>
          <w:rFonts w:ascii="Times New Roman" w:hAnsi="Times New Roman" w:cs="Times New Roman"/>
          <w:sz w:val="24"/>
          <w:szCs w:val="24"/>
        </w:rPr>
        <w:t>………………</w:t>
      </w:r>
      <w:r w:rsidR="0023756E">
        <w:rPr>
          <w:rFonts w:ascii="Times New Roman" w:hAnsi="Times New Roman" w:cs="Times New Roman"/>
          <w:sz w:val="24"/>
          <w:szCs w:val="24"/>
        </w:rPr>
        <w:t>...</w:t>
      </w:r>
      <w:r w:rsidR="002C3769">
        <w:rPr>
          <w:rFonts w:ascii="Times New Roman" w:hAnsi="Times New Roman" w:cs="Times New Roman"/>
          <w:sz w:val="24"/>
          <w:szCs w:val="24"/>
        </w:rPr>
        <w:t>…………4</w:t>
      </w:r>
    </w:p>
    <w:p w14:paraId="7993B592" w14:textId="5B4CF5EA" w:rsidR="00962EF0" w:rsidRDefault="00962EF0" w:rsidP="00621A03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3282E734" w14:textId="381BD296" w:rsidR="00962EF0" w:rsidRDefault="00962EF0" w:rsidP="00621A03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Endowment </w:t>
      </w:r>
      <w:r w:rsidR="00342F64">
        <w:rPr>
          <w:rFonts w:ascii="Times New Roman" w:hAnsi="Times New Roman" w:cs="Times New Roman"/>
          <w:sz w:val="24"/>
          <w:szCs w:val="24"/>
        </w:rPr>
        <w:t>Pool..</w:t>
      </w:r>
      <w:r w:rsidR="003554A7">
        <w:rPr>
          <w:rFonts w:ascii="Times New Roman" w:hAnsi="Times New Roman" w:cs="Times New Roman"/>
          <w:sz w:val="24"/>
          <w:szCs w:val="24"/>
        </w:rPr>
        <w:t>...</w:t>
      </w:r>
      <w:r w:rsidR="00CE2B33">
        <w:rPr>
          <w:rFonts w:ascii="Times New Roman" w:hAnsi="Times New Roman" w:cs="Times New Roman"/>
          <w:sz w:val="24"/>
          <w:szCs w:val="24"/>
        </w:rPr>
        <w:t>…………....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8E3F2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6248EC">
        <w:rPr>
          <w:rFonts w:ascii="Times New Roman" w:hAnsi="Times New Roman" w:cs="Times New Roman"/>
          <w:sz w:val="24"/>
          <w:szCs w:val="24"/>
        </w:rPr>
        <w:t>.</w:t>
      </w:r>
      <w:r w:rsidR="002C3769">
        <w:rPr>
          <w:rFonts w:ascii="Times New Roman" w:hAnsi="Times New Roman" w:cs="Times New Roman"/>
          <w:sz w:val="24"/>
          <w:szCs w:val="24"/>
        </w:rPr>
        <w:t>……5</w:t>
      </w:r>
    </w:p>
    <w:p w14:paraId="4B4644D5" w14:textId="4477D5FF" w:rsidR="00CE2B33" w:rsidRDefault="00CE2B33" w:rsidP="00621A03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E3F25">
        <w:rPr>
          <w:rFonts w:ascii="Times New Roman" w:hAnsi="Times New Roman" w:cs="Times New Roman"/>
          <w:sz w:val="24"/>
          <w:szCs w:val="24"/>
        </w:rPr>
        <w:t>Asset Allocation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6248EC">
        <w:rPr>
          <w:rFonts w:ascii="Times New Roman" w:hAnsi="Times New Roman" w:cs="Times New Roman"/>
          <w:sz w:val="24"/>
          <w:szCs w:val="24"/>
        </w:rPr>
        <w:t>..</w:t>
      </w:r>
      <w:r w:rsidR="002C3769">
        <w:rPr>
          <w:rFonts w:ascii="Times New Roman" w:hAnsi="Times New Roman" w:cs="Times New Roman"/>
          <w:sz w:val="24"/>
          <w:szCs w:val="24"/>
        </w:rPr>
        <w:t>………..6</w:t>
      </w:r>
    </w:p>
    <w:p w14:paraId="77F34718" w14:textId="3F87DA1A" w:rsidR="00CE2B33" w:rsidRDefault="008E3F25" w:rsidP="00621A03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Spending Policy.</w:t>
      </w:r>
      <w:r w:rsidR="00CE2B33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23756E">
        <w:rPr>
          <w:rFonts w:ascii="Times New Roman" w:hAnsi="Times New Roman" w:cs="Times New Roman"/>
          <w:sz w:val="24"/>
          <w:szCs w:val="24"/>
        </w:rPr>
        <w:t>...</w:t>
      </w:r>
      <w:r w:rsidR="006248EC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....…</w:t>
      </w:r>
      <w:r w:rsidR="002C3769">
        <w:rPr>
          <w:rFonts w:ascii="Times New Roman" w:hAnsi="Times New Roman" w:cs="Times New Roman"/>
          <w:sz w:val="24"/>
          <w:szCs w:val="24"/>
        </w:rPr>
        <w:t>..7</w:t>
      </w:r>
    </w:p>
    <w:p w14:paraId="013A08C7" w14:textId="16F42B5B" w:rsidR="00CE2B33" w:rsidRDefault="00CE2B33" w:rsidP="00621A03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Performance </w:t>
      </w:r>
      <w:r w:rsidR="006248EC">
        <w:rPr>
          <w:rFonts w:ascii="Times New Roman" w:hAnsi="Times New Roman" w:cs="Times New Roman"/>
          <w:sz w:val="24"/>
          <w:szCs w:val="24"/>
        </w:rPr>
        <w:t>Measurement……………………………………………...</w:t>
      </w:r>
      <w:r w:rsidR="002C3769">
        <w:rPr>
          <w:rFonts w:ascii="Times New Roman" w:hAnsi="Times New Roman" w:cs="Times New Roman"/>
          <w:sz w:val="24"/>
          <w:szCs w:val="24"/>
        </w:rPr>
        <w:t>….7</w:t>
      </w:r>
    </w:p>
    <w:p w14:paraId="442831C1" w14:textId="6B7334F4" w:rsidR="00CE2B33" w:rsidRDefault="00CE2B33" w:rsidP="00621A03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3DC36DE0" w14:textId="61BF4FE7" w:rsidR="00CE2B33" w:rsidRDefault="00CE2B33" w:rsidP="00621A03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Operating </w:t>
      </w:r>
      <w:r w:rsidR="006248EC">
        <w:rPr>
          <w:rFonts w:ascii="Times New Roman" w:hAnsi="Times New Roman" w:cs="Times New Roman"/>
          <w:sz w:val="24"/>
          <w:szCs w:val="24"/>
        </w:rPr>
        <w:t>Pool………………………………………………………………...</w:t>
      </w:r>
      <w:r w:rsidR="00CB1F4A">
        <w:rPr>
          <w:rFonts w:ascii="Times New Roman" w:hAnsi="Times New Roman" w:cs="Times New Roman"/>
          <w:sz w:val="24"/>
          <w:szCs w:val="24"/>
        </w:rPr>
        <w:t>..</w:t>
      </w:r>
      <w:r w:rsidR="008E3F25">
        <w:rPr>
          <w:rFonts w:ascii="Times New Roman" w:hAnsi="Times New Roman" w:cs="Times New Roman"/>
          <w:sz w:val="24"/>
          <w:szCs w:val="24"/>
        </w:rPr>
        <w:t>.</w:t>
      </w:r>
      <w:r w:rsidR="002C3769">
        <w:rPr>
          <w:rFonts w:ascii="Times New Roman" w:hAnsi="Times New Roman" w:cs="Times New Roman"/>
          <w:sz w:val="24"/>
          <w:szCs w:val="24"/>
        </w:rPr>
        <w:t>…10</w:t>
      </w:r>
    </w:p>
    <w:p w14:paraId="0F3EFCE7" w14:textId="11CDB124" w:rsidR="00CE2B33" w:rsidRDefault="00CE2B33" w:rsidP="00621A03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Asset </w:t>
      </w:r>
      <w:r w:rsidR="006248EC">
        <w:rPr>
          <w:rFonts w:ascii="Times New Roman" w:hAnsi="Times New Roman" w:cs="Times New Roman"/>
          <w:sz w:val="24"/>
          <w:szCs w:val="24"/>
        </w:rPr>
        <w:t>Allocation…………………………………………………</w:t>
      </w:r>
      <w:r w:rsidR="005834F9">
        <w:rPr>
          <w:rFonts w:ascii="Times New Roman" w:hAnsi="Times New Roman" w:cs="Times New Roman"/>
          <w:sz w:val="24"/>
          <w:szCs w:val="24"/>
        </w:rPr>
        <w:t>.</w:t>
      </w:r>
      <w:r w:rsidR="006248EC">
        <w:rPr>
          <w:rFonts w:ascii="Times New Roman" w:hAnsi="Times New Roman" w:cs="Times New Roman"/>
          <w:sz w:val="24"/>
          <w:szCs w:val="24"/>
        </w:rPr>
        <w:t>…..</w:t>
      </w:r>
      <w:r w:rsidR="005834F9">
        <w:rPr>
          <w:rFonts w:ascii="Times New Roman" w:hAnsi="Times New Roman" w:cs="Times New Roman"/>
          <w:sz w:val="24"/>
          <w:szCs w:val="24"/>
        </w:rPr>
        <w:t>..</w:t>
      </w:r>
      <w:r w:rsidR="008E3F25">
        <w:rPr>
          <w:rFonts w:ascii="Times New Roman" w:hAnsi="Times New Roman" w:cs="Times New Roman"/>
          <w:sz w:val="24"/>
          <w:szCs w:val="24"/>
        </w:rPr>
        <w:t>.</w:t>
      </w:r>
      <w:r w:rsidR="005834F9">
        <w:rPr>
          <w:rFonts w:ascii="Times New Roman" w:hAnsi="Times New Roman" w:cs="Times New Roman"/>
          <w:sz w:val="24"/>
          <w:szCs w:val="24"/>
        </w:rPr>
        <w:t>.....</w:t>
      </w:r>
      <w:r w:rsidR="00CB1F4A">
        <w:rPr>
          <w:rFonts w:ascii="Times New Roman" w:hAnsi="Times New Roman" w:cs="Times New Roman"/>
          <w:sz w:val="24"/>
          <w:szCs w:val="24"/>
        </w:rPr>
        <w:t>.</w:t>
      </w:r>
      <w:r w:rsidR="002C3769">
        <w:rPr>
          <w:rFonts w:ascii="Times New Roman" w:hAnsi="Times New Roman" w:cs="Times New Roman"/>
          <w:sz w:val="24"/>
          <w:szCs w:val="24"/>
        </w:rPr>
        <w:t>10</w:t>
      </w:r>
    </w:p>
    <w:p w14:paraId="3F4E5C57" w14:textId="7E38B958" w:rsidR="00CE2B33" w:rsidRDefault="00CE2B33" w:rsidP="00621A03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Performance Measurement……………………………</w:t>
      </w:r>
      <w:r w:rsidR="0023756E">
        <w:rPr>
          <w:rFonts w:ascii="Times New Roman" w:hAnsi="Times New Roman" w:cs="Times New Roman"/>
          <w:sz w:val="24"/>
          <w:szCs w:val="24"/>
        </w:rPr>
        <w:t>...</w:t>
      </w:r>
      <w:r w:rsidR="006248EC">
        <w:rPr>
          <w:rFonts w:ascii="Times New Roman" w:hAnsi="Times New Roman" w:cs="Times New Roman"/>
          <w:sz w:val="24"/>
          <w:szCs w:val="24"/>
        </w:rPr>
        <w:t>………</w:t>
      </w:r>
      <w:r w:rsidR="005834F9">
        <w:rPr>
          <w:rFonts w:ascii="Times New Roman" w:hAnsi="Times New Roman" w:cs="Times New Roman"/>
          <w:sz w:val="24"/>
          <w:szCs w:val="24"/>
        </w:rPr>
        <w:t>.</w:t>
      </w:r>
      <w:r w:rsidR="006248EC">
        <w:rPr>
          <w:rFonts w:ascii="Times New Roman" w:hAnsi="Times New Roman" w:cs="Times New Roman"/>
          <w:sz w:val="24"/>
          <w:szCs w:val="24"/>
        </w:rPr>
        <w:t>……</w:t>
      </w:r>
      <w:r w:rsidR="008E3F25">
        <w:rPr>
          <w:rFonts w:ascii="Times New Roman" w:hAnsi="Times New Roman" w:cs="Times New Roman"/>
          <w:sz w:val="24"/>
          <w:szCs w:val="24"/>
        </w:rPr>
        <w:t>.</w:t>
      </w:r>
      <w:r w:rsidR="006248EC">
        <w:rPr>
          <w:rFonts w:ascii="Times New Roman" w:hAnsi="Times New Roman" w:cs="Times New Roman"/>
          <w:sz w:val="24"/>
          <w:szCs w:val="24"/>
        </w:rPr>
        <w:t>..</w:t>
      </w:r>
      <w:r w:rsidR="00CB1F4A">
        <w:rPr>
          <w:rFonts w:ascii="Times New Roman" w:hAnsi="Times New Roman" w:cs="Times New Roman"/>
          <w:sz w:val="24"/>
          <w:szCs w:val="24"/>
        </w:rPr>
        <w:t>..</w:t>
      </w:r>
      <w:r w:rsidR="002C3769">
        <w:rPr>
          <w:rFonts w:ascii="Times New Roman" w:hAnsi="Times New Roman" w:cs="Times New Roman"/>
          <w:sz w:val="24"/>
          <w:szCs w:val="24"/>
        </w:rPr>
        <w:t>...11</w:t>
      </w:r>
    </w:p>
    <w:p w14:paraId="1DADCFBF" w14:textId="7B74C700" w:rsidR="00CE2B33" w:rsidRDefault="00CE2B33" w:rsidP="00621A03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A0352B2" w14:textId="4E77AC4A" w:rsidR="00CE2B33" w:rsidRDefault="00386277" w:rsidP="00621A03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Financial Impact…...</w:t>
      </w:r>
      <w:r w:rsidR="00CB1F4A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6248EC">
        <w:rPr>
          <w:rFonts w:ascii="Times New Roman" w:hAnsi="Times New Roman" w:cs="Times New Roman"/>
          <w:sz w:val="24"/>
          <w:szCs w:val="24"/>
        </w:rPr>
        <w:t>………</w:t>
      </w:r>
      <w:r w:rsidR="005834F9">
        <w:rPr>
          <w:rFonts w:ascii="Times New Roman" w:hAnsi="Times New Roman" w:cs="Times New Roman"/>
          <w:sz w:val="24"/>
          <w:szCs w:val="24"/>
        </w:rPr>
        <w:t>.</w:t>
      </w:r>
      <w:r w:rsidR="006248EC">
        <w:rPr>
          <w:rFonts w:ascii="Times New Roman" w:hAnsi="Times New Roman" w:cs="Times New Roman"/>
          <w:sz w:val="24"/>
          <w:szCs w:val="24"/>
        </w:rPr>
        <w:t>...</w:t>
      </w:r>
      <w:r w:rsidR="0023756E">
        <w:rPr>
          <w:rFonts w:ascii="Times New Roman" w:hAnsi="Times New Roman" w:cs="Times New Roman"/>
          <w:sz w:val="24"/>
          <w:szCs w:val="24"/>
        </w:rPr>
        <w:t>..</w:t>
      </w:r>
      <w:r w:rsidR="00CB1F4A">
        <w:rPr>
          <w:rFonts w:ascii="Times New Roman" w:hAnsi="Times New Roman" w:cs="Times New Roman"/>
          <w:sz w:val="24"/>
          <w:szCs w:val="24"/>
        </w:rPr>
        <w:t>..</w:t>
      </w:r>
      <w:r w:rsidR="002C3769">
        <w:rPr>
          <w:rFonts w:ascii="Times New Roman" w:hAnsi="Times New Roman" w:cs="Times New Roman"/>
          <w:sz w:val="24"/>
          <w:szCs w:val="24"/>
        </w:rPr>
        <w:t>.</w:t>
      </w:r>
      <w:r w:rsidR="008E3F25">
        <w:rPr>
          <w:rFonts w:ascii="Times New Roman" w:hAnsi="Times New Roman" w:cs="Times New Roman"/>
          <w:sz w:val="24"/>
          <w:szCs w:val="24"/>
        </w:rPr>
        <w:t>.</w:t>
      </w:r>
      <w:r w:rsidR="0023756E">
        <w:rPr>
          <w:rFonts w:ascii="Times New Roman" w:hAnsi="Times New Roman" w:cs="Times New Roman"/>
          <w:sz w:val="24"/>
          <w:szCs w:val="24"/>
        </w:rPr>
        <w:t>...</w:t>
      </w:r>
      <w:r w:rsidR="002C3769">
        <w:rPr>
          <w:rFonts w:ascii="Times New Roman" w:hAnsi="Times New Roman" w:cs="Times New Roman"/>
          <w:sz w:val="24"/>
          <w:szCs w:val="24"/>
        </w:rPr>
        <w:t>…12</w:t>
      </w:r>
    </w:p>
    <w:p w14:paraId="789984AD" w14:textId="1F127D4B" w:rsidR="00CE2B33" w:rsidRDefault="0023756E" w:rsidP="00621A03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Income Dis</w:t>
      </w:r>
      <w:r w:rsidR="00CB1F4A">
        <w:rPr>
          <w:rFonts w:ascii="Times New Roman" w:hAnsi="Times New Roman" w:cs="Times New Roman"/>
          <w:sz w:val="24"/>
          <w:szCs w:val="24"/>
        </w:rPr>
        <w:t>tribution…………………………………………</w:t>
      </w:r>
      <w:r w:rsidR="005834F9">
        <w:rPr>
          <w:rFonts w:ascii="Times New Roman" w:hAnsi="Times New Roman" w:cs="Times New Roman"/>
          <w:sz w:val="24"/>
          <w:szCs w:val="24"/>
        </w:rPr>
        <w:t>.</w:t>
      </w:r>
      <w:r w:rsidR="00CB1F4A">
        <w:rPr>
          <w:rFonts w:ascii="Times New Roman" w:hAnsi="Times New Roman" w:cs="Times New Roman"/>
          <w:sz w:val="24"/>
          <w:szCs w:val="24"/>
        </w:rPr>
        <w:t>………...</w:t>
      </w:r>
      <w:r w:rsidR="006248EC">
        <w:rPr>
          <w:rFonts w:ascii="Times New Roman" w:hAnsi="Times New Roman" w:cs="Times New Roman"/>
          <w:sz w:val="24"/>
          <w:szCs w:val="24"/>
        </w:rPr>
        <w:t>.</w:t>
      </w:r>
      <w:r w:rsidR="008E3F25">
        <w:rPr>
          <w:rFonts w:ascii="Times New Roman" w:hAnsi="Times New Roman" w:cs="Times New Roman"/>
          <w:sz w:val="24"/>
          <w:szCs w:val="24"/>
        </w:rPr>
        <w:t>.</w:t>
      </w:r>
      <w:r w:rsidR="006248EC">
        <w:rPr>
          <w:rFonts w:ascii="Times New Roman" w:hAnsi="Times New Roman" w:cs="Times New Roman"/>
          <w:sz w:val="24"/>
          <w:szCs w:val="24"/>
        </w:rPr>
        <w:t>.</w:t>
      </w:r>
      <w:r w:rsidR="002C3769">
        <w:rPr>
          <w:rFonts w:ascii="Times New Roman" w:hAnsi="Times New Roman" w:cs="Times New Roman"/>
          <w:sz w:val="24"/>
          <w:szCs w:val="24"/>
        </w:rPr>
        <w:t>…12</w:t>
      </w:r>
    </w:p>
    <w:p w14:paraId="1BF25D42" w14:textId="0840C2E8" w:rsidR="0023756E" w:rsidRDefault="0023756E" w:rsidP="00621A03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E2796">
        <w:rPr>
          <w:rFonts w:ascii="Times New Roman" w:hAnsi="Times New Roman" w:cs="Times New Roman"/>
          <w:sz w:val="24"/>
          <w:szCs w:val="24"/>
        </w:rPr>
        <w:t xml:space="preserve">Program </w:t>
      </w:r>
      <w:r>
        <w:rPr>
          <w:rFonts w:ascii="Times New Roman" w:hAnsi="Times New Roman" w:cs="Times New Roman"/>
          <w:sz w:val="24"/>
          <w:szCs w:val="24"/>
        </w:rPr>
        <w:t>Co</w:t>
      </w:r>
      <w:r w:rsidR="006248EC">
        <w:rPr>
          <w:rFonts w:ascii="Times New Roman" w:hAnsi="Times New Roman" w:cs="Times New Roman"/>
          <w:sz w:val="24"/>
          <w:szCs w:val="24"/>
        </w:rPr>
        <w:t>sts</w:t>
      </w:r>
      <w:r w:rsidR="008E2796">
        <w:rPr>
          <w:rFonts w:ascii="Times New Roman" w:hAnsi="Times New Roman" w:cs="Times New Roman"/>
          <w:sz w:val="24"/>
          <w:szCs w:val="24"/>
        </w:rPr>
        <w:t>..</w:t>
      </w:r>
      <w:r w:rsidR="006248EC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5834F9">
        <w:rPr>
          <w:rFonts w:ascii="Times New Roman" w:hAnsi="Times New Roman" w:cs="Times New Roman"/>
          <w:sz w:val="24"/>
          <w:szCs w:val="24"/>
        </w:rPr>
        <w:t>.</w:t>
      </w:r>
      <w:r w:rsidR="006248EC">
        <w:rPr>
          <w:rFonts w:ascii="Times New Roman" w:hAnsi="Times New Roman" w:cs="Times New Roman"/>
          <w:sz w:val="24"/>
          <w:szCs w:val="24"/>
        </w:rPr>
        <w:t>……………………</w:t>
      </w:r>
      <w:r w:rsidR="008E3F25">
        <w:rPr>
          <w:rFonts w:ascii="Times New Roman" w:hAnsi="Times New Roman" w:cs="Times New Roman"/>
          <w:sz w:val="24"/>
          <w:szCs w:val="24"/>
        </w:rPr>
        <w:t>….</w:t>
      </w:r>
      <w:r w:rsidR="002C3769">
        <w:rPr>
          <w:rFonts w:ascii="Times New Roman" w:hAnsi="Times New Roman" w:cs="Times New Roman"/>
          <w:sz w:val="24"/>
          <w:szCs w:val="24"/>
        </w:rPr>
        <w:t>12</w:t>
      </w:r>
    </w:p>
    <w:p w14:paraId="78B6180B" w14:textId="77777777" w:rsidR="0023756E" w:rsidRDefault="0023756E" w:rsidP="00621A03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568A839F" w14:textId="38BEBB56" w:rsidR="00966280" w:rsidRDefault="00770C56" w:rsidP="00621A03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Appendix</w:t>
      </w:r>
      <w:r w:rsidR="009A108F">
        <w:rPr>
          <w:rFonts w:ascii="Times New Roman" w:hAnsi="Times New Roman" w:cs="Times New Roman"/>
          <w:sz w:val="24"/>
          <w:szCs w:val="24"/>
        </w:rPr>
        <w:t xml:space="preserve"> </w:t>
      </w:r>
      <w:r w:rsidR="00663B36">
        <w:rPr>
          <w:rFonts w:ascii="Times New Roman" w:hAnsi="Times New Roman" w:cs="Times New Roman"/>
          <w:sz w:val="24"/>
          <w:szCs w:val="24"/>
        </w:rPr>
        <w:t xml:space="preserve">A </w:t>
      </w:r>
      <w:r w:rsidR="009A108F">
        <w:rPr>
          <w:rFonts w:ascii="Times New Roman" w:hAnsi="Times New Roman" w:cs="Times New Roman"/>
          <w:sz w:val="24"/>
          <w:szCs w:val="24"/>
        </w:rPr>
        <w:t xml:space="preserve">– </w:t>
      </w:r>
      <w:r w:rsidR="006248EC">
        <w:rPr>
          <w:rFonts w:ascii="Times New Roman" w:hAnsi="Times New Roman" w:cs="Times New Roman"/>
          <w:sz w:val="24"/>
          <w:szCs w:val="24"/>
        </w:rPr>
        <w:t xml:space="preserve">Investment </w:t>
      </w:r>
      <w:r w:rsidR="00F5377A">
        <w:rPr>
          <w:rFonts w:ascii="Times New Roman" w:hAnsi="Times New Roman" w:cs="Times New Roman"/>
          <w:sz w:val="24"/>
          <w:szCs w:val="24"/>
        </w:rPr>
        <w:t xml:space="preserve">Fee </w:t>
      </w:r>
      <w:r w:rsidR="006248EC">
        <w:rPr>
          <w:rFonts w:ascii="Times New Roman" w:hAnsi="Times New Roman" w:cs="Times New Roman"/>
          <w:sz w:val="24"/>
          <w:szCs w:val="24"/>
        </w:rPr>
        <w:t>Schedule</w:t>
      </w:r>
      <w:r w:rsidR="00F5377A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...</w:t>
      </w:r>
      <w:r w:rsidR="00F5377A">
        <w:rPr>
          <w:rFonts w:ascii="Times New Roman" w:hAnsi="Times New Roman" w:cs="Times New Roman"/>
          <w:sz w:val="24"/>
          <w:szCs w:val="24"/>
        </w:rPr>
        <w:t>…</w:t>
      </w:r>
      <w:r w:rsidR="00CB1F4A">
        <w:rPr>
          <w:rFonts w:ascii="Times New Roman" w:hAnsi="Times New Roman" w:cs="Times New Roman"/>
          <w:sz w:val="24"/>
          <w:szCs w:val="24"/>
        </w:rPr>
        <w:t>…</w:t>
      </w:r>
      <w:r w:rsidR="006248EC">
        <w:rPr>
          <w:rFonts w:ascii="Times New Roman" w:hAnsi="Times New Roman" w:cs="Times New Roman"/>
          <w:sz w:val="24"/>
          <w:szCs w:val="24"/>
        </w:rPr>
        <w:t>..</w:t>
      </w:r>
      <w:r w:rsidR="00CB1F4A">
        <w:rPr>
          <w:rFonts w:ascii="Times New Roman" w:hAnsi="Times New Roman" w:cs="Times New Roman"/>
          <w:sz w:val="24"/>
          <w:szCs w:val="24"/>
        </w:rPr>
        <w:t>……</w:t>
      </w:r>
      <w:r w:rsidR="00F44187">
        <w:rPr>
          <w:rFonts w:ascii="Times New Roman" w:hAnsi="Times New Roman" w:cs="Times New Roman"/>
          <w:sz w:val="24"/>
          <w:szCs w:val="24"/>
        </w:rPr>
        <w:t>.</w:t>
      </w:r>
      <w:r w:rsidR="00CB1F4A">
        <w:rPr>
          <w:rFonts w:ascii="Times New Roman" w:hAnsi="Times New Roman" w:cs="Times New Roman"/>
          <w:sz w:val="24"/>
          <w:szCs w:val="24"/>
        </w:rPr>
        <w:t>……</w:t>
      </w:r>
      <w:r w:rsidR="005834F9">
        <w:rPr>
          <w:rFonts w:ascii="Times New Roman" w:hAnsi="Times New Roman" w:cs="Times New Roman"/>
          <w:sz w:val="24"/>
          <w:szCs w:val="24"/>
        </w:rPr>
        <w:t>.</w:t>
      </w:r>
      <w:r w:rsidR="00663B36">
        <w:rPr>
          <w:rFonts w:ascii="Times New Roman" w:hAnsi="Times New Roman" w:cs="Times New Roman"/>
          <w:sz w:val="24"/>
          <w:szCs w:val="24"/>
        </w:rPr>
        <w:t>………</w:t>
      </w:r>
      <w:r w:rsidR="00966280">
        <w:rPr>
          <w:rFonts w:ascii="Times New Roman" w:hAnsi="Times New Roman" w:cs="Times New Roman"/>
          <w:sz w:val="24"/>
          <w:szCs w:val="24"/>
        </w:rPr>
        <w:t>….13</w:t>
      </w:r>
    </w:p>
    <w:p w14:paraId="08259A41" w14:textId="63B04F72" w:rsidR="00663B36" w:rsidRDefault="00663B36" w:rsidP="00621A03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Appendix B –</w:t>
      </w:r>
      <w:r w:rsidR="00C055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Fee</w:t>
      </w:r>
      <w:r w:rsidR="008807AF">
        <w:rPr>
          <w:rFonts w:ascii="Times New Roman" w:hAnsi="Times New Roman" w:cs="Times New Roman"/>
          <w:sz w:val="24"/>
          <w:szCs w:val="24"/>
        </w:rPr>
        <w:t xml:space="preserve"> Summary……</w:t>
      </w:r>
      <w:r w:rsidR="00C0558D">
        <w:rPr>
          <w:rFonts w:ascii="Times New Roman" w:hAnsi="Times New Roman" w:cs="Times New Roman"/>
          <w:sz w:val="24"/>
          <w:szCs w:val="24"/>
        </w:rPr>
        <w:t>……..</w:t>
      </w:r>
      <w:r w:rsidR="008807AF">
        <w:rPr>
          <w:rFonts w:ascii="Times New Roman" w:hAnsi="Times New Roman" w:cs="Times New Roman"/>
          <w:sz w:val="24"/>
          <w:szCs w:val="24"/>
        </w:rPr>
        <w:t>….…………………………</w:t>
      </w:r>
      <w:r w:rsidR="00C0558D">
        <w:rPr>
          <w:rFonts w:ascii="Times New Roman" w:hAnsi="Times New Roman" w:cs="Times New Roman"/>
          <w:sz w:val="24"/>
          <w:szCs w:val="24"/>
        </w:rPr>
        <w:t>.</w:t>
      </w:r>
      <w:r w:rsidR="008807AF">
        <w:rPr>
          <w:rFonts w:ascii="Times New Roman" w:hAnsi="Times New Roman" w:cs="Times New Roman"/>
          <w:sz w:val="24"/>
          <w:szCs w:val="24"/>
        </w:rPr>
        <w:t>……Separate attachment</w:t>
      </w:r>
    </w:p>
    <w:p w14:paraId="3D764271" w14:textId="68F39537" w:rsidR="00663B36" w:rsidRDefault="00663B36" w:rsidP="00663B36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Appendix C –</w:t>
      </w:r>
      <w:r w:rsidR="00C055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Endowment Transaction Re</w:t>
      </w:r>
      <w:r w:rsidR="00303E95">
        <w:rPr>
          <w:rFonts w:ascii="Times New Roman" w:hAnsi="Times New Roman" w:cs="Times New Roman"/>
          <w:sz w:val="24"/>
          <w:szCs w:val="24"/>
        </w:rPr>
        <w:t>port………</w:t>
      </w:r>
      <w:r w:rsidR="00C0558D">
        <w:rPr>
          <w:rFonts w:ascii="Times New Roman" w:hAnsi="Times New Roman" w:cs="Times New Roman"/>
          <w:sz w:val="24"/>
          <w:szCs w:val="24"/>
        </w:rPr>
        <w:t>……...</w:t>
      </w:r>
      <w:r w:rsidR="00303E95">
        <w:rPr>
          <w:rFonts w:ascii="Times New Roman" w:hAnsi="Times New Roman" w:cs="Times New Roman"/>
          <w:sz w:val="24"/>
          <w:szCs w:val="24"/>
        </w:rPr>
        <w:t>…</w:t>
      </w:r>
      <w:r w:rsidR="00C0558D">
        <w:rPr>
          <w:rFonts w:ascii="Times New Roman" w:hAnsi="Times New Roman" w:cs="Times New Roman"/>
          <w:sz w:val="24"/>
          <w:szCs w:val="24"/>
        </w:rPr>
        <w:t>…</w:t>
      </w:r>
      <w:r w:rsidR="00303E95">
        <w:rPr>
          <w:rFonts w:ascii="Times New Roman" w:hAnsi="Times New Roman" w:cs="Times New Roman"/>
          <w:sz w:val="24"/>
          <w:szCs w:val="24"/>
        </w:rPr>
        <w:t>……</w:t>
      </w:r>
      <w:r w:rsidR="008807AF">
        <w:rPr>
          <w:rFonts w:ascii="Times New Roman" w:hAnsi="Times New Roman" w:cs="Times New Roman"/>
          <w:sz w:val="24"/>
          <w:szCs w:val="24"/>
        </w:rPr>
        <w:t>....Separate attachment</w:t>
      </w:r>
    </w:p>
    <w:p w14:paraId="5829845D" w14:textId="4C9AEAF3" w:rsidR="00663B36" w:rsidRDefault="00663B36" w:rsidP="00663B36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Appendix D – Security </w:t>
      </w:r>
      <w:r w:rsidR="008807AF">
        <w:rPr>
          <w:rFonts w:ascii="Times New Roman" w:hAnsi="Times New Roman" w:cs="Times New Roman"/>
          <w:sz w:val="24"/>
          <w:szCs w:val="24"/>
        </w:rPr>
        <w:t>Listing…………</w:t>
      </w:r>
      <w:r w:rsidR="00C0558D">
        <w:rPr>
          <w:rFonts w:ascii="Times New Roman" w:hAnsi="Times New Roman" w:cs="Times New Roman"/>
          <w:sz w:val="24"/>
          <w:szCs w:val="24"/>
        </w:rPr>
        <w:t>……..</w:t>
      </w:r>
      <w:r w:rsidR="008807AF">
        <w:rPr>
          <w:rFonts w:ascii="Times New Roman" w:hAnsi="Times New Roman" w:cs="Times New Roman"/>
          <w:sz w:val="24"/>
          <w:szCs w:val="24"/>
        </w:rPr>
        <w:t>……………………….</w:t>
      </w:r>
      <w:r w:rsidR="00303E95">
        <w:rPr>
          <w:rFonts w:ascii="Times New Roman" w:hAnsi="Times New Roman" w:cs="Times New Roman"/>
          <w:sz w:val="24"/>
          <w:szCs w:val="24"/>
        </w:rPr>
        <w:t>…</w:t>
      </w:r>
      <w:r w:rsidR="008807AF">
        <w:rPr>
          <w:rFonts w:ascii="Times New Roman" w:hAnsi="Times New Roman" w:cs="Times New Roman"/>
          <w:sz w:val="24"/>
          <w:szCs w:val="24"/>
        </w:rPr>
        <w:t>.Separate attachment</w:t>
      </w:r>
    </w:p>
    <w:p w14:paraId="77E3CD91" w14:textId="467822B6" w:rsidR="009152AB" w:rsidRDefault="009152AB" w:rsidP="00861B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C514C0" w14:textId="5B571488" w:rsidR="006248EC" w:rsidRDefault="006248EC" w:rsidP="00861B0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6BB8E9B" w14:textId="7E62AEEC" w:rsidR="006248EC" w:rsidRDefault="006248EC" w:rsidP="006248E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ADD8DF2" w14:textId="45CFFB86" w:rsidR="006248EC" w:rsidRDefault="006248EC" w:rsidP="00861B0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6F12DA1" w14:textId="77777777" w:rsidR="007B4942" w:rsidRPr="00861B0F" w:rsidRDefault="001676F6" w:rsidP="00861B0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48EC">
        <w:rPr>
          <w:rFonts w:ascii="Times New Roman" w:hAnsi="Times New Roman" w:cs="Times New Roman"/>
          <w:sz w:val="24"/>
          <w:szCs w:val="24"/>
        </w:rPr>
        <w:br w:type="page"/>
      </w:r>
      <w:r w:rsidR="0078169E" w:rsidRPr="00861B0F">
        <w:rPr>
          <w:rFonts w:ascii="Times New Roman" w:hAnsi="Times New Roman" w:cs="Times New Roman"/>
          <w:b/>
          <w:sz w:val="32"/>
          <w:szCs w:val="32"/>
        </w:rPr>
        <w:lastRenderedPageBreak/>
        <w:t>Introduction</w:t>
      </w:r>
    </w:p>
    <w:p w14:paraId="788E302E" w14:textId="3A269CED" w:rsidR="00861B0F" w:rsidRPr="00861B0F" w:rsidRDefault="00861B0F" w:rsidP="00861B0F">
      <w:pPr>
        <w:keepNext/>
        <w:framePr w:dropCap="drop" w:lines="3" w:wrap="around" w:vAnchor="text" w:hAnchor="text"/>
        <w:spacing w:after="0" w:line="893" w:lineRule="exact"/>
        <w:textAlignment w:val="baseline"/>
        <w:rPr>
          <w:rFonts w:ascii="Times New Roman" w:hAnsi="Times New Roman" w:cs="Times New Roman"/>
          <w:position w:val="-9"/>
          <w:sz w:val="116"/>
          <w:szCs w:val="24"/>
        </w:rPr>
      </w:pPr>
      <w:r w:rsidRPr="00861B0F">
        <w:rPr>
          <w:rFonts w:ascii="Times New Roman" w:hAnsi="Times New Roman" w:cs="Times New Roman"/>
          <w:position w:val="-9"/>
          <w:sz w:val="116"/>
          <w:szCs w:val="24"/>
        </w:rPr>
        <w:t>W</w:t>
      </w:r>
    </w:p>
    <w:p w14:paraId="3EFA45BD" w14:textId="23659353" w:rsidR="008C788E" w:rsidRDefault="004D62E8" w:rsidP="008C788E">
      <w:pPr>
        <w:spacing w:after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are pleased to present the University of Illinois System Office of Investments Annual Report</w:t>
      </w:r>
      <w:r w:rsidR="0078169E">
        <w:rPr>
          <w:rFonts w:ascii="Times New Roman" w:hAnsi="Times New Roman" w:cs="Times New Roman"/>
          <w:sz w:val="24"/>
          <w:szCs w:val="24"/>
        </w:rPr>
        <w:t xml:space="preserve"> for the </w:t>
      </w:r>
      <w:r w:rsidR="000B05F2">
        <w:rPr>
          <w:rFonts w:ascii="Times New Roman" w:hAnsi="Times New Roman" w:cs="Times New Roman"/>
          <w:sz w:val="24"/>
          <w:szCs w:val="24"/>
        </w:rPr>
        <w:t>202</w:t>
      </w:r>
      <w:r w:rsidR="00795CC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671E">
        <w:rPr>
          <w:rFonts w:ascii="Times New Roman" w:hAnsi="Times New Roman" w:cs="Times New Roman"/>
          <w:sz w:val="24"/>
          <w:szCs w:val="24"/>
        </w:rPr>
        <w:t>fiscal</w:t>
      </w:r>
      <w:r>
        <w:rPr>
          <w:rFonts w:ascii="Times New Roman" w:hAnsi="Times New Roman" w:cs="Times New Roman"/>
          <w:sz w:val="24"/>
          <w:szCs w:val="24"/>
        </w:rPr>
        <w:t xml:space="preserve"> year.</w:t>
      </w:r>
      <w:r w:rsidR="0078169E">
        <w:rPr>
          <w:rFonts w:ascii="Times New Roman" w:hAnsi="Times New Roman" w:cs="Times New Roman"/>
          <w:sz w:val="24"/>
          <w:szCs w:val="24"/>
        </w:rPr>
        <w:t xml:space="preserve"> </w:t>
      </w:r>
      <w:r w:rsidR="00762F2F">
        <w:rPr>
          <w:rFonts w:ascii="Times New Roman" w:hAnsi="Times New Roman" w:cs="Times New Roman"/>
          <w:sz w:val="24"/>
          <w:szCs w:val="24"/>
        </w:rPr>
        <w:t>All data in</w:t>
      </w:r>
      <w:r w:rsidR="00FB4A5D">
        <w:rPr>
          <w:rFonts w:ascii="Times New Roman" w:hAnsi="Times New Roman" w:cs="Times New Roman"/>
          <w:sz w:val="24"/>
          <w:szCs w:val="24"/>
        </w:rPr>
        <w:t xml:space="preserve"> the report is</w:t>
      </w:r>
      <w:r w:rsidR="000B05F2">
        <w:rPr>
          <w:rFonts w:ascii="Times New Roman" w:hAnsi="Times New Roman" w:cs="Times New Roman"/>
          <w:sz w:val="24"/>
          <w:szCs w:val="24"/>
        </w:rPr>
        <w:t xml:space="preserve"> as of June 30, 202</w:t>
      </w:r>
      <w:r w:rsidR="00795CC9">
        <w:rPr>
          <w:rFonts w:ascii="Times New Roman" w:hAnsi="Times New Roman" w:cs="Times New Roman"/>
          <w:sz w:val="24"/>
          <w:szCs w:val="24"/>
        </w:rPr>
        <w:t>4</w:t>
      </w:r>
      <w:r w:rsidR="00762F2F">
        <w:rPr>
          <w:rFonts w:ascii="Times New Roman" w:hAnsi="Times New Roman" w:cs="Times New Roman"/>
          <w:sz w:val="24"/>
          <w:szCs w:val="24"/>
        </w:rPr>
        <w:t>, unless noted otherwise.</w:t>
      </w:r>
    </w:p>
    <w:p w14:paraId="7F439EED" w14:textId="44712DEF" w:rsidR="000B05F2" w:rsidRPr="00FA46B8" w:rsidRDefault="00754C07" w:rsidP="008C788E">
      <w:pPr>
        <w:spacing w:after="360"/>
        <w:rPr>
          <w:rFonts w:ascii="Times New Roman" w:hAnsi="Times New Roman" w:cs="Times New Roman"/>
          <w:sz w:val="24"/>
          <w:szCs w:val="24"/>
        </w:rPr>
      </w:pPr>
      <w:r w:rsidRPr="00EF3AC4">
        <w:rPr>
          <w:rFonts w:ascii="Times New Roman" w:hAnsi="Times New Roman" w:cs="Times New Roman"/>
          <w:sz w:val="24"/>
          <w:szCs w:val="24"/>
        </w:rPr>
        <w:t xml:space="preserve">Fiscal year 2024 </w:t>
      </w:r>
      <w:r w:rsidR="001D7BC9">
        <w:rPr>
          <w:rFonts w:ascii="Times New Roman" w:hAnsi="Times New Roman" w:cs="Times New Roman"/>
          <w:sz w:val="24"/>
          <w:szCs w:val="24"/>
        </w:rPr>
        <w:t xml:space="preserve">was </w:t>
      </w:r>
      <w:r w:rsidR="006C1F91">
        <w:rPr>
          <w:rFonts w:ascii="Times New Roman" w:hAnsi="Times New Roman" w:cs="Times New Roman"/>
          <w:sz w:val="24"/>
          <w:szCs w:val="24"/>
        </w:rPr>
        <w:t>marked</w:t>
      </w:r>
      <w:r w:rsidR="001D7BC9">
        <w:rPr>
          <w:rFonts w:ascii="Times New Roman" w:hAnsi="Times New Roman" w:cs="Times New Roman"/>
          <w:sz w:val="24"/>
          <w:szCs w:val="24"/>
        </w:rPr>
        <w:t xml:space="preserve"> by equit</w:t>
      </w:r>
      <w:r w:rsidR="00133710">
        <w:rPr>
          <w:rFonts w:ascii="Times New Roman" w:hAnsi="Times New Roman" w:cs="Times New Roman"/>
          <w:sz w:val="24"/>
          <w:szCs w:val="24"/>
        </w:rPr>
        <w:t>y markets</w:t>
      </w:r>
      <w:r w:rsidR="001D7BC9">
        <w:rPr>
          <w:rFonts w:ascii="Times New Roman" w:hAnsi="Times New Roman" w:cs="Times New Roman"/>
          <w:sz w:val="24"/>
          <w:szCs w:val="24"/>
        </w:rPr>
        <w:t xml:space="preserve"> reaching</w:t>
      </w:r>
      <w:r w:rsidR="00444992">
        <w:rPr>
          <w:rFonts w:ascii="Times New Roman" w:hAnsi="Times New Roman" w:cs="Times New Roman"/>
          <w:sz w:val="24"/>
          <w:szCs w:val="24"/>
        </w:rPr>
        <w:t xml:space="preserve"> all-time highs</w:t>
      </w:r>
      <w:r w:rsidR="001D7BC9">
        <w:rPr>
          <w:rFonts w:ascii="Times New Roman" w:hAnsi="Times New Roman" w:cs="Times New Roman"/>
          <w:sz w:val="24"/>
          <w:szCs w:val="24"/>
        </w:rPr>
        <w:t xml:space="preserve"> and</w:t>
      </w:r>
      <w:r w:rsidR="0090325E">
        <w:rPr>
          <w:rFonts w:ascii="Times New Roman" w:hAnsi="Times New Roman" w:cs="Times New Roman"/>
          <w:sz w:val="24"/>
          <w:szCs w:val="24"/>
        </w:rPr>
        <w:t xml:space="preserve"> </w:t>
      </w:r>
      <w:r w:rsidR="00444992">
        <w:rPr>
          <w:rFonts w:ascii="Times New Roman" w:hAnsi="Times New Roman" w:cs="Times New Roman"/>
          <w:sz w:val="24"/>
          <w:szCs w:val="24"/>
        </w:rPr>
        <w:t>interest rates near</w:t>
      </w:r>
      <w:r w:rsidR="001D7BC9">
        <w:rPr>
          <w:rFonts w:ascii="Times New Roman" w:hAnsi="Times New Roman" w:cs="Times New Roman"/>
          <w:sz w:val="24"/>
          <w:szCs w:val="24"/>
        </w:rPr>
        <w:t>ing</w:t>
      </w:r>
      <w:r w:rsidR="00444992">
        <w:rPr>
          <w:rFonts w:ascii="Times New Roman" w:hAnsi="Times New Roman" w:cs="Times New Roman"/>
          <w:sz w:val="24"/>
          <w:szCs w:val="24"/>
        </w:rPr>
        <w:t xml:space="preserve"> </w:t>
      </w:r>
      <w:r w:rsidR="00F179FB">
        <w:rPr>
          <w:rFonts w:ascii="Times New Roman" w:hAnsi="Times New Roman" w:cs="Times New Roman"/>
          <w:sz w:val="24"/>
          <w:szCs w:val="24"/>
        </w:rPr>
        <w:t>the peak of th</w:t>
      </w:r>
      <w:r w:rsidR="00520B61">
        <w:rPr>
          <w:rFonts w:ascii="Times New Roman" w:hAnsi="Times New Roman" w:cs="Times New Roman"/>
          <w:sz w:val="24"/>
          <w:szCs w:val="24"/>
        </w:rPr>
        <w:t>e</w:t>
      </w:r>
      <w:r w:rsidR="00F179FB">
        <w:rPr>
          <w:rFonts w:ascii="Times New Roman" w:hAnsi="Times New Roman" w:cs="Times New Roman"/>
          <w:sz w:val="24"/>
          <w:szCs w:val="24"/>
        </w:rPr>
        <w:t xml:space="preserve"> hiking cycle</w:t>
      </w:r>
      <w:r w:rsidR="006C1F91">
        <w:rPr>
          <w:rFonts w:ascii="Times New Roman" w:hAnsi="Times New Roman" w:cs="Times New Roman"/>
          <w:sz w:val="24"/>
          <w:szCs w:val="24"/>
        </w:rPr>
        <w:t xml:space="preserve">. The yield curve </w:t>
      </w:r>
      <w:r w:rsidR="00B7624A">
        <w:rPr>
          <w:rFonts w:ascii="Times New Roman" w:hAnsi="Times New Roman" w:cs="Times New Roman"/>
          <w:sz w:val="24"/>
          <w:szCs w:val="24"/>
        </w:rPr>
        <w:t>stayed</w:t>
      </w:r>
      <w:r w:rsidR="006C1F91">
        <w:rPr>
          <w:rFonts w:ascii="Times New Roman" w:hAnsi="Times New Roman" w:cs="Times New Roman"/>
          <w:sz w:val="24"/>
          <w:szCs w:val="24"/>
        </w:rPr>
        <w:t xml:space="preserve"> </w:t>
      </w:r>
      <w:r w:rsidR="00F179FB">
        <w:rPr>
          <w:rFonts w:ascii="Times New Roman" w:hAnsi="Times New Roman" w:cs="Times New Roman"/>
          <w:sz w:val="24"/>
          <w:szCs w:val="24"/>
        </w:rPr>
        <w:t xml:space="preserve">steeply inverted </w:t>
      </w:r>
      <w:r w:rsidR="006C1F91">
        <w:rPr>
          <w:rFonts w:ascii="Times New Roman" w:hAnsi="Times New Roman" w:cs="Times New Roman"/>
          <w:sz w:val="24"/>
          <w:szCs w:val="24"/>
        </w:rPr>
        <w:t xml:space="preserve">with </w:t>
      </w:r>
      <w:r w:rsidR="00B7624A">
        <w:rPr>
          <w:rFonts w:ascii="Times New Roman" w:hAnsi="Times New Roman" w:cs="Times New Roman"/>
          <w:sz w:val="24"/>
          <w:szCs w:val="24"/>
        </w:rPr>
        <w:t>recession calls vacillating between extremes</w:t>
      </w:r>
      <w:r w:rsidR="001D7BC9">
        <w:rPr>
          <w:rFonts w:ascii="Times New Roman" w:hAnsi="Times New Roman" w:cs="Times New Roman"/>
          <w:sz w:val="24"/>
          <w:szCs w:val="24"/>
        </w:rPr>
        <w:t xml:space="preserve">. </w:t>
      </w:r>
      <w:r w:rsidR="006C1F91">
        <w:rPr>
          <w:rFonts w:ascii="Times New Roman" w:hAnsi="Times New Roman" w:cs="Times New Roman"/>
          <w:sz w:val="24"/>
          <w:szCs w:val="24"/>
        </w:rPr>
        <w:t xml:space="preserve">Real estate and private equity faced a second consecutive year of lackluster valuations and dismal transaction volume. </w:t>
      </w:r>
      <w:r w:rsidR="00520B61">
        <w:rPr>
          <w:rFonts w:ascii="Times New Roman" w:hAnsi="Times New Roman" w:cs="Times New Roman"/>
          <w:sz w:val="24"/>
          <w:szCs w:val="24"/>
        </w:rPr>
        <w:t xml:space="preserve">After maintaining a low duration fixed income posture in both pools from late 2020 to early 2023, we </w:t>
      </w:r>
      <w:r w:rsidR="001D7BC9">
        <w:rPr>
          <w:rFonts w:ascii="Times New Roman" w:hAnsi="Times New Roman" w:cs="Times New Roman"/>
          <w:sz w:val="24"/>
          <w:szCs w:val="24"/>
        </w:rPr>
        <w:t xml:space="preserve">have </w:t>
      </w:r>
      <w:r w:rsidR="00A25151">
        <w:rPr>
          <w:rFonts w:ascii="Times New Roman" w:hAnsi="Times New Roman" w:cs="Times New Roman"/>
          <w:sz w:val="24"/>
          <w:szCs w:val="24"/>
        </w:rPr>
        <w:t>neutralized our exposure</w:t>
      </w:r>
      <w:r w:rsidR="001D7BC9">
        <w:rPr>
          <w:rFonts w:ascii="Times New Roman" w:hAnsi="Times New Roman" w:cs="Times New Roman"/>
          <w:sz w:val="24"/>
          <w:szCs w:val="24"/>
        </w:rPr>
        <w:t xml:space="preserve"> </w:t>
      </w:r>
      <w:r w:rsidR="00520B61">
        <w:rPr>
          <w:rFonts w:ascii="Times New Roman" w:hAnsi="Times New Roman" w:cs="Times New Roman"/>
          <w:sz w:val="24"/>
          <w:szCs w:val="24"/>
        </w:rPr>
        <w:t xml:space="preserve">to reflect </w:t>
      </w:r>
      <w:r w:rsidR="001D7BC9">
        <w:rPr>
          <w:rFonts w:ascii="Times New Roman" w:hAnsi="Times New Roman" w:cs="Times New Roman"/>
          <w:sz w:val="24"/>
          <w:szCs w:val="24"/>
        </w:rPr>
        <w:t>the</w:t>
      </w:r>
      <w:r w:rsidR="00520B61" w:rsidRPr="00F179FB">
        <w:rPr>
          <w:rFonts w:ascii="Times New Roman" w:hAnsi="Times New Roman" w:cs="Times New Roman"/>
          <w:sz w:val="24"/>
          <w:szCs w:val="24"/>
        </w:rPr>
        <w:t xml:space="preserve"> balanced risk reward </w:t>
      </w:r>
      <w:r w:rsidR="001D7BC9">
        <w:rPr>
          <w:rFonts w:ascii="Times New Roman" w:hAnsi="Times New Roman" w:cs="Times New Roman"/>
          <w:sz w:val="24"/>
          <w:szCs w:val="24"/>
        </w:rPr>
        <w:t>environment</w:t>
      </w:r>
      <w:r w:rsidR="006C1F91">
        <w:rPr>
          <w:rFonts w:ascii="Times New Roman" w:hAnsi="Times New Roman" w:cs="Times New Roman"/>
          <w:sz w:val="24"/>
          <w:szCs w:val="24"/>
        </w:rPr>
        <w:t xml:space="preserve"> and enable </w:t>
      </w:r>
      <w:r w:rsidR="00520B61">
        <w:rPr>
          <w:rFonts w:ascii="Times New Roman" w:hAnsi="Times New Roman" w:cs="Times New Roman"/>
          <w:sz w:val="24"/>
          <w:szCs w:val="24"/>
        </w:rPr>
        <w:t>the po</w:t>
      </w:r>
      <w:r w:rsidR="006C1F91">
        <w:rPr>
          <w:rFonts w:ascii="Times New Roman" w:hAnsi="Times New Roman" w:cs="Times New Roman"/>
          <w:sz w:val="24"/>
          <w:szCs w:val="24"/>
        </w:rPr>
        <w:t>rtfolios</w:t>
      </w:r>
      <w:r w:rsidR="00520B61">
        <w:rPr>
          <w:rFonts w:ascii="Times New Roman" w:hAnsi="Times New Roman" w:cs="Times New Roman"/>
          <w:sz w:val="24"/>
          <w:szCs w:val="24"/>
        </w:rPr>
        <w:t xml:space="preserve"> to benefit when rates fall. </w:t>
      </w:r>
      <w:r w:rsidR="0090325E">
        <w:rPr>
          <w:rFonts w:ascii="Times New Roman" w:hAnsi="Times New Roman" w:cs="Times New Roman"/>
          <w:sz w:val="24"/>
          <w:szCs w:val="24"/>
        </w:rPr>
        <w:t xml:space="preserve">Our passive approach to public equities </w:t>
      </w:r>
      <w:r w:rsidR="006C1F91">
        <w:rPr>
          <w:rFonts w:ascii="Times New Roman" w:hAnsi="Times New Roman" w:cs="Times New Roman"/>
          <w:sz w:val="24"/>
          <w:szCs w:val="24"/>
        </w:rPr>
        <w:t>was accretive</w:t>
      </w:r>
      <w:r w:rsidR="0090325E">
        <w:rPr>
          <w:rFonts w:ascii="Times New Roman" w:hAnsi="Times New Roman" w:cs="Times New Roman"/>
          <w:sz w:val="24"/>
          <w:szCs w:val="24"/>
        </w:rPr>
        <w:t xml:space="preserve"> as a small concentration of stocks generated an outsized portion of gains</w:t>
      </w:r>
      <w:r w:rsidR="006505E1">
        <w:rPr>
          <w:rFonts w:ascii="Times New Roman" w:hAnsi="Times New Roman" w:cs="Times New Roman"/>
          <w:sz w:val="24"/>
          <w:szCs w:val="24"/>
        </w:rPr>
        <w:t xml:space="preserve"> that are </w:t>
      </w:r>
      <w:r w:rsidR="006C1F91">
        <w:rPr>
          <w:rFonts w:ascii="Times New Roman" w:hAnsi="Times New Roman" w:cs="Times New Roman"/>
          <w:sz w:val="24"/>
          <w:szCs w:val="24"/>
        </w:rPr>
        <w:t>often</w:t>
      </w:r>
      <w:r w:rsidR="006505E1">
        <w:rPr>
          <w:rFonts w:ascii="Times New Roman" w:hAnsi="Times New Roman" w:cs="Times New Roman"/>
          <w:sz w:val="24"/>
          <w:szCs w:val="24"/>
        </w:rPr>
        <w:t xml:space="preserve"> diluted with active </w:t>
      </w:r>
      <w:r w:rsidR="00F179FB">
        <w:rPr>
          <w:rFonts w:ascii="Times New Roman" w:hAnsi="Times New Roman" w:cs="Times New Roman"/>
          <w:sz w:val="24"/>
          <w:szCs w:val="24"/>
        </w:rPr>
        <w:t>management</w:t>
      </w:r>
      <w:r w:rsidR="0090325E">
        <w:rPr>
          <w:rFonts w:ascii="Times New Roman" w:hAnsi="Times New Roman" w:cs="Times New Roman"/>
          <w:sz w:val="24"/>
          <w:szCs w:val="24"/>
        </w:rPr>
        <w:t xml:space="preserve">. </w:t>
      </w:r>
      <w:r w:rsidR="00D51C7B">
        <w:rPr>
          <w:rFonts w:ascii="Times New Roman" w:hAnsi="Times New Roman" w:cs="Times New Roman"/>
          <w:sz w:val="24"/>
          <w:szCs w:val="24"/>
        </w:rPr>
        <w:t>Our</w:t>
      </w:r>
      <w:r w:rsidR="006505E1">
        <w:rPr>
          <w:rFonts w:ascii="Times New Roman" w:hAnsi="Times New Roman" w:cs="Times New Roman"/>
          <w:sz w:val="24"/>
          <w:szCs w:val="24"/>
        </w:rPr>
        <w:t xml:space="preserve"> </w:t>
      </w:r>
      <w:r w:rsidR="00F179FB">
        <w:rPr>
          <w:rFonts w:ascii="Times New Roman" w:hAnsi="Times New Roman" w:cs="Times New Roman"/>
          <w:sz w:val="24"/>
          <w:szCs w:val="24"/>
        </w:rPr>
        <w:t>diversified</w:t>
      </w:r>
      <w:r w:rsidR="006505E1">
        <w:rPr>
          <w:rFonts w:ascii="Times New Roman" w:hAnsi="Times New Roman" w:cs="Times New Roman"/>
          <w:sz w:val="24"/>
          <w:szCs w:val="24"/>
        </w:rPr>
        <w:t xml:space="preserve"> </w:t>
      </w:r>
      <w:r w:rsidR="00D51C7B">
        <w:rPr>
          <w:rFonts w:ascii="Times New Roman" w:hAnsi="Times New Roman" w:cs="Times New Roman"/>
          <w:sz w:val="24"/>
          <w:szCs w:val="24"/>
        </w:rPr>
        <w:t xml:space="preserve">real estate </w:t>
      </w:r>
      <w:r w:rsidR="006505E1">
        <w:rPr>
          <w:rFonts w:ascii="Times New Roman" w:hAnsi="Times New Roman" w:cs="Times New Roman"/>
          <w:sz w:val="24"/>
          <w:szCs w:val="24"/>
        </w:rPr>
        <w:t xml:space="preserve">exposure </w:t>
      </w:r>
      <w:r w:rsidR="00D51C7B">
        <w:rPr>
          <w:rFonts w:ascii="Times New Roman" w:hAnsi="Times New Roman" w:cs="Times New Roman"/>
          <w:sz w:val="24"/>
          <w:szCs w:val="24"/>
        </w:rPr>
        <w:t>contributed as the real estate benchmark (NCREIF ODCE) produced negative returns</w:t>
      </w:r>
      <w:r w:rsidR="006505E1">
        <w:rPr>
          <w:rFonts w:ascii="Times New Roman" w:hAnsi="Times New Roman" w:cs="Times New Roman"/>
          <w:sz w:val="24"/>
          <w:szCs w:val="24"/>
        </w:rPr>
        <w:t xml:space="preserve">. </w:t>
      </w:r>
      <w:r w:rsidR="006C1F91">
        <w:rPr>
          <w:rFonts w:ascii="Times New Roman" w:hAnsi="Times New Roman" w:cs="Times New Roman"/>
          <w:sz w:val="24"/>
          <w:szCs w:val="24"/>
        </w:rPr>
        <w:t xml:space="preserve">Both pools outperformed their benchmarks </w:t>
      </w:r>
      <w:r w:rsidR="00A25151">
        <w:rPr>
          <w:rFonts w:ascii="Times New Roman" w:hAnsi="Times New Roman" w:cs="Times New Roman"/>
          <w:sz w:val="24"/>
          <w:szCs w:val="24"/>
        </w:rPr>
        <w:t>on</w:t>
      </w:r>
      <w:r w:rsidR="006C1F91">
        <w:rPr>
          <w:rFonts w:ascii="Times New Roman" w:hAnsi="Times New Roman" w:cs="Times New Roman"/>
          <w:sz w:val="24"/>
          <w:szCs w:val="24"/>
        </w:rPr>
        <w:t xml:space="preserve"> the year with the endowment returning</w:t>
      </w:r>
      <w:r w:rsidR="00CF479F" w:rsidRPr="00F179FB">
        <w:rPr>
          <w:rFonts w:ascii="Times New Roman" w:hAnsi="Times New Roman" w:cs="Times New Roman"/>
          <w:sz w:val="24"/>
          <w:szCs w:val="24"/>
        </w:rPr>
        <w:t xml:space="preserve"> </w:t>
      </w:r>
      <w:r w:rsidR="00F179FB" w:rsidRPr="00F179FB">
        <w:rPr>
          <w:rFonts w:ascii="Times New Roman" w:hAnsi="Times New Roman" w:cs="Times New Roman"/>
          <w:sz w:val="24"/>
          <w:szCs w:val="24"/>
        </w:rPr>
        <w:t>9.</w:t>
      </w:r>
      <w:r w:rsidR="006C1F91">
        <w:rPr>
          <w:rFonts w:ascii="Times New Roman" w:hAnsi="Times New Roman" w:cs="Times New Roman"/>
          <w:sz w:val="24"/>
          <w:szCs w:val="24"/>
        </w:rPr>
        <w:t>4</w:t>
      </w:r>
      <w:r w:rsidR="00CF479F" w:rsidRPr="00F179FB">
        <w:rPr>
          <w:rFonts w:ascii="Times New Roman" w:hAnsi="Times New Roman" w:cs="Times New Roman"/>
          <w:sz w:val="24"/>
          <w:szCs w:val="24"/>
        </w:rPr>
        <w:t xml:space="preserve">% </w:t>
      </w:r>
      <w:r w:rsidR="006C1F91">
        <w:rPr>
          <w:rFonts w:ascii="Times New Roman" w:hAnsi="Times New Roman" w:cs="Times New Roman"/>
          <w:sz w:val="24"/>
          <w:szCs w:val="24"/>
        </w:rPr>
        <w:t>and the</w:t>
      </w:r>
      <w:r w:rsidR="00CF479F" w:rsidRPr="00F179FB">
        <w:rPr>
          <w:rFonts w:ascii="Times New Roman" w:hAnsi="Times New Roman" w:cs="Times New Roman"/>
          <w:sz w:val="24"/>
          <w:szCs w:val="24"/>
        </w:rPr>
        <w:t xml:space="preserve"> operating pool </w:t>
      </w:r>
      <w:r w:rsidR="006C1F91">
        <w:rPr>
          <w:rFonts w:ascii="Times New Roman" w:hAnsi="Times New Roman" w:cs="Times New Roman"/>
          <w:sz w:val="24"/>
          <w:szCs w:val="24"/>
        </w:rPr>
        <w:t>at</w:t>
      </w:r>
      <w:r w:rsidR="00CF479F" w:rsidRPr="00F179FB">
        <w:rPr>
          <w:rFonts w:ascii="Times New Roman" w:hAnsi="Times New Roman" w:cs="Times New Roman"/>
          <w:sz w:val="24"/>
          <w:szCs w:val="24"/>
        </w:rPr>
        <w:t xml:space="preserve"> </w:t>
      </w:r>
      <w:r w:rsidR="006505E1" w:rsidRPr="00F179FB">
        <w:rPr>
          <w:rFonts w:ascii="Times New Roman" w:hAnsi="Times New Roman" w:cs="Times New Roman"/>
          <w:sz w:val="24"/>
          <w:szCs w:val="24"/>
        </w:rPr>
        <w:t>5.3</w:t>
      </w:r>
      <w:r w:rsidR="00CF479F" w:rsidRPr="00F179FB">
        <w:rPr>
          <w:rFonts w:ascii="Times New Roman" w:hAnsi="Times New Roman" w:cs="Times New Roman"/>
          <w:sz w:val="24"/>
          <w:szCs w:val="24"/>
        </w:rPr>
        <w:t xml:space="preserve">%. </w:t>
      </w:r>
      <w:r w:rsidR="00DA1613" w:rsidRPr="00F179FB">
        <w:rPr>
          <w:rFonts w:ascii="Times New Roman" w:hAnsi="Times New Roman" w:cs="Times New Roman"/>
          <w:sz w:val="24"/>
          <w:szCs w:val="24"/>
        </w:rPr>
        <w:t xml:space="preserve">Collectively, the </w:t>
      </w:r>
      <w:r w:rsidR="00FD76C0" w:rsidRPr="00F179FB">
        <w:rPr>
          <w:rFonts w:ascii="Times New Roman" w:hAnsi="Times New Roman" w:cs="Times New Roman"/>
          <w:sz w:val="24"/>
          <w:szCs w:val="24"/>
        </w:rPr>
        <w:t>program</w:t>
      </w:r>
      <w:r w:rsidR="00AA3F59" w:rsidRPr="00F179FB">
        <w:rPr>
          <w:rFonts w:ascii="Times New Roman" w:hAnsi="Times New Roman" w:cs="Times New Roman"/>
          <w:sz w:val="24"/>
          <w:szCs w:val="24"/>
        </w:rPr>
        <w:t xml:space="preserve"> distributed $</w:t>
      </w:r>
      <w:r w:rsidR="00F179FB" w:rsidRPr="00F179FB">
        <w:rPr>
          <w:rFonts w:ascii="Times New Roman" w:hAnsi="Times New Roman" w:cs="Times New Roman"/>
          <w:sz w:val="24"/>
          <w:szCs w:val="24"/>
        </w:rPr>
        <w:t>205</w:t>
      </w:r>
      <w:r w:rsidR="00CF479F" w:rsidRPr="00F179FB">
        <w:rPr>
          <w:rFonts w:ascii="Times New Roman" w:hAnsi="Times New Roman" w:cs="Times New Roman"/>
          <w:sz w:val="24"/>
          <w:szCs w:val="24"/>
        </w:rPr>
        <w:t>.3</w:t>
      </w:r>
      <w:r w:rsidR="00BC3B47" w:rsidRPr="00F179FB">
        <w:rPr>
          <w:rFonts w:ascii="Times New Roman" w:hAnsi="Times New Roman" w:cs="Times New Roman"/>
          <w:sz w:val="24"/>
          <w:szCs w:val="24"/>
        </w:rPr>
        <w:t xml:space="preserve"> million</w:t>
      </w:r>
      <w:r w:rsidR="00BC3B47" w:rsidRPr="00FA46B8">
        <w:rPr>
          <w:rFonts w:ascii="Times New Roman" w:hAnsi="Times New Roman" w:cs="Times New Roman"/>
          <w:sz w:val="24"/>
          <w:szCs w:val="24"/>
        </w:rPr>
        <w:t xml:space="preserve"> in income to the University System.</w:t>
      </w:r>
      <w:r w:rsidR="006505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E9B68F" w14:textId="53D906BC" w:rsidR="00722284" w:rsidRDefault="00182480" w:rsidP="008C788E">
      <w:pPr>
        <w:spacing w:after="360"/>
        <w:rPr>
          <w:rFonts w:ascii="Times New Roman" w:hAnsi="Times New Roman" w:cs="Times New Roman"/>
          <w:sz w:val="24"/>
          <w:szCs w:val="24"/>
        </w:rPr>
      </w:pPr>
      <w:r w:rsidRPr="00FA46B8">
        <w:rPr>
          <w:rFonts w:ascii="Times New Roman" w:hAnsi="Times New Roman" w:cs="Times New Roman"/>
          <w:sz w:val="24"/>
          <w:szCs w:val="24"/>
        </w:rPr>
        <w:t>The</w:t>
      </w:r>
      <w:r w:rsidR="00AA3F59" w:rsidRPr="00FA46B8">
        <w:rPr>
          <w:rFonts w:ascii="Times New Roman" w:hAnsi="Times New Roman" w:cs="Times New Roman"/>
          <w:sz w:val="24"/>
          <w:szCs w:val="24"/>
        </w:rPr>
        <w:t xml:space="preserve"> investment program </w:t>
      </w:r>
      <w:r w:rsidR="00594CFA">
        <w:rPr>
          <w:rFonts w:ascii="Times New Roman" w:hAnsi="Times New Roman" w:cs="Times New Roman"/>
          <w:sz w:val="24"/>
          <w:szCs w:val="24"/>
        </w:rPr>
        <w:t>made several commitments</w:t>
      </w:r>
      <w:r w:rsidR="00FA46B8" w:rsidRPr="00FA46B8">
        <w:rPr>
          <w:rFonts w:ascii="Times New Roman" w:hAnsi="Times New Roman" w:cs="Times New Roman"/>
          <w:sz w:val="24"/>
          <w:szCs w:val="24"/>
        </w:rPr>
        <w:t xml:space="preserve"> </w:t>
      </w:r>
      <w:r w:rsidR="00F179FB">
        <w:rPr>
          <w:rFonts w:ascii="Times New Roman" w:hAnsi="Times New Roman" w:cs="Times New Roman"/>
          <w:sz w:val="24"/>
          <w:szCs w:val="24"/>
        </w:rPr>
        <w:t>this</w:t>
      </w:r>
      <w:r w:rsidR="00FA46B8" w:rsidRPr="00FA46B8">
        <w:rPr>
          <w:rFonts w:ascii="Times New Roman" w:hAnsi="Times New Roman" w:cs="Times New Roman"/>
          <w:sz w:val="24"/>
          <w:szCs w:val="24"/>
        </w:rPr>
        <w:t xml:space="preserve"> year</w:t>
      </w:r>
      <w:r w:rsidR="00AA3F59" w:rsidRPr="00FA46B8">
        <w:rPr>
          <w:rFonts w:ascii="Times New Roman" w:hAnsi="Times New Roman" w:cs="Times New Roman"/>
          <w:sz w:val="24"/>
          <w:szCs w:val="24"/>
        </w:rPr>
        <w:t xml:space="preserve">. </w:t>
      </w:r>
      <w:r w:rsidR="00DA1613">
        <w:rPr>
          <w:rFonts w:ascii="Times New Roman" w:hAnsi="Times New Roman" w:cs="Times New Roman"/>
          <w:sz w:val="24"/>
          <w:szCs w:val="24"/>
        </w:rPr>
        <w:t>In the endowment p</w:t>
      </w:r>
      <w:r w:rsidR="000B05F2">
        <w:rPr>
          <w:rFonts w:ascii="Times New Roman" w:hAnsi="Times New Roman" w:cs="Times New Roman"/>
          <w:sz w:val="24"/>
          <w:szCs w:val="24"/>
        </w:rPr>
        <w:t xml:space="preserve">ool, investments were made in </w:t>
      </w:r>
      <w:r w:rsidR="00A67550">
        <w:rPr>
          <w:rFonts w:ascii="Times New Roman" w:hAnsi="Times New Roman" w:cs="Times New Roman"/>
          <w:sz w:val="24"/>
          <w:szCs w:val="24"/>
        </w:rPr>
        <w:t>the following partnerships/funds:</w:t>
      </w:r>
      <w:r w:rsidR="00795CC9">
        <w:rPr>
          <w:rFonts w:ascii="Times New Roman" w:hAnsi="Times New Roman" w:cs="Times New Roman"/>
          <w:sz w:val="24"/>
          <w:szCs w:val="24"/>
        </w:rPr>
        <w:t xml:space="preserve"> Clearlake Capital Partners VIII (global equity); Edgewater Growth Capital V (global equity); Centana Growth Partners III (global equity); </w:t>
      </w:r>
      <w:r w:rsidR="00540F1B">
        <w:rPr>
          <w:rFonts w:ascii="Times New Roman" w:hAnsi="Times New Roman" w:cs="Times New Roman"/>
          <w:sz w:val="24"/>
          <w:szCs w:val="24"/>
        </w:rPr>
        <w:t xml:space="preserve">and </w:t>
      </w:r>
      <w:r w:rsidR="00795CC9">
        <w:rPr>
          <w:rFonts w:ascii="Times New Roman" w:hAnsi="Times New Roman" w:cs="Times New Roman"/>
          <w:sz w:val="24"/>
          <w:szCs w:val="24"/>
        </w:rPr>
        <w:t>Elliott International Limited – 10</w:t>
      </w:r>
      <w:r w:rsidR="00795CC9" w:rsidRPr="00795CC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795CC9">
        <w:rPr>
          <w:rFonts w:ascii="Times New Roman" w:hAnsi="Times New Roman" w:cs="Times New Roman"/>
          <w:sz w:val="24"/>
          <w:szCs w:val="24"/>
        </w:rPr>
        <w:t xml:space="preserve"> Commitment (diversifying strategies)</w:t>
      </w:r>
      <w:r w:rsidR="00540F1B">
        <w:rPr>
          <w:rFonts w:ascii="Times New Roman" w:hAnsi="Times New Roman" w:cs="Times New Roman"/>
          <w:sz w:val="24"/>
          <w:szCs w:val="24"/>
        </w:rPr>
        <w:t>. No new investments were made in the operating pool.</w:t>
      </w:r>
    </w:p>
    <w:p w14:paraId="310B6E84" w14:textId="204F8EB1" w:rsidR="006505E1" w:rsidRDefault="006505E1" w:rsidP="008C788E">
      <w:pPr>
        <w:spacing w:after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Looking forward, we </w:t>
      </w:r>
      <w:r w:rsidR="001633EB">
        <w:rPr>
          <w:rFonts w:ascii="Times New Roman" w:hAnsi="Times New Roman" w:cs="Times New Roman"/>
          <w:sz w:val="24"/>
          <w:szCs w:val="24"/>
        </w:rPr>
        <w:t>are defensively posture</w:t>
      </w:r>
      <w:r w:rsidR="00F179FB">
        <w:rPr>
          <w:rFonts w:ascii="Times New Roman" w:hAnsi="Times New Roman" w:cs="Times New Roman"/>
          <w:sz w:val="24"/>
          <w:szCs w:val="24"/>
        </w:rPr>
        <w:t>d</w:t>
      </w:r>
      <w:r w:rsidR="001633EB">
        <w:rPr>
          <w:rFonts w:ascii="Times New Roman" w:hAnsi="Times New Roman" w:cs="Times New Roman"/>
          <w:sz w:val="24"/>
          <w:szCs w:val="24"/>
        </w:rPr>
        <w:t xml:space="preserve"> with </w:t>
      </w:r>
      <w:r>
        <w:rPr>
          <w:rFonts w:ascii="Times New Roman" w:hAnsi="Times New Roman" w:cs="Times New Roman"/>
          <w:sz w:val="24"/>
          <w:szCs w:val="24"/>
        </w:rPr>
        <w:t xml:space="preserve">a strong liquidity profile that will </w:t>
      </w:r>
      <w:r w:rsidR="001633EB">
        <w:rPr>
          <w:rFonts w:ascii="Times New Roman" w:hAnsi="Times New Roman" w:cs="Times New Roman"/>
          <w:sz w:val="24"/>
          <w:szCs w:val="24"/>
        </w:rPr>
        <w:t>enable</w:t>
      </w:r>
      <w:r>
        <w:rPr>
          <w:rFonts w:ascii="Times New Roman" w:hAnsi="Times New Roman" w:cs="Times New Roman"/>
          <w:sz w:val="24"/>
          <w:szCs w:val="24"/>
        </w:rPr>
        <w:t xml:space="preserve"> us to take advantage of risk return opportunities </w:t>
      </w:r>
      <w:r w:rsidR="001633EB">
        <w:rPr>
          <w:rFonts w:ascii="Times New Roman" w:hAnsi="Times New Roman" w:cs="Times New Roman"/>
          <w:sz w:val="24"/>
          <w:szCs w:val="24"/>
        </w:rPr>
        <w:t>arising</w:t>
      </w:r>
      <w:r>
        <w:rPr>
          <w:rFonts w:ascii="Times New Roman" w:hAnsi="Times New Roman" w:cs="Times New Roman"/>
          <w:sz w:val="24"/>
          <w:szCs w:val="24"/>
        </w:rPr>
        <w:t xml:space="preserve"> from </w:t>
      </w:r>
      <w:r w:rsidR="00A25151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election season, geopolitical risks, or interest rate movements. </w:t>
      </w:r>
      <w:r w:rsidRPr="00FA46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We</w:t>
      </w:r>
      <w:r w:rsidR="001633EB">
        <w:rPr>
          <w:rFonts w:ascii="Times New Roman" w:hAnsi="Times New Roman" w:cs="Times New Roman"/>
          <w:sz w:val="24"/>
          <w:szCs w:val="24"/>
        </w:rPr>
        <w:t xml:space="preserve"> are also launching an asset allocation study that we </w:t>
      </w:r>
      <w:r w:rsidR="00A25151">
        <w:rPr>
          <w:rFonts w:ascii="Times New Roman" w:hAnsi="Times New Roman" w:cs="Times New Roman"/>
          <w:sz w:val="24"/>
          <w:szCs w:val="24"/>
        </w:rPr>
        <w:t>anticipate</w:t>
      </w:r>
      <w:r w:rsidR="001633EB">
        <w:rPr>
          <w:rFonts w:ascii="Times New Roman" w:hAnsi="Times New Roman" w:cs="Times New Roman"/>
          <w:sz w:val="24"/>
          <w:szCs w:val="24"/>
        </w:rPr>
        <w:t xml:space="preserve"> sharing next year.</w:t>
      </w:r>
    </w:p>
    <w:p w14:paraId="28663FBE" w14:textId="1ADEA823" w:rsidR="00785C28" w:rsidRDefault="00635B63" w:rsidP="00AC50BD">
      <w:pPr>
        <w:spacing w:after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EF059B" wp14:editId="2365A206">
                <wp:simplePos x="0" y="0"/>
                <wp:positionH relativeFrom="margin">
                  <wp:posOffset>-224790</wp:posOffset>
                </wp:positionH>
                <wp:positionV relativeFrom="paragraph">
                  <wp:posOffset>764540</wp:posOffset>
                </wp:positionV>
                <wp:extent cx="7105650" cy="2698750"/>
                <wp:effectExtent l="0" t="0" r="19050" b="25400"/>
                <wp:wrapNone/>
                <wp:docPr id="2" name="Rectangle 2" descr="Office of Investments Overview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05650" cy="2698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BBDDAC" id="Rectangle 2" o:spid="_x0000_s1026" alt="Office of Investments Overview" style="position:absolute;margin-left:-17.7pt;margin-top:60.2pt;width:559.5pt;height:212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" filled="f" strokecolor="#747070 [1614]" strokeweight="1pt">
                <w10:wrap anchorx="margin"/>
              </v:rect>
            </w:pict>
          </mc:Fallback>
        </mc:AlternateContent>
      </w:r>
      <w:r w:rsidR="00CB14FD">
        <w:rPr>
          <w:rFonts w:ascii="Times New Roman" w:hAnsi="Times New Roman" w:cs="Times New Roman"/>
          <w:sz w:val="24"/>
          <w:szCs w:val="24"/>
        </w:rPr>
        <w:t xml:space="preserve">Enclosed </w:t>
      </w:r>
      <w:r w:rsidR="00762F2F">
        <w:rPr>
          <w:rFonts w:ascii="Times New Roman" w:hAnsi="Times New Roman" w:cs="Times New Roman"/>
          <w:sz w:val="24"/>
          <w:szCs w:val="24"/>
        </w:rPr>
        <w:t>is an overview of</w:t>
      </w:r>
      <w:r w:rsidR="00925665">
        <w:rPr>
          <w:rFonts w:ascii="Times New Roman" w:hAnsi="Times New Roman" w:cs="Times New Roman"/>
          <w:sz w:val="24"/>
          <w:szCs w:val="24"/>
        </w:rPr>
        <w:t xml:space="preserve"> invested assets</w:t>
      </w:r>
      <w:r w:rsidR="00FB4A5D">
        <w:rPr>
          <w:rFonts w:ascii="Times New Roman" w:hAnsi="Times New Roman" w:cs="Times New Roman"/>
          <w:sz w:val="24"/>
          <w:szCs w:val="24"/>
        </w:rPr>
        <w:t xml:space="preserve"> and</w:t>
      </w:r>
      <w:r w:rsidR="00CB14FD">
        <w:rPr>
          <w:rFonts w:ascii="Times New Roman" w:hAnsi="Times New Roman" w:cs="Times New Roman"/>
          <w:sz w:val="24"/>
          <w:szCs w:val="24"/>
        </w:rPr>
        <w:t xml:space="preserve"> </w:t>
      </w:r>
      <w:r w:rsidR="00934BC7">
        <w:rPr>
          <w:rFonts w:ascii="Times New Roman" w:hAnsi="Times New Roman" w:cs="Times New Roman"/>
          <w:sz w:val="24"/>
          <w:szCs w:val="24"/>
        </w:rPr>
        <w:t>key performance and asset allocation measures</w:t>
      </w:r>
      <w:r w:rsidR="008C788E">
        <w:rPr>
          <w:rFonts w:ascii="Times New Roman" w:hAnsi="Times New Roman" w:cs="Times New Roman"/>
          <w:sz w:val="24"/>
          <w:szCs w:val="24"/>
        </w:rPr>
        <w:t xml:space="preserve"> for </w:t>
      </w:r>
      <w:r w:rsidR="00DA1613">
        <w:rPr>
          <w:rFonts w:ascii="Times New Roman" w:hAnsi="Times New Roman" w:cs="Times New Roman"/>
          <w:sz w:val="24"/>
          <w:szCs w:val="24"/>
        </w:rPr>
        <w:t>the endowment and operating p</w:t>
      </w:r>
      <w:r w:rsidR="00762F2F">
        <w:rPr>
          <w:rFonts w:ascii="Times New Roman" w:hAnsi="Times New Roman" w:cs="Times New Roman"/>
          <w:sz w:val="24"/>
          <w:szCs w:val="24"/>
        </w:rPr>
        <w:t>ools</w:t>
      </w:r>
      <w:r w:rsidR="00AC50BD">
        <w:rPr>
          <w:rFonts w:ascii="Times New Roman" w:hAnsi="Times New Roman" w:cs="Times New Roman"/>
          <w:sz w:val="24"/>
          <w:szCs w:val="24"/>
        </w:rPr>
        <w:t>.</w:t>
      </w:r>
      <w:r w:rsidR="003476E2">
        <w:rPr>
          <w:rFonts w:ascii="Times New Roman" w:hAnsi="Times New Roman" w:cs="Times New Roman"/>
          <w:sz w:val="24"/>
          <w:szCs w:val="24"/>
        </w:rPr>
        <w:t xml:space="preserve"> A fee summary, </w:t>
      </w:r>
      <w:r w:rsidR="003D3062">
        <w:rPr>
          <w:rFonts w:ascii="Times New Roman" w:hAnsi="Times New Roman" w:cs="Times New Roman"/>
          <w:sz w:val="24"/>
          <w:szCs w:val="24"/>
        </w:rPr>
        <w:t>security inventory</w:t>
      </w:r>
      <w:r w:rsidR="00286A78">
        <w:rPr>
          <w:rFonts w:ascii="Times New Roman" w:hAnsi="Times New Roman" w:cs="Times New Roman"/>
          <w:sz w:val="24"/>
          <w:szCs w:val="24"/>
        </w:rPr>
        <w:t>,</w:t>
      </w:r>
      <w:r w:rsidR="008C788E">
        <w:rPr>
          <w:rFonts w:ascii="Times New Roman" w:hAnsi="Times New Roman" w:cs="Times New Roman"/>
          <w:sz w:val="24"/>
          <w:szCs w:val="24"/>
        </w:rPr>
        <w:t xml:space="preserve"> </w:t>
      </w:r>
      <w:r w:rsidR="003476E2">
        <w:rPr>
          <w:rFonts w:ascii="Times New Roman" w:hAnsi="Times New Roman" w:cs="Times New Roman"/>
          <w:sz w:val="24"/>
          <w:szCs w:val="24"/>
        </w:rPr>
        <w:t xml:space="preserve">and transaction report </w:t>
      </w:r>
      <w:r w:rsidR="008C788E">
        <w:rPr>
          <w:rFonts w:ascii="Times New Roman" w:hAnsi="Times New Roman" w:cs="Times New Roman"/>
          <w:sz w:val="24"/>
          <w:szCs w:val="24"/>
        </w:rPr>
        <w:t xml:space="preserve">are included </w:t>
      </w:r>
      <w:r w:rsidR="00AC50BD">
        <w:rPr>
          <w:rFonts w:ascii="Times New Roman" w:hAnsi="Times New Roman" w:cs="Times New Roman"/>
          <w:sz w:val="24"/>
          <w:szCs w:val="24"/>
        </w:rPr>
        <w:t xml:space="preserve">as separate reports in the Board materials. </w:t>
      </w:r>
    </w:p>
    <w:p w14:paraId="1875BA1E" w14:textId="50AF3511" w:rsidR="00BC3B47" w:rsidRDefault="0070008A" w:rsidP="007E4EDE">
      <w:pPr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517B1D">
        <w:rPr>
          <w:rFonts w:ascii="Times New Roman" w:hAnsi="Times New Roman" w:cs="Times New Roman"/>
          <w:b/>
          <w:color w:val="595959" w:themeColor="text1" w:themeTint="A6"/>
        </w:rPr>
        <w:t>Office of Investments Overview</w:t>
      </w:r>
    </w:p>
    <w:p w14:paraId="79521BE6" w14:textId="02BBBDAB" w:rsidR="001D7C85" w:rsidRPr="00BC3B47" w:rsidRDefault="00053230" w:rsidP="007E4EDE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517B1D">
        <w:rPr>
          <w:rFonts w:ascii="Times New Roman" w:hAnsi="Times New Roman" w:cs="Times New Roman"/>
          <w:color w:val="595959" w:themeColor="text1" w:themeTint="A6"/>
        </w:rPr>
        <w:t>Under supervision</w:t>
      </w:r>
      <w:r w:rsidR="001D7C85" w:rsidRPr="00517B1D">
        <w:rPr>
          <w:rFonts w:ascii="Times New Roman" w:hAnsi="Times New Roman" w:cs="Times New Roman"/>
          <w:color w:val="595959" w:themeColor="text1" w:themeTint="A6"/>
        </w:rPr>
        <w:t xml:space="preserve"> of the C</w:t>
      </w:r>
      <w:r w:rsidR="001779EF">
        <w:rPr>
          <w:rFonts w:ascii="Times New Roman" w:hAnsi="Times New Roman" w:cs="Times New Roman"/>
          <w:color w:val="595959" w:themeColor="text1" w:themeTint="A6"/>
        </w:rPr>
        <w:t>FO</w:t>
      </w:r>
      <w:r w:rsidR="001D7C85" w:rsidRPr="00517B1D">
        <w:rPr>
          <w:rFonts w:ascii="Times New Roman" w:hAnsi="Times New Roman" w:cs="Times New Roman"/>
          <w:color w:val="595959" w:themeColor="text1" w:themeTint="A6"/>
        </w:rPr>
        <w:t>, the Office of Investments manage</w:t>
      </w:r>
      <w:r w:rsidR="00F940B8" w:rsidRPr="00517B1D">
        <w:rPr>
          <w:rFonts w:ascii="Times New Roman" w:hAnsi="Times New Roman" w:cs="Times New Roman"/>
          <w:color w:val="595959" w:themeColor="text1" w:themeTint="A6"/>
        </w:rPr>
        <w:t>s</w:t>
      </w:r>
      <w:r w:rsidR="001D7C85" w:rsidRPr="00517B1D">
        <w:rPr>
          <w:rFonts w:ascii="Times New Roman" w:hAnsi="Times New Roman" w:cs="Times New Roman"/>
          <w:color w:val="595959" w:themeColor="text1" w:themeTint="A6"/>
        </w:rPr>
        <w:t xml:space="preserve"> the</w:t>
      </w:r>
      <w:r w:rsidR="00254DC5" w:rsidRPr="00517B1D">
        <w:rPr>
          <w:rFonts w:ascii="Times New Roman" w:hAnsi="Times New Roman" w:cs="Times New Roman"/>
          <w:color w:val="595959" w:themeColor="text1" w:themeTint="A6"/>
        </w:rPr>
        <w:t xml:space="preserve"> University</w:t>
      </w:r>
      <w:r w:rsidR="001D7C85" w:rsidRPr="00517B1D">
        <w:rPr>
          <w:rFonts w:ascii="Times New Roman" w:hAnsi="Times New Roman" w:cs="Times New Roman"/>
          <w:color w:val="595959" w:themeColor="text1" w:themeTint="A6"/>
        </w:rPr>
        <w:t xml:space="preserve"> System’s </w:t>
      </w:r>
      <w:r w:rsidR="00DA1613">
        <w:rPr>
          <w:rFonts w:ascii="Times New Roman" w:hAnsi="Times New Roman" w:cs="Times New Roman"/>
          <w:color w:val="595959" w:themeColor="text1" w:themeTint="A6"/>
        </w:rPr>
        <w:t>operating and e</w:t>
      </w:r>
      <w:r w:rsidR="00F940B8" w:rsidRPr="00517B1D">
        <w:rPr>
          <w:rFonts w:ascii="Times New Roman" w:hAnsi="Times New Roman" w:cs="Times New Roman"/>
          <w:color w:val="595959" w:themeColor="text1" w:themeTint="A6"/>
        </w:rPr>
        <w:t xml:space="preserve">ndowment </w:t>
      </w:r>
      <w:r w:rsidRPr="00517B1D">
        <w:rPr>
          <w:rFonts w:ascii="Times New Roman" w:hAnsi="Times New Roman" w:cs="Times New Roman"/>
          <w:color w:val="595959" w:themeColor="text1" w:themeTint="A6"/>
        </w:rPr>
        <w:t>assets</w:t>
      </w:r>
      <w:r w:rsidR="003D3062">
        <w:rPr>
          <w:rFonts w:ascii="Times New Roman" w:hAnsi="Times New Roman" w:cs="Times New Roman"/>
          <w:color w:val="595959" w:themeColor="text1" w:themeTint="A6"/>
        </w:rPr>
        <w:t xml:space="preserve">, </w:t>
      </w:r>
      <w:r w:rsidR="00254DC5" w:rsidRPr="00517B1D">
        <w:rPr>
          <w:rFonts w:ascii="Times New Roman" w:hAnsi="Times New Roman" w:cs="Times New Roman"/>
          <w:color w:val="595959" w:themeColor="text1" w:themeTint="A6"/>
        </w:rPr>
        <w:t>including farmland donated to the University.</w:t>
      </w:r>
      <w:r w:rsidR="00DA1613">
        <w:rPr>
          <w:rFonts w:ascii="Times New Roman" w:hAnsi="Times New Roman" w:cs="Times New Roman"/>
          <w:color w:val="595959" w:themeColor="text1" w:themeTint="A6"/>
        </w:rPr>
        <w:t xml:space="preserve"> Operating and e</w:t>
      </w:r>
      <w:r w:rsidR="001D7C85" w:rsidRPr="00517B1D">
        <w:rPr>
          <w:rFonts w:ascii="Times New Roman" w:hAnsi="Times New Roman" w:cs="Times New Roman"/>
          <w:color w:val="595959" w:themeColor="text1" w:themeTint="A6"/>
        </w:rPr>
        <w:t xml:space="preserve">ndowment assets are invested through </w:t>
      </w:r>
      <w:r w:rsidRPr="00517B1D">
        <w:rPr>
          <w:rFonts w:ascii="Times New Roman" w:hAnsi="Times New Roman" w:cs="Times New Roman"/>
          <w:color w:val="595959" w:themeColor="text1" w:themeTint="A6"/>
        </w:rPr>
        <w:t xml:space="preserve">carefully selected </w:t>
      </w:r>
      <w:r w:rsidR="001D7C85" w:rsidRPr="00517B1D">
        <w:rPr>
          <w:rFonts w:ascii="Times New Roman" w:hAnsi="Times New Roman" w:cs="Times New Roman"/>
          <w:color w:val="595959" w:themeColor="text1" w:themeTint="A6"/>
        </w:rPr>
        <w:t xml:space="preserve">external investment firms, while farmland is managed internally by </w:t>
      </w:r>
      <w:r w:rsidR="00F436FD" w:rsidRPr="00517B1D">
        <w:rPr>
          <w:rFonts w:ascii="Times New Roman" w:hAnsi="Times New Roman" w:cs="Times New Roman"/>
          <w:color w:val="595959" w:themeColor="text1" w:themeTint="A6"/>
        </w:rPr>
        <w:t>the</w:t>
      </w:r>
      <w:r w:rsidRPr="00517B1D">
        <w:rPr>
          <w:rFonts w:ascii="Times New Roman" w:hAnsi="Times New Roman" w:cs="Times New Roman"/>
          <w:color w:val="595959" w:themeColor="text1" w:themeTint="A6"/>
        </w:rPr>
        <w:t xml:space="preserve"> Agricultural Property</w:t>
      </w:r>
      <w:r w:rsidR="001D7C85" w:rsidRPr="00517B1D">
        <w:rPr>
          <w:rFonts w:ascii="Times New Roman" w:hAnsi="Times New Roman" w:cs="Times New Roman"/>
          <w:color w:val="595959" w:themeColor="text1" w:themeTint="A6"/>
        </w:rPr>
        <w:t xml:space="preserve"> Services department. </w:t>
      </w:r>
      <w:r w:rsidR="00F436FD" w:rsidRPr="00517B1D">
        <w:rPr>
          <w:rFonts w:ascii="Times New Roman" w:hAnsi="Times New Roman" w:cs="Times New Roman"/>
          <w:color w:val="595959" w:themeColor="text1" w:themeTint="A6"/>
        </w:rPr>
        <w:t xml:space="preserve"> </w:t>
      </w:r>
    </w:p>
    <w:p w14:paraId="0989E879" w14:textId="1BB20F58" w:rsidR="00296296" w:rsidRPr="00BC3B47" w:rsidRDefault="008F0513" w:rsidP="00BC3B47">
      <w:pPr>
        <w:rPr>
          <w:rFonts w:ascii="Times New Roman" w:hAnsi="Times New Roman" w:cs="Times New Roman"/>
          <w:color w:val="595959" w:themeColor="text1" w:themeTint="A6"/>
        </w:rPr>
      </w:pPr>
      <w:r w:rsidRPr="00517B1D">
        <w:rPr>
          <w:rFonts w:ascii="Times New Roman" w:hAnsi="Times New Roman" w:cs="Times New Roman"/>
          <w:color w:val="595959" w:themeColor="text1" w:themeTint="A6"/>
        </w:rPr>
        <w:t xml:space="preserve">The </w:t>
      </w:r>
      <w:r w:rsidR="001D7C85" w:rsidRPr="00517B1D">
        <w:rPr>
          <w:rFonts w:ascii="Times New Roman" w:hAnsi="Times New Roman" w:cs="Times New Roman"/>
          <w:color w:val="595959" w:themeColor="text1" w:themeTint="A6"/>
        </w:rPr>
        <w:t xml:space="preserve">University </w:t>
      </w:r>
      <w:r w:rsidR="00A907B9">
        <w:rPr>
          <w:rFonts w:ascii="Times New Roman" w:hAnsi="Times New Roman" w:cs="Times New Roman"/>
          <w:color w:val="595959" w:themeColor="text1" w:themeTint="A6"/>
        </w:rPr>
        <w:t>of Illinois BOT</w:t>
      </w:r>
      <w:r w:rsidRPr="00517B1D">
        <w:rPr>
          <w:rFonts w:ascii="Times New Roman" w:hAnsi="Times New Roman" w:cs="Times New Roman"/>
          <w:color w:val="595959" w:themeColor="text1" w:themeTint="A6"/>
        </w:rPr>
        <w:t xml:space="preserve"> </w:t>
      </w:r>
      <w:r w:rsidR="001D7C85" w:rsidRPr="00517B1D">
        <w:rPr>
          <w:rFonts w:ascii="Times New Roman" w:hAnsi="Times New Roman" w:cs="Times New Roman"/>
          <w:color w:val="595959" w:themeColor="text1" w:themeTint="A6"/>
        </w:rPr>
        <w:t xml:space="preserve">establishes policies for managing </w:t>
      </w:r>
      <w:r w:rsidR="00053230" w:rsidRPr="00517B1D">
        <w:rPr>
          <w:rFonts w:ascii="Times New Roman" w:hAnsi="Times New Roman" w:cs="Times New Roman"/>
          <w:color w:val="595959" w:themeColor="text1" w:themeTint="A6"/>
        </w:rPr>
        <w:t xml:space="preserve">University </w:t>
      </w:r>
      <w:r w:rsidR="001D7C85" w:rsidRPr="00517B1D">
        <w:rPr>
          <w:rFonts w:ascii="Times New Roman" w:hAnsi="Times New Roman" w:cs="Times New Roman"/>
          <w:color w:val="595959" w:themeColor="text1" w:themeTint="A6"/>
        </w:rPr>
        <w:t>asset pools. The Investment Policy sets forth a</w:t>
      </w:r>
      <w:r w:rsidR="00DA1613">
        <w:rPr>
          <w:rFonts w:ascii="Times New Roman" w:hAnsi="Times New Roman" w:cs="Times New Roman"/>
          <w:color w:val="595959" w:themeColor="text1" w:themeTint="A6"/>
        </w:rPr>
        <w:t>sset allocation ranges for the endowment and operating p</w:t>
      </w:r>
      <w:r w:rsidR="001D7C85" w:rsidRPr="00517B1D">
        <w:rPr>
          <w:rFonts w:ascii="Times New Roman" w:hAnsi="Times New Roman" w:cs="Times New Roman"/>
          <w:color w:val="595959" w:themeColor="text1" w:themeTint="A6"/>
        </w:rPr>
        <w:t xml:space="preserve">ools.  </w:t>
      </w:r>
      <w:r w:rsidRPr="00517B1D">
        <w:rPr>
          <w:rFonts w:ascii="Times New Roman" w:hAnsi="Times New Roman" w:cs="Times New Roman"/>
          <w:color w:val="595959" w:themeColor="text1" w:themeTint="A6"/>
        </w:rPr>
        <w:t>The Audit, Budget</w:t>
      </w:r>
      <w:r w:rsidR="000A48BC" w:rsidRPr="00517B1D">
        <w:rPr>
          <w:rFonts w:ascii="Times New Roman" w:hAnsi="Times New Roman" w:cs="Times New Roman"/>
          <w:color w:val="595959" w:themeColor="text1" w:themeTint="A6"/>
        </w:rPr>
        <w:t>,</w:t>
      </w:r>
      <w:r w:rsidRPr="00517B1D">
        <w:rPr>
          <w:rFonts w:ascii="Times New Roman" w:hAnsi="Times New Roman" w:cs="Times New Roman"/>
          <w:color w:val="595959" w:themeColor="text1" w:themeTint="A6"/>
        </w:rPr>
        <w:t xml:space="preserve"> Finance, and </w:t>
      </w:r>
      <w:r w:rsidR="00D25174" w:rsidRPr="00517B1D">
        <w:rPr>
          <w:rFonts w:ascii="Times New Roman" w:hAnsi="Times New Roman" w:cs="Times New Roman"/>
          <w:color w:val="595959" w:themeColor="text1" w:themeTint="A6"/>
        </w:rPr>
        <w:t xml:space="preserve">Facilities </w:t>
      </w:r>
      <w:r w:rsidR="001D7C85" w:rsidRPr="00517B1D">
        <w:rPr>
          <w:rFonts w:ascii="Times New Roman" w:hAnsi="Times New Roman" w:cs="Times New Roman"/>
          <w:color w:val="595959" w:themeColor="text1" w:themeTint="A6"/>
        </w:rPr>
        <w:t xml:space="preserve">(ABFF) </w:t>
      </w:r>
      <w:r w:rsidR="006521C8" w:rsidRPr="00517B1D">
        <w:rPr>
          <w:rFonts w:ascii="Times New Roman" w:hAnsi="Times New Roman" w:cs="Times New Roman"/>
          <w:color w:val="595959" w:themeColor="text1" w:themeTint="A6"/>
        </w:rPr>
        <w:t>Committee of the BOT</w:t>
      </w:r>
      <w:r w:rsidR="00D25174" w:rsidRPr="00517B1D">
        <w:rPr>
          <w:rFonts w:ascii="Times New Roman" w:hAnsi="Times New Roman" w:cs="Times New Roman"/>
          <w:color w:val="595959" w:themeColor="text1" w:themeTint="A6"/>
        </w:rPr>
        <w:t xml:space="preserve"> reviews asset allocation and performance and </w:t>
      </w:r>
      <w:r w:rsidR="002F3944" w:rsidRPr="00517B1D">
        <w:rPr>
          <w:rFonts w:ascii="Times New Roman" w:hAnsi="Times New Roman" w:cs="Times New Roman"/>
          <w:color w:val="595959" w:themeColor="text1" w:themeTint="A6"/>
        </w:rPr>
        <w:t>makes</w:t>
      </w:r>
      <w:r w:rsidR="006521C8" w:rsidRPr="00517B1D">
        <w:rPr>
          <w:rFonts w:ascii="Times New Roman" w:hAnsi="Times New Roman" w:cs="Times New Roman"/>
          <w:color w:val="595959" w:themeColor="text1" w:themeTint="A6"/>
        </w:rPr>
        <w:t xml:space="preserve"> recommendations to the BOT</w:t>
      </w:r>
      <w:r w:rsidR="00D25174" w:rsidRPr="00517B1D">
        <w:rPr>
          <w:rFonts w:ascii="Times New Roman" w:hAnsi="Times New Roman" w:cs="Times New Roman"/>
          <w:color w:val="595959" w:themeColor="text1" w:themeTint="A6"/>
        </w:rPr>
        <w:t xml:space="preserve"> regarding investment policy. The BOT has delegated </w:t>
      </w:r>
      <w:r w:rsidR="001D7C85" w:rsidRPr="00517B1D">
        <w:rPr>
          <w:rFonts w:ascii="Times New Roman" w:hAnsi="Times New Roman" w:cs="Times New Roman"/>
          <w:color w:val="595959" w:themeColor="text1" w:themeTint="A6"/>
        </w:rPr>
        <w:t>to th</w:t>
      </w:r>
      <w:r w:rsidR="002F3944" w:rsidRPr="00517B1D">
        <w:rPr>
          <w:rFonts w:ascii="Times New Roman" w:hAnsi="Times New Roman" w:cs="Times New Roman"/>
          <w:color w:val="595959" w:themeColor="text1" w:themeTint="A6"/>
        </w:rPr>
        <w:t>e C</w:t>
      </w:r>
      <w:r w:rsidR="001779EF">
        <w:rPr>
          <w:rFonts w:ascii="Times New Roman" w:hAnsi="Times New Roman" w:cs="Times New Roman"/>
          <w:color w:val="595959" w:themeColor="text1" w:themeTint="A6"/>
        </w:rPr>
        <w:t>FO</w:t>
      </w:r>
      <w:r w:rsidR="002F3944" w:rsidRPr="00517B1D">
        <w:rPr>
          <w:rFonts w:ascii="Times New Roman" w:hAnsi="Times New Roman" w:cs="Times New Roman"/>
          <w:color w:val="595959" w:themeColor="text1" w:themeTint="A6"/>
        </w:rPr>
        <w:t xml:space="preserve"> </w:t>
      </w:r>
      <w:r w:rsidR="00053230" w:rsidRPr="00517B1D">
        <w:rPr>
          <w:rFonts w:ascii="Times New Roman" w:hAnsi="Times New Roman" w:cs="Times New Roman"/>
          <w:color w:val="595959" w:themeColor="text1" w:themeTint="A6"/>
        </w:rPr>
        <w:t>management of the University’s assets within the BOT approved policies. The C</w:t>
      </w:r>
      <w:r w:rsidR="001779EF">
        <w:rPr>
          <w:rFonts w:ascii="Times New Roman" w:hAnsi="Times New Roman" w:cs="Times New Roman"/>
          <w:color w:val="595959" w:themeColor="text1" w:themeTint="A6"/>
        </w:rPr>
        <w:t>FO</w:t>
      </w:r>
      <w:r w:rsidR="00276187">
        <w:rPr>
          <w:rFonts w:ascii="Times New Roman" w:hAnsi="Times New Roman" w:cs="Times New Roman"/>
          <w:color w:val="595959" w:themeColor="text1" w:themeTint="A6"/>
        </w:rPr>
        <w:t xml:space="preserve"> has charged the </w:t>
      </w:r>
      <w:r w:rsidR="00053230" w:rsidRPr="00517B1D">
        <w:rPr>
          <w:rFonts w:ascii="Times New Roman" w:hAnsi="Times New Roman" w:cs="Times New Roman"/>
          <w:color w:val="595959" w:themeColor="text1" w:themeTint="A6"/>
        </w:rPr>
        <w:t xml:space="preserve">Investment Office with the </w:t>
      </w:r>
      <w:r w:rsidR="002F3944" w:rsidRPr="00517B1D">
        <w:rPr>
          <w:rFonts w:ascii="Times New Roman" w:hAnsi="Times New Roman" w:cs="Times New Roman"/>
          <w:color w:val="595959" w:themeColor="text1" w:themeTint="A6"/>
        </w:rPr>
        <w:t>day-to-</w:t>
      </w:r>
      <w:r w:rsidR="001D7C85" w:rsidRPr="00517B1D">
        <w:rPr>
          <w:rFonts w:ascii="Times New Roman" w:hAnsi="Times New Roman" w:cs="Times New Roman"/>
          <w:color w:val="595959" w:themeColor="text1" w:themeTint="A6"/>
        </w:rPr>
        <w:t xml:space="preserve">day </w:t>
      </w:r>
      <w:r w:rsidR="00DA1613">
        <w:rPr>
          <w:rFonts w:ascii="Times New Roman" w:hAnsi="Times New Roman" w:cs="Times New Roman"/>
          <w:color w:val="595959" w:themeColor="text1" w:themeTint="A6"/>
        </w:rPr>
        <w:t>management of the investment p</w:t>
      </w:r>
      <w:r w:rsidR="00053230" w:rsidRPr="00517B1D">
        <w:rPr>
          <w:rFonts w:ascii="Times New Roman" w:hAnsi="Times New Roman" w:cs="Times New Roman"/>
          <w:color w:val="595959" w:themeColor="text1" w:themeTint="A6"/>
        </w:rPr>
        <w:t>rogram</w:t>
      </w:r>
      <w:r w:rsidR="00296296" w:rsidRPr="00517B1D">
        <w:rPr>
          <w:rFonts w:ascii="Times New Roman" w:hAnsi="Times New Roman" w:cs="Times New Roman"/>
          <w:color w:val="595959" w:themeColor="text1" w:themeTint="A6"/>
        </w:rPr>
        <w:t xml:space="preserve">. </w:t>
      </w:r>
      <w:r w:rsidR="001D7C85" w:rsidRPr="00517B1D">
        <w:rPr>
          <w:rFonts w:ascii="Times New Roman" w:hAnsi="Times New Roman" w:cs="Times New Roman"/>
          <w:color w:val="595959" w:themeColor="text1" w:themeTint="A6"/>
        </w:rPr>
        <w:t xml:space="preserve"> It is important to note that the</w:t>
      </w:r>
      <w:r w:rsidR="00296296" w:rsidRPr="00517B1D">
        <w:rPr>
          <w:rFonts w:ascii="Times New Roman" w:hAnsi="Times New Roman" w:cs="Times New Roman"/>
          <w:color w:val="595959" w:themeColor="text1" w:themeTint="A6"/>
        </w:rPr>
        <w:t xml:space="preserve"> assets </w:t>
      </w:r>
      <w:r w:rsidR="00F940B8" w:rsidRPr="00517B1D">
        <w:rPr>
          <w:rFonts w:ascii="Times New Roman" w:hAnsi="Times New Roman" w:cs="Times New Roman"/>
          <w:color w:val="595959" w:themeColor="text1" w:themeTint="A6"/>
        </w:rPr>
        <w:t xml:space="preserve">managed by the </w:t>
      </w:r>
      <w:r w:rsidR="001D7C85" w:rsidRPr="00517B1D">
        <w:rPr>
          <w:rFonts w:ascii="Times New Roman" w:hAnsi="Times New Roman" w:cs="Times New Roman"/>
          <w:color w:val="595959" w:themeColor="text1" w:themeTint="A6"/>
        </w:rPr>
        <w:t xml:space="preserve">Office of Investments </w:t>
      </w:r>
      <w:r w:rsidR="00296296" w:rsidRPr="00517B1D">
        <w:rPr>
          <w:rFonts w:ascii="Times New Roman" w:hAnsi="Times New Roman" w:cs="Times New Roman"/>
          <w:color w:val="595959" w:themeColor="text1" w:themeTint="A6"/>
        </w:rPr>
        <w:t>are distinct</w:t>
      </w:r>
      <w:r w:rsidR="00296296" w:rsidRPr="00517B1D" w:rsidDel="00025E49">
        <w:rPr>
          <w:rFonts w:ascii="Times New Roman" w:hAnsi="Times New Roman" w:cs="Times New Roman"/>
          <w:color w:val="595959" w:themeColor="text1" w:themeTint="A6"/>
        </w:rPr>
        <w:t xml:space="preserve"> </w:t>
      </w:r>
      <w:r w:rsidR="00296296" w:rsidRPr="00517B1D">
        <w:rPr>
          <w:rFonts w:ascii="Times New Roman" w:hAnsi="Times New Roman" w:cs="Times New Roman"/>
          <w:color w:val="595959" w:themeColor="text1" w:themeTint="A6"/>
        </w:rPr>
        <w:t>from those managed by the University of Illinois Foundation</w:t>
      </w:r>
      <w:r w:rsidR="001D7C85" w:rsidRPr="00517B1D">
        <w:rPr>
          <w:rFonts w:ascii="Times New Roman" w:hAnsi="Times New Roman" w:cs="Times New Roman"/>
          <w:color w:val="595959" w:themeColor="text1" w:themeTint="A6"/>
        </w:rPr>
        <w:t xml:space="preserve"> (UIF)</w:t>
      </w:r>
      <w:r w:rsidR="00296296" w:rsidRPr="00517B1D">
        <w:rPr>
          <w:rFonts w:ascii="Times New Roman" w:hAnsi="Times New Roman" w:cs="Times New Roman"/>
          <w:color w:val="595959" w:themeColor="text1" w:themeTint="A6"/>
        </w:rPr>
        <w:t>.</w:t>
      </w:r>
      <w:r w:rsidR="0045240F">
        <w:rPr>
          <w:rFonts w:ascii="Times New Roman" w:hAnsi="Times New Roman" w:cs="Times New Roman"/>
          <w:color w:val="595959" w:themeColor="text1" w:themeTint="A6"/>
        </w:rPr>
        <w:t xml:space="preserve"> UIF is</w:t>
      </w:r>
      <w:r w:rsidR="001D7C85" w:rsidRPr="00517B1D">
        <w:rPr>
          <w:rFonts w:ascii="Times New Roman" w:hAnsi="Times New Roman" w:cs="Times New Roman"/>
          <w:color w:val="595959" w:themeColor="text1" w:themeTint="A6"/>
        </w:rPr>
        <w:t xml:space="preserve"> a university related organization with an independent board</w:t>
      </w:r>
      <w:r w:rsidR="0045240F">
        <w:rPr>
          <w:rFonts w:ascii="Times New Roman" w:hAnsi="Times New Roman" w:cs="Times New Roman"/>
          <w:color w:val="595959" w:themeColor="text1" w:themeTint="A6"/>
        </w:rPr>
        <w:t>.</w:t>
      </w:r>
      <w:r w:rsidR="00296296" w:rsidRPr="00517B1D">
        <w:rPr>
          <w:rFonts w:ascii="Times New Roman" w:hAnsi="Times New Roman" w:cs="Times New Roman"/>
          <w:color w:val="595959" w:themeColor="text1" w:themeTint="A6"/>
        </w:rPr>
        <w:t xml:space="preserve"> </w:t>
      </w:r>
      <w:r w:rsidR="00CE2B33">
        <w:rPr>
          <w:rFonts w:ascii="Times New Roman" w:hAnsi="Times New Roman" w:cs="Times New Roman"/>
          <w:b/>
          <w:sz w:val="24"/>
          <w:szCs w:val="24"/>
        </w:rPr>
        <w:br w:type="page"/>
      </w:r>
      <w:r w:rsidR="0096064C">
        <w:rPr>
          <w:rFonts w:ascii="Times New Roman" w:hAnsi="Times New Roman" w:cs="Times New Roman"/>
          <w:b/>
          <w:sz w:val="32"/>
          <w:szCs w:val="32"/>
        </w:rPr>
        <w:lastRenderedPageBreak/>
        <w:t>Financial</w:t>
      </w:r>
      <w:r w:rsidR="00925665">
        <w:rPr>
          <w:rFonts w:ascii="Times New Roman" w:hAnsi="Times New Roman" w:cs="Times New Roman"/>
          <w:b/>
          <w:sz w:val="32"/>
          <w:szCs w:val="32"/>
        </w:rPr>
        <w:t xml:space="preserve"> Asset Overview</w:t>
      </w:r>
    </w:p>
    <w:p w14:paraId="513EB056" w14:textId="47FE5AF2" w:rsidR="00925665" w:rsidRPr="00925665" w:rsidRDefault="00925665" w:rsidP="00925665">
      <w:pPr>
        <w:keepNext/>
        <w:framePr w:dropCap="drop" w:lines="2" w:wrap="around" w:vAnchor="text" w:hAnchor="text"/>
        <w:spacing w:after="0" w:line="595" w:lineRule="exact"/>
        <w:textAlignment w:val="baseline"/>
        <w:rPr>
          <w:rFonts w:ascii="Times New Roman" w:hAnsi="Times New Roman" w:cs="Times New Roman"/>
          <w:position w:val="-5"/>
          <w:sz w:val="73"/>
          <w:szCs w:val="24"/>
        </w:rPr>
      </w:pPr>
      <w:r w:rsidRPr="00925665">
        <w:rPr>
          <w:rFonts w:ascii="Times New Roman" w:hAnsi="Times New Roman" w:cs="Times New Roman"/>
          <w:position w:val="-5"/>
          <w:sz w:val="73"/>
          <w:szCs w:val="24"/>
        </w:rPr>
        <w:t>T</w:t>
      </w:r>
    </w:p>
    <w:p w14:paraId="0AA80FE0" w14:textId="3E628707" w:rsidR="003D18BC" w:rsidRPr="00917772" w:rsidRDefault="003D18BC">
      <w:pPr>
        <w:rPr>
          <w:rFonts w:ascii="Times New Roman" w:hAnsi="Times New Roman" w:cs="Times New Roman"/>
          <w:sz w:val="24"/>
          <w:szCs w:val="24"/>
        </w:rPr>
      </w:pPr>
      <w:r w:rsidRPr="00917772">
        <w:rPr>
          <w:rFonts w:ascii="Times New Roman" w:hAnsi="Times New Roman" w:cs="Times New Roman"/>
          <w:sz w:val="24"/>
          <w:szCs w:val="24"/>
        </w:rPr>
        <w:t xml:space="preserve">he Investment Office manages two </w:t>
      </w:r>
      <w:r w:rsidR="00D57636">
        <w:rPr>
          <w:rFonts w:ascii="Times New Roman" w:hAnsi="Times New Roman" w:cs="Times New Roman"/>
          <w:sz w:val="24"/>
          <w:szCs w:val="24"/>
        </w:rPr>
        <w:t>investment portfolios—the endowment pool and the operating pool.</w:t>
      </w:r>
      <w:r w:rsidR="002338DB" w:rsidRPr="00917772">
        <w:rPr>
          <w:rFonts w:ascii="Times New Roman" w:hAnsi="Times New Roman" w:cs="Times New Roman"/>
          <w:sz w:val="24"/>
          <w:szCs w:val="24"/>
        </w:rPr>
        <w:t xml:space="preserve"> </w:t>
      </w:r>
      <w:r w:rsidR="00FF64D0">
        <w:rPr>
          <w:rFonts w:ascii="Times New Roman" w:hAnsi="Times New Roman" w:cs="Times New Roman"/>
          <w:sz w:val="24"/>
          <w:szCs w:val="24"/>
        </w:rPr>
        <w:t>The permanent core</w:t>
      </w:r>
      <w:r w:rsidR="00FF64D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F64D0">
        <w:rPr>
          <w:rFonts w:ascii="Times New Roman" w:hAnsi="Times New Roman" w:cs="Times New Roman"/>
          <w:sz w:val="24"/>
          <w:szCs w:val="24"/>
        </w:rPr>
        <w:t xml:space="preserve">is an investment of operating pool funds </w:t>
      </w:r>
      <w:r w:rsidR="00D57636">
        <w:rPr>
          <w:rFonts w:ascii="Times New Roman" w:hAnsi="Times New Roman" w:cs="Times New Roman"/>
          <w:sz w:val="24"/>
          <w:szCs w:val="24"/>
        </w:rPr>
        <w:t xml:space="preserve">that, combined with the endowment funds, forms </w:t>
      </w:r>
      <w:r w:rsidR="00FF64D0">
        <w:rPr>
          <w:rFonts w:ascii="Times New Roman" w:hAnsi="Times New Roman" w:cs="Times New Roman"/>
          <w:sz w:val="24"/>
          <w:szCs w:val="24"/>
        </w:rPr>
        <w:t>the e</w:t>
      </w:r>
      <w:r w:rsidR="00FF64D0" w:rsidRPr="00917772">
        <w:rPr>
          <w:rFonts w:ascii="Times New Roman" w:hAnsi="Times New Roman" w:cs="Times New Roman"/>
          <w:sz w:val="24"/>
          <w:szCs w:val="24"/>
        </w:rPr>
        <w:t>nd</w:t>
      </w:r>
      <w:r w:rsidR="00FF64D0">
        <w:rPr>
          <w:rFonts w:ascii="Times New Roman" w:hAnsi="Times New Roman" w:cs="Times New Roman"/>
          <w:sz w:val="24"/>
          <w:szCs w:val="24"/>
        </w:rPr>
        <w:t xml:space="preserve">owment pool. </w:t>
      </w:r>
      <w:r w:rsidR="00D57636">
        <w:rPr>
          <w:rFonts w:ascii="Times New Roman" w:hAnsi="Times New Roman" w:cs="Times New Roman"/>
          <w:sz w:val="24"/>
          <w:szCs w:val="24"/>
        </w:rPr>
        <w:t xml:space="preserve">Endowment farms are managed by the Agricultural Property Services Office. </w:t>
      </w:r>
      <w:r w:rsidR="002338DB" w:rsidRPr="00917772">
        <w:rPr>
          <w:rFonts w:ascii="Times New Roman" w:hAnsi="Times New Roman" w:cs="Times New Roman"/>
          <w:sz w:val="24"/>
          <w:szCs w:val="24"/>
        </w:rPr>
        <w:t xml:space="preserve">The distribution of the </w:t>
      </w:r>
      <w:r w:rsidR="0025621B" w:rsidRPr="00917772">
        <w:rPr>
          <w:rFonts w:ascii="Times New Roman" w:hAnsi="Times New Roman" w:cs="Times New Roman"/>
          <w:sz w:val="24"/>
          <w:szCs w:val="24"/>
        </w:rPr>
        <w:t>collective</w:t>
      </w:r>
      <w:r w:rsidR="00F436FD" w:rsidRPr="00917772">
        <w:rPr>
          <w:rFonts w:ascii="Times New Roman" w:hAnsi="Times New Roman" w:cs="Times New Roman"/>
          <w:sz w:val="24"/>
          <w:szCs w:val="24"/>
        </w:rPr>
        <w:t xml:space="preserve"> pools</w:t>
      </w:r>
      <w:r w:rsidR="002338DB" w:rsidRPr="00917772">
        <w:rPr>
          <w:rFonts w:ascii="Times New Roman" w:hAnsi="Times New Roman" w:cs="Times New Roman"/>
          <w:sz w:val="24"/>
          <w:szCs w:val="24"/>
        </w:rPr>
        <w:t xml:space="preserve"> is displayed in Figure 1. </w:t>
      </w:r>
    </w:p>
    <w:p w14:paraId="4A163860" w14:textId="46EBA2F1" w:rsidR="0023756E" w:rsidRDefault="009F39D2" w:rsidP="00D816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F1F0683" wp14:editId="2AEE2256">
                <wp:simplePos x="0" y="0"/>
                <wp:positionH relativeFrom="column">
                  <wp:posOffset>624552</wp:posOffset>
                </wp:positionH>
                <wp:positionV relativeFrom="paragraph">
                  <wp:posOffset>233345</wp:posOffset>
                </wp:positionV>
                <wp:extent cx="5437398" cy="2639683"/>
                <wp:effectExtent l="0" t="0" r="11430" b="27940"/>
                <wp:wrapNone/>
                <wp:docPr id="22" name="Rectangle 22" descr="Figure 1&#10;&#10;Pie Chart for System Financial Asset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7398" cy="263968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2BA90E" id="Rectangle 22" o:spid="_x0000_s1026" alt="Figure 1&#10;&#10;Pie Chart for System Financial Assets" style="position:absolute;margin-left:49.2pt;margin-top:18.35pt;width:428.15pt;height:207.8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" filled="f" strokecolor="#d8d8d8 [2732]" strokeweight="1pt"/>
            </w:pict>
          </mc:Fallback>
        </mc:AlternateContent>
      </w:r>
      <w:r w:rsidR="00D816CE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D775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4D90" w:rsidRPr="00A25151">
        <w:rPr>
          <w:rFonts w:ascii="Times New Roman" w:hAnsi="Times New Roman" w:cs="Times New Roman"/>
          <w:b/>
          <w:sz w:val="24"/>
          <w:szCs w:val="24"/>
        </w:rPr>
        <w:t>Figure 1</w:t>
      </w:r>
      <w:r w:rsidR="002A7CF6" w:rsidRPr="0000367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494685C" w14:textId="046E2143" w:rsidR="00C97E2C" w:rsidRDefault="00A25151" w:rsidP="001F2C2D">
      <w:pPr>
        <w:ind w:left="1440"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5AC3F11" wp14:editId="53A42BEF">
                <wp:simplePos x="0" y="0"/>
                <wp:positionH relativeFrom="column">
                  <wp:posOffset>657860</wp:posOffset>
                </wp:positionH>
                <wp:positionV relativeFrom="paragraph">
                  <wp:posOffset>1094740</wp:posOffset>
                </wp:positionV>
                <wp:extent cx="1085850" cy="412750"/>
                <wp:effectExtent l="0" t="0" r="0" b="635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412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1EBB6F" w14:textId="5FF52A64" w:rsidR="009F39D2" w:rsidRPr="00A25151" w:rsidRDefault="009F39D2" w:rsidP="00A2515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2515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Endowment Pool</w:t>
                            </w:r>
                          </w:p>
                          <w:p w14:paraId="7E5AC6E1" w14:textId="063D3A1D" w:rsidR="00A25151" w:rsidRPr="00A25151" w:rsidRDefault="00A25151" w:rsidP="00A2515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2515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$1,120.5 Million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AC3F11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51.8pt;margin-top:86.2pt;width:85.5pt;height:32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" fillcolor="white [3201]" stroked="f" strokeweight=".5pt">
                <v:textbox>
                  <w:txbxContent>
                    <w:p w14:paraId="4D1EBB6F" w14:textId="5FF52A64" w:rsidR="009F39D2" w:rsidRPr="00A25151" w:rsidRDefault="009F39D2" w:rsidP="00A2515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2515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Endowment Pool</w:t>
                      </w:r>
                    </w:p>
                    <w:p w14:paraId="7E5AC6E1" w14:textId="063D3A1D" w:rsidR="00A25151" w:rsidRPr="00A25151" w:rsidRDefault="00A25151" w:rsidP="00A2515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2515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$1,120.5 Million</w:t>
                      </w:r>
                    </w:p>
                  </w:txbxContent>
                </v:textbox>
              </v:shape>
            </w:pict>
          </mc:Fallback>
        </mc:AlternateContent>
      </w:r>
      <w:r w:rsidR="003741D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C6942A5" wp14:editId="06923C1C">
                <wp:simplePos x="0" y="0"/>
                <wp:positionH relativeFrom="column">
                  <wp:posOffset>2051685</wp:posOffset>
                </wp:positionH>
                <wp:positionV relativeFrom="paragraph">
                  <wp:posOffset>878840</wp:posOffset>
                </wp:positionV>
                <wp:extent cx="161925" cy="781685"/>
                <wp:effectExtent l="0" t="0" r="28575" b="18415"/>
                <wp:wrapNone/>
                <wp:docPr id="1122260234" name="Left Bracket 1" descr="&quot;&quot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78168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BF78C21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Left Bracket 1" o:spid="_x0000_s1026" type="#_x0000_t85" alt="&quot;&quot;" style="position:absolute;margin-left:161.55pt;margin-top:69.2pt;width:12.75pt;height:61.5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" adj="373" strokecolor="black [3200]" strokeweight=".5pt">
                <v:stroke joinstyle="miter"/>
              </v:shape>
            </w:pict>
          </mc:Fallback>
        </mc:AlternateContent>
      </w:r>
      <w:r w:rsidR="003741D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BA632D8" wp14:editId="1D4C5077">
                <wp:simplePos x="0" y="0"/>
                <wp:positionH relativeFrom="column">
                  <wp:posOffset>1746250</wp:posOffset>
                </wp:positionH>
                <wp:positionV relativeFrom="paragraph">
                  <wp:posOffset>1250315</wp:posOffset>
                </wp:positionV>
                <wp:extent cx="305435" cy="0"/>
                <wp:effectExtent l="0" t="0" r="0" b="0"/>
                <wp:wrapNone/>
                <wp:docPr id="313410944" name="Straight Connector 2" descr="&quot;&quot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54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A8DF91" id="Straight Connector 2" o:spid="_x0000_s1026" alt="&quot;&quot;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7.5pt,98.45pt" to="161.55pt,9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1F2C2D" w:rsidRPr="0019753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0F036A5" wp14:editId="28024C86">
            <wp:extent cx="4083050" cy="2692400"/>
            <wp:effectExtent l="0" t="0" r="0" b="0"/>
            <wp:docPr id="7" name="Chart 7" descr="&quot;&quot;">
              <a:extLst xmlns:a="http://schemas.openxmlformats.org/drawingml/2006/main">
                <a:ext uri="{FF2B5EF4-FFF2-40B4-BE49-F238E27FC236}">
                  <a16:creationId xmlns:a16="http://schemas.microsoft.com/office/drawing/2014/main" id="{62391816-29A4-D75C-6B2C-6DE2726A0AD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E066EE2" w14:textId="77777777" w:rsidR="0096064C" w:rsidRDefault="0096064C">
      <w:pPr>
        <w:rPr>
          <w:rFonts w:ascii="Times New Roman" w:hAnsi="Times New Roman" w:cs="Times New Roman"/>
          <w:sz w:val="24"/>
          <w:szCs w:val="24"/>
        </w:rPr>
      </w:pPr>
    </w:p>
    <w:p w14:paraId="48130CF5" w14:textId="77777777" w:rsidR="00151527" w:rsidRDefault="00151527">
      <w:pPr>
        <w:rPr>
          <w:rFonts w:ascii="Times New Roman" w:hAnsi="Times New Roman" w:cs="Times New Roman"/>
          <w:sz w:val="24"/>
          <w:szCs w:val="24"/>
        </w:rPr>
      </w:pPr>
    </w:p>
    <w:p w14:paraId="74E88EE9" w14:textId="77777777" w:rsidR="00151527" w:rsidRDefault="00151527">
      <w:pPr>
        <w:rPr>
          <w:rFonts w:ascii="Times New Roman" w:hAnsi="Times New Roman" w:cs="Times New Roman"/>
          <w:sz w:val="24"/>
          <w:szCs w:val="24"/>
        </w:rPr>
      </w:pPr>
    </w:p>
    <w:p w14:paraId="041569B9" w14:textId="77777777" w:rsidR="00151527" w:rsidRDefault="00151527">
      <w:pPr>
        <w:rPr>
          <w:rFonts w:ascii="Times New Roman" w:hAnsi="Times New Roman" w:cs="Times New Roman"/>
          <w:sz w:val="24"/>
          <w:szCs w:val="24"/>
        </w:rPr>
      </w:pPr>
    </w:p>
    <w:p w14:paraId="539753B8" w14:textId="77777777" w:rsidR="00151527" w:rsidRDefault="00151527">
      <w:pPr>
        <w:rPr>
          <w:rFonts w:ascii="Times New Roman" w:hAnsi="Times New Roman" w:cs="Times New Roman"/>
          <w:sz w:val="24"/>
          <w:szCs w:val="24"/>
        </w:rPr>
      </w:pPr>
    </w:p>
    <w:p w14:paraId="4145C31D" w14:textId="77777777" w:rsidR="00151527" w:rsidRDefault="00151527">
      <w:pPr>
        <w:rPr>
          <w:rFonts w:ascii="Times New Roman" w:hAnsi="Times New Roman" w:cs="Times New Roman"/>
          <w:sz w:val="24"/>
          <w:szCs w:val="24"/>
        </w:rPr>
      </w:pPr>
    </w:p>
    <w:p w14:paraId="3DF05D9D" w14:textId="77777777" w:rsidR="00151527" w:rsidRDefault="00151527">
      <w:pPr>
        <w:rPr>
          <w:rFonts w:ascii="Times New Roman" w:hAnsi="Times New Roman" w:cs="Times New Roman"/>
          <w:sz w:val="24"/>
          <w:szCs w:val="24"/>
        </w:rPr>
      </w:pPr>
    </w:p>
    <w:p w14:paraId="55CB1646" w14:textId="77777777" w:rsidR="00151527" w:rsidRDefault="00151527">
      <w:pPr>
        <w:rPr>
          <w:rFonts w:ascii="Times New Roman" w:hAnsi="Times New Roman" w:cs="Times New Roman"/>
          <w:sz w:val="24"/>
          <w:szCs w:val="24"/>
        </w:rPr>
      </w:pPr>
    </w:p>
    <w:p w14:paraId="1E0E96AC" w14:textId="77777777" w:rsidR="00151527" w:rsidRDefault="00151527">
      <w:pPr>
        <w:rPr>
          <w:rFonts w:ascii="Times New Roman" w:hAnsi="Times New Roman" w:cs="Times New Roman"/>
          <w:sz w:val="24"/>
          <w:szCs w:val="24"/>
        </w:rPr>
      </w:pPr>
    </w:p>
    <w:p w14:paraId="7A8C3969" w14:textId="77777777" w:rsidR="00151527" w:rsidRDefault="00151527">
      <w:pPr>
        <w:rPr>
          <w:rFonts w:ascii="Times New Roman" w:hAnsi="Times New Roman" w:cs="Times New Roman"/>
          <w:sz w:val="24"/>
          <w:szCs w:val="24"/>
        </w:rPr>
      </w:pPr>
    </w:p>
    <w:p w14:paraId="7B500FB7" w14:textId="77777777" w:rsidR="00151527" w:rsidRDefault="00151527">
      <w:pPr>
        <w:rPr>
          <w:rFonts w:ascii="Times New Roman" w:hAnsi="Times New Roman" w:cs="Times New Roman"/>
          <w:sz w:val="24"/>
          <w:szCs w:val="24"/>
        </w:rPr>
      </w:pPr>
    </w:p>
    <w:p w14:paraId="1887BA68" w14:textId="77777777" w:rsidR="00151527" w:rsidRDefault="00151527">
      <w:pPr>
        <w:rPr>
          <w:rFonts w:ascii="Times New Roman" w:hAnsi="Times New Roman" w:cs="Times New Roman"/>
          <w:sz w:val="24"/>
          <w:szCs w:val="24"/>
        </w:rPr>
      </w:pPr>
    </w:p>
    <w:p w14:paraId="03FCD212" w14:textId="2A06F350" w:rsidR="002867BA" w:rsidRPr="00917772" w:rsidRDefault="002867BA">
      <w:pPr>
        <w:rPr>
          <w:rFonts w:ascii="Times New Roman" w:hAnsi="Times New Roman" w:cs="Times New Roman"/>
          <w:sz w:val="24"/>
          <w:szCs w:val="24"/>
        </w:rPr>
      </w:pPr>
    </w:p>
    <w:p w14:paraId="691BB49C" w14:textId="77777777" w:rsidR="00925665" w:rsidRDefault="00925665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14:paraId="756DA604" w14:textId="4899994D" w:rsidR="002867BA" w:rsidRPr="00925665" w:rsidRDefault="002867BA" w:rsidP="0092566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5665">
        <w:rPr>
          <w:rFonts w:ascii="Times New Roman" w:hAnsi="Times New Roman" w:cs="Times New Roman"/>
          <w:b/>
          <w:sz w:val="32"/>
          <w:szCs w:val="32"/>
        </w:rPr>
        <w:lastRenderedPageBreak/>
        <w:t>Endowment</w:t>
      </w:r>
      <w:r w:rsidR="00D57636">
        <w:rPr>
          <w:rFonts w:ascii="Times New Roman" w:hAnsi="Times New Roman" w:cs="Times New Roman"/>
          <w:b/>
          <w:sz w:val="32"/>
          <w:szCs w:val="32"/>
        </w:rPr>
        <w:t xml:space="preserve"> Pool</w:t>
      </w:r>
    </w:p>
    <w:p w14:paraId="333FDA9A" w14:textId="414E3D38" w:rsidR="00925665" w:rsidRPr="00925665" w:rsidRDefault="00925665" w:rsidP="00925665">
      <w:pPr>
        <w:keepNext/>
        <w:framePr w:dropCap="drop" w:lines="2" w:wrap="around" w:vAnchor="text" w:hAnchor="text"/>
        <w:spacing w:after="0" w:line="595" w:lineRule="exact"/>
        <w:textAlignment w:val="baseline"/>
        <w:rPr>
          <w:rFonts w:ascii="Times New Roman" w:hAnsi="Times New Roman" w:cs="Times New Roman"/>
          <w:position w:val="-5"/>
          <w:sz w:val="73"/>
          <w:szCs w:val="24"/>
        </w:rPr>
      </w:pPr>
      <w:r w:rsidRPr="00925665">
        <w:rPr>
          <w:rFonts w:ascii="Times New Roman" w:hAnsi="Times New Roman" w:cs="Times New Roman"/>
          <w:position w:val="-5"/>
          <w:sz w:val="73"/>
          <w:szCs w:val="24"/>
        </w:rPr>
        <w:t>T</w:t>
      </w:r>
    </w:p>
    <w:p w14:paraId="2C6AF30B" w14:textId="39F345FD" w:rsidR="00861B0F" w:rsidRPr="00925665" w:rsidRDefault="00563D3D" w:rsidP="00925665">
      <w:pPr>
        <w:rPr>
          <w:rFonts w:ascii="Times New Roman" w:hAnsi="Times New Roman" w:cs="Times New Roman"/>
          <w:sz w:val="24"/>
          <w:szCs w:val="24"/>
        </w:rPr>
      </w:pPr>
      <w:r w:rsidRPr="00917772">
        <w:rPr>
          <w:rFonts w:ascii="Times New Roman" w:hAnsi="Times New Roman" w:cs="Times New Roman"/>
          <w:sz w:val="24"/>
          <w:szCs w:val="24"/>
        </w:rPr>
        <w:t xml:space="preserve">he </w:t>
      </w:r>
      <w:r w:rsidRPr="00917772">
        <w:rPr>
          <w:rFonts w:ascii="Times New Roman" w:hAnsi="Times New Roman" w:cs="Times New Roman"/>
          <w:i/>
          <w:sz w:val="24"/>
          <w:szCs w:val="24"/>
        </w:rPr>
        <w:t xml:space="preserve">Endowment </w:t>
      </w:r>
      <w:r w:rsidR="00D57636">
        <w:rPr>
          <w:rFonts w:ascii="Times New Roman" w:hAnsi="Times New Roman" w:cs="Times New Roman"/>
          <w:i/>
          <w:sz w:val="24"/>
          <w:szCs w:val="24"/>
        </w:rPr>
        <w:t>Pool</w:t>
      </w:r>
      <w:r w:rsidRPr="009177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114AA" w:rsidRPr="00917772">
        <w:rPr>
          <w:rFonts w:ascii="Times New Roman" w:hAnsi="Times New Roman" w:cs="Times New Roman"/>
          <w:sz w:val="24"/>
          <w:szCs w:val="24"/>
        </w:rPr>
        <w:t>(</w:t>
      </w:r>
      <w:r w:rsidR="003114AA" w:rsidRPr="00A25151">
        <w:rPr>
          <w:rFonts w:ascii="Times New Roman" w:hAnsi="Times New Roman" w:cs="Times New Roman"/>
          <w:sz w:val="24"/>
          <w:szCs w:val="24"/>
        </w:rPr>
        <w:t>market value</w:t>
      </w:r>
      <w:r w:rsidR="00DD3F6E" w:rsidRPr="00A25151">
        <w:rPr>
          <w:rFonts w:ascii="Times New Roman" w:hAnsi="Times New Roman" w:cs="Times New Roman"/>
          <w:sz w:val="24"/>
          <w:szCs w:val="24"/>
        </w:rPr>
        <w:t xml:space="preserve"> </w:t>
      </w:r>
      <w:r w:rsidR="003114AA" w:rsidRPr="00A25151">
        <w:rPr>
          <w:rFonts w:ascii="Times New Roman" w:hAnsi="Times New Roman" w:cs="Times New Roman"/>
          <w:sz w:val="24"/>
          <w:szCs w:val="24"/>
        </w:rPr>
        <w:t>$</w:t>
      </w:r>
      <w:r w:rsidR="001A391A" w:rsidRPr="00A25151">
        <w:rPr>
          <w:rFonts w:ascii="Times New Roman" w:hAnsi="Times New Roman" w:cs="Times New Roman"/>
          <w:sz w:val="24"/>
          <w:szCs w:val="24"/>
        </w:rPr>
        <w:t>1.</w:t>
      </w:r>
      <w:r w:rsidR="00A25151" w:rsidRPr="00A25151">
        <w:rPr>
          <w:rFonts w:ascii="Times New Roman" w:hAnsi="Times New Roman" w:cs="Times New Roman"/>
          <w:sz w:val="24"/>
          <w:szCs w:val="24"/>
        </w:rPr>
        <w:t>12</w:t>
      </w:r>
      <w:r w:rsidR="001A391A" w:rsidRPr="00A25151">
        <w:rPr>
          <w:rFonts w:ascii="Times New Roman" w:hAnsi="Times New Roman" w:cs="Times New Roman"/>
          <w:sz w:val="24"/>
          <w:szCs w:val="24"/>
        </w:rPr>
        <w:t xml:space="preserve"> b</w:t>
      </w:r>
      <w:r w:rsidR="00195648" w:rsidRPr="00A25151">
        <w:rPr>
          <w:rFonts w:ascii="Times New Roman" w:hAnsi="Times New Roman" w:cs="Times New Roman"/>
          <w:sz w:val="24"/>
          <w:szCs w:val="24"/>
        </w:rPr>
        <w:t>illion</w:t>
      </w:r>
      <w:r w:rsidR="003114AA" w:rsidRPr="002C48FC">
        <w:rPr>
          <w:rFonts w:ascii="Times New Roman" w:hAnsi="Times New Roman" w:cs="Times New Roman"/>
          <w:sz w:val="24"/>
          <w:szCs w:val="24"/>
        </w:rPr>
        <w:t>)</w:t>
      </w:r>
      <w:r w:rsidR="003114AA" w:rsidRPr="00917772">
        <w:rPr>
          <w:rFonts w:ascii="Times New Roman" w:hAnsi="Times New Roman" w:cs="Times New Roman"/>
          <w:sz w:val="24"/>
          <w:szCs w:val="24"/>
        </w:rPr>
        <w:t xml:space="preserve"> </w:t>
      </w:r>
      <w:r w:rsidR="00BE6010">
        <w:rPr>
          <w:rFonts w:ascii="Times New Roman" w:hAnsi="Times New Roman" w:cs="Times New Roman"/>
          <w:sz w:val="24"/>
          <w:szCs w:val="24"/>
        </w:rPr>
        <w:t>consist</w:t>
      </w:r>
      <w:r w:rsidR="00633081">
        <w:rPr>
          <w:rFonts w:ascii="Times New Roman" w:hAnsi="Times New Roman" w:cs="Times New Roman"/>
          <w:sz w:val="24"/>
          <w:szCs w:val="24"/>
        </w:rPr>
        <w:t>s</w:t>
      </w:r>
      <w:r w:rsidR="001F3283" w:rsidRPr="00917772">
        <w:rPr>
          <w:rFonts w:ascii="Times New Roman" w:hAnsi="Times New Roman" w:cs="Times New Roman"/>
          <w:sz w:val="24"/>
          <w:szCs w:val="24"/>
        </w:rPr>
        <w:t xml:space="preserve"> of two </w:t>
      </w:r>
      <w:r w:rsidR="006E7811">
        <w:rPr>
          <w:rFonts w:ascii="Times New Roman" w:hAnsi="Times New Roman" w:cs="Times New Roman"/>
          <w:sz w:val="24"/>
          <w:szCs w:val="24"/>
        </w:rPr>
        <w:t>categories</w:t>
      </w:r>
      <w:r w:rsidR="001F3283" w:rsidRPr="00917772">
        <w:rPr>
          <w:rFonts w:ascii="Times New Roman" w:hAnsi="Times New Roman" w:cs="Times New Roman"/>
          <w:sz w:val="24"/>
          <w:szCs w:val="24"/>
        </w:rPr>
        <w:t xml:space="preserve"> of funding</w:t>
      </w:r>
      <w:r w:rsidR="00B16B0D" w:rsidRPr="00917772">
        <w:rPr>
          <w:rFonts w:ascii="Times New Roman" w:hAnsi="Times New Roman" w:cs="Times New Roman"/>
          <w:sz w:val="24"/>
          <w:szCs w:val="24"/>
        </w:rPr>
        <w:t xml:space="preserve">. </w:t>
      </w:r>
      <w:r w:rsidR="00B16B0D" w:rsidRPr="00C076CF">
        <w:rPr>
          <w:rFonts w:ascii="Times New Roman" w:hAnsi="Times New Roman" w:cs="Times New Roman"/>
          <w:sz w:val="24"/>
          <w:szCs w:val="24"/>
        </w:rPr>
        <w:t>The first source</w:t>
      </w:r>
      <w:r w:rsidR="00C23A83" w:rsidRPr="00C076CF">
        <w:rPr>
          <w:rFonts w:ascii="Times New Roman" w:hAnsi="Times New Roman" w:cs="Times New Roman"/>
          <w:sz w:val="24"/>
          <w:szCs w:val="24"/>
        </w:rPr>
        <w:t xml:space="preserve"> is </w:t>
      </w:r>
      <w:r w:rsidR="006C5331" w:rsidRPr="006C5331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="00B12FE2" w:rsidRPr="006C5331">
        <w:rPr>
          <w:rFonts w:ascii="Times New Roman" w:hAnsi="Times New Roman" w:cs="Times New Roman"/>
          <w:i/>
          <w:iCs/>
          <w:sz w:val="24"/>
          <w:szCs w:val="24"/>
        </w:rPr>
        <w:t xml:space="preserve">ndowment </w:t>
      </w:r>
      <w:r w:rsidR="006C5331" w:rsidRPr="006C5331">
        <w:rPr>
          <w:rFonts w:ascii="Times New Roman" w:hAnsi="Times New Roman" w:cs="Times New Roman"/>
          <w:i/>
          <w:iCs/>
          <w:sz w:val="24"/>
          <w:szCs w:val="24"/>
        </w:rPr>
        <w:t>F</w:t>
      </w:r>
      <w:r w:rsidR="00B12FE2" w:rsidRPr="006C5331">
        <w:rPr>
          <w:rFonts w:ascii="Times New Roman" w:hAnsi="Times New Roman" w:cs="Times New Roman"/>
          <w:i/>
          <w:iCs/>
          <w:sz w:val="24"/>
          <w:szCs w:val="24"/>
        </w:rPr>
        <w:t>unds</w:t>
      </w:r>
      <w:r w:rsidR="00B12FE2" w:rsidRPr="00C076CF">
        <w:rPr>
          <w:rFonts w:ascii="Times New Roman" w:hAnsi="Times New Roman" w:cs="Times New Roman"/>
          <w:sz w:val="24"/>
          <w:szCs w:val="24"/>
        </w:rPr>
        <w:t xml:space="preserve">, defined as </w:t>
      </w:r>
      <w:r w:rsidR="00501248" w:rsidRPr="00C076CF">
        <w:rPr>
          <w:rFonts w:ascii="Times New Roman" w:hAnsi="Times New Roman" w:cs="Times New Roman"/>
          <w:sz w:val="24"/>
          <w:szCs w:val="24"/>
        </w:rPr>
        <w:t>financial assets of</w:t>
      </w:r>
      <w:r w:rsidR="00C23A83" w:rsidRPr="00C076CF">
        <w:rPr>
          <w:rFonts w:ascii="Times New Roman" w:hAnsi="Times New Roman" w:cs="Times New Roman"/>
          <w:sz w:val="24"/>
          <w:szCs w:val="24"/>
        </w:rPr>
        <w:t xml:space="preserve"> the </w:t>
      </w:r>
      <w:r w:rsidR="004C414F" w:rsidRPr="00C076CF">
        <w:rPr>
          <w:rFonts w:ascii="Times New Roman" w:hAnsi="Times New Roman" w:cs="Times New Roman"/>
          <w:sz w:val="24"/>
          <w:szCs w:val="24"/>
        </w:rPr>
        <w:t xml:space="preserve">University </w:t>
      </w:r>
      <w:r w:rsidR="00C23A83" w:rsidRPr="00C076CF">
        <w:rPr>
          <w:rFonts w:ascii="Times New Roman" w:hAnsi="Times New Roman" w:cs="Times New Roman"/>
          <w:sz w:val="24"/>
          <w:szCs w:val="24"/>
        </w:rPr>
        <w:t>System</w:t>
      </w:r>
      <w:r w:rsidR="00C076CF" w:rsidRPr="00C076CF">
        <w:rPr>
          <w:rFonts w:ascii="Times New Roman" w:hAnsi="Times New Roman" w:cs="Times New Roman"/>
          <w:sz w:val="24"/>
          <w:szCs w:val="24"/>
        </w:rPr>
        <w:t xml:space="preserve"> that have been deemed appropriate for long-term investment</w:t>
      </w:r>
      <w:r w:rsidR="00C23A83" w:rsidRPr="00C076CF">
        <w:rPr>
          <w:rFonts w:ascii="Times New Roman" w:hAnsi="Times New Roman" w:cs="Times New Roman"/>
          <w:sz w:val="24"/>
          <w:szCs w:val="24"/>
        </w:rPr>
        <w:t xml:space="preserve">. </w:t>
      </w:r>
      <w:r w:rsidR="00C076CF">
        <w:rPr>
          <w:rFonts w:ascii="Times New Roman" w:hAnsi="Times New Roman" w:cs="Times New Roman"/>
          <w:sz w:val="24"/>
          <w:szCs w:val="24"/>
        </w:rPr>
        <w:t xml:space="preserve">Endowment </w:t>
      </w:r>
      <w:r w:rsidR="00C076CF" w:rsidRPr="00133710">
        <w:rPr>
          <w:rFonts w:ascii="Times New Roman" w:hAnsi="Times New Roman" w:cs="Times New Roman"/>
          <w:sz w:val="24"/>
          <w:szCs w:val="24"/>
        </w:rPr>
        <w:t>funds comprise 4</w:t>
      </w:r>
      <w:r w:rsidR="00D663EA" w:rsidRPr="00133710">
        <w:rPr>
          <w:rFonts w:ascii="Times New Roman" w:hAnsi="Times New Roman" w:cs="Times New Roman"/>
          <w:sz w:val="24"/>
          <w:szCs w:val="24"/>
        </w:rPr>
        <w:t>6</w:t>
      </w:r>
      <w:r w:rsidR="00C076CF" w:rsidRPr="00133710">
        <w:rPr>
          <w:rFonts w:ascii="Times New Roman" w:hAnsi="Times New Roman" w:cs="Times New Roman"/>
          <w:sz w:val="24"/>
          <w:szCs w:val="24"/>
        </w:rPr>
        <w:t xml:space="preserve">% of the endowment pool. </w:t>
      </w:r>
      <w:r w:rsidR="008E2796" w:rsidRPr="00133710">
        <w:rPr>
          <w:rFonts w:ascii="Times New Roman" w:hAnsi="Times New Roman" w:cs="Times New Roman"/>
          <w:sz w:val="24"/>
          <w:szCs w:val="24"/>
        </w:rPr>
        <w:t xml:space="preserve">The second </w:t>
      </w:r>
      <w:r w:rsidR="00DA1613" w:rsidRPr="00133710">
        <w:rPr>
          <w:rFonts w:ascii="Times New Roman" w:hAnsi="Times New Roman" w:cs="Times New Roman"/>
          <w:sz w:val="24"/>
          <w:szCs w:val="24"/>
        </w:rPr>
        <w:t>source of funding consists of operating p</w:t>
      </w:r>
      <w:r w:rsidR="008E2796" w:rsidRPr="00133710">
        <w:rPr>
          <w:rFonts w:ascii="Times New Roman" w:hAnsi="Times New Roman" w:cs="Times New Roman"/>
          <w:sz w:val="24"/>
          <w:szCs w:val="24"/>
        </w:rPr>
        <w:t>ool funds that are</w:t>
      </w:r>
      <w:r w:rsidR="00DA1613" w:rsidRPr="00133710">
        <w:rPr>
          <w:rFonts w:ascii="Times New Roman" w:hAnsi="Times New Roman" w:cs="Times New Roman"/>
          <w:sz w:val="24"/>
          <w:szCs w:val="24"/>
        </w:rPr>
        <w:t xml:space="preserve"> managed as part of the e</w:t>
      </w:r>
      <w:r w:rsidR="00D77366" w:rsidRPr="00133710">
        <w:rPr>
          <w:rFonts w:ascii="Times New Roman" w:hAnsi="Times New Roman" w:cs="Times New Roman"/>
          <w:sz w:val="24"/>
          <w:szCs w:val="24"/>
        </w:rPr>
        <w:t>nd</w:t>
      </w:r>
      <w:r w:rsidR="00DA1613" w:rsidRPr="00133710">
        <w:rPr>
          <w:rFonts w:ascii="Times New Roman" w:hAnsi="Times New Roman" w:cs="Times New Roman"/>
          <w:sz w:val="24"/>
          <w:szCs w:val="24"/>
        </w:rPr>
        <w:t>owment p</w:t>
      </w:r>
      <w:r w:rsidR="00BF5824" w:rsidRPr="00133710">
        <w:rPr>
          <w:rFonts w:ascii="Times New Roman" w:hAnsi="Times New Roman" w:cs="Times New Roman"/>
          <w:sz w:val="24"/>
          <w:szCs w:val="24"/>
        </w:rPr>
        <w:t>ool</w:t>
      </w:r>
      <w:r w:rsidR="000D4FA3" w:rsidRPr="00133710">
        <w:rPr>
          <w:rFonts w:ascii="Times New Roman" w:hAnsi="Times New Roman" w:cs="Times New Roman"/>
          <w:sz w:val="24"/>
          <w:szCs w:val="24"/>
        </w:rPr>
        <w:t xml:space="preserve">—the </w:t>
      </w:r>
      <w:r w:rsidR="000D4FA3" w:rsidRPr="00133710">
        <w:rPr>
          <w:rFonts w:ascii="Times New Roman" w:hAnsi="Times New Roman" w:cs="Times New Roman"/>
          <w:i/>
          <w:sz w:val="24"/>
          <w:szCs w:val="24"/>
        </w:rPr>
        <w:t>Permanent Core</w:t>
      </w:r>
      <w:r w:rsidR="00BF5824" w:rsidRPr="00133710">
        <w:rPr>
          <w:rFonts w:ascii="Times New Roman" w:hAnsi="Times New Roman" w:cs="Times New Roman"/>
          <w:sz w:val="24"/>
          <w:szCs w:val="24"/>
        </w:rPr>
        <w:t xml:space="preserve">. This comprises </w:t>
      </w:r>
      <w:r w:rsidR="00C076CF" w:rsidRPr="00133710">
        <w:rPr>
          <w:rFonts w:ascii="Times New Roman" w:hAnsi="Times New Roman" w:cs="Times New Roman"/>
          <w:sz w:val="24"/>
          <w:szCs w:val="24"/>
        </w:rPr>
        <w:t>5</w:t>
      </w:r>
      <w:r w:rsidR="00D663EA" w:rsidRPr="00133710">
        <w:rPr>
          <w:rFonts w:ascii="Times New Roman" w:hAnsi="Times New Roman" w:cs="Times New Roman"/>
          <w:sz w:val="24"/>
          <w:szCs w:val="24"/>
        </w:rPr>
        <w:t>4</w:t>
      </w:r>
      <w:r w:rsidR="00525B92" w:rsidRPr="00133710">
        <w:rPr>
          <w:rFonts w:ascii="Times New Roman" w:hAnsi="Times New Roman" w:cs="Times New Roman"/>
          <w:sz w:val="24"/>
          <w:szCs w:val="24"/>
        </w:rPr>
        <w:t>% of</w:t>
      </w:r>
      <w:r w:rsidR="00DA1613" w:rsidRPr="00133710">
        <w:rPr>
          <w:rFonts w:ascii="Times New Roman" w:hAnsi="Times New Roman" w:cs="Times New Roman"/>
          <w:sz w:val="24"/>
          <w:szCs w:val="24"/>
        </w:rPr>
        <w:t xml:space="preserve"> the endowment</w:t>
      </w:r>
      <w:r w:rsidR="00DA1613" w:rsidRPr="00633081">
        <w:rPr>
          <w:rFonts w:ascii="Times New Roman" w:hAnsi="Times New Roman" w:cs="Times New Roman"/>
          <w:sz w:val="24"/>
          <w:szCs w:val="24"/>
        </w:rPr>
        <w:t xml:space="preserve"> </w:t>
      </w:r>
      <w:r w:rsidR="00633081" w:rsidRPr="00633081">
        <w:rPr>
          <w:rFonts w:ascii="Times New Roman" w:hAnsi="Times New Roman" w:cs="Times New Roman"/>
          <w:sz w:val="24"/>
          <w:szCs w:val="24"/>
        </w:rPr>
        <w:t>pool</w:t>
      </w:r>
      <w:r w:rsidR="00D77366" w:rsidRPr="00633081">
        <w:rPr>
          <w:rFonts w:ascii="Times New Roman" w:hAnsi="Times New Roman" w:cs="Times New Roman"/>
          <w:sz w:val="24"/>
          <w:szCs w:val="24"/>
        </w:rPr>
        <w:t xml:space="preserve">.  </w:t>
      </w:r>
      <w:r w:rsidR="006E7811">
        <w:rPr>
          <w:rFonts w:ascii="Times New Roman" w:hAnsi="Times New Roman" w:cs="Times New Roman"/>
          <w:sz w:val="24"/>
          <w:szCs w:val="24"/>
        </w:rPr>
        <w:t>The</w:t>
      </w:r>
      <w:r w:rsidR="00DE6D4C">
        <w:rPr>
          <w:rFonts w:ascii="Times New Roman" w:hAnsi="Times New Roman" w:cs="Times New Roman"/>
          <w:sz w:val="24"/>
          <w:szCs w:val="24"/>
        </w:rPr>
        <w:t xml:space="preserve"> </w:t>
      </w:r>
      <w:r w:rsidR="006E7811">
        <w:rPr>
          <w:rFonts w:ascii="Times New Roman" w:hAnsi="Times New Roman" w:cs="Times New Roman"/>
          <w:sz w:val="24"/>
          <w:szCs w:val="24"/>
        </w:rPr>
        <w:t>composition of the</w:t>
      </w:r>
      <w:r w:rsidR="00DE6D4C">
        <w:rPr>
          <w:rFonts w:ascii="Times New Roman" w:hAnsi="Times New Roman" w:cs="Times New Roman"/>
          <w:sz w:val="24"/>
          <w:szCs w:val="24"/>
        </w:rPr>
        <w:t xml:space="preserve"> funding </w:t>
      </w:r>
      <w:r w:rsidR="006E7811">
        <w:rPr>
          <w:rFonts w:ascii="Times New Roman" w:hAnsi="Times New Roman" w:cs="Times New Roman"/>
          <w:sz w:val="24"/>
          <w:szCs w:val="24"/>
        </w:rPr>
        <w:t>sources is</w:t>
      </w:r>
      <w:r w:rsidR="00DE6D4C">
        <w:rPr>
          <w:rFonts w:ascii="Times New Roman" w:hAnsi="Times New Roman" w:cs="Times New Roman"/>
          <w:sz w:val="24"/>
          <w:szCs w:val="24"/>
        </w:rPr>
        <w:t xml:space="preserve"> summarized in Figure 2. </w:t>
      </w:r>
    </w:p>
    <w:p w14:paraId="717F0141" w14:textId="1D84BBC8" w:rsidR="00E84D90" w:rsidRDefault="00E84D90" w:rsidP="00E1022B">
      <w:pPr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 w:rsidRPr="006D7A90">
        <w:rPr>
          <w:rFonts w:ascii="Times New Roman" w:hAnsi="Times New Roman" w:cs="Times New Roman"/>
          <w:b/>
          <w:sz w:val="24"/>
          <w:szCs w:val="24"/>
        </w:rPr>
        <w:t>Figure 2</w:t>
      </w:r>
    </w:p>
    <w:p w14:paraId="430BA05C" w14:textId="49165C10" w:rsidR="00A40689" w:rsidRDefault="004A1959" w:rsidP="00E1022B">
      <w:pPr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79D6B491" wp14:editId="2829EF71">
            <wp:extent cx="5000625" cy="2743200"/>
            <wp:effectExtent l="0" t="0" r="9525" b="0"/>
            <wp:docPr id="2017341234" name="Chart 1" descr="Figure 2&#10;&#10;Pie Chart for Endowment Pool Sources of Funding">
              <a:extLst xmlns:a="http://schemas.openxmlformats.org/drawingml/2006/main">
                <a:ext uri="{FF2B5EF4-FFF2-40B4-BE49-F238E27FC236}">
                  <a16:creationId xmlns:a16="http://schemas.microsoft.com/office/drawing/2014/main" id="{1C2CBFDB-0D5D-8952-BFE4-C29A7B82981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3486724D" w14:textId="6B09B70D" w:rsidR="00917772" w:rsidRDefault="00917772" w:rsidP="00E1022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07A0348" w14:textId="77777777" w:rsidR="00785C28" w:rsidRDefault="00785C2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4DE564A5" w14:textId="4429BE65" w:rsidR="00657EB2" w:rsidRPr="00B84039" w:rsidRDefault="00657EB2" w:rsidP="00657EB2">
      <w:pPr>
        <w:rPr>
          <w:rFonts w:ascii="Times New Roman" w:hAnsi="Times New Roman" w:cs="Times New Roman"/>
          <w:b/>
          <w:sz w:val="28"/>
          <w:szCs w:val="28"/>
        </w:rPr>
      </w:pPr>
      <w:r w:rsidRPr="00B84039">
        <w:rPr>
          <w:rFonts w:ascii="Times New Roman" w:hAnsi="Times New Roman" w:cs="Times New Roman"/>
          <w:b/>
          <w:sz w:val="28"/>
          <w:szCs w:val="28"/>
        </w:rPr>
        <w:lastRenderedPageBreak/>
        <w:t>Asset Allocation</w:t>
      </w:r>
    </w:p>
    <w:p w14:paraId="7452F3FE" w14:textId="503EA37B" w:rsidR="00657EB2" w:rsidRDefault="00657EB2" w:rsidP="00657E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917772">
        <w:rPr>
          <w:rFonts w:ascii="Times New Roman" w:hAnsi="Times New Roman" w:cs="Times New Roman"/>
          <w:sz w:val="24"/>
          <w:szCs w:val="24"/>
        </w:rPr>
        <w:t xml:space="preserve">he </w:t>
      </w:r>
      <w:r w:rsidR="00DA1613">
        <w:rPr>
          <w:rFonts w:ascii="Times New Roman" w:hAnsi="Times New Roman" w:cs="Times New Roman"/>
          <w:sz w:val="24"/>
          <w:szCs w:val="24"/>
        </w:rPr>
        <w:t>endowment pool</w:t>
      </w:r>
      <w:r w:rsidRPr="009177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17772">
        <w:rPr>
          <w:rFonts w:ascii="Times New Roman" w:hAnsi="Times New Roman" w:cs="Times New Roman"/>
          <w:sz w:val="24"/>
          <w:szCs w:val="24"/>
        </w:rPr>
        <w:t xml:space="preserve">is invested </w:t>
      </w:r>
      <w:r w:rsidR="00087735">
        <w:rPr>
          <w:rFonts w:ascii="Times New Roman" w:hAnsi="Times New Roman" w:cs="Times New Roman"/>
          <w:sz w:val="24"/>
          <w:szCs w:val="24"/>
        </w:rPr>
        <w:t>across</w:t>
      </w:r>
      <w:r w:rsidRPr="00917772">
        <w:rPr>
          <w:rFonts w:ascii="Times New Roman" w:hAnsi="Times New Roman" w:cs="Times New Roman"/>
          <w:sz w:val="24"/>
          <w:szCs w:val="24"/>
        </w:rPr>
        <w:t xml:space="preserve"> a variety of asset cla</w:t>
      </w:r>
      <w:r w:rsidR="00C16351">
        <w:rPr>
          <w:rFonts w:ascii="Times New Roman" w:hAnsi="Times New Roman" w:cs="Times New Roman"/>
          <w:sz w:val="24"/>
          <w:szCs w:val="24"/>
        </w:rPr>
        <w:t>sses in accordance with</w:t>
      </w:r>
      <w:r w:rsidR="00087735">
        <w:rPr>
          <w:rFonts w:ascii="Times New Roman" w:hAnsi="Times New Roman" w:cs="Times New Roman"/>
          <w:sz w:val="24"/>
          <w:szCs w:val="24"/>
        </w:rPr>
        <w:t xml:space="preserve"> </w:t>
      </w:r>
      <w:r w:rsidR="00C16351">
        <w:rPr>
          <w:rFonts w:ascii="Times New Roman" w:hAnsi="Times New Roman" w:cs="Times New Roman"/>
          <w:sz w:val="24"/>
          <w:szCs w:val="24"/>
        </w:rPr>
        <w:t>policy</w:t>
      </w:r>
      <w:r w:rsidRPr="00917772">
        <w:rPr>
          <w:rFonts w:ascii="Times New Roman" w:hAnsi="Times New Roman" w:cs="Times New Roman"/>
          <w:sz w:val="24"/>
          <w:szCs w:val="24"/>
        </w:rPr>
        <w:t xml:space="preserve"> </w:t>
      </w:r>
      <w:r w:rsidR="00C16351">
        <w:rPr>
          <w:rFonts w:ascii="Times New Roman" w:hAnsi="Times New Roman" w:cs="Times New Roman"/>
          <w:sz w:val="24"/>
          <w:szCs w:val="24"/>
        </w:rPr>
        <w:t>approved</w:t>
      </w:r>
      <w:r w:rsidRPr="00917772">
        <w:rPr>
          <w:rFonts w:ascii="Times New Roman" w:hAnsi="Times New Roman" w:cs="Times New Roman"/>
          <w:sz w:val="24"/>
          <w:szCs w:val="24"/>
        </w:rPr>
        <w:t xml:space="preserve"> by the BO</w:t>
      </w:r>
      <w:r w:rsidR="00DA1613">
        <w:rPr>
          <w:rFonts w:ascii="Times New Roman" w:hAnsi="Times New Roman" w:cs="Times New Roman"/>
          <w:sz w:val="24"/>
          <w:szCs w:val="24"/>
        </w:rPr>
        <w:t>T. The current distribution of endowment p</w:t>
      </w:r>
      <w:r w:rsidRPr="00917772">
        <w:rPr>
          <w:rFonts w:ascii="Times New Roman" w:hAnsi="Times New Roman" w:cs="Times New Roman"/>
          <w:sz w:val="24"/>
          <w:szCs w:val="24"/>
        </w:rPr>
        <w:t>oo</w:t>
      </w:r>
      <w:r w:rsidR="00EB4E4A">
        <w:rPr>
          <w:rFonts w:ascii="Times New Roman" w:hAnsi="Times New Roman" w:cs="Times New Roman"/>
          <w:sz w:val="24"/>
          <w:szCs w:val="24"/>
        </w:rPr>
        <w:t xml:space="preserve">l funds across </w:t>
      </w:r>
      <w:r w:rsidR="00DE6D4C">
        <w:rPr>
          <w:rFonts w:ascii="Times New Roman" w:hAnsi="Times New Roman" w:cs="Times New Roman"/>
          <w:sz w:val="24"/>
          <w:szCs w:val="24"/>
        </w:rPr>
        <w:t>primary and sub-</w:t>
      </w:r>
      <w:r w:rsidR="00EB4E4A">
        <w:rPr>
          <w:rFonts w:ascii="Times New Roman" w:hAnsi="Times New Roman" w:cs="Times New Roman"/>
          <w:sz w:val="24"/>
          <w:szCs w:val="24"/>
        </w:rPr>
        <w:t>asset classes is</w:t>
      </w:r>
      <w:r w:rsidRPr="00917772">
        <w:rPr>
          <w:rFonts w:ascii="Times New Roman" w:hAnsi="Times New Roman" w:cs="Times New Roman"/>
          <w:sz w:val="24"/>
          <w:szCs w:val="24"/>
        </w:rPr>
        <w:t xml:space="preserve"> shown in Figu</w:t>
      </w:r>
      <w:r w:rsidR="00C16351">
        <w:rPr>
          <w:rFonts w:ascii="Times New Roman" w:hAnsi="Times New Roman" w:cs="Times New Roman"/>
          <w:sz w:val="24"/>
          <w:szCs w:val="24"/>
        </w:rPr>
        <w:t>r</w:t>
      </w:r>
      <w:r w:rsidRPr="00917772">
        <w:rPr>
          <w:rFonts w:ascii="Times New Roman" w:hAnsi="Times New Roman" w:cs="Times New Roman"/>
          <w:sz w:val="24"/>
          <w:szCs w:val="24"/>
        </w:rPr>
        <w:t xml:space="preserve">e </w:t>
      </w:r>
      <w:r w:rsidR="00087735">
        <w:rPr>
          <w:rFonts w:ascii="Times New Roman" w:hAnsi="Times New Roman" w:cs="Times New Roman"/>
          <w:sz w:val="24"/>
          <w:szCs w:val="24"/>
        </w:rPr>
        <w:t>3</w:t>
      </w:r>
      <w:r w:rsidRPr="0091777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Figure </w:t>
      </w:r>
      <w:r w:rsidR="00087735">
        <w:rPr>
          <w:rFonts w:ascii="Times New Roman" w:hAnsi="Times New Roman" w:cs="Times New Roman"/>
          <w:sz w:val="24"/>
          <w:szCs w:val="24"/>
        </w:rPr>
        <w:t>4</w:t>
      </w:r>
      <w:r w:rsidRPr="00917772">
        <w:rPr>
          <w:rFonts w:ascii="Times New Roman" w:hAnsi="Times New Roman" w:cs="Times New Roman"/>
          <w:sz w:val="24"/>
          <w:szCs w:val="24"/>
        </w:rPr>
        <w:t xml:space="preserve"> compares the actual allocations to </w:t>
      </w:r>
      <w:r w:rsidR="00F96C7B">
        <w:rPr>
          <w:rFonts w:ascii="Times New Roman" w:hAnsi="Times New Roman" w:cs="Times New Roman"/>
          <w:sz w:val="24"/>
          <w:szCs w:val="24"/>
        </w:rPr>
        <w:t xml:space="preserve">long term </w:t>
      </w:r>
      <w:r w:rsidRPr="00917772">
        <w:rPr>
          <w:rFonts w:ascii="Times New Roman" w:hAnsi="Times New Roman" w:cs="Times New Roman"/>
          <w:sz w:val="24"/>
          <w:szCs w:val="24"/>
        </w:rPr>
        <w:t xml:space="preserve">policy ranges. </w:t>
      </w:r>
      <w:r w:rsidR="00A21063">
        <w:rPr>
          <w:rFonts w:ascii="Times New Roman" w:hAnsi="Times New Roman" w:cs="Times New Roman"/>
          <w:sz w:val="24"/>
          <w:szCs w:val="24"/>
        </w:rPr>
        <w:t xml:space="preserve">All asset classes remain </w:t>
      </w:r>
      <w:r w:rsidR="004838A8">
        <w:rPr>
          <w:rFonts w:ascii="Times New Roman" w:hAnsi="Times New Roman" w:cs="Times New Roman"/>
          <w:sz w:val="24"/>
          <w:szCs w:val="24"/>
        </w:rPr>
        <w:t>with</w:t>
      </w:r>
      <w:r w:rsidR="00A21063">
        <w:rPr>
          <w:rFonts w:ascii="Times New Roman" w:hAnsi="Times New Roman" w:cs="Times New Roman"/>
          <w:sz w:val="24"/>
          <w:szCs w:val="24"/>
        </w:rPr>
        <w:t>in policy ranges.</w:t>
      </w:r>
      <w:r w:rsidR="003741D2" w:rsidRPr="003741D2">
        <w:rPr>
          <w:noProof/>
        </w:rPr>
        <w:t xml:space="preserve"> </w:t>
      </w:r>
    </w:p>
    <w:p w14:paraId="2D674040" w14:textId="74BC279B" w:rsidR="00657EB2" w:rsidRPr="004C2AC4" w:rsidRDefault="00536860" w:rsidP="00087735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747A30">
        <w:rPr>
          <w:noProof/>
        </w:rPr>
        <mc:AlternateContent>
          <mc:Choice Requires="cx1">
            <w:drawing>
              <wp:anchor distT="0" distB="0" distL="114300" distR="114300" simplePos="0" relativeHeight="251684864" behindDoc="1" locked="0" layoutInCell="1" allowOverlap="1" wp14:anchorId="7938E25A" wp14:editId="54F3E405">
                <wp:simplePos x="0" y="0"/>
                <wp:positionH relativeFrom="column">
                  <wp:posOffset>784861</wp:posOffset>
                </wp:positionH>
                <wp:positionV relativeFrom="paragraph">
                  <wp:posOffset>254635</wp:posOffset>
                </wp:positionV>
                <wp:extent cx="4978400" cy="3257550"/>
                <wp:effectExtent l="0" t="0" r="12700" b="0"/>
                <wp:wrapNone/>
                <wp:docPr id="1226608671" name="Chart 1" descr="Figure 3&#10;&#10;Chart for Endowment Pool Asset Allocation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700-00000B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drawing/2014/chartex">
                    <cx:chart xmlns:cx="http://schemas.microsoft.com/office/drawing/2014/chartex" xmlns:r="http://schemas.openxmlformats.org/officeDocument/2006/relationships" r:id="rId11"/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drawing>
              <wp:anchor distT="0" distB="0" distL="114300" distR="114300" simplePos="0" relativeHeight="251684864" behindDoc="1" locked="0" layoutInCell="1" allowOverlap="1" wp14:anchorId="7938E25A" wp14:editId="54F3E405">
                <wp:simplePos x="0" y="0"/>
                <wp:positionH relativeFrom="column">
                  <wp:posOffset>784861</wp:posOffset>
                </wp:positionH>
                <wp:positionV relativeFrom="paragraph">
                  <wp:posOffset>254635</wp:posOffset>
                </wp:positionV>
                <wp:extent cx="4978400" cy="3257550"/>
                <wp:effectExtent l="0" t="0" r="12700" b="0"/>
                <wp:wrapNone/>
                <wp:docPr id="1226608671" name="Chart 1" descr="Figure 3&#10;&#10;Chart for Endowment Pool Asset Allocation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700-00000B000000}"/>
                    </a:ext>
                  </a:extLst>
                </wp:docPr>
                <wp:cNvGraphicFramePr>
                  <a:graphicFrameLocks xmlns:a="http://schemas.openxmlformats.org/drawingml/2006/main" noGrp="1" noDrilldown="1" noSelect="1" noChangeAspect="1" noMove="1" noResize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26608671" name="Chart 1" descr="Figure 3&#10;&#10;Chart for Endowment Pool Asset Allocation">
                          <a:extLst>
                            <a:ext uri="{FF2B5EF4-FFF2-40B4-BE49-F238E27FC236}">
                              <a16:creationId xmlns:a16="http://schemas.microsoft.com/office/drawing/2014/main" id="{00000000-0008-0000-0700-00000B000000}"/>
                            </a:ext>
                          </a:extLst>
                        </pic:cNvPr>
                        <pic:cNvPicPr>
                          <a:picLocks noGrp="1" noRot="1" noChangeAspect="1" noMove="1" noResize="1" noEditPoints="1" noAdjustHandles="1" noChangeArrowheads="1" noChangeShapeType="1"/>
                        </pic:cNvPicPr>
                      </pic:nvPicPr>
                      <pic:blipFill>
                        <a:blip r:embed="rId1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78400" cy="3257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Fallback>
        </mc:AlternateContent>
      </w:r>
      <w:r w:rsidR="00D816CE" w:rsidRPr="00747A3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747A30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657EB2" w:rsidRPr="00747A30">
        <w:rPr>
          <w:rFonts w:ascii="Times New Roman" w:hAnsi="Times New Roman" w:cs="Times New Roman"/>
          <w:b/>
          <w:sz w:val="24"/>
          <w:szCs w:val="24"/>
        </w:rPr>
        <w:t xml:space="preserve">Figure </w:t>
      </w:r>
      <w:r w:rsidR="00087735" w:rsidRPr="00747A30">
        <w:rPr>
          <w:rFonts w:ascii="Times New Roman" w:hAnsi="Times New Roman" w:cs="Times New Roman"/>
          <w:b/>
          <w:sz w:val="24"/>
          <w:szCs w:val="24"/>
        </w:rPr>
        <w:t>3</w:t>
      </w:r>
    </w:p>
    <w:p w14:paraId="1A0E5745" w14:textId="4EC77F56" w:rsidR="008573B1" w:rsidRDefault="003741D2" w:rsidP="006D7A90">
      <w:pPr>
        <w:tabs>
          <w:tab w:val="left" w:pos="5050"/>
          <w:tab w:val="left" w:pos="5100"/>
          <w:tab w:val="left" w:pos="55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D7A9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B3392AF" w14:textId="5A7A5DA3" w:rsidR="000B5DC7" w:rsidRDefault="00594CFA" w:rsidP="00657EB2">
      <w:pPr>
        <w:rPr>
          <w:rFonts w:ascii="Times New Roman" w:hAnsi="Times New Roman" w:cs="Times New Roman"/>
          <w:b/>
          <w:sz w:val="24"/>
          <w:szCs w:val="24"/>
        </w:rPr>
      </w:pPr>
      <w:r w:rsidRPr="000B5DC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7BB37B23" wp14:editId="5D9E4F12">
                <wp:simplePos x="0" y="0"/>
                <wp:positionH relativeFrom="column">
                  <wp:posOffset>1564640</wp:posOffset>
                </wp:positionH>
                <wp:positionV relativeFrom="page">
                  <wp:posOffset>2468880</wp:posOffset>
                </wp:positionV>
                <wp:extent cx="1456055" cy="424815"/>
                <wp:effectExtent l="0" t="0" r="0" b="0"/>
                <wp:wrapThrough wrapText="bothSides">
                  <wp:wrapPolygon edited="0">
                    <wp:start x="848" y="0"/>
                    <wp:lineTo x="848" y="20341"/>
                    <wp:lineTo x="20630" y="20341"/>
                    <wp:lineTo x="20630" y="0"/>
                    <wp:lineTo x="848" y="0"/>
                  </wp:wrapPolygon>
                </wp:wrapThrough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6055" cy="4248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D8ECAB" w14:textId="7BAB5E9B" w:rsidR="0003477A" w:rsidRPr="000927B6" w:rsidRDefault="0003477A" w:rsidP="0003477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525252" w:themeColor="accent3" w:themeShade="80"/>
                                <w:sz w:val="20"/>
                                <w:szCs w:val="20"/>
                              </w:rPr>
                            </w:pPr>
                            <w:r w:rsidRPr="000927B6">
                              <w:rPr>
                                <w:rFonts w:ascii="Times New Roman" w:hAnsi="Times New Roman" w:cs="Times New Roman"/>
                                <w:color w:val="525252" w:themeColor="accent3" w:themeShade="80"/>
                                <w:sz w:val="20"/>
                                <w:szCs w:val="20"/>
                              </w:rPr>
                              <w:t>Diversifying Strategies</w:t>
                            </w:r>
                          </w:p>
                          <w:p w14:paraId="13FC5A14" w14:textId="77777777" w:rsidR="0003477A" w:rsidRPr="000927B6" w:rsidRDefault="0003477A" w:rsidP="0003477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525252" w:themeColor="accent3" w:themeShade="80"/>
                                <w:sz w:val="20"/>
                                <w:szCs w:val="20"/>
                              </w:rPr>
                            </w:pPr>
                            <w:r w:rsidRPr="000927B6">
                              <w:rPr>
                                <w:rFonts w:ascii="Times New Roman" w:hAnsi="Times New Roman" w:cs="Times New Roman"/>
                                <w:color w:val="525252" w:themeColor="accent3" w:themeShade="80"/>
                                <w:sz w:val="20"/>
                                <w:szCs w:val="20"/>
                              </w:rPr>
                              <w:t>8%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37B23" id="Text Box 2" o:spid="_x0000_s1027" type="#_x0000_t202" style="position:absolute;margin-left:123.2pt;margin-top:194.4pt;width:114.65pt;height:33.4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" filled="f" stroked="f">
                <v:textbox>
                  <w:txbxContent>
                    <w:p w14:paraId="63D8ECAB" w14:textId="7BAB5E9B" w:rsidR="0003477A" w:rsidRPr="000927B6" w:rsidRDefault="0003477A" w:rsidP="0003477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525252" w:themeColor="accent3" w:themeShade="80"/>
                          <w:sz w:val="20"/>
                          <w:szCs w:val="20"/>
                        </w:rPr>
                      </w:pPr>
                      <w:r w:rsidRPr="000927B6">
                        <w:rPr>
                          <w:rFonts w:ascii="Times New Roman" w:hAnsi="Times New Roman" w:cs="Times New Roman"/>
                          <w:color w:val="525252" w:themeColor="accent3" w:themeShade="80"/>
                          <w:sz w:val="20"/>
                          <w:szCs w:val="20"/>
                        </w:rPr>
                        <w:t>Diversifying Strategies</w:t>
                      </w:r>
                    </w:p>
                    <w:p w14:paraId="13FC5A14" w14:textId="77777777" w:rsidR="0003477A" w:rsidRPr="000927B6" w:rsidRDefault="0003477A" w:rsidP="0003477A">
                      <w:pPr>
                        <w:jc w:val="center"/>
                        <w:rPr>
                          <w:rFonts w:ascii="Times New Roman" w:hAnsi="Times New Roman" w:cs="Times New Roman"/>
                          <w:color w:val="525252" w:themeColor="accent3" w:themeShade="80"/>
                          <w:sz w:val="20"/>
                          <w:szCs w:val="20"/>
                        </w:rPr>
                      </w:pPr>
                      <w:r w:rsidRPr="000927B6">
                        <w:rPr>
                          <w:rFonts w:ascii="Times New Roman" w:hAnsi="Times New Roman" w:cs="Times New Roman"/>
                          <w:color w:val="525252" w:themeColor="accent3" w:themeShade="80"/>
                          <w:sz w:val="20"/>
                          <w:szCs w:val="20"/>
                        </w:rPr>
                        <w:t>8%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6D7A90" w:rsidRPr="000B5DC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F00F897" wp14:editId="7EA80F29">
                <wp:simplePos x="0" y="0"/>
                <wp:positionH relativeFrom="column">
                  <wp:posOffset>4122420</wp:posOffset>
                </wp:positionH>
                <wp:positionV relativeFrom="page">
                  <wp:posOffset>2675255</wp:posOffset>
                </wp:positionV>
                <wp:extent cx="871855" cy="467360"/>
                <wp:effectExtent l="0" t="0" r="0" b="0"/>
                <wp:wrapThrough wrapText="bothSides">
                  <wp:wrapPolygon edited="0">
                    <wp:start x="1416" y="0"/>
                    <wp:lineTo x="1416" y="20250"/>
                    <wp:lineTo x="19822" y="20250"/>
                    <wp:lineTo x="19822" y="0"/>
                    <wp:lineTo x="1416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855" cy="467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DFBE78" w14:textId="4448757F" w:rsidR="000B5DC7" w:rsidRPr="000927B6" w:rsidRDefault="000B5DC7" w:rsidP="000B5DC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525252" w:themeColor="accent3" w:themeShade="80"/>
                                <w:sz w:val="20"/>
                                <w:szCs w:val="20"/>
                              </w:rPr>
                            </w:pPr>
                            <w:r w:rsidRPr="000927B6">
                              <w:rPr>
                                <w:rFonts w:ascii="Times New Roman" w:hAnsi="Times New Roman" w:cs="Times New Roman"/>
                                <w:color w:val="525252" w:themeColor="accent3" w:themeShade="80"/>
                                <w:sz w:val="20"/>
                                <w:szCs w:val="20"/>
                              </w:rPr>
                              <w:t>U.S. Equity</w:t>
                            </w:r>
                          </w:p>
                          <w:p w14:paraId="2AD05BA2" w14:textId="1C7DEBE2" w:rsidR="000B5DC7" w:rsidRPr="000927B6" w:rsidRDefault="000B5DC7" w:rsidP="000B5D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525252" w:themeColor="accent3" w:themeShade="80"/>
                                <w:sz w:val="20"/>
                                <w:szCs w:val="20"/>
                              </w:rPr>
                            </w:pPr>
                            <w:r w:rsidRPr="000927B6">
                              <w:rPr>
                                <w:rFonts w:ascii="Times New Roman" w:hAnsi="Times New Roman" w:cs="Times New Roman"/>
                                <w:color w:val="525252" w:themeColor="accent3" w:themeShade="80"/>
                                <w:sz w:val="20"/>
                                <w:szCs w:val="20"/>
                              </w:rPr>
                              <w:t>2</w:t>
                            </w:r>
                            <w:r w:rsidR="006D7A90">
                              <w:rPr>
                                <w:rFonts w:ascii="Times New Roman" w:hAnsi="Times New Roman" w:cs="Times New Roman"/>
                                <w:color w:val="525252" w:themeColor="accent3" w:themeShade="80"/>
                                <w:sz w:val="20"/>
                                <w:szCs w:val="20"/>
                              </w:rPr>
                              <w:t>5</w:t>
                            </w:r>
                            <w:r w:rsidRPr="000927B6">
                              <w:rPr>
                                <w:rFonts w:ascii="Times New Roman" w:hAnsi="Times New Roman" w:cs="Times New Roman"/>
                                <w:color w:val="525252" w:themeColor="accent3" w:themeShade="80"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00F897" id="_x0000_s1028" type="#_x0000_t202" style="position:absolute;margin-left:324.6pt;margin-top:210.65pt;width:68.65pt;height:36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" filled="f" stroked="f">
                <v:textbox>
                  <w:txbxContent>
                    <w:p w14:paraId="1FDFBE78" w14:textId="4448757F" w:rsidR="000B5DC7" w:rsidRPr="000927B6" w:rsidRDefault="000B5DC7" w:rsidP="000B5DC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525252" w:themeColor="accent3" w:themeShade="80"/>
                          <w:sz w:val="20"/>
                          <w:szCs w:val="20"/>
                        </w:rPr>
                      </w:pPr>
                      <w:r w:rsidRPr="000927B6">
                        <w:rPr>
                          <w:rFonts w:ascii="Times New Roman" w:hAnsi="Times New Roman" w:cs="Times New Roman"/>
                          <w:color w:val="525252" w:themeColor="accent3" w:themeShade="80"/>
                          <w:sz w:val="20"/>
                          <w:szCs w:val="20"/>
                        </w:rPr>
                        <w:t>U.S. Equity</w:t>
                      </w:r>
                    </w:p>
                    <w:p w14:paraId="2AD05BA2" w14:textId="1C7DEBE2" w:rsidR="000B5DC7" w:rsidRPr="000927B6" w:rsidRDefault="000B5DC7" w:rsidP="000B5DC7">
                      <w:pPr>
                        <w:jc w:val="center"/>
                        <w:rPr>
                          <w:rFonts w:ascii="Times New Roman" w:hAnsi="Times New Roman" w:cs="Times New Roman"/>
                          <w:color w:val="525252" w:themeColor="accent3" w:themeShade="80"/>
                          <w:sz w:val="20"/>
                          <w:szCs w:val="20"/>
                        </w:rPr>
                      </w:pPr>
                      <w:r w:rsidRPr="000927B6">
                        <w:rPr>
                          <w:rFonts w:ascii="Times New Roman" w:hAnsi="Times New Roman" w:cs="Times New Roman"/>
                          <w:color w:val="525252" w:themeColor="accent3" w:themeShade="80"/>
                          <w:sz w:val="20"/>
                          <w:szCs w:val="20"/>
                        </w:rPr>
                        <w:t>2</w:t>
                      </w:r>
                      <w:r w:rsidR="006D7A90">
                        <w:rPr>
                          <w:rFonts w:ascii="Times New Roman" w:hAnsi="Times New Roman" w:cs="Times New Roman"/>
                          <w:color w:val="525252" w:themeColor="accent3" w:themeShade="80"/>
                          <w:sz w:val="20"/>
                          <w:szCs w:val="20"/>
                        </w:rPr>
                        <w:t>5</w:t>
                      </w:r>
                      <w:r w:rsidRPr="000927B6">
                        <w:rPr>
                          <w:rFonts w:ascii="Times New Roman" w:hAnsi="Times New Roman" w:cs="Times New Roman"/>
                          <w:color w:val="525252" w:themeColor="accent3" w:themeShade="80"/>
                          <w:sz w:val="20"/>
                          <w:szCs w:val="20"/>
                        </w:rPr>
                        <w:t>%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657EB2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E5F9E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542E3D3C" w14:textId="498F3C54" w:rsidR="000B5DC7" w:rsidRDefault="00536860" w:rsidP="00657EB2">
      <w:pPr>
        <w:rPr>
          <w:rFonts w:ascii="Times New Roman" w:hAnsi="Times New Roman" w:cs="Times New Roman"/>
          <w:b/>
          <w:sz w:val="24"/>
          <w:szCs w:val="24"/>
        </w:rPr>
      </w:pPr>
      <w:r w:rsidRPr="000B5DC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A77B9FF" wp14:editId="3814106B">
                <wp:simplePos x="0" y="0"/>
                <wp:positionH relativeFrom="column">
                  <wp:posOffset>1350010</wp:posOffset>
                </wp:positionH>
                <wp:positionV relativeFrom="page">
                  <wp:posOffset>2779395</wp:posOffset>
                </wp:positionV>
                <wp:extent cx="1296670" cy="424815"/>
                <wp:effectExtent l="0" t="0" r="0" b="0"/>
                <wp:wrapThrough wrapText="bothSides">
                  <wp:wrapPolygon edited="0">
                    <wp:start x="952" y="0"/>
                    <wp:lineTo x="952" y="20341"/>
                    <wp:lineTo x="20627" y="20341"/>
                    <wp:lineTo x="20627" y="0"/>
                    <wp:lineTo x="952" y="0"/>
                  </wp:wrapPolygon>
                </wp:wrapThrough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6670" cy="4248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B3B796" w14:textId="0E63E36D" w:rsidR="0003477A" w:rsidRPr="000927B6" w:rsidRDefault="0003477A" w:rsidP="0003477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525252" w:themeColor="accent3" w:themeShade="80"/>
                                <w:sz w:val="20"/>
                                <w:szCs w:val="20"/>
                              </w:rPr>
                            </w:pPr>
                            <w:r w:rsidRPr="000927B6">
                              <w:rPr>
                                <w:rFonts w:ascii="Times New Roman" w:hAnsi="Times New Roman" w:cs="Times New Roman"/>
                                <w:color w:val="525252" w:themeColor="accent3" w:themeShade="80"/>
                                <w:sz w:val="20"/>
                                <w:szCs w:val="20"/>
                              </w:rPr>
                              <w:t>Real Estate</w:t>
                            </w:r>
                          </w:p>
                          <w:p w14:paraId="4A96D2ED" w14:textId="2FB37A2D" w:rsidR="0003477A" w:rsidRPr="000927B6" w:rsidRDefault="00766A64" w:rsidP="0003477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525252" w:themeColor="accent3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525252" w:themeColor="accent3" w:themeShade="80"/>
                                <w:sz w:val="20"/>
                                <w:szCs w:val="20"/>
                              </w:rPr>
                              <w:t>6</w:t>
                            </w:r>
                            <w:r w:rsidR="0003477A" w:rsidRPr="000927B6">
                              <w:rPr>
                                <w:rFonts w:ascii="Times New Roman" w:hAnsi="Times New Roman" w:cs="Times New Roman"/>
                                <w:color w:val="525252" w:themeColor="accent3" w:themeShade="80"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7B9FF" id="_x0000_s1029" type="#_x0000_t202" style="position:absolute;margin-left:106.3pt;margin-top:218.85pt;width:102.1pt;height:33.4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" filled="f" stroked="f">
                <v:textbox>
                  <w:txbxContent>
                    <w:p w14:paraId="35B3B796" w14:textId="0E63E36D" w:rsidR="0003477A" w:rsidRPr="000927B6" w:rsidRDefault="0003477A" w:rsidP="0003477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525252" w:themeColor="accent3" w:themeShade="80"/>
                          <w:sz w:val="20"/>
                          <w:szCs w:val="20"/>
                        </w:rPr>
                      </w:pPr>
                      <w:r w:rsidRPr="000927B6">
                        <w:rPr>
                          <w:rFonts w:ascii="Times New Roman" w:hAnsi="Times New Roman" w:cs="Times New Roman"/>
                          <w:color w:val="525252" w:themeColor="accent3" w:themeShade="80"/>
                          <w:sz w:val="20"/>
                          <w:szCs w:val="20"/>
                        </w:rPr>
                        <w:t>Real Estate</w:t>
                      </w:r>
                    </w:p>
                    <w:p w14:paraId="4A96D2ED" w14:textId="2FB37A2D" w:rsidR="0003477A" w:rsidRPr="000927B6" w:rsidRDefault="00766A64" w:rsidP="0003477A">
                      <w:pPr>
                        <w:jc w:val="center"/>
                        <w:rPr>
                          <w:rFonts w:ascii="Times New Roman" w:hAnsi="Times New Roman" w:cs="Times New Roman"/>
                          <w:color w:val="525252" w:themeColor="accent3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525252" w:themeColor="accent3" w:themeShade="80"/>
                          <w:sz w:val="20"/>
                          <w:szCs w:val="20"/>
                        </w:rPr>
                        <w:t>6</w:t>
                      </w:r>
                      <w:r w:rsidR="0003477A" w:rsidRPr="000927B6">
                        <w:rPr>
                          <w:rFonts w:ascii="Times New Roman" w:hAnsi="Times New Roman" w:cs="Times New Roman"/>
                          <w:color w:val="525252" w:themeColor="accent3" w:themeShade="80"/>
                          <w:sz w:val="20"/>
                          <w:szCs w:val="20"/>
                        </w:rPr>
                        <w:t>%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</w:p>
    <w:p w14:paraId="70F300C0" w14:textId="379E8FDD" w:rsidR="000B5DC7" w:rsidRDefault="006D7A90" w:rsidP="00657EB2">
      <w:pPr>
        <w:rPr>
          <w:rFonts w:ascii="Times New Roman" w:hAnsi="Times New Roman" w:cs="Times New Roman"/>
          <w:b/>
          <w:sz w:val="24"/>
          <w:szCs w:val="24"/>
        </w:rPr>
      </w:pPr>
      <w:r w:rsidRPr="000B5DC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4AE8CDA" wp14:editId="06851359">
                <wp:simplePos x="0" y="0"/>
                <wp:positionH relativeFrom="column">
                  <wp:posOffset>1102995</wp:posOffset>
                </wp:positionH>
                <wp:positionV relativeFrom="page">
                  <wp:posOffset>3145790</wp:posOffset>
                </wp:positionV>
                <wp:extent cx="1296670" cy="424815"/>
                <wp:effectExtent l="0" t="0" r="0" b="0"/>
                <wp:wrapThrough wrapText="bothSides">
                  <wp:wrapPolygon edited="0">
                    <wp:start x="952" y="0"/>
                    <wp:lineTo x="952" y="20341"/>
                    <wp:lineTo x="20627" y="20341"/>
                    <wp:lineTo x="20627" y="0"/>
                    <wp:lineTo x="952" y="0"/>
                  </wp:wrapPolygon>
                </wp:wrapThrough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6670" cy="4248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6528C2" w14:textId="500B7D7A" w:rsidR="0003477A" w:rsidRPr="000927B6" w:rsidRDefault="0003477A" w:rsidP="0003477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525252" w:themeColor="accent3" w:themeShade="80"/>
                                <w:sz w:val="20"/>
                                <w:szCs w:val="20"/>
                              </w:rPr>
                            </w:pPr>
                            <w:r w:rsidRPr="000927B6">
                              <w:rPr>
                                <w:rFonts w:ascii="Times New Roman" w:hAnsi="Times New Roman" w:cs="Times New Roman"/>
                                <w:color w:val="525252" w:themeColor="accent3" w:themeShade="80"/>
                                <w:sz w:val="20"/>
                                <w:szCs w:val="20"/>
                              </w:rPr>
                              <w:t>Farmland</w:t>
                            </w:r>
                          </w:p>
                          <w:p w14:paraId="02D97FB5" w14:textId="53159840" w:rsidR="0003477A" w:rsidRPr="000927B6" w:rsidRDefault="00766A64" w:rsidP="0003477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525252" w:themeColor="accent3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525252" w:themeColor="accent3" w:themeShade="80"/>
                                <w:sz w:val="20"/>
                                <w:szCs w:val="20"/>
                              </w:rPr>
                              <w:t>7</w:t>
                            </w:r>
                            <w:r w:rsidR="0003477A" w:rsidRPr="000927B6">
                              <w:rPr>
                                <w:rFonts w:ascii="Times New Roman" w:hAnsi="Times New Roman" w:cs="Times New Roman"/>
                                <w:color w:val="525252" w:themeColor="accent3" w:themeShade="80"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E8CDA" id="_x0000_s1030" type="#_x0000_t202" style="position:absolute;margin-left:86.85pt;margin-top:247.7pt;width:102.1pt;height:33.4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" filled="f" stroked="f">
                <v:textbox>
                  <w:txbxContent>
                    <w:p w14:paraId="4B6528C2" w14:textId="500B7D7A" w:rsidR="0003477A" w:rsidRPr="000927B6" w:rsidRDefault="0003477A" w:rsidP="0003477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525252" w:themeColor="accent3" w:themeShade="80"/>
                          <w:sz w:val="20"/>
                          <w:szCs w:val="20"/>
                        </w:rPr>
                      </w:pPr>
                      <w:r w:rsidRPr="000927B6">
                        <w:rPr>
                          <w:rFonts w:ascii="Times New Roman" w:hAnsi="Times New Roman" w:cs="Times New Roman"/>
                          <w:color w:val="525252" w:themeColor="accent3" w:themeShade="80"/>
                          <w:sz w:val="20"/>
                          <w:szCs w:val="20"/>
                        </w:rPr>
                        <w:t>Farmland</w:t>
                      </w:r>
                    </w:p>
                    <w:p w14:paraId="02D97FB5" w14:textId="53159840" w:rsidR="0003477A" w:rsidRPr="000927B6" w:rsidRDefault="00766A64" w:rsidP="0003477A">
                      <w:pPr>
                        <w:jc w:val="center"/>
                        <w:rPr>
                          <w:rFonts w:ascii="Times New Roman" w:hAnsi="Times New Roman" w:cs="Times New Roman"/>
                          <w:color w:val="525252" w:themeColor="accent3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525252" w:themeColor="accent3" w:themeShade="80"/>
                          <w:sz w:val="20"/>
                          <w:szCs w:val="20"/>
                        </w:rPr>
                        <w:t>7</w:t>
                      </w:r>
                      <w:r w:rsidR="0003477A" w:rsidRPr="000927B6">
                        <w:rPr>
                          <w:rFonts w:ascii="Times New Roman" w:hAnsi="Times New Roman" w:cs="Times New Roman"/>
                          <w:color w:val="525252" w:themeColor="accent3" w:themeShade="80"/>
                          <w:sz w:val="20"/>
                          <w:szCs w:val="20"/>
                        </w:rPr>
                        <w:t>%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</w:p>
    <w:p w14:paraId="422A962E" w14:textId="3646079B" w:rsidR="000B5DC7" w:rsidRDefault="006D7A90" w:rsidP="00657EB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2628129" wp14:editId="1517F695">
                <wp:simplePos x="0" y="0"/>
                <wp:positionH relativeFrom="column">
                  <wp:posOffset>2481580</wp:posOffset>
                </wp:positionH>
                <wp:positionV relativeFrom="paragraph">
                  <wp:posOffset>5715</wp:posOffset>
                </wp:positionV>
                <wp:extent cx="541655" cy="400050"/>
                <wp:effectExtent l="0" t="0" r="0" b="0"/>
                <wp:wrapNone/>
                <wp:docPr id="187076092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655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36AEB0" w14:textId="1675890E" w:rsidR="003741D2" w:rsidRPr="00766A64" w:rsidRDefault="003741D2"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766A64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>Real Assets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28129" id="Text Box 3" o:spid="_x0000_s1031" type="#_x0000_t202" style="position:absolute;margin-left:195.4pt;margin-top:.45pt;width:42.65pt;height:31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" filled="f" stroked="f" strokeweight=".5pt">
                <v:textbox>
                  <w:txbxContent>
                    <w:p w14:paraId="6736AEB0" w14:textId="1675890E" w:rsidR="003741D2" w:rsidRPr="00766A64" w:rsidRDefault="003741D2">
                      <w:pPr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</w:rPr>
                      </w:pPr>
                      <w:r w:rsidRPr="00766A64"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</w:rPr>
                        <w:t>Real Assets</w:t>
                      </w:r>
                    </w:p>
                  </w:txbxContent>
                </v:textbox>
              </v:shape>
            </w:pict>
          </mc:Fallback>
        </mc:AlternateContent>
      </w:r>
    </w:p>
    <w:p w14:paraId="2B6DF8E4" w14:textId="40C3EEB5" w:rsidR="000B5DC7" w:rsidRDefault="00766A64" w:rsidP="00657EB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159F927" wp14:editId="45ABE792">
                <wp:simplePos x="0" y="0"/>
                <wp:positionH relativeFrom="column">
                  <wp:posOffset>3688715</wp:posOffset>
                </wp:positionH>
                <wp:positionV relativeFrom="paragraph">
                  <wp:posOffset>113665</wp:posOffset>
                </wp:positionV>
                <wp:extent cx="541655" cy="400050"/>
                <wp:effectExtent l="0" t="0" r="0" b="0"/>
                <wp:wrapNone/>
                <wp:docPr id="448879156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655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9D8756" w14:textId="5CDD1568" w:rsidR="00766A64" w:rsidRPr="00766A64" w:rsidRDefault="00766A64" w:rsidP="00766A64"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>Global Equity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59F927" id="_x0000_s1032" type="#_x0000_t202" style="position:absolute;margin-left:290.45pt;margin-top:8.95pt;width:42.65pt;height:31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" filled="f" stroked="f" strokeweight=".5pt">
                <v:textbox>
                  <w:txbxContent>
                    <w:p w14:paraId="099D8756" w14:textId="5CDD1568" w:rsidR="00766A64" w:rsidRPr="00766A64" w:rsidRDefault="00766A64" w:rsidP="00766A64">
                      <w:pPr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</w:rPr>
                        <w:t>Global Equity</w:t>
                      </w:r>
                    </w:p>
                  </w:txbxContent>
                </v:textbox>
              </v:shape>
            </w:pict>
          </mc:Fallback>
        </mc:AlternateContent>
      </w:r>
    </w:p>
    <w:p w14:paraId="44DB7978" w14:textId="272DC962" w:rsidR="000B5DC7" w:rsidRDefault="000B5DC7" w:rsidP="00657EB2">
      <w:pPr>
        <w:rPr>
          <w:rFonts w:ascii="Times New Roman" w:hAnsi="Times New Roman" w:cs="Times New Roman"/>
          <w:b/>
          <w:sz w:val="24"/>
          <w:szCs w:val="24"/>
        </w:rPr>
      </w:pPr>
    </w:p>
    <w:p w14:paraId="6873578C" w14:textId="420C589A" w:rsidR="000B5DC7" w:rsidRDefault="00594CFA" w:rsidP="00657EB2">
      <w:pPr>
        <w:rPr>
          <w:rFonts w:ascii="Times New Roman" w:hAnsi="Times New Roman" w:cs="Times New Roman"/>
          <w:b/>
          <w:sz w:val="24"/>
          <w:szCs w:val="24"/>
        </w:rPr>
      </w:pPr>
      <w:r w:rsidRPr="000B5DC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98A611D" wp14:editId="0FFD27B9">
                <wp:simplePos x="0" y="0"/>
                <wp:positionH relativeFrom="column">
                  <wp:posOffset>742950</wp:posOffset>
                </wp:positionH>
                <wp:positionV relativeFrom="page">
                  <wp:posOffset>4197350</wp:posOffset>
                </wp:positionV>
                <wp:extent cx="1296670" cy="424815"/>
                <wp:effectExtent l="0" t="0" r="0" b="0"/>
                <wp:wrapThrough wrapText="bothSides">
                  <wp:wrapPolygon edited="0">
                    <wp:start x="952" y="0"/>
                    <wp:lineTo x="952" y="20341"/>
                    <wp:lineTo x="20627" y="20341"/>
                    <wp:lineTo x="20627" y="0"/>
                    <wp:lineTo x="952" y="0"/>
                  </wp:wrapPolygon>
                </wp:wrapThrough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6670" cy="4248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66EDAB" w14:textId="0CD14EAA" w:rsidR="000B5DC7" w:rsidRPr="000927B6" w:rsidRDefault="000B5DC7" w:rsidP="000B5DC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525252" w:themeColor="accent3" w:themeShade="80"/>
                                <w:sz w:val="20"/>
                                <w:szCs w:val="20"/>
                              </w:rPr>
                            </w:pPr>
                            <w:r w:rsidRPr="000927B6">
                              <w:rPr>
                                <w:rFonts w:ascii="Times New Roman" w:hAnsi="Times New Roman" w:cs="Times New Roman"/>
                                <w:color w:val="525252" w:themeColor="accent3" w:themeShade="80"/>
                                <w:sz w:val="20"/>
                                <w:szCs w:val="20"/>
                              </w:rPr>
                              <w:t>Global Fixed Income</w:t>
                            </w:r>
                          </w:p>
                          <w:p w14:paraId="61B883AC" w14:textId="5B82F087" w:rsidR="000B5DC7" w:rsidRPr="000927B6" w:rsidRDefault="000B5DC7" w:rsidP="000B5D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525252" w:themeColor="accent3" w:themeShade="80"/>
                                <w:sz w:val="20"/>
                                <w:szCs w:val="20"/>
                              </w:rPr>
                            </w:pPr>
                            <w:r w:rsidRPr="000927B6">
                              <w:rPr>
                                <w:rFonts w:ascii="Times New Roman" w:hAnsi="Times New Roman" w:cs="Times New Roman"/>
                                <w:color w:val="525252" w:themeColor="accent3" w:themeShade="80"/>
                                <w:sz w:val="20"/>
                                <w:szCs w:val="20"/>
                              </w:rPr>
                              <w:t>2</w:t>
                            </w:r>
                            <w:r w:rsidR="00766A64">
                              <w:rPr>
                                <w:rFonts w:ascii="Times New Roman" w:hAnsi="Times New Roman" w:cs="Times New Roman"/>
                                <w:color w:val="525252" w:themeColor="accent3" w:themeShade="80"/>
                                <w:sz w:val="20"/>
                                <w:szCs w:val="20"/>
                              </w:rPr>
                              <w:t>1</w:t>
                            </w:r>
                            <w:r w:rsidRPr="000927B6">
                              <w:rPr>
                                <w:rFonts w:ascii="Times New Roman" w:hAnsi="Times New Roman" w:cs="Times New Roman"/>
                                <w:color w:val="525252" w:themeColor="accent3" w:themeShade="80"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8A611D" id="_x0000_s1033" type="#_x0000_t202" style="position:absolute;margin-left:58.5pt;margin-top:330.5pt;width:102.1pt;height:33.4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" filled="f" stroked="f">
                <v:textbox>
                  <w:txbxContent>
                    <w:p w14:paraId="2266EDAB" w14:textId="0CD14EAA" w:rsidR="000B5DC7" w:rsidRPr="000927B6" w:rsidRDefault="000B5DC7" w:rsidP="000B5DC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525252" w:themeColor="accent3" w:themeShade="80"/>
                          <w:sz w:val="20"/>
                          <w:szCs w:val="20"/>
                        </w:rPr>
                      </w:pPr>
                      <w:r w:rsidRPr="000927B6">
                        <w:rPr>
                          <w:rFonts w:ascii="Times New Roman" w:hAnsi="Times New Roman" w:cs="Times New Roman"/>
                          <w:color w:val="525252" w:themeColor="accent3" w:themeShade="80"/>
                          <w:sz w:val="20"/>
                          <w:szCs w:val="20"/>
                        </w:rPr>
                        <w:t>Global Fixed Income</w:t>
                      </w:r>
                    </w:p>
                    <w:p w14:paraId="61B883AC" w14:textId="5B82F087" w:rsidR="000B5DC7" w:rsidRPr="000927B6" w:rsidRDefault="000B5DC7" w:rsidP="000B5DC7">
                      <w:pPr>
                        <w:jc w:val="center"/>
                        <w:rPr>
                          <w:rFonts w:ascii="Times New Roman" w:hAnsi="Times New Roman" w:cs="Times New Roman"/>
                          <w:color w:val="525252" w:themeColor="accent3" w:themeShade="80"/>
                          <w:sz w:val="20"/>
                          <w:szCs w:val="20"/>
                        </w:rPr>
                      </w:pPr>
                      <w:r w:rsidRPr="000927B6">
                        <w:rPr>
                          <w:rFonts w:ascii="Times New Roman" w:hAnsi="Times New Roman" w:cs="Times New Roman"/>
                          <w:color w:val="525252" w:themeColor="accent3" w:themeShade="80"/>
                          <w:sz w:val="20"/>
                          <w:szCs w:val="20"/>
                        </w:rPr>
                        <w:t>2</w:t>
                      </w:r>
                      <w:r w:rsidR="00766A64">
                        <w:rPr>
                          <w:rFonts w:ascii="Times New Roman" w:hAnsi="Times New Roman" w:cs="Times New Roman"/>
                          <w:color w:val="525252" w:themeColor="accent3" w:themeShade="80"/>
                          <w:sz w:val="20"/>
                          <w:szCs w:val="20"/>
                        </w:rPr>
                        <w:t>1</w:t>
                      </w:r>
                      <w:r w:rsidRPr="000927B6">
                        <w:rPr>
                          <w:rFonts w:ascii="Times New Roman" w:hAnsi="Times New Roman" w:cs="Times New Roman"/>
                          <w:color w:val="525252" w:themeColor="accent3" w:themeShade="80"/>
                          <w:sz w:val="20"/>
                          <w:szCs w:val="20"/>
                        </w:rPr>
                        <w:t>%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536860" w:rsidRPr="000B5DC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9E815FC" wp14:editId="3717341F">
                <wp:simplePos x="0" y="0"/>
                <wp:positionH relativeFrom="column">
                  <wp:posOffset>4530090</wp:posOffset>
                </wp:positionH>
                <wp:positionV relativeFrom="page">
                  <wp:posOffset>4223385</wp:posOffset>
                </wp:positionV>
                <wp:extent cx="1105535" cy="424815"/>
                <wp:effectExtent l="0" t="0" r="0" b="0"/>
                <wp:wrapThrough wrapText="bothSides">
                  <wp:wrapPolygon edited="0">
                    <wp:start x="1117" y="0"/>
                    <wp:lineTo x="1117" y="20341"/>
                    <wp:lineTo x="20099" y="20341"/>
                    <wp:lineTo x="20099" y="0"/>
                    <wp:lineTo x="1117" y="0"/>
                  </wp:wrapPolygon>
                </wp:wrapThrough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5535" cy="4248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08B5F7" w14:textId="01ADF47B" w:rsidR="000B5DC7" w:rsidRPr="000927B6" w:rsidRDefault="000B5DC7" w:rsidP="000B5DC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525252" w:themeColor="accent3" w:themeShade="80"/>
                                <w:sz w:val="20"/>
                                <w:szCs w:val="20"/>
                              </w:rPr>
                            </w:pPr>
                            <w:r w:rsidRPr="000927B6">
                              <w:rPr>
                                <w:rFonts w:ascii="Times New Roman" w:hAnsi="Times New Roman" w:cs="Times New Roman"/>
                                <w:color w:val="525252" w:themeColor="accent3" w:themeShade="80"/>
                                <w:sz w:val="20"/>
                                <w:szCs w:val="20"/>
                              </w:rPr>
                              <w:t>Non-U.S. Equity</w:t>
                            </w:r>
                          </w:p>
                          <w:p w14:paraId="1A39C29D" w14:textId="0E2CB83C" w:rsidR="000B5DC7" w:rsidRPr="000927B6" w:rsidRDefault="000B5DC7" w:rsidP="000B5D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525252" w:themeColor="accent3" w:themeShade="80"/>
                                <w:sz w:val="20"/>
                                <w:szCs w:val="20"/>
                              </w:rPr>
                            </w:pPr>
                            <w:r w:rsidRPr="000927B6">
                              <w:rPr>
                                <w:rFonts w:ascii="Times New Roman" w:hAnsi="Times New Roman" w:cs="Times New Roman"/>
                                <w:color w:val="525252" w:themeColor="accent3" w:themeShade="80"/>
                                <w:sz w:val="20"/>
                                <w:szCs w:val="20"/>
                              </w:rPr>
                              <w:t>2</w:t>
                            </w:r>
                            <w:r w:rsidR="006D7A90">
                              <w:rPr>
                                <w:rFonts w:ascii="Times New Roman" w:hAnsi="Times New Roman" w:cs="Times New Roman"/>
                                <w:color w:val="525252" w:themeColor="accent3" w:themeShade="80"/>
                                <w:sz w:val="20"/>
                                <w:szCs w:val="20"/>
                              </w:rPr>
                              <w:t>3</w:t>
                            </w:r>
                            <w:r w:rsidRPr="000927B6">
                              <w:rPr>
                                <w:rFonts w:ascii="Times New Roman" w:hAnsi="Times New Roman" w:cs="Times New Roman"/>
                                <w:color w:val="525252" w:themeColor="accent3" w:themeShade="80"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E815FC" id="_x0000_s1034" type="#_x0000_t202" style="position:absolute;margin-left:356.7pt;margin-top:332.55pt;width:87.05pt;height:33.4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" filled="f" stroked="f">
                <v:textbox>
                  <w:txbxContent>
                    <w:p w14:paraId="6508B5F7" w14:textId="01ADF47B" w:rsidR="000B5DC7" w:rsidRPr="000927B6" w:rsidRDefault="000B5DC7" w:rsidP="000B5DC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525252" w:themeColor="accent3" w:themeShade="80"/>
                          <w:sz w:val="20"/>
                          <w:szCs w:val="20"/>
                        </w:rPr>
                      </w:pPr>
                      <w:r w:rsidRPr="000927B6">
                        <w:rPr>
                          <w:rFonts w:ascii="Times New Roman" w:hAnsi="Times New Roman" w:cs="Times New Roman"/>
                          <w:color w:val="525252" w:themeColor="accent3" w:themeShade="80"/>
                          <w:sz w:val="20"/>
                          <w:szCs w:val="20"/>
                        </w:rPr>
                        <w:t>Non-U.S. Equity</w:t>
                      </w:r>
                    </w:p>
                    <w:p w14:paraId="1A39C29D" w14:textId="0E2CB83C" w:rsidR="000B5DC7" w:rsidRPr="000927B6" w:rsidRDefault="000B5DC7" w:rsidP="000B5DC7">
                      <w:pPr>
                        <w:jc w:val="center"/>
                        <w:rPr>
                          <w:rFonts w:ascii="Times New Roman" w:hAnsi="Times New Roman" w:cs="Times New Roman"/>
                          <w:color w:val="525252" w:themeColor="accent3" w:themeShade="80"/>
                          <w:sz w:val="20"/>
                          <w:szCs w:val="20"/>
                        </w:rPr>
                      </w:pPr>
                      <w:r w:rsidRPr="000927B6">
                        <w:rPr>
                          <w:rFonts w:ascii="Times New Roman" w:hAnsi="Times New Roman" w:cs="Times New Roman"/>
                          <w:color w:val="525252" w:themeColor="accent3" w:themeShade="80"/>
                          <w:sz w:val="20"/>
                          <w:szCs w:val="20"/>
                        </w:rPr>
                        <w:t>2</w:t>
                      </w:r>
                      <w:r w:rsidR="006D7A90">
                        <w:rPr>
                          <w:rFonts w:ascii="Times New Roman" w:hAnsi="Times New Roman" w:cs="Times New Roman"/>
                          <w:color w:val="525252" w:themeColor="accent3" w:themeShade="80"/>
                          <w:sz w:val="20"/>
                          <w:szCs w:val="20"/>
                        </w:rPr>
                        <w:t>3</w:t>
                      </w:r>
                      <w:r w:rsidRPr="000927B6">
                        <w:rPr>
                          <w:rFonts w:ascii="Times New Roman" w:hAnsi="Times New Roman" w:cs="Times New Roman"/>
                          <w:color w:val="525252" w:themeColor="accent3" w:themeShade="80"/>
                          <w:sz w:val="20"/>
                          <w:szCs w:val="20"/>
                        </w:rPr>
                        <w:t>%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</w:p>
    <w:p w14:paraId="104C2557" w14:textId="3C1D106F" w:rsidR="000B5DC7" w:rsidRDefault="000B5DC7" w:rsidP="00657EB2">
      <w:pPr>
        <w:rPr>
          <w:rFonts w:ascii="Times New Roman" w:hAnsi="Times New Roman" w:cs="Times New Roman"/>
          <w:b/>
          <w:sz w:val="24"/>
          <w:szCs w:val="24"/>
        </w:rPr>
      </w:pPr>
    </w:p>
    <w:p w14:paraId="620ABEE3" w14:textId="2D0672A8" w:rsidR="000B5DC7" w:rsidRDefault="00594CFA" w:rsidP="00657EB2">
      <w:pPr>
        <w:rPr>
          <w:rFonts w:ascii="Times New Roman" w:hAnsi="Times New Roman" w:cs="Times New Roman"/>
          <w:b/>
          <w:sz w:val="24"/>
          <w:szCs w:val="24"/>
        </w:rPr>
      </w:pPr>
      <w:r w:rsidRPr="000B5DC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A1C330A" wp14:editId="6B8B6F90">
                <wp:simplePos x="0" y="0"/>
                <wp:positionH relativeFrom="column">
                  <wp:posOffset>1614170</wp:posOffset>
                </wp:positionH>
                <wp:positionV relativeFrom="page">
                  <wp:posOffset>4986020</wp:posOffset>
                </wp:positionV>
                <wp:extent cx="1105535" cy="424815"/>
                <wp:effectExtent l="0" t="0" r="0" b="0"/>
                <wp:wrapThrough wrapText="bothSides">
                  <wp:wrapPolygon edited="0">
                    <wp:start x="1117" y="0"/>
                    <wp:lineTo x="1117" y="20341"/>
                    <wp:lineTo x="20099" y="20341"/>
                    <wp:lineTo x="20099" y="0"/>
                    <wp:lineTo x="1117" y="0"/>
                  </wp:wrapPolygon>
                </wp:wrapThrough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5535" cy="4248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BB28DA" w14:textId="471536D4" w:rsidR="000B5DC7" w:rsidRPr="000927B6" w:rsidRDefault="000B5DC7" w:rsidP="000B5DC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525252" w:themeColor="accent3" w:themeShade="80"/>
                                <w:sz w:val="20"/>
                                <w:szCs w:val="20"/>
                              </w:rPr>
                            </w:pPr>
                            <w:r w:rsidRPr="000927B6">
                              <w:rPr>
                                <w:rFonts w:ascii="Times New Roman" w:hAnsi="Times New Roman" w:cs="Times New Roman"/>
                                <w:color w:val="525252" w:themeColor="accent3" w:themeShade="80"/>
                                <w:sz w:val="20"/>
                                <w:szCs w:val="20"/>
                              </w:rPr>
                              <w:t>Private Equity</w:t>
                            </w:r>
                          </w:p>
                          <w:p w14:paraId="271AF62F" w14:textId="414B2E1E" w:rsidR="000B5DC7" w:rsidRPr="000927B6" w:rsidRDefault="000B5DC7" w:rsidP="000B5D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525252" w:themeColor="accent3" w:themeShade="80"/>
                                <w:sz w:val="20"/>
                                <w:szCs w:val="20"/>
                              </w:rPr>
                            </w:pPr>
                            <w:r w:rsidRPr="000927B6">
                              <w:rPr>
                                <w:rFonts w:ascii="Times New Roman" w:hAnsi="Times New Roman" w:cs="Times New Roman"/>
                                <w:color w:val="525252" w:themeColor="accent3" w:themeShade="80"/>
                                <w:sz w:val="20"/>
                                <w:szCs w:val="20"/>
                              </w:rPr>
                              <w:t>1</w:t>
                            </w:r>
                            <w:r w:rsidR="006D7A90">
                              <w:rPr>
                                <w:rFonts w:ascii="Times New Roman" w:hAnsi="Times New Roman" w:cs="Times New Roman"/>
                                <w:color w:val="525252" w:themeColor="accent3" w:themeShade="80"/>
                                <w:sz w:val="20"/>
                                <w:szCs w:val="20"/>
                              </w:rPr>
                              <w:t>0</w:t>
                            </w:r>
                            <w:r w:rsidRPr="000927B6">
                              <w:rPr>
                                <w:rFonts w:ascii="Times New Roman" w:hAnsi="Times New Roman" w:cs="Times New Roman"/>
                                <w:color w:val="525252" w:themeColor="accent3" w:themeShade="80"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1C330A" id="_x0000_s1035" type="#_x0000_t202" style="position:absolute;margin-left:127.1pt;margin-top:392.6pt;width:87.05pt;height:33.4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" filled="f" stroked="f">
                <v:textbox>
                  <w:txbxContent>
                    <w:p w14:paraId="00BB28DA" w14:textId="471536D4" w:rsidR="000B5DC7" w:rsidRPr="000927B6" w:rsidRDefault="000B5DC7" w:rsidP="000B5DC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525252" w:themeColor="accent3" w:themeShade="80"/>
                          <w:sz w:val="20"/>
                          <w:szCs w:val="20"/>
                        </w:rPr>
                      </w:pPr>
                      <w:r w:rsidRPr="000927B6">
                        <w:rPr>
                          <w:rFonts w:ascii="Times New Roman" w:hAnsi="Times New Roman" w:cs="Times New Roman"/>
                          <w:color w:val="525252" w:themeColor="accent3" w:themeShade="80"/>
                          <w:sz w:val="20"/>
                          <w:szCs w:val="20"/>
                        </w:rPr>
                        <w:t>Private Equity</w:t>
                      </w:r>
                    </w:p>
                    <w:p w14:paraId="271AF62F" w14:textId="414B2E1E" w:rsidR="000B5DC7" w:rsidRPr="000927B6" w:rsidRDefault="000B5DC7" w:rsidP="000B5DC7">
                      <w:pPr>
                        <w:jc w:val="center"/>
                        <w:rPr>
                          <w:rFonts w:ascii="Times New Roman" w:hAnsi="Times New Roman" w:cs="Times New Roman"/>
                          <w:color w:val="525252" w:themeColor="accent3" w:themeShade="80"/>
                          <w:sz w:val="20"/>
                          <w:szCs w:val="20"/>
                        </w:rPr>
                      </w:pPr>
                      <w:r w:rsidRPr="000927B6">
                        <w:rPr>
                          <w:rFonts w:ascii="Times New Roman" w:hAnsi="Times New Roman" w:cs="Times New Roman"/>
                          <w:color w:val="525252" w:themeColor="accent3" w:themeShade="80"/>
                          <w:sz w:val="20"/>
                          <w:szCs w:val="20"/>
                        </w:rPr>
                        <w:t>1</w:t>
                      </w:r>
                      <w:r w:rsidR="006D7A90">
                        <w:rPr>
                          <w:rFonts w:ascii="Times New Roman" w:hAnsi="Times New Roman" w:cs="Times New Roman"/>
                          <w:color w:val="525252" w:themeColor="accent3" w:themeShade="80"/>
                          <w:sz w:val="20"/>
                          <w:szCs w:val="20"/>
                        </w:rPr>
                        <w:t>0</w:t>
                      </w:r>
                      <w:r w:rsidRPr="000927B6">
                        <w:rPr>
                          <w:rFonts w:ascii="Times New Roman" w:hAnsi="Times New Roman" w:cs="Times New Roman"/>
                          <w:color w:val="525252" w:themeColor="accent3" w:themeShade="80"/>
                          <w:sz w:val="20"/>
                          <w:szCs w:val="20"/>
                        </w:rPr>
                        <w:t>%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</w:p>
    <w:p w14:paraId="1E37EE70" w14:textId="01797EE9" w:rsidR="000B5DC7" w:rsidRDefault="000B5DC7" w:rsidP="00657EB2">
      <w:pPr>
        <w:rPr>
          <w:rFonts w:ascii="Times New Roman" w:hAnsi="Times New Roman" w:cs="Times New Roman"/>
          <w:b/>
          <w:sz w:val="24"/>
          <w:szCs w:val="24"/>
        </w:rPr>
      </w:pPr>
    </w:p>
    <w:p w14:paraId="6C7D7F2B" w14:textId="77777777" w:rsidR="000B5DC7" w:rsidRDefault="000B5DC7" w:rsidP="00657EB2">
      <w:pPr>
        <w:rPr>
          <w:rFonts w:ascii="Times New Roman" w:hAnsi="Times New Roman" w:cs="Times New Roman"/>
          <w:b/>
          <w:sz w:val="24"/>
          <w:szCs w:val="24"/>
        </w:rPr>
      </w:pPr>
    </w:p>
    <w:p w14:paraId="6451F36D" w14:textId="6EA3165C" w:rsidR="00657EB2" w:rsidRPr="004C2AC4" w:rsidRDefault="00D816CE" w:rsidP="00D816C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657EB2" w:rsidRPr="005F0BF9">
        <w:rPr>
          <w:rFonts w:ascii="Times New Roman" w:hAnsi="Times New Roman" w:cs="Times New Roman"/>
          <w:b/>
          <w:sz w:val="24"/>
          <w:szCs w:val="24"/>
        </w:rPr>
        <w:t xml:space="preserve">Figure </w:t>
      </w:r>
      <w:r w:rsidR="00087735" w:rsidRPr="005F0BF9">
        <w:rPr>
          <w:rFonts w:ascii="Times New Roman" w:hAnsi="Times New Roman" w:cs="Times New Roman"/>
          <w:b/>
          <w:sz w:val="24"/>
          <w:szCs w:val="24"/>
        </w:rPr>
        <w:t>4</w:t>
      </w:r>
    </w:p>
    <w:p w14:paraId="36F48C04" w14:textId="3DEE5309" w:rsidR="00657EB2" w:rsidRDefault="0022073E" w:rsidP="00657EB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1795B3A" wp14:editId="6C751002">
            <wp:extent cx="5486400" cy="2665539"/>
            <wp:effectExtent l="0" t="0" r="0" b="1905"/>
            <wp:docPr id="4" name="Chart 4" descr="Figure 4 &#10;&#10;Histogram for Endowment Pool by Asset Category Policy Ranges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5BA04DD6" w14:textId="77777777" w:rsidR="00785C28" w:rsidRDefault="00785C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9A5462E" w14:textId="2DC3CBF2" w:rsidR="00657EB2" w:rsidRDefault="00657EB2" w:rsidP="00657EB2">
      <w:pPr>
        <w:spacing w:after="360"/>
        <w:rPr>
          <w:rFonts w:ascii="Times New Roman" w:hAnsi="Times New Roman" w:cs="Times New Roman"/>
          <w:sz w:val="24"/>
          <w:szCs w:val="24"/>
        </w:rPr>
      </w:pPr>
      <w:r w:rsidRPr="00917772">
        <w:rPr>
          <w:rFonts w:ascii="Times New Roman" w:hAnsi="Times New Roman" w:cs="Times New Roman"/>
          <w:sz w:val="24"/>
          <w:szCs w:val="24"/>
        </w:rPr>
        <w:lastRenderedPageBreak/>
        <w:t xml:space="preserve">The </w:t>
      </w:r>
      <w:r w:rsidR="00447A57">
        <w:rPr>
          <w:rFonts w:ascii="Times New Roman" w:hAnsi="Times New Roman" w:cs="Times New Roman"/>
          <w:sz w:val="24"/>
          <w:szCs w:val="24"/>
        </w:rPr>
        <w:t>endowment pool is</w:t>
      </w:r>
      <w:r w:rsidR="00F651A2">
        <w:rPr>
          <w:rFonts w:ascii="Times New Roman" w:hAnsi="Times New Roman" w:cs="Times New Roman"/>
          <w:sz w:val="24"/>
          <w:szCs w:val="24"/>
        </w:rPr>
        <w:t xml:space="preserve"> reasonably</w:t>
      </w:r>
      <w:r w:rsidR="00EE1CB4">
        <w:rPr>
          <w:rFonts w:ascii="Times New Roman" w:hAnsi="Times New Roman" w:cs="Times New Roman"/>
          <w:sz w:val="24"/>
          <w:szCs w:val="24"/>
        </w:rPr>
        <w:t xml:space="preserve"> </w:t>
      </w:r>
      <w:r w:rsidR="00EE1CB4" w:rsidRPr="005F0BF9">
        <w:rPr>
          <w:rFonts w:ascii="Times New Roman" w:hAnsi="Times New Roman" w:cs="Times New Roman"/>
          <w:sz w:val="24"/>
          <w:szCs w:val="24"/>
        </w:rPr>
        <w:t>liquid</w:t>
      </w:r>
      <w:r w:rsidR="00087735" w:rsidRPr="005F0BF9">
        <w:rPr>
          <w:rFonts w:ascii="Times New Roman" w:hAnsi="Times New Roman" w:cs="Times New Roman"/>
          <w:sz w:val="24"/>
          <w:szCs w:val="24"/>
        </w:rPr>
        <w:t xml:space="preserve"> compared to peers.</w:t>
      </w:r>
      <w:r w:rsidR="008E3BF3" w:rsidRPr="005F0BF9">
        <w:rPr>
          <w:rFonts w:ascii="Times New Roman" w:hAnsi="Times New Roman" w:cs="Times New Roman"/>
          <w:sz w:val="24"/>
          <w:szCs w:val="24"/>
        </w:rPr>
        <w:t xml:space="preserve"> </w:t>
      </w:r>
      <w:r w:rsidR="00EE1CB4" w:rsidRPr="005F0BF9">
        <w:rPr>
          <w:rFonts w:ascii="Times New Roman" w:hAnsi="Times New Roman" w:cs="Times New Roman"/>
          <w:sz w:val="24"/>
          <w:szCs w:val="24"/>
        </w:rPr>
        <w:t>Relative</w:t>
      </w:r>
      <w:r w:rsidR="00545C8D" w:rsidRPr="005F0BF9">
        <w:rPr>
          <w:rFonts w:ascii="Times New Roman" w:hAnsi="Times New Roman" w:cs="Times New Roman"/>
          <w:sz w:val="24"/>
          <w:szCs w:val="24"/>
        </w:rPr>
        <w:t xml:space="preserve"> to a policy requirement of 60% liquid assets </w:t>
      </w:r>
      <w:r w:rsidR="00EE1CB4" w:rsidRPr="005F0BF9">
        <w:rPr>
          <w:rFonts w:ascii="Times New Roman" w:hAnsi="Times New Roman" w:cs="Times New Roman"/>
          <w:sz w:val="24"/>
          <w:szCs w:val="24"/>
        </w:rPr>
        <w:t>(</w:t>
      </w:r>
      <w:r w:rsidR="00EE1CB4" w:rsidRPr="005F0BF9">
        <w:rPr>
          <w:rFonts w:ascii="Times New Roman" w:hAnsi="Times New Roman" w:cs="Times New Roman"/>
          <w:i/>
          <w:iCs/>
          <w:sz w:val="24"/>
          <w:szCs w:val="24"/>
        </w:rPr>
        <w:t>i.e.,</w:t>
      </w:r>
      <w:r w:rsidR="00EE1CB4" w:rsidRPr="005F0BF9">
        <w:rPr>
          <w:rFonts w:ascii="Times New Roman" w:hAnsi="Times New Roman" w:cs="Times New Roman"/>
          <w:sz w:val="24"/>
          <w:szCs w:val="24"/>
        </w:rPr>
        <w:t xml:space="preserve"> at least weekly redemptions) </w:t>
      </w:r>
      <w:r w:rsidR="00545C8D" w:rsidRPr="005F0BF9">
        <w:rPr>
          <w:rFonts w:ascii="Times New Roman" w:hAnsi="Times New Roman" w:cs="Times New Roman"/>
          <w:sz w:val="24"/>
          <w:szCs w:val="24"/>
        </w:rPr>
        <w:t>and 70% semi-liquid assets (</w:t>
      </w:r>
      <w:r w:rsidR="00687B43" w:rsidRPr="005F0BF9">
        <w:rPr>
          <w:rFonts w:ascii="Times New Roman" w:hAnsi="Times New Roman" w:cs="Times New Roman"/>
          <w:i/>
          <w:iCs/>
          <w:sz w:val="24"/>
          <w:szCs w:val="24"/>
        </w:rPr>
        <w:t>i.e.,</w:t>
      </w:r>
      <w:r w:rsidR="00687B43" w:rsidRPr="005F0BF9">
        <w:rPr>
          <w:rFonts w:ascii="Times New Roman" w:hAnsi="Times New Roman" w:cs="Times New Roman"/>
          <w:sz w:val="24"/>
          <w:szCs w:val="24"/>
        </w:rPr>
        <w:t xml:space="preserve"> </w:t>
      </w:r>
      <w:r w:rsidR="00EE1CB4" w:rsidRPr="005F0BF9">
        <w:rPr>
          <w:rFonts w:ascii="Times New Roman" w:hAnsi="Times New Roman" w:cs="Times New Roman"/>
          <w:sz w:val="24"/>
          <w:szCs w:val="24"/>
        </w:rPr>
        <w:t>at least qu</w:t>
      </w:r>
      <w:r w:rsidR="00545C8D" w:rsidRPr="005F0BF9">
        <w:rPr>
          <w:rFonts w:ascii="Times New Roman" w:hAnsi="Times New Roman" w:cs="Times New Roman"/>
          <w:sz w:val="24"/>
          <w:szCs w:val="24"/>
        </w:rPr>
        <w:t xml:space="preserve">arterly redemptions), </w:t>
      </w:r>
      <w:r w:rsidR="00447A57" w:rsidRPr="005F0BF9">
        <w:rPr>
          <w:rFonts w:ascii="Times New Roman" w:hAnsi="Times New Roman" w:cs="Times New Roman"/>
          <w:sz w:val="24"/>
          <w:szCs w:val="24"/>
        </w:rPr>
        <w:t>6</w:t>
      </w:r>
      <w:r w:rsidR="00B859DB" w:rsidRPr="005F0BF9">
        <w:rPr>
          <w:rFonts w:ascii="Times New Roman" w:hAnsi="Times New Roman" w:cs="Times New Roman"/>
          <w:sz w:val="24"/>
          <w:szCs w:val="24"/>
        </w:rPr>
        <w:t>9</w:t>
      </w:r>
      <w:r w:rsidR="00447A57" w:rsidRPr="005F0BF9">
        <w:rPr>
          <w:rFonts w:ascii="Times New Roman" w:hAnsi="Times New Roman" w:cs="Times New Roman"/>
          <w:sz w:val="24"/>
          <w:szCs w:val="24"/>
        </w:rPr>
        <w:t xml:space="preserve">% of the pool </w:t>
      </w:r>
      <w:r w:rsidR="00545C8D" w:rsidRPr="005F0BF9">
        <w:rPr>
          <w:rFonts w:ascii="Times New Roman" w:hAnsi="Times New Roman" w:cs="Times New Roman"/>
          <w:sz w:val="24"/>
          <w:szCs w:val="24"/>
        </w:rPr>
        <w:t xml:space="preserve">meets the liquid asset definition </w:t>
      </w:r>
      <w:r w:rsidR="00AB1AC4" w:rsidRPr="005F0BF9">
        <w:rPr>
          <w:rFonts w:ascii="Times New Roman" w:hAnsi="Times New Roman" w:cs="Times New Roman"/>
          <w:sz w:val="24"/>
          <w:szCs w:val="24"/>
        </w:rPr>
        <w:t>while 7</w:t>
      </w:r>
      <w:r w:rsidR="005F0BF9" w:rsidRPr="005F0BF9">
        <w:rPr>
          <w:rFonts w:ascii="Times New Roman" w:hAnsi="Times New Roman" w:cs="Times New Roman"/>
          <w:sz w:val="24"/>
          <w:szCs w:val="24"/>
        </w:rPr>
        <w:t>8</w:t>
      </w:r>
      <w:r w:rsidR="00AB1AC4" w:rsidRPr="005F0BF9">
        <w:rPr>
          <w:rFonts w:ascii="Times New Roman" w:hAnsi="Times New Roman" w:cs="Times New Roman"/>
          <w:sz w:val="24"/>
          <w:szCs w:val="24"/>
        </w:rPr>
        <w:t>% is</w:t>
      </w:r>
      <w:r w:rsidR="00AB1AC4">
        <w:rPr>
          <w:rFonts w:ascii="Times New Roman" w:hAnsi="Times New Roman" w:cs="Times New Roman"/>
          <w:sz w:val="24"/>
          <w:szCs w:val="24"/>
        </w:rPr>
        <w:t xml:space="preserve"> </w:t>
      </w:r>
      <w:r w:rsidR="00545C8D">
        <w:rPr>
          <w:rFonts w:ascii="Times New Roman" w:hAnsi="Times New Roman" w:cs="Times New Roman"/>
          <w:sz w:val="24"/>
          <w:szCs w:val="24"/>
        </w:rPr>
        <w:t>semi-liquid</w:t>
      </w:r>
      <w:r w:rsidR="00AB1AC4">
        <w:rPr>
          <w:rFonts w:ascii="Times New Roman" w:hAnsi="Times New Roman" w:cs="Times New Roman"/>
          <w:sz w:val="24"/>
          <w:szCs w:val="24"/>
        </w:rPr>
        <w:t xml:space="preserve">.  </w:t>
      </w:r>
      <w:r w:rsidRPr="00917772">
        <w:rPr>
          <w:rFonts w:ascii="Times New Roman" w:hAnsi="Times New Roman" w:cs="Times New Roman"/>
          <w:sz w:val="24"/>
          <w:szCs w:val="24"/>
        </w:rPr>
        <w:t xml:space="preserve">This </w:t>
      </w:r>
      <w:r w:rsidR="00E57397">
        <w:rPr>
          <w:rFonts w:ascii="Times New Roman" w:hAnsi="Times New Roman" w:cs="Times New Roman"/>
          <w:sz w:val="24"/>
          <w:szCs w:val="24"/>
        </w:rPr>
        <w:t>structure</w:t>
      </w:r>
      <w:r w:rsidR="00AB1AC4">
        <w:rPr>
          <w:rFonts w:ascii="Times New Roman" w:hAnsi="Times New Roman" w:cs="Times New Roman"/>
          <w:sz w:val="24"/>
          <w:szCs w:val="24"/>
        </w:rPr>
        <w:t xml:space="preserve"> </w:t>
      </w:r>
      <w:r w:rsidRPr="00917772">
        <w:rPr>
          <w:rFonts w:ascii="Times New Roman" w:hAnsi="Times New Roman" w:cs="Times New Roman"/>
          <w:sz w:val="24"/>
          <w:szCs w:val="24"/>
        </w:rPr>
        <w:t xml:space="preserve">allows for efficient rebalancing </w:t>
      </w:r>
      <w:r w:rsidR="00AB1AC4">
        <w:rPr>
          <w:rFonts w:ascii="Times New Roman" w:hAnsi="Times New Roman" w:cs="Times New Roman"/>
          <w:sz w:val="24"/>
          <w:szCs w:val="24"/>
        </w:rPr>
        <w:t>and is well aligned with the liquidity profile of the underlying sources</w:t>
      </w:r>
      <w:r w:rsidR="00E57397">
        <w:rPr>
          <w:rFonts w:ascii="Times New Roman" w:hAnsi="Times New Roman" w:cs="Times New Roman"/>
          <w:sz w:val="24"/>
          <w:szCs w:val="24"/>
        </w:rPr>
        <w:t xml:space="preserve"> of funding</w:t>
      </w:r>
      <w:r w:rsidR="00AB1AC4">
        <w:rPr>
          <w:rFonts w:ascii="Times New Roman" w:hAnsi="Times New Roman" w:cs="Times New Roman"/>
          <w:sz w:val="24"/>
          <w:szCs w:val="24"/>
        </w:rPr>
        <w:t xml:space="preserve">. </w:t>
      </w:r>
      <w:r w:rsidR="00465C01">
        <w:rPr>
          <w:rFonts w:ascii="Times New Roman" w:hAnsi="Times New Roman" w:cs="Times New Roman"/>
          <w:sz w:val="24"/>
          <w:szCs w:val="24"/>
        </w:rPr>
        <w:t>It also</w:t>
      </w:r>
      <w:r w:rsidRPr="00917772">
        <w:rPr>
          <w:rFonts w:ascii="Times New Roman" w:hAnsi="Times New Roman" w:cs="Times New Roman"/>
          <w:sz w:val="24"/>
          <w:szCs w:val="24"/>
        </w:rPr>
        <w:t xml:space="preserve"> </w:t>
      </w:r>
      <w:r w:rsidR="00BE6010">
        <w:rPr>
          <w:rFonts w:ascii="Times New Roman" w:hAnsi="Times New Roman" w:cs="Times New Roman"/>
          <w:sz w:val="24"/>
          <w:szCs w:val="24"/>
        </w:rPr>
        <w:t>reduce</w:t>
      </w:r>
      <w:r w:rsidR="00DF1782">
        <w:rPr>
          <w:rFonts w:ascii="Times New Roman" w:hAnsi="Times New Roman" w:cs="Times New Roman"/>
          <w:sz w:val="24"/>
          <w:szCs w:val="24"/>
        </w:rPr>
        <w:t>s</w:t>
      </w:r>
      <w:r w:rsidRPr="00917772">
        <w:rPr>
          <w:rFonts w:ascii="Times New Roman" w:hAnsi="Times New Roman" w:cs="Times New Roman"/>
          <w:sz w:val="24"/>
          <w:szCs w:val="24"/>
        </w:rPr>
        <w:t xml:space="preserve"> </w:t>
      </w:r>
      <w:r w:rsidR="00BE6010">
        <w:rPr>
          <w:rFonts w:ascii="Times New Roman" w:hAnsi="Times New Roman" w:cs="Times New Roman"/>
          <w:sz w:val="24"/>
          <w:szCs w:val="24"/>
        </w:rPr>
        <w:t>expenses</w:t>
      </w:r>
      <w:r w:rsidRPr="00917772">
        <w:rPr>
          <w:rFonts w:ascii="Times New Roman" w:hAnsi="Times New Roman" w:cs="Times New Roman"/>
          <w:sz w:val="24"/>
          <w:szCs w:val="24"/>
        </w:rPr>
        <w:t xml:space="preserve"> as </w:t>
      </w:r>
      <w:r w:rsidR="003A36DB">
        <w:rPr>
          <w:rFonts w:ascii="Times New Roman" w:hAnsi="Times New Roman" w:cs="Times New Roman"/>
          <w:sz w:val="24"/>
          <w:szCs w:val="24"/>
        </w:rPr>
        <w:t>liquid, public market allocations</w:t>
      </w:r>
      <w:r w:rsidRPr="00917772">
        <w:rPr>
          <w:rFonts w:ascii="Times New Roman" w:hAnsi="Times New Roman" w:cs="Times New Roman"/>
          <w:sz w:val="24"/>
          <w:szCs w:val="24"/>
        </w:rPr>
        <w:t xml:space="preserve"> generally charge lower fees than </w:t>
      </w:r>
      <w:r w:rsidR="00545C8D">
        <w:rPr>
          <w:rFonts w:ascii="Times New Roman" w:hAnsi="Times New Roman" w:cs="Times New Roman"/>
          <w:sz w:val="24"/>
          <w:szCs w:val="24"/>
        </w:rPr>
        <w:t>closed-end</w:t>
      </w:r>
      <w:r w:rsidRPr="00917772">
        <w:rPr>
          <w:rFonts w:ascii="Times New Roman" w:hAnsi="Times New Roman" w:cs="Times New Roman"/>
          <w:sz w:val="24"/>
          <w:szCs w:val="24"/>
        </w:rPr>
        <w:t xml:space="preserve"> investment vehicles. </w:t>
      </w:r>
      <w:r w:rsidR="003A36DB">
        <w:rPr>
          <w:rFonts w:ascii="Times New Roman" w:hAnsi="Times New Roman" w:cs="Times New Roman"/>
          <w:sz w:val="24"/>
          <w:szCs w:val="24"/>
        </w:rPr>
        <w:t>Our preference for low-cost passive investment</w:t>
      </w:r>
      <w:r w:rsidR="00290082">
        <w:rPr>
          <w:rFonts w:ascii="Times New Roman" w:hAnsi="Times New Roman" w:cs="Times New Roman"/>
          <w:sz w:val="24"/>
          <w:szCs w:val="24"/>
        </w:rPr>
        <w:t>s</w:t>
      </w:r>
      <w:r w:rsidR="003A36DB">
        <w:rPr>
          <w:rFonts w:ascii="Times New Roman" w:hAnsi="Times New Roman" w:cs="Times New Roman"/>
          <w:sz w:val="24"/>
          <w:szCs w:val="24"/>
        </w:rPr>
        <w:t xml:space="preserve"> in public </w:t>
      </w:r>
      <w:r w:rsidR="00290082">
        <w:rPr>
          <w:rFonts w:ascii="Times New Roman" w:hAnsi="Times New Roman" w:cs="Times New Roman"/>
          <w:sz w:val="24"/>
          <w:szCs w:val="24"/>
        </w:rPr>
        <w:t xml:space="preserve">equity </w:t>
      </w:r>
      <w:r w:rsidR="003A36DB">
        <w:rPr>
          <w:rFonts w:ascii="Times New Roman" w:hAnsi="Times New Roman" w:cs="Times New Roman"/>
          <w:sz w:val="24"/>
          <w:szCs w:val="24"/>
        </w:rPr>
        <w:t xml:space="preserve">markets further reduces the fee </w:t>
      </w:r>
      <w:r w:rsidR="0046305B">
        <w:rPr>
          <w:rFonts w:ascii="Times New Roman" w:hAnsi="Times New Roman" w:cs="Times New Roman"/>
          <w:sz w:val="24"/>
          <w:szCs w:val="24"/>
        </w:rPr>
        <w:t>burden</w:t>
      </w:r>
      <w:r w:rsidR="00545C8D">
        <w:rPr>
          <w:rFonts w:ascii="Times New Roman" w:hAnsi="Times New Roman" w:cs="Times New Roman"/>
          <w:sz w:val="24"/>
          <w:szCs w:val="24"/>
        </w:rPr>
        <w:t xml:space="preserve">. </w:t>
      </w:r>
      <w:r w:rsidRPr="00917772">
        <w:rPr>
          <w:rFonts w:ascii="Times New Roman" w:hAnsi="Times New Roman" w:cs="Times New Roman"/>
          <w:sz w:val="24"/>
          <w:szCs w:val="24"/>
        </w:rPr>
        <w:t xml:space="preserve">The inclusion of farmland as an asset class also </w:t>
      </w:r>
      <w:r w:rsidR="00DA1613">
        <w:rPr>
          <w:rFonts w:ascii="Times New Roman" w:hAnsi="Times New Roman" w:cs="Times New Roman"/>
          <w:sz w:val="24"/>
          <w:szCs w:val="24"/>
        </w:rPr>
        <w:t xml:space="preserve">distinguishes the endowment </w:t>
      </w:r>
      <w:r w:rsidR="00E57397">
        <w:rPr>
          <w:rFonts w:ascii="Times New Roman" w:hAnsi="Times New Roman" w:cs="Times New Roman"/>
          <w:sz w:val="24"/>
          <w:szCs w:val="24"/>
        </w:rPr>
        <w:t>pool</w:t>
      </w:r>
      <w:r w:rsidRPr="009177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A1613">
        <w:rPr>
          <w:rFonts w:ascii="Times New Roman" w:hAnsi="Times New Roman" w:cs="Times New Roman"/>
          <w:sz w:val="24"/>
          <w:szCs w:val="24"/>
        </w:rPr>
        <w:t xml:space="preserve">from </w:t>
      </w:r>
      <w:r w:rsidR="00E57397">
        <w:rPr>
          <w:rFonts w:ascii="Times New Roman" w:hAnsi="Times New Roman" w:cs="Times New Roman"/>
          <w:sz w:val="24"/>
          <w:szCs w:val="24"/>
        </w:rPr>
        <w:t xml:space="preserve">its </w:t>
      </w:r>
      <w:r w:rsidRPr="0062329C">
        <w:rPr>
          <w:rFonts w:ascii="Times New Roman" w:hAnsi="Times New Roman" w:cs="Times New Roman"/>
          <w:sz w:val="24"/>
          <w:szCs w:val="24"/>
        </w:rPr>
        <w:t>peers. Farmland includes agricultural land donated to the University</w:t>
      </w:r>
      <w:r w:rsidR="000A3FCE">
        <w:rPr>
          <w:rFonts w:ascii="Times New Roman" w:hAnsi="Times New Roman" w:cs="Times New Roman"/>
          <w:sz w:val="24"/>
          <w:szCs w:val="24"/>
        </w:rPr>
        <w:t>, as well as an investment into a closed-end U.S. farmland partnership, which serves to increase our allocation and diversify the geographical exposure. I</w:t>
      </w:r>
      <w:r w:rsidRPr="0062329C">
        <w:rPr>
          <w:rFonts w:ascii="Times New Roman" w:hAnsi="Times New Roman" w:cs="Times New Roman"/>
          <w:sz w:val="24"/>
          <w:szCs w:val="24"/>
        </w:rPr>
        <w:t xml:space="preserve">ncome from </w:t>
      </w:r>
      <w:r w:rsidR="000A3FCE">
        <w:rPr>
          <w:rFonts w:ascii="Times New Roman" w:hAnsi="Times New Roman" w:cs="Times New Roman"/>
          <w:sz w:val="24"/>
          <w:szCs w:val="24"/>
        </w:rPr>
        <w:t xml:space="preserve">endowment </w:t>
      </w:r>
      <w:r w:rsidRPr="0062329C">
        <w:rPr>
          <w:rFonts w:ascii="Times New Roman" w:hAnsi="Times New Roman" w:cs="Times New Roman"/>
          <w:sz w:val="24"/>
          <w:szCs w:val="24"/>
        </w:rPr>
        <w:t xml:space="preserve">farms supports student scholarship and research programs. </w:t>
      </w:r>
    </w:p>
    <w:p w14:paraId="50B941B6" w14:textId="2DD3E284" w:rsidR="00B84039" w:rsidRPr="00B84039" w:rsidRDefault="00B84039" w:rsidP="00657EB2">
      <w:pPr>
        <w:rPr>
          <w:rFonts w:ascii="Times New Roman" w:hAnsi="Times New Roman" w:cs="Times New Roman"/>
          <w:b/>
          <w:sz w:val="28"/>
          <w:szCs w:val="28"/>
        </w:rPr>
      </w:pPr>
      <w:r w:rsidRPr="00D65DDA">
        <w:rPr>
          <w:rFonts w:ascii="Times New Roman" w:hAnsi="Times New Roman" w:cs="Times New Roman"/>
          <w:b/>
          <w:sz w:val="28"/>
          <w:szCs w:val="28"/>
        </w:rPr>
        <w:t>Spending Policy</w:t>
      </w:r>
    </w:p>
    <w:p w14:paraId="1195C367" w14:textId="3F3E6062" w:rsidR="00861B0F" w:rsidRDefault="00AD5175" w:rsidP="00657EB2">
      <w:pPr>
        <w:spacing w:after="360"/>
        <w:rPr>
          <w:rFonts w:ascii="Times New Roman" w:hAnsi="Times New Roman" w:cs="Times New Roman"/>
          <w:sz w:val="24"/>
          <w:szCs w:val="24"/>
        </w:rPr>
      </w:pPr>
      <w:r w:rsidRPr="00917772">
        <w:rPr>
          <w:rFonts w:ascii="Times New Roman" w:hAnsi="Times New Roman" w:cs="Times New Roman"/>
          <w:sz w:val="24"/>
          <w:szCs w:val="24"/>
        </w:rPr>
        <w:t xml:space="preserve">The investment objective of the </w:t>
      </w:r>
      <w:r w:rsidR="00DA1613">
        <w:rPr>
          <w:rFonts w:ascii="Times New Roman" w:hAnsi="Times New Roman" w:cs="Times New Roman"/>
          <w:sz w:val="24"/>
          <w:szCs w:val="24"/>
        </w:rPr>
        <w:t>endowment pool</w:t>
      </w:r>
      <w:r w:rsidR="00822E2A" w:rsidRPr="009177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22E2A" w:rsidRPr="00917772">
        <w:rPr>
          <w:rFonts w:ascii="Times New Roman" w:hAnsi="Times New Roman" w:cs="Times New Roman"/>
          <w:sz w:val="24"/>
          <w:szCs w:val="24"/>
        </w:rPr>
        <w:t>is to prese</w:t>
      </w:r>
      <w:r w:rsidR="00EB4E4A">
        <w:rPr>
          <w:rFonts w:ascii="Times New Roman" w:hAnsi="Times New Roman" w:cs="Times New Roman"/>
          <w:sz w:val="24"/>
          <w:szCs w:val="24"/>
        </w:rPr>
        <w:t xml:space="preserve">rve the purchasing power of </w:t>
      </w:r>
      <w:r w:rsidR="00D84095" w:rsidRPr="00917772">
        <w:rPr>
          <w:rFonts w:ascii="Times New Roman" w:hAnsi="Times New Roman" w:cs="Times New Roman"/>
          <w:sz w:val="24"/>
          <w:szCs w:val="24"/>
        </w:rPr>
        <w:t>pool assets</w:t>
      </w:r>
      <w:r w:rsidR="00375255" w:rsidRPr="00917772">
        <w:rPr>
          <w:rFonts w:ascii="Times New Roman" w:hAnsi="Times New Roman" w:cs="Times New Roman"/>
          <w:sz w:val="24"/>
          <w:szCs w:val="24"/>
        </w:rPr>
        <w:t xml:space="preserve"> and provide</w:t>
      </w:r>
      <w:r w:rsidR="00822E2A" w:rsidRPr="00917772">
        <w:rPr>
          <w:rFonts w:ascii="Times New Roman" w:hAnsi="Times New Roman" w:cs="Times New Roman"/>
          <w:sz w:val="24"/>
          <w:szCs w:val="24"/>
        </w:rPr>
        <w:t xml:space="preserve"> annual suppo</w:t>
      </w:r>
      <w:r w:rsidR="00DA1613">
        <w:rPr>
          <w:rFonts w:ascii="Times New Roman" w:hAnsi="Times New Roman" w:cs="Times New Roman"/>
          <w:sz w:val="24"/>
          <w:szCs w:val="24"/>
        </w:rPr>
        <w:t>rt for an infinite period. The endowment p</w:t>
      </w:r>
      <w:r w:rsidR="00822E2A" w:rsidRPr="00917772">
        <w:rPr>
          <w:rFonts w:ascii="Times New Roman" w:hAnsi="Times New Roman" w:cs="Times New Roman"/>
          <w:sz w:val="24"/>
          <w:szCs w:val="24"/>
        </w:rPr>
        <w:t xml:space="preserve">ool annual spending policy for </w:t>
      </w:r>
      <w:r w:rsidR="00657EB2">
        <w:rPr>
          <w:rFonts w:ascii="Times New Roman" w:hAnsi="Times New Roman" w:cs="Times New Roman"/>
          <w:sz w:val="24"/>
          <w:szCs w:val="24"/>
        </w:rPr>
        <w:t>fiscal year</w:t>
      </w:r>
      <w:r w:rsidR="00EB4E4A">
        <w:rPr>
          <w:rFonts w:ascii="Times New Roman" w:hAnsi="Times New Roman" w:cs="Times New Roman"/>
          <w:sz w:val="24"/>
          <w:szCs w:val="24"/>
        </w:rPr>
        <w:t xml:space="preserve"> </w:t>
      </w:r>
      <w:r w:rsidR="00B31B5B">
        <w:rPr>
          <w:rFonts w:ascii="Times New Roman" w:hAnsi="Times New Roman" w:cs="Times New Roman"/>
          <w:sz w:val="24"/>
          <w:szCs w:val="24"/>
        </w:rPr>
        <w:t>202</w:t>
      </w:r>
      <w:r w:rsidR="00540F1B">
        <w:rPr>
          <w:rFonts w:ascii="Times New Roman" w:hAnsi="Times New Roman" w:cs="Times New Roman"/>
          <w:sz w:val="24"/>
          <w:szCs w:val="24"/>
        </w:rPr>
        <w:t>4</w:t>
      </w:r>
      <w:r w:rsidR="00F47234" w:rsidRPr="00917772">
        <w:rPr>
          <w:rFonts w:ascii="Times New Roman" w:hAnsi="Times New Roman" w:cs="Times New Roman"/>
          <w:sz w:val="24"/>
          <w:szCs w:val="24"/>
        </w:rPr>
        <w:t xml:space="preserve"> </w:t>
      </w:r>
      <w:r w:rsidR="00822E2A" w:rsidRPr="00917772">
        <w:rPr>
          <w:rFonts w:ascii="Times New Roman" w:hAnsi="Times New Roman" w:cs="Times New Roman"/>
          <w:sz w:val="24"/>
          <w:szCs w:val="24"/>
        </w:rPr>
        <w:t xml:space="preserve">is based on a percentage of a </w:t>
      </w:r>
      <w:r w:rsidR="00687B43" w:rsidRPr="00917772">
        <w:rPr>
          <w:rFonts w:ascii="Times New Roman" w:hAnsi="Times New Roman" w:cs="Times New Roman"/>
          <w:sz w:val="24"/>
          <w:szCs w:val="24"/>
        </w:rPr>
        <w:t>six-year</w:t>
      </w:r>
      <w:r w:rsidR="00822E2A" w:rsidRPr="00917772">
        <w:rPr>
          <w:rFonts w:ascii="Times New Roman" w:hAnsi="Times New Roman" w:cs="Times New Roman"/>
          <w:sz w:val="24"/>
          <w:szCs w:val="24"/>
        </w:rPr>
        <w:t xml:space="preserve"> moving average of </w:t>
      </w:r>
      <w:r w:rsidR="00BF5824">
        <w:rPr>
          <w:rFonts w:ascii="Times New Roman" w:hAnsi="Times New Roman" w:cs="Times New Roman"/>
          <w:sz w:val="24"/>
          <w:szCs w:val="24"/>
        </w:rPr>
        <w:t xml:space="preserve">the unit </w:t>
      </w:r>
      <w:r w:rsidR="00DA1613">
        <w:rPr>
          <w:rFonts w:ascii="Times New Roman" w:hAnsi="Times New Roman" w:cs="Times New Roman"/>
          <w:sz w:val="24"/>
          <w:szCs w:val="24"/>
        </w:rPr>
        <w:t>market value of the endowment p</w:t>
      </w:r>
      <w:r w:rsidR="00822E2A" w:rsidRPr="00917772">
        <w:rPr>
          <w:rFonts w:ascii="Times New Roman" w:hAnsi="Times New Roman" w:cs="Times New Roman"/>
          <w:sz w:val="24"/>
          <w:szCs w:val="24"/>
        </w:rPr>
        <w:t xml:space="preserve">ool. </w:t>
      </w:r>
      <w:r w:rsidRPr="00917772">
        <w:rPr>
          <w:rFonts w:ascii="Times New Roman" w:hAnsi="Times New Roman" w:cs="Times New Roman"/>
          <w:sz w:val="24"/>
          <w:szCs w:val="24"/>
        </w:rPr>
        <w:t xml:space="preserve"> </w:t>
      </w:r>
      <w:r w:rsidR="00822E2A" w:rsidRPr="00917772">
        <w:rPr>
          <w:rFonts w:ascii="Times New Roman" w:hAnsi="Times New Roman" w:cs="Times New Roman"/>
          <w:sz w:val="24"/>
          <w:szCs w:val="24"/>
        </w:rPr>
        <w:t>The spending rate—set by the Comptroller annually</w:t>
      </w:r>
      <w:r w:rsidR="00CC61BC" w:rsidRPr="00917772">
        <w:rPr>
          <w:rFonts w:ascii="Times New Roman" w:hAnsi="Times New Roman" w:cs="Times New Roman"/>
          <w:sz w:val="24"/>
          <w:szCs w:val="24"/>
        </w:rPr>
        <w:t xml:space="preserve"> in</w:t>
      </w:r>
      <w:r w:rsidR="004663AB" w:rsidRPr="00917772">
        <w:rPr>
          <w:rFonts w:ascii="Times New Roman" w:hAnsi="Times New Roman" w:cs="Times New Roman"/>
          <w:sz w:val="24"/>
          <w:szCs w:val="24"/>
        </w:rPr>
        <w:t xml:space="preserve"> consultation with the President</w:t>
      </w:r>
      <w:r w:rsidR="00B31B5B">
        <w:rPr>
          <w:rFonts w:ascii="Times New Roman" w:hAnsi="Times New Roman" w:cs="Times New Roman"/>
          <w:sz w:val="24"/>
          <w:szCs w:val="24"/>
        </w:rPr>
        <w:t xml:space="preserve">—is </w:t>
      </w:r>
      <w:r w:rsidR="00B31B5B" w:rsidRPr="000A3FCE">
        <w:rPr>
          <w:rFonts w:ascii="Times New Roman" w:hAnsi="Times New Roman" w:cs="Times New Roman"/>
          <w:sz w:val="24"/>
          <w:szCs w:val="24"/>
        </w:rPr>
        <w:t>5.</w:t>
      </w:r>
      <w:r w:rsidR="00465C01">
        <w:rPr>
          <w:rFonts w:ascii="Times New Roman" w:hAnsi="Times New Roman" w:cs="Times New Roman"/>
          <w:sz w:val="24"/>
          <w:szCs w:val="24"/>
        </w:rPr>
        <w:t>3</w:t>
      </w:r>
      <w:r w:rsidR="00B31B5B" w:rsidRPr="000A3FCE">
        <w:rPr>
          <w:rFonts w:ascii="Times New Roman" w:hAnsi="Times New Roman" w:cs="Times New Roman"/>
          <w:sz w:val="24"/>
          <w:szCs w:val="24"/>
        </w:rPr>
        <w:t>%,</w:t>
      </w:r>
      <w:r w:rsidR="00B31B5B" w:rsidRPr="00B31B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1B5B">
        <w:rPr>
          <w:rFonts w:ascii="Times New Roman" w:hAnsi="Times New Roman" w:cs="Times New Roman"/>
          <w:sz w:val="24"/>
          <w:szCs w:val="24"/>
        </w:rPr>
        <w:t xml:space="preserve">inclusive of a </w:t>
      </w:r>
      <w:r w:rsidR="000A3FCE" w:rsidRPr="000A3FCE">
        <w:rPr>
          <w:rFonts w:ascii="Times New Roman" w:hAnsi="Times New Roman" w:cs="Times New Roman"/>
          <w:sz w:val="24"/>
          <w:szCs w:val="24"/>
        </w:rPr>
        <w:t>1.</w:t>
      </w:r>
      <w:r w:rsidR="00465C01">
        <w:rPr>
          <w:rFonts w:ascii="Times New Roman" w:hAnsi="Times New Roman" w:cs="Times New Roman"/>
          <w:sz w:val="24"/>
          <w:szCs w:val="24"/>
        </w:rPr>
        <w:t>2</w:t>
      </w:r>
      <w:r w:rsidR="00822E2A" w:rsidRPr="000A3FCE">
        <w:rPr>
          <w:rFonts w:ascii="Times New Roman" w:hAnsi="Times New Roman" w:cs="Times New Roman"/>
          <w:sz w:val="24"/>
          <w:szCs w:val="24"/>
        </w:rPr>
        <w:t>%</w:t>
      </w:r>
      <w:r w:rsidR="00822E2A" w:rsidRPr="00917772">
        <w:rPr>
          <w:rFonts w:ascii="Times New Roman" w:hAnsi="Times New Roman" w:cs="Times New Roman"/>
          <w:sz w:val="24"/>
          <w:szCs w:val="24"/>
        </w:rPr>
        <w:t xml:space="preserve"> </w:t>
      </w:r>
      <w:r w:rsidR="001C4547">
        <w:rPr>
          <w:rFonts w:ascii="Times New Roman" w:hAnsi="Times New Roman" w:cs="Times New Roman"/>
          <w:sz w:val="24"/>
          <w:szCs w:val="24"/>
        </w:rPr>
        <w:t>administrative fee</w:t>
      </w:r>
      <w:r w:rsidR="00375255" w:rsidRPr="00917772">
        <w:rPr>
          <w:rFonts w:ascii="Times New Roman" w:hAnsi="Times New Roman" w:cs="Times New Roman"/>
          <w:sz w:val="24"/>
          <w:szCs w:val="24"/>
        </w:rPr>
        <w:t>. T</w:t>
      </w:r>
      <w:r w:rsidR="00DA1613">
        <w:rPr>
          <w:rFonts w:ascii="Times New Roman" w:hAnsi="Times New Roman" w:cs="Times New Roman"/>
          <w:sz w:val="24"/>
          <w:szCs w:val="24"/>
        </w:rPr>
        <w:t>he endowment p</w:t>
      </w:r>
      <w:r w:rsidR="00822E2A" w:rsidRPr="00917772">
        <w:rPr>
          <w:rFonts w:ascii="Times New Roman" w:hAnsi="Times New Roman" w:cs="Times New Roman"/>
          <w:sz w:val="24"/>
          <w:szCs w:val="24"/>
        </w:rPr>
        <w:t>ool distributed</w:t>
      </w:r>
      <w:r w:rsidR="00375255" w:rsidRPr="00917772">
        <w:rPr>
          <w:rFonts w:ascii="Times New Roman" w:hAnsi="Times New Roman" w:cs="Times New Roman"/>
          <w:sz w:val="24"/>
          <w:szCs w:val="24"/>
        </w:rPr>
        <w:t xml:space="preserve"> </w:t>
      </w:r>
      <w:r w:rsidR="00375255" w:rsidRPr="00061713">
        <w:rPr>
          <w:rFonts w:ascii="Times New Roman" w:hAnsi="Times New Roman" w:cs="Times New Roman"/>
          <w:sz w:val="24"/>
          <w:szCs w:val="24"/>
        </w:rPr>
        <w:t>approximately $</w:t>
      </w:r>
      <w:r w:rsidR="00061713" w:rsidRPr="00061713">
        <w:rPr>
          <w:rFonts w:ascii="Times New Roman" w:hAnsi="Times New Roman" w:cs="Times New Roman"/>
          <w:sz w:val="24"/>
          <w:szCs w:val="24"/>
        </w:rPr>
        <w:t>31</w:t>
      </w:r>
      <w:r w:rsidR="001C4547" w:rsidRPr="00061713">
        <w:rPr>
          <w:rFonts w:ascii="Times New Roman" w:hAnsi="Times New Roman" w:cs="Times New Roman"/>
          <w:sz w:val="24"/>
          <w:szCs w:val="24"/>
        </w:rPr>
        <w:t xml:space="preserve"> million</w:t>
      </w:r>
      <w:r w:rsidR="00CD2CDD">
        <w:rPr>
          <w:rFonts w:ascii="Times New Roman" w:hAnsi="Times New Roman" w:cs="Times New Roman"/>
          <w:sz w:val="24"/>
          <w:szCs w:val="24"/>
        </w:rPr>
        <w:t xml:space="preserve"> during </w:t>
      </w:r>
      <w:r w:rsidR="000A3FCE">
        <w:rPr>
          <w:rFonts w:ascii="Times New Roman" w:hAnsi="Times New Roman" w:cs="Times New Roman"/>
          <w:sz w:val="24"/>
          <w:szCs w:val="24"/>
        </w:rPr>
        <w:t>the 202</w:t>
      </w:r>
      <w:r w:rsidR="00540F1B">
        <w:rPr>
          <w:rFonts w:ascii="Times New Roman" w:hAnsi="Times New Roman" w:cs="Times New Roman"/>
          <w:sz w:val="24"/>
          <w:szCs w:val="24"/>
        </w:rPr>
        <w:t>4</w:t>
      </w:r>
      <w:r w:rsidR="00982624">
        <w:rPr>
          <w:rFonts w:ascii="Times New Roman" w:hAnsi="Times New Roman" w:cs="Times New Roman"/>
          <w:sz w:val="24"/>
          <w:szCs w:val="24"/>
        </w:rPr>
        <w:t xml:space="preserve"> fiscal year</w:t>
      </w:r>
      <w:r w:rsidR="00436737">
        <w:rPr>
          <w:rFonts w:ascii="Times New Roman" w:hAnsi="Times New Roman" w:cs="Times New Roman"/>
          <w:sz w:val="24"/>
          <w:szCs w:val="24"/>
        </w:rPr>
        <w:t xml:space="preserve"> </w:t>
      </w:r>
      <w:r w:rsidR="00D0515A">
        <w:rPr>
          <w:rFonts w:ascii="Times New Roman" w:hAnsi="Times New Roman" w:cs="Times New Roman"/>
          <w:sz w:val="24"/>
          <w:szCs w:val="24"/>
        </w:rPr>
        <w:t>(in</w:t>
      </w:r>
      <w:r w:rsidR="00485D0C">
        <w:rPr>
          <w:rFonts w:ascii="Times New Roman" w:hAnsi="Times New Roman" w:cs="Times New Roman"/>
          <w:sz w:val="24"/>
          <w:szCs w:val="24"/>
        </w:rPr>
        <w:t>clusive of</w:t>
      </w:r>
      <w:r w:rsidR="00CD2CDD">
        <w:rPr>
          <w:rFonts w:ascii="Times New Roman" w:hAnsi="Times New Roman" w:cs="Times New Roman"/>
          <w:sz w:val="24"/>
          <w:szCs w:val="24"/>
        </w:rPr>
        <w:t xml:space="preserve"> the administrative fee and excluding</w:t>
      </w:r>
      <w:r w:rsidR="00375255" w:rsidRPr="00917772">
        <w:rPr>
          <w:rFonts w:ascii="Times New Roman" w:hAnsi="Times New Roman" w:cs="Times New Roman"/>
          <w:sz w:val="24"/>
          <w:szCs w:val="24"/>
        </w:rPr>
        <w:t xml:space="preserve"> </w:t>
      </w:r>
      <w:r w:rsidR="00F96DAB" w:rsidRPr="00917772">
        <w:rPr>
          <w:rFonts w:ascii="Times New Roman" w:hAnsi="Times New Roman" w:cs="Times New Roman"/>
          <w:sz w:val="24"/>
          <w:szCs w:val="24"/>
        </w:rPr>
        <w:t>income</w:t>
      </w:r>
      <w:r w:rsidR="00053230" w:rsidRPr="00917772">
        <w:rPr>
          <w:rFonts w:ascii="Times New Roman" w:hAnsi="Times New Roman" w:cs="Times New Roman"/>
          <w:sz w:val="24"/>
          <w:szCs w:val="24"/>
        </w:rPr>
        <w:t xml:space="preserve"> distributed </w:t>
      </w:r>
      <w:r w:rsidR="00947907">
        <w:rPr>
          <w:rFonts w:ascii="Times New Roman" w:hAnsi="Times New Roman" w:cs="Times New Roman"/>
          <w:sz w:val="24"/>
          <w:szCs w:val="24"/>
        </w:rPr>
        <w:t>from</w:t>
      </w:r>
      <w:r w:rsidR="00053230" w:rsidRPr="00917772">
        <w:rPr>
          <w:rFonts w:ascii="Times New Roman" w:hAnsi="Times New Roman" w:cs="Times New Roman"/>
          <w:sz w:val="24"/>
          <w:szCs w:val="24"/>
        </w:rPr>
        <w:t xml:space="preserve"> the</w:t>
      </w:r>
      <w:r w:rsidR="00822E2A" w:rsidRPr="00917772">
        <w:rPr>
          <w:rFonts w:ascii="Times New Roman" w:hAnsi="Times New Roman" w:cs="Times New Roman"/>
          <w:sz w:val="24"/>
          <w:szCs w:val="24"/>
        </w:rPr>
        <w:t xml:space="preserve"> </w:t>
      </w:r>
      <w:r w:rsidR="00DA1613">
        <w:rPr>
          <w:rFonts w:ascii="Times New Roman" w:hAnsi="Times New Roman" w:cs="Times New Roman"/>
          <w:sz w:val="24"/>
          <w:szCs w:val="24"/>
        </w:rPr>
        <w:t>permanent c</w:t>
      </w:r>
      <w:r w:rsidR="00A32948">
        <w:rPr>
          <w:rFonts w:ascii="Times New Roman" w:hAnsi="Times New Roman" w:cs="Times New Roman"/>
          <w:sz w:val="24"/>
          <w:szCs w:val="24"/>
        </w:rPr>
        <w:t>ore allocation</w:t>
      </w:r>
      <w:r w:rsidR="000C41E5" w:rsidRPr="00917772">
        <w:rPr>
          <w:rFonts w:ascii="Times New Roman" w:hAnsi="Times New Roman" w:cs="Times New Roman"/>
          <w:sz w:val="24"/>
          <w:szCs w:val="24"/>
        </w:rPr>
        <w:t>)</w:t>
      </w:r>
      <w:r w:rsidR="00822E2A" w:rsidRPr="0091777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4A750DF" w14:textId="6AFF9FDD" w:rsidR="00657EB2" w:rsidRPr="00B84039" w:rsidRDefault="00657EB2" w:rsidP="00657EB2">
      <w:pPr>
        <w:spacing w:after="240"/>
        <w:rPr>
          <w:rFonts w:ascii="Times New Roman" w:hAnsi="Times New Roman" w:cs="Times New Roman"/>
          <w:b/>
          <w:sz w:val="28"/>
          <w:szCs w:val="28"/>
        </w:rPr>
      </w:pPr>
      <w:r w:rsidRPr="00B84039">
        <w:rPr>
          <w:rFonts w:ascii="Times New Roman" w:hAnsi="Times New Roman" w:cs="Times New Roman"/>
          <w:b/>
          <w:sz w:val="28"/>
          <w:szCs w:val="28"/>
        </w:rPr>
        <w:t>Performance</w:t>
      </w:r>
      <w:r w:rsidR="002C3769">
        <w:rPr>
          <w:rFonts w:ascii="Times New Roman" w:hAnsi="Times New Roman" w:cs="Times New Roman"/>
          <w:b/>
          <w:sz w:val="28"/>
          <w:szCs w:val="28"/>
        </w:rPr>
        <w:t xml:space="preserve"> Measurement</w:t>
      </w:r>
    </w:p>
    <w:p w14:paraId="71D62B1D" w14:textId="5362DFA2" w:rsidR="00657EB2" w:rsidRDefault="00657EB2" w:rsidP="00657EB2">
      <w:pPr>
        <w:spacing w:after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variety of approaches</w:t>
      </w:r>
      <w:r w:rsidR="00E573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can be taken in measuring investment performance. </w:t>
      </w:r>
      <w:r w:rsidR="00FF781A">
        <w:rPr>
          <w:rFonts w:ascii="Times New Roman" w:hAnsi="Times New Roman" w:cs="Times New Roman"/>
          <w:sz w:val="24"/>
          <w:szCs w:val="24"/>
        </w:rPr>
        <w:t>Three</w:t>
      </w:r>
      <w:r>
        <w:rPr>
          <w:rFonts w:ascii="Times New Roman" w:hAnsi="Times New Roman" w:cs="Times New Roman"/>
          <w:sz w:val="24"/>
          <w:szCs w:val="24"/>
        </w:rPr>
        <w:t xml:space="preserve"> methods</w:t>
      </w:r>
      <w:r w:rsidR="00687B43">
        <w:rPr>
          <w:rFonts w:ascii="Times New Roman" w:hAnsi="Times New Roman" w:cs="Times New Roman"/>
          <w:sz w:val="24"/>
          <w:szCs w:val="24"/>
        </w:rPr>
        <w:t xml:space="preserve"> — (</w:t>
      </w:r>
      <w:r w:rsidR="009E6275"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 xml:space="preserve">total return relative to the </w:t>
      </w:r>
      <w:r w:rsidR="009E6275">
        <w:rPr>
          <w:rFonts w:ascii="Times New Roman" w:hAnsi="Times New Roman" w:cs="Times New Roman"/>
          <w:sz w:val="24"/>
          <w:szCs w:val="24"/>
        </w:rPr>
        <w:t>combined rate of spending and inflation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F781A">
        <w:rPr>
          <w:rFonts w:ascii="Times New Roman" w:hAnsi="Times New Roman" w:cs="Times New Roman"/>
          <w:sz w:val="24"/>
          <w:szCs w:val="24"/>
        </w:rPr>
        <w:t>(2</w:t>
      </w:r>
      <w:r w:rsidR="009E6275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total return relative to the performance benchmark, and </w:t>
      </w:r>
      <w:r w:rsidR="009E6275">
        <w:rPr>
          <w:rFonts w:ascii="Times New Roman" w:hAnsi="Times New Roman" w:cs="Times New Roman"/>
          <w:sz w:val="24"/>
          <w:szCs w:val="24"/>
        </w:rPr>
        <w:t>(</w:t>
      </w:r>
      <w:r w:rsidR="00FF781A">
        <w:rPr>
          <w:rFonts w:ascii="Times New Roman" w:hAnsi="Times New Roman" w:cs="Times New Roman"/>
          <w:sz w:val="24"/>
          <w:szCs w:val="24"/>
        </w:rPr>
        <w:t>3</w:t>
      </w:r>
      <w:r w:rsidR="009E6275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cash flow activity—are presented below</w:t>
      </w:r>
      <w:r w:rsidR="003554A7">
        <w:rPr>
          <w:rFonts w:ascii="Times New Roman" w:hAnsi="Times New Roman" w:cs="Times New Roman"/>
          <w:sz w:val="24"/>
          <w:szCs w:val="24"/>
        </w:rPr>
        <w:t xml:space="preserve"> to provide a holistic view of e</w:t>
      </w:r>
      <w:r>
        <w:rPr>
          <w:rFonts w:ascii="Times New Roman" w:hAnsi="Times New Roman" w:cs="Times New Roman"/>
          <w:sz w:val="24"/>
          <w:szCs w:val="24"/>
        </w:rPr>
        <w:t>ndowment</w:t>
      </w:r>
      <w:r w:rsidR="003554A7">
        <w:rPr>
          <w:rFonts w:ascii="Times New Roman" w:hAnsi="Times New Roman" w:cs="Times New Roman"/>
          <w:sz w:val="24"/>
          <w:szCs w:val="24"/>
        </w:rPr>
        <w:t xml:space="preserve"> p</w:t>
      </w:r>
      <w:r w:rsidR="00EB4E4A">
        <w:rPr>
          <w:rFonts w:ascii="Times New Roman" w:hAnsi="Times New Roman" w:cs="Times New Roman"/>
          <w:sz w:val="24"/>
          <w:szCs w:val="24"/>
        </w:rPr>
        <w:t>ool</w:t>
      </w:r>
      <w:r>
        <w:rPr>
          <w:rFonts w:ascii="Times New Roman" w:hAnsi="Times New Roman" w:cs="Times New Roman"/>
          <w:sz w:val="24"/>
          <w:szCs w:val="24"/>
        </w:rPr>
        <w:t xml:space="preserve"> performance.</w:t>
      </w:r>
    </w:p>
    <w:p w14:paraId="41097F8E" w14:textId="6DE9C572" w:rsidR="009E6275" w:rsidRPr="009E6275" w:rsidRDefault="009E6275" w:rsidP="009E627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Total Return Relative to Spending and Inflation Rates</w:t>
      </w:r>
    </w:p>
    <w:p w14:paraId="25591537" w14:textId="7726E925" w:rsidR="00CA18DE" w:rsidRPr="00540F1B" w:rsidRDefault="00E06ABB" w:rsidP="0095581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Five</w:t>
      </w:r>
      <w:r w:rsidR="00A151AC" w:rsidRPr="00A151AC">
        <w:rPr>
          <w:rFonts w:ascii="Times New Roman" w:hAnsi="Times New Roman" w:cs="Times New Roman"/>
          <w:sz w:val="24"/>
          <w:szCs w:val="24"/>
        </w:rPr>
        <w:t xml:space="preserve"> year returns</w:t>
      </w:r>
      <w:r w:rsidR="00DF17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as of</w:t>
      </w:r>
      <w:r w:rsidR="00DF1782">
        <w:rPr>
          <w:rFonts w:ascii="Times New Roman" w:hAnsi="Times New Roman" w:cs="Times New Roman"/>
          <w:sz w:val="24"/>
          <w:szCs w:val="24"/>
        </w:rPr>
        <w:t xml:space="preserve"> fiscal years 20</w:t>
      </w:r>
      <w:r w:rsidR="00540F1B">
        <w:rPr>
          <w:rFonts w:ascii="Times New Roman" w:hAnsi="Times New Roman" w:cs="Times New Roman"/>
          <w:sz w:val="24"/>
          <w:szCs w:val="24"/>
        </w:rPr>
        <w:t>20</w:t>
      </w:r>
      <w:r w:rsidR="00DF1782">
        <w:rPr>
          <w:rFonts w:ascii="Times New Roman" w:hAnsi="Times New Roman" w:cs="Times New Roman"/>
          <w:sz w:val="24"/>
          <w:szCs w:val="24"/>
        </w:rPr>
        <w:t>-202</w:t>
      </w:r>
      <w:r w:rsidR="00540F1B">
        <w:rPr>
          <w:rFonts w:ascii="Times New Roman" w:hAnsi="Times New Roman" w:cs="Times New Roman"/>
          <w:sz w:val="24"/>
          <w:szCs w:val="24"/>
        </w:rPr>
        <w:t>4</w:t>
      </w:r>
      <w:r w:rsidR="00A151AC" w:rsidRPr="00A151AC">
        <w:rPr>
          <w:rFonts w:ascii="Times New Roman" w:hAnsi="Times New Roman" w:cs="Times New Roman"/>
          <w:sz w:val="24"/>
          <w:szCs w:val="24"/>
        </w:rPr>
        <w:t xml:space="preserve"> are presented </w:t>
      </w:r>
      <w:r w:rsidR="00952311" w:rsidRPr="00917772">
        <w:rPr>
          <w:rFonts w:ascii="Times New Roman" w:hAnsi="Times New Roman" w:cs="Times New Roman"/>
          <w:sz w:val="24"/>
          <w:szCs w:val="24"/>
        </w:rPr>
        <w:t xml:space="preserve">relative to </w:t>
      </w:r>
      <w:r w:rsidR="00CA18DE" w:rsidRPr="00917772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endowment pool’s hurdle rate (</w:t>
      </w:r>
      <w:r>
        <w:rPr>
          <w:rFonts w:ascii="Times New Roman" w:hAnsi="Times New Roman" w:cs="Times New Roman"/>
          <w:i/>
          <w:iCs/>
          <w:sz w:val="24"/>
          <w:szCs w:val="24"/>
        </w:rPr>
        <w:t>i.e.,</w:t>
      </w:r>
      <w:r>
        <w:t xml:space="preserve"> </w:t>
      </w:r>
      <w:r w:rsidR="00CA18DE" w:rsidRPr="00917772">
        <w:rPr>
          <w:rFonts w:ascii="Times New Roman" w:hAnsi="Times New Roman" w:cs="Times New Roman"/>
          <w:sz w:val="24"/>
          <w:szCs w:val="24"/>
        </w:rPr>
        <w:t xml:space="preserve">effective spending rate </w:t>
      </w:r>
      <w:r>
        <w:rPr>
          <w:rFonts w:ascii="Times New Roman" w:hAnsi="Times New Roman" w:cs="Times New Roman"/>
          <w:sz w:val="24"/>
          <w:szCs w:val="24"/>
        </w:rPr>
        <w:t>plus</w:t>
      </w:r>
      <w:r w:rsidR="00CA18DE" w:rsidRPr="00917772">
        <w:rPr>
          <w:rFonts w:ascii="Times New Roman" w:hAnsi="Times New Roman" w:cs="Times New Roman"/>
          <w:sz w:val="24"/>
          <w:szCs w:val="24"/>
        </w:rPr>
        <w:t xml:space="preserve"> the consum</w:t>
      </w:r>
      <w:r w:rsidR="00B52922" w:rsidRPr="00917772">
        <w:rPr>
          <w:rFonts w:ascii="Times New Roman" w:hAnsi="Times New Roman" w:cs="Times New Roman"/>
          <w:sz w:val="24"/>
          <w:szCs w:val="24"/>
        </w:rPr>
        <w:t>er price index (CPI)</w:t>
      </w:r>
      <w:r>
        <w:rPr>
          <w:rFonts w:ascii="Times New Roman" w:hAnsi="Times New Roman" w:cs="Times New Roman"/>
          <w:sz w:val="24"/>
          <w:szCs w:val="24"/>
        </w:rPr>
        <w:t>)</w:t>
      </w:r>
      <w:r w:rsidR="00B52922" w:rsidRPr="00917772">
        <w:rPr>
          <w:rFonts w:ascii="Times New Roman" w:hAnsi="Times New Roman" w:cs="Times New Roman"/>
          <w:sz w:val="24"/>
          <w:szCs w:val="24"/>
        </w:rPr>
        <w:t xml:space="preserve"> in Figure </w:t>
      </w:r>
      <w:r w:rsidR="008D66D1">
        <w:rPr>
          <w:rFonts w:ascii="Times New Roman" w:hAnsi="Times New Roman" w:cs="Times New Roman"/>
          <w:sz w:val="24"/>
          <w:szCs w:val="24"/>
        </w:rPr>
        <w:t>5</w:t>
      </w:r>
      <w:r w:rsidR="00A32948">
        <w:rPr>
          <w:rFonts w:ascii="Times New Roman" w:hAnsi="Times New Roman" w:cs="Times New Roman"/>
          <w:sz w:val="24"/>
          <w:szCs w:val="24"/>
        </w:rPr>
        <w:t>.</w:t>
      </w:r>
      <w:r w:rsidR="00485D0C">
        <w:rPr>
          <w:rFonts w:ascii="Times New Roman" w:hAnsi="Times New Roman" w:cs="Times New Roman"/>
          <w:sz w:val="24"/>
          <w:szCs w:val="24"/>
        </w:rPr>
        <w:t xml:space="preserve"> </w:t>
      </w:r>
      <w:r w:rsidR="00A32948">
        <w:rPr>
          <w:rFonts w:ascii="Times New Roman" w:hAnsi="Times New Roman" w:cs="Times New Roman"/>
          <w:sz w:val="24"/>
          <w:szCs w:val="24"/>
        </w:rPr>
        <w:t xml:space="preserve"> </w:t>
      </w:r>
      <w:r w:rsidR="00DF1782">
        <w:rPr>
          <w:rFonts w:ascii="Times New Roman" w:hAnsi="Times New Roman" w:cs="Times New Roman"/>
          <w:sz w:val="24"/>
          <w:szCs w:val="24"/>
        </w:rPr>
        <w:t xml:space="preserve">The effective spending rate is inclusive of the administrative fee. </w:t>
      </w:r>
      <w:r w:rsidR="00F41052">
        <w:rPr>
          <w:rFonts w:ascii="Times New Roman" w:hAnsi="Times New Roman" w:cs="Times New Roman"/>
          <w:sz w:val="24"/>
          <w:szCs w:val="24"/>
        </w:rPr>
        <w:t xml:space="preserve">This comparison provides a medium-term assessment of whether endowment returns </w:t>
      </w:r>
      <w:r w:rsidR="004C0A87">
        <w:rPr>
          <w:rFonts w:ascii="Times New Roman" w:hAnsi="Times New Roman" w:cs="Times New Roman"/>
          <w:sz w:val="24"/>
          <w:szCs w:val="24"/>
        </w:rPr>
        <w:t>are sufficient to offset inflation and spending.</w:t>
      </w:r>
      <w:r w:rsidR="009A50C2">
        <w:rPr>
          <w:rFonts w:ascii="Times New Roman" w:hAnsi="Times New Roman" w:cs="Times New Roman"/>
          <w:sz w:val="24"/>
          <w:szCs w:val="24"/>
        </w:rPr>
        <w:t xml:space="preserve"> Endowment pool returns exceeded the hurdle rate </w:t>
      </w:r>
      <w:r w:rsidR="009A50C2" w:rsidRPr="00137A47">
        <w:rPr>
          <w:rFonts w:ascii="Times New Roman" w:hAnsi="Times New Roman" w:cs="Times New Roman"/>
          <w:sz w:val="24"/>
          <w:szCs w:val="24"/>
        </w:rPr>
        <w:t xml:space="preserve">for </w:t>
      </w:r>
      <w:r w:rsidR="004A1959" w:rsidRPr="00137A47">
        <w:rPr>
          <w:rFonts w:ascii="Times New Roman" w:hAnsi="Times New Roman" w:cs="Times New Roman"/>
          <w:sz w:val="24"/>
          <w:szCs w:val="24"/>
        </w:rPr>
        <w:t>one</w:t>
      </w:r>
      <w:r w:rsidR="009A50C2" w:rsidRPr="00137A47">
        <w:rPr>
          <w:rFonts w:ascii="Times New Roman" w:hAnsi="Times New Roman" w:cs="Times New Roman"/>
          <w:sz w:val="24"/>
          <w:szCs w:val="24"/>
        </w:rPr>
        <w:t xml:space="preserve"> of the five periods </w:t>
      </w:r>
      <w:r w:rsidR="004E473B" w:rsidRPr="00137A47">
        <w:rPr>
          <w:rFonts w:ascii="Times New Roman" w:hAnsi="Times New Roman" w:cs="Times New Roman"/>
          <w:sz w:val="24"/>
          <w:szCs w:val="24"/>
        </w:rPr>
        <w:t>under</w:t>
      </w:r>
      <w:r w:rsidR="004E473B">
        <w:rPr>
          <w:rFonts w:ascii="Times New Roman" w:hAnsi="Times New Roman" w:cs="Times New Roman"/>
          <w:sz w:val="24"/>
          <w:szCs w:val="24"/>
        </w:rPr>
        <w:t xml:space="preserve"> consideration </w:t>
      </w:r>
      <w:r w:rsidR="009A50C2">
        <w:rPr>
          <w:rFonts w:ascii="Times New Roman" w:hAnsi="Times New Roman" w:cs="Times New Roman"/>
          <w:sz w:val="24"/>
          <w:szCs w:val="24"/>
        </w:rPr>
        <w:t xml:space="preserve">with the </w:t>
      </w:r>
      <w:r w:rsidR="009A50C2" w:rsidRPr="00137A47">
        <w:rPr>
          <w:rFonts w:ascii="Times New Roman" w:hAnsi="Times New Roman" w:cs="Times New Roman"/>
          <w:sz w:val="24"/>
          <w:szCs w:val="24"/>
        </w:rPr>
        <w:t>FY2</w:t>
      </w:r>
      <w:r w:rsidR="00137A47">
        <w:rPr>
          <w:rFonts w:ascii="Times New Roman" w:hAnsi="Times New Roman" w:cs="Times New Roman"/>
          <w:sz w:val="24"/>
          <w:szCs w:val="24"/>
        </w:rPr>
        <w:t>2</w:t>
      </w:r>
      <w:r w:rsidR="00137A47" w:rsidRPr="00137A47">
        <w:rPr>
          <w:rFonts w:ascii="Times New Roman" w:hAnsi="Times New Roman" w:cs="Times New Roman"/>
          <w:sz w:val="24"/>
          <w:szCs w:val="24"/>
        </w:rPr>
        <w:t>-24</w:t>
      </w:r>
      <w:r w:rsidR="009A50C2">
        <w:rPr>
          <w:rFonts w:ascii="Times New Roman" w:hAnsi="Times New Roman" w:cs="Times New Roman"/>
          <w:sz w:val="24"/>
          <w:szCs w:val="24"/>
        </w:rPr>
        <w:t xml:space="preserve"> hurdle rate</w:t>
      </w:r>
      <w:r w:rsidR="004A1959">
        <w:rPr>
          <w:rFonts w:ascii="Times New Roman" w:hAnsi="Times New Roman" w:cs="Times New Roman"/>
          <w:sz w:val="24"/>
          <w:szCs w:val="24"/>
        </w:rPr>
        <w:t>s</w:t>
      </w:r>
      <w:r w:rsidR="009A50C2">
        <w:rPr>
          <w:rFonts w:ascii="Times New Roman" w:hAnsi="Times New Roman" w:cs="Times New Roman"/>
          <w:sz w:val="24"/>
          <w:szCs w:val="24"/>
        </w:rPr>
        <w:t xml:space="preserve"> impacted by </w:t>
      </w:r>
      <w:r>
        <w:rPr>
          <w:rFonts w:ascii="Times New Roman" w:hAnsi="Times New Roman" w:cs="Times New Roman"/>
          <w:sz w:val="24"/>
          <w:szCs w:val="24"/>
        </w:rPr>
        <w:t>a</w:t>
      </w:r>
      <w:r w:rsidR="009A50C2">
        <w:rPr>
          <w:rFonts w:ascii="Times New Roman" w:hAnsi="Times New Roman" w:cs="Times New Roman"/>
          <w:sz w:val="24"/>
          <w:szCs w:val="24"/>
        </w:rPr>
        <w:t xml:space="preserve"> </w:t>
      </w:r>
      <w:r w:rsidR="004E473B">
        <w:rPr>
          <w:rFonts w:ascii="Times New Roman" w:hAnsi="Times New Roman" w:cs="Times New Roman"/>
          <w:sz w:val="24"/>
          <w:szCs w:val="24"/>
        </w:rPr>
        <w:t>drastic</w:t>
      </w:r>
      <w:r w:rsidR="009A50C2">
        <w:rPr>
          <w:rFonts w:ascii="Times New Roman" w:hAnsi="Times New Roman" w:cs="Times New Roman"/>
          <w:sz w:val="24"/>
          <w:szCs w:val="24"/>
        </w:rPr>
        <w:t xml:space="preserve"> increase in inflation</w:t>
      </w:r>
      <w:r w:rsidR="009A50C2" w:rsidRPr="004A1959">
        <w:rPr>
          <w:rFonts w:ascii="Times New Roman" w:hAnsi="Times New Roman" w:cs="Times New Roman"/>
          <w:sz w:val="24"/>
          <w:szCs w:val="24"/>
        </w:rPr>
        <w:t>.</w:t>
      </w:r>
      <w:r w:rsidR="004A1959" w:rsidRPr="004A1959">
        <w:rPr>
          <w:rFonts w:ascii="Times New Roman" w:hAnsi="Times New Roman" w:cs="Times New Roman"/>
          <w:sz w:val="24"/>
          <w:szCs w:val="24"/>
        </w:rPr>
        <w:t xml:space="preserve"> </w:t>
      </w:r>
      <w:r w:rsidR="009A50C2" w:rsidRPr="004A1959">
        <w:rPr>
          <w:rFonts w:ascii="Times New Roman" w:hAnsi="Times New Roman" w:cs="Times New Roman"/>
          <w:sz w:val="24"/>
          <w:szCs w:val="24"/>
        </w:rPr>
        <w:t xml:space="preserve"> </w:t>
      </w:r>
      <w:r w:rsidR="004E473B" w:rsidRPr="004A1959">
        <w:rPr>
          <w:rFonts w:ascii="Times New Roman" w:hAnsi="Times New Roman" w:cs="Times New Roman"/>
          <w:sz w:val="24"/>
          <w:szCs w:val="24"/>
        </w:rPr>
        <w:t>Forward-looking inflationary expectations will be monitored to ensure that the endowment’s asset allocation and spending rate remain appropriate.</w:t>
      </w:r>
      <w:r w:rsidR="00540F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EE99E79" w14:textId="6BD8B3AF" w:rsidR="00657EB2" w:rsidRDefault="00E1022B" w:rsidP="00E1022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</w:p>
    <w:p w14:paraId="73721E88" w14:textId="77777777" w:rsidR="00A32948" w:rsidRDefault="00A32948" w:rsidP="00E1022B">
      <w:pPr>
        <w:rPr>
          <w:rFonts w:ascii="Times New Roman" w:hAnsi="Times New Roman" w:cs="Times New Roman"/>
          <w:b/>
          <w:sz w:val="24"/>
          <w:szCs w:val="24"/>
        </w:rPr>
      </w:pPr>
    </w:p>
    <w:p w14:paraId="56BE5FE6" w14:textId="77777777" w:rsidR="00687B43" w:rsidRDefault="00EE5F9E" w:rsidP="003A534A">
      <w:pPr>
        <w:rPr>
          <w:rFonts w:ascii="Times New Roman" w:hAnsi="Times New Roman" w:cs="Times New Roman"/>
          <w:b/>
          <w:sz w:val="24"/>
          <w:szCs w:val="24"/>
        </w:rPr>
      </w:pPr>
      <w:r w:rsidRPr="009E6275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BE60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6010">
        <w:rPr>
          <w:rFonts w:ascii="Times New Roman" w:hAnsi="Times New Roman" w:cs="Times New Roman"/>
          <w:b/>
          <w:sz w:val="24"/>
          <w:szCs w:val="24"/>
        </w:rPr>
        <w:tab/>
      </w:r>
      <w:r w:rsidR="000A3FC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9473FDE" w14:textId="77777777" w:rsidR="00687B43" w:rsidRDefault="00687B43" w:rsidP="003A534A">
      <w:pPr>
        <w:rPr>
          <w:rFonts w:ascii="Times New Roman" w:hAnsi="Times New Roman" w:cs="Times New Roman"/>
          <w:b/>
          <w:sz w:val="24"/>
          <w:szCs w:val="24"/>
        </w:rPr>
      </w:pPr>
    </w:p>
    <w:p w14:paraId="60A509CF" w14:textId="77777777" w:rsidR="00E06ABB" w:rsidRDefault="00687B43" w:rsidP="00687B43">
      <w:pPr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6B5F197" w14:textId="5D4FB5E9" w:rsidR="00E84D90" w:rsidRPr="00E84D90" w:rsidRDefault="00536860" w:rsidP="00687B43">
      <w:pPr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657EB2" w:rsidRPr="009F1B46">
        <w:rPr>
          <w:rFonts w:ascii="Times New Roman" w:hAnsi="Times New Roman" w:cs="Times New Roman"/>
          <w:b/>
          <w:sz w:val="24"/>
          <w:szCs w:val="24"/>
        </w:rPr>
        <w:t xml:space="preserve">Figure </w:t>
      </w:r>
      <w:r w:rsidR="008D66D1" w:rsidRPr="009F1B46">
        <w:rPr>
          <w:rFonts w:ascii="Times New Roman" w:hAnsi="Times New Roman" w:cs="Times New Roman"/>
          <w:b/>
          <w:sz w:val="24"/>
          <w:szCs w:val="24"/>
        </w:rPr>
        <w:t>5</w:t>
      </w:r>
      <w:r w:rsidR="00CB3AA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051F501" w14:textId="6A363E8A" w:rsidR="006C3DDA" w:rsidRDefault="009F1B46" w:rsidP="00FF781A">
      <w:pPr>
        <w:spacing w:after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C834783" wp14:editId="162DCE04">
            <wp:extent cx="4737100" cy="2755900"/>
            <wp:effectExtent l="0" t="0" r="6350" b="6350"/>
            <wp:docPr id="665430677" name="Picture 16" descr="Figure 5 &#10;&#10;Bar Graph for Five Year Returns - Effective Spending R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5430677" name="Picture 16" descr="Figure 5 &#10;&#10;Bar Graph for Five Year Returns - Effective Spending Rat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1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AE10E9" w14:textId="023C7387" w:rsidR="009E6275" w:rsidRPr="009E6275" w:rsidRDefault="009E6275" w:rsidP="009E627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Total Return Relative to Performance Benchmark</w:t>
      </w:r>
    </w:p>
    <w:p w14:paraId="3F1D29BA" w14:textId="1A527413" w:rsidR="008C102D" w:rsidRDefault="006C3DDA">
      <w:pPr>
        <w:rPr>
          <w:rFonts w:ascii="Times New Roman" w:hAnsi="Times New Roman" w:cs="Times New Roman"/>
          <w:sz w:val="24"/>
          <w:szCs w:val="24"/>
        </w:rPr>
      </w:pPr>
      <w:r w:rsidRPr="008943C3">
        <w:rPr>
          <w:rFonts w:ascii="Times New Roman" w:hAnsi="Times New Roman" w:cs="Times New Roman"/>
          <w:sz w:val="24"/>
          <w:szCs w:val="24"/>
        </w:rPr>
        <w:t>T</w:t>
      </w:r>
      <w:r w:rsidR="00DA1613" w:rsidRPr="008943C3">
        <w:rPr>
          <w:rFonts w:ascii="Times New Roman" w:hAnsi="Times New Roman" w:cs="Times New Roman"/>
          <w:sz w:val="24"/>
          <w:szCs w:val="24"/>
        </w:rPr>
        <w:t>he e</w:t>
      </w:r>
      <w:r w:rsidR="00216524" w:rsidRPr="008943C3">
        <w:rPr>
          <w:rFonts w:ascii="Times New Roman" w:hAnsi="Times New Roman" w:cs="Times New Roman"/>
          <w:sz w:val="24"/>
          <w:szCs w:val="24"/>
        </w:rPr>
        <w:t xml:space="preserve">ndowment </w:t>
      </w:r>
      <w:r w:rsidR="007A054A" w:rsidRPr="008943C3">
        <w:rPr>
          <w:rFonts w:ascii="Times New Roman" w:hAnsi="Times New Roman" w:cs="Times New Roman"/>
          <w:sz w:val="24"/>
          <w:szCs w:val="24"/>
        </w:rPr>
        <w:t>outperformed i</w:t>
      </w:r>
      <w:r w:rsidR="00216524" w:rsidRPr="008943C3">
        <w:rPr>
          <w:rFonts w:ascii="Times New Roman" w:hAnsi="Times New Roman" w:cs="Times New Roman"/>
          <w:sz w:val="24"/>
          <w:szCs w:val="24"/>
        </w:rPr>
        <w:t xml:space="preserve">ts performance benchmark over </w:t>
      </w:r>
      <w:r w:rsidR="007A054A" w:rsidRPr="00706B36">
        <w:rPr>
          <w:rFonts w:ascii="Times New Roman" w:hAnsi="Times New Roman" w:cs="Times New Roman"/>
          <w:sz w:val="24"/>
          <w:szCs w:val="24"/>
        </w:rPr>
        <w:t xml:space="preserve">the </w:t>
      </w:r>
      <w:r w:rsidR="00137A47">
        <w:rPr>
          <w:rFonts w:ascii="Times New Roman" w:hAnsi="Times New Roman" w:cs="Times New Roman"/>
          <w:sz w:val="24"/>
          <w:szCs w:val="24"/>
        </w:rPr>
        <w:t>one</w:t>
      </w:r>
      <w:r w:rsidR="00042761" w:rsidRPr="00706B36">
        <w:rPr>
          <w:rFonts w:ascii="Times New Roman" w:hAnsi="Times New Roman" w:cs="Times New Roman"/>
          <w:sz w:val="24"/>
          <w:szCs w:val="24"/>
        </w:rPr>
        <w:t>-</w:t>
      </w:r>
      <w:r w:rsidR="007A054A" w:rsidRPr="00706B36">
        <w:rPr>
          <w:rFonts w:ascii="Times New Roman" w:hAnsi="Times New Roman" w:cs="Times New Roman"/>
          <w:sz w:val="24"/>
          <w:szCs w:val="24"/>
        </w:rPr>
        <w:t>year period</w:t>
      </w:r>
      <w:r w:rsidR="007A054A" w:rsidRPr="008943C3">
        <w:rPr>
          <w:rFonts w:ascii="Times New Roman" w:hAnsi="Times New Roman" w:cs="Times New Roman"/>
          <w:sz w:val="24"/>
          <w:szCs w:val="24"/>
        </w:rPr>
        <w:t xml:space="preserve"> but </w:t>
      </w:r>
      <w:r w:rsidR="00706B36">
        <w:rPr>
          <w:rFonts w:ascii="Times New Roman" w:hAnsi="Times New Roman" w:cs="Times New Roman"/>
          <w:sz w:val="24"/>
          <w:szCs w:val="24"/>
        </w:rPr>
        <w:t>lagged over longer</w:t>
      </w:r>
      <w:r w:rsidR="00B859DB">
        <w:rPr>
          <w:rFonts w:ascii="Times New Roman" w:hAnsi="Times New Roman" w:cs="Times New Roman"/>
          <w:sz w:val="24"/>
          <w:szCs w:val="24"/>
        </w:rPr>
        <w:t>-term</w:t>
      </w:r>
      <w:r w:rsidR="00706B36">
        <w:rPr>
          <w:rFonts w:ascii="Times New Roman" w:hAnsi="Times New Roman" w:cs="Times New Roman"/>
          <w:sz w:val="24"/>
          <w:szCs w:val="24"/>
        </w:rPr>
        <w:t xml:space="preserve"> periods. Over </w:t>
      </w:r>
      <w:r w:rsidR="00137A47">
        <w:rPr>
          <w:rFonts w:ascii="Times New Roman" w:hAnsi="Times New Roman" w:cs="Times New Roman"/>
          <w:sz w:val="24"/>
          <w:szCs w:val="24"/>
        </w:rPr>
        <w:t>recent periods</w:t>
      </w:r>
      <w:r w:rsidR="00706B36">
        <w:rPr>
          <w:rFonts w:ascii="Times New Roman" w:hAnsi="Times New Roman" w:cs="Times New Roman"/>
          <w:sz w:val="24"/>
          <w:szCs w:val="24"/>
        </w:rPr>
        <w:t xml:space="preserve">, the primary </w:t>
      </w:r>
      <w:r w:rsidR="00137A47">
        <w:rPr>
          <w:rFonts w:ascii="Times New Roman" w:hAnsi="Times New Roman" w:cs="Times New Roman"/>
          <w:sz w:val="24"/>
          <w:szCs w:val="24"/>
        </w:rPr>
        <w:t>contributors</w:t>
      </w:r>
      <w:r w:rsidR="00706B36">
        <w:rPr>
          <w:rFonts w:ascii="Times New Roman" w:hAnsi="Times New Roman" w:cs="Times New Roman"/>
          <w:sz w:val="24"/>
          <w:szCs w:val="24"/>
        </w:rPr>
        <w:t xml:space="preserve"> of relative performance w</w:t>
      </w:r>
      <w:r w:rsidR="00137A47">
        <w:rPr>
          <w:rFonts w:ascii="Times New Roman" w:hAnsi="Times New Roman" w:cs="Times New Roman"/>
          <w:sz w:val="24"/>
          <w:szCs w:val="24"/>
        </w:rPr>
        <w:t>ere fixed income and real estate while farmland and investments that are no longer active in the portfolio detracted over long-term term</w:t>
      </w:r>
      <w:r w:rsidR="00B859DB">
        <w:rPr>
          <w:rFonts w:ascii="Times New Roman" w:hAnsi="Times New Roman" w:cs="Times New Roman"/>
          <w:sz w:val="24"/>
          <w:szCs w:val="24"/>
        </w:rPr>
        <w:t xml:space="preserve"> periods</w:t>
      </w:r>
      <w:r w:rsidR="00706B36">
        <w:rPr>
          <w:rFonts w:ascii="Times New Roman" w:hAnsi="Times New Roman" w:cs="Times New Roman"/>
          <w:sz w:val="24"/>
          <w:szCs w:val="24"/>
        </w:rPr>
        <w:t xml:space="preserve">. </w:t>
      </w:r>
      <w:r w:rsidR="008C102D" w:rsidRPr="008943C3">
        <w:rPr>
          <w:rFonts w:ascii="Times New Roman" w:hAnsi="Times New Roman" w:cs="Times New Roman"/>
          <w:sz w:val="24"/>
          <w:szCs w:val="24"/>
        </w:rPr>
        <w:t>The historical investm</w:t>
      </w:r>
      <w:r w:rsidR="00DA1613" w:rsidRPr="008943C3">
        <w:rPr>
          <w:rFonts w:ascii="Times New Roman" w:hAnsi="Times New Roman" w:cs="Times New Roman"/>
          <w:sz w:val="24"/>
          <w:szCs w:val="24"/>
        </w:rPr>
        <w:t>ent performance of the e</w:t>
      </w:r>
      <w:r w:rsidR="008C102D" w:rsidRPr="008943C3">
        <w:rPr>
          <w:rFonts w:ascii="Times New Roman" w:hAnsi="Times New Roman" w:cs="Times New Roman"/>
          <w:sz w:val="24"/>
          <w:szCs w:val="24"/>
        </w:rPr>
        <w:t xml:space="preserve">ndowment has been provided in Figure </w:t>
      </w:r>
      <w:r w:rsidR="008D66D1">
        <w:rPr>
          <w:rFonts w:ascii="Times New Roman" w:hAnsi="Times New Roman" w:cs="Times New Roman"/>
          <w:sz w:val="24"/>
          <w:szCs w:val="24"/>
        </w:rPr>
        <w:t>6</w:t>
      </w:r>
      <w:r w:rsidR="008C102D" w:rsidRPr="008943C3">
        <w:rPr>
          <w:rFonts w:ascii="Times New Roman" w:hAnsi="Times New Roman" w:cs="Times New Roman"/>
          <w:sz w:val="24"/>
          <w:szCs w:val="24"/>
        </w:rPr>
        <w:t>.</w:t>
      </w:r>
    </w:p>
    <w:p w14:paraId="0B35E7F3" w14:textId="186301E9" w:rsidR="006C3DDA" w:rsidRPr="008C102D" w:rsidRDefault="00D816CE" w:rsidP="00D816C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8C102D" w:rsidRPr="00137A47">
        <w:rPr>
          <w:rFonts w:ascii="Times New Roman" w:hAnsi="Times New Roman" w:cs="Times New Roman"/>
          <w:b/>
          <w:sz w:val="24"/>
          <w:szCs w:val="24"/>
        </w:rPr>
        <w:t xml:space="preserve">Figure </w:t>
      </w:r>
      <w:r w:rsidR="008D66D1" w:rsidRPr="00137A47">
        <w:rPr>
          <w:rFonts w:ascii="Times New Roman" w:hAnsi="Times New Roman" w:cs="Times New Roman"/>
          <w:b/>
          <w:sz w:val="24"/>
          <w:szCs w:val="24"/>
        </w:rPr>
        <w:t>6</w:t>
      </w:r>
      <w:r w:rsidR="00CB3AA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8CC7375" w14:textId="672BD2BA" w:rsidR="008C102D" w:rsidRDefault="00BF7115" w:rsidP="0016179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74009A2" wp14:editId="5611CDDB">
            <wp:extent cx="6329363" cy="2424113"/>
            <wp:effectExtent l="0" t="0" r="14605" b="14605"/>
            <wp:docPr id="24" name="Chart 24" descr="Figure 6 &#10;&#10;Endowment Pool Historical Performance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08CE89DF" w14:textId="13F9090D" w:rsidR="00865A66" w:rsidRDefault="00865A66" w:rsidP="0016179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485C1E6" w14:textId="77777777" w:rsidR="00FF781A" w:rsidRDefault="00FF781A" w:rsidP="009E627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3FA56A0D" w14:textId="77777777" w:rsidR="00FF781A" w:rsidRDefault="00FF781A" w:rsidP="009E627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5228C23F" w14:textId="77777777" w:rsidR="00FF781A" w:rsidRDefault="00FF781A" w:rsidP="009E627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36D6465D" w14:textId="77777777" w:rsidR="003A534A" w:rsidRDefault="003A534A" w:rsidP="009E627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65AF7D2B" w14:textId="77777777" w:rsidR="003A534A" w:rsidRDefault="003A534A" w:rsidP="009E627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58882D0D" w14:textId="55562AA9" w:rsidR="009E6275" w:rsidRPr="009E6275" w:rsidRDefault="009E6275" w:rsidP="009E627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Cash Flow Activity</w:t>
      </w:r>
    </w:p>
    <w:p w14:paraId="53DD04E6" w14:textId="116E7F7A" w:rsidR="00865A66" w:rsidRDefault="00DA1613" w:rsidP="00D64B0C">
      <w:pPr>
        <w:spacing w:after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endowment p</w:t>
      </w:r>
      <w:r w:rsidR="00C96869">
        <w:rPr>
          <w:rFonts w:ascii="Times New Roman" w:hAnsi="Times New Roman" w:cs="Times New Roman"/>
          <w:sz w:val="24"/>
          <w:szCs w:val="24"/>
        </w:rPr>
        <w:t>ool</w:t>
      </w:r>
      <w:r w:rsidR="007A054A">
        <w:rPr>
          <w:rFonts w:ascii="Times New Roman" w:hAnsi="Times New Roman" w:cs="Times New Roman"/>
          <w:sz w:val="24"/>
          <w:szCs w:val="24"/>
        </w:rPr>
        <w:t xml:space="preserve"> balance</w:t>
      </w:r>
      <w:r w:rsidR="00C96869">
        <w:rPr>
          <w:rFonts w:ascii="Times New Roman" w:hAnsi="Times New Roman" w:cs="Times New Roman"/>
          <w:sz w:val="24"/>
          <w:szCs w:val="24"/>
        </w:rPr>
        <w:t xml:space="preserve"> is impacted </w:t>
      </w:r>
      <w:r w:rsidR="00015A18">
        <w:rPr>
          <w:rFonts w:ascii="Times New Roman" w:hAnsi="Times New Roman" w:cs="Times New Roman"/>
          <w:sz w:val="24"/>
          <w:szCs w:val="24"/>
        </w:rPr>
        <w:t>by three factors—net additions</w:t>
      </w:r>
      <w:r w:rsidR="00D64B0C">
        <w:rPr>
          <w:rFonts w:ascii="Times New Roman" w:hAnsi="Times New Roman" w:cs="Times New Roman"/>
          <w:sz w:val="24"/>
          <w:szCs w:val="24"/>
        </w:rPr>
        <w:t>,</w:t>
      </w:r>
      <w:r w:rsidR="00470B2F">
        <w:rPr>
          <w:rFonts w:ascii="Times New Roman" w:hAnsi="Times New Roman" w:cs="Times New Roman"/>
          <w:sz w:val="24"/>
          <w:szCs w:val="24"/>
        </w:rPr>
        <w:t xml:space="preserve"> the</w:t>
      </w:r>
      <w:r w:rsidR="00D64B0C">
        <w:rPr>
          <w:rFonts w:ascii="Times New Roman" w:hAnsi="Times New Roman" w:cs="Times New Roman"/>
          <w:sz w:val="24"/>
          <w:szCs w:val="24"/>
        </w:rPr>
        <w:t xml:space="preserve"> spending distribution</w:t>
      </w:r>
      <w:r w:rsidR="00FA662F">
        <w:rPr>
          <w:rFonts w:ascii="Times New Roman" w:hAnsi="Times New Roman" w:cs="Times New Roman"/>
          <w:sz w:val="24"/>
          <w:szCs w:val="24"/>
        </w:rPr>
        <w:t>,</w:t>
      </w:r>
      <w:r w:rsidR="00C96869">
        <w:rPr>
          <w:rFonts w:ascii="Times New Roman" w:hAnsi="Times New Roman" w:cs="Times New Roman"/>
          <w:sz w:val="24"/>
          <w:szCs w:val="24"/>
        </w:rPr>
        <w:t xml:space="preserve"> </w:t>
      </w:r>
      <w:r w:rsidR="00D7058A">
        <w:rPr>
          <w:rFonts w:ascii="Times New Roman" w:hAnsi="Times New Roman" w:cs="Times New Roman"/>
          <w:sz w:val="24"/>
          <w:szCs w:val="24"/>
        </w:rPr>
        <w:t>and capital appreciation</w:t>
      </w:r>
      <w:r w:rsidR="00C96869">
        <w:rPr>
          <w:rFonts w:ascii="Times New Roman" w:hAnsi="Times New Roman" w:cs="Times New Roman"/>
          <w:sz w:val="24"/>
          <w:szCs w:val="24"/>
        </w:rPr>
        <w:t xml:space="preserve">. The impact of </w:t>
      </w:r>
      <w:r w:rsidR="00485D0C">
        <w:rPr>
          <w:rFonts w:ascii="Times New Roman" w:hAnsi="Times New Roman" w:cs="Times New Roman"/>
          <w:sz w:val="24"/>
          <w:szCs w:val="24"/>
        </w:rPr>
        <w:t>these</w:t>
      </w:r>
      <w:r w:rsidR="00C96869">
        <w:rPr>
          <w:rFonts w:ascii="Times New Roman" w:hAnsi="Times New Roman" w:cs="Times New Roman"/>
          <w:sz w:val="24"/>
          <w:szCs w:val="24"/>
        </w:rPr>
        <w:t xml:space="preserve"> factors </w:t>
      </w:r>
      <w:r w:rsidR="00042761">
        <w:rPr>
          <w:rFonts w:ascii="Times New Roman" w:hAnsi="Times New Roman" w:cs="Times New Roman"/>
          <w:sz w:val="24"/>
          <w:szCs w:val="24"/>
        </w:rPr>
        <w:t xml:space="preserve">on the pool (excluding the permanent core allocation) </w:t>
      </w:r>
      <w:r w:rsidR="00C96869">
        <w:rPr>
          <w:rFonts w:ascii="Times New Roman" w:hAnsi="Times New Roman" w:cs="Times New Roman"/>
          <w:sz w:val="24"/>
          <w:szCs w:val="24"/>
        </w:rPr>
        <w:t xml:space="preserve">over a </w:t>
      </w:r>
      <w:r w:rsidR="00042761">
        <w:rPr>
          <w:rFonts w:ascii="Times New Roman" w:hAnsi="Times New Roman" w:cs="Times New Roman"/>
          <w:sz w:val="24"/>
          <w:szCs w:val="24"/>
        </w:rPr>
        <w:t>ten-year</w:t>
      </w:r>
      <w:r w:rsidR="00C96869">
        <w:rPr>
          <w:rFonts w:ascii="Times New Roman" w:hAnsi="Times New Roman" w:cs="Times New Roman"/>
          <w:sz w:val="24"/>
          <w:szCs w:val="24"/>
        </w:rPr>
        <w:t xml:space="preserve"> period as of </w:t>
      </w:r>
      <w:r w:rsidR="00986199">
        <w:rPr>
          <w:rFonts w:ascii="Times New Roman" w:hAnsi="Times New Roman" w:cs="Times New Roman"/>
          <w:sz w:val="24"/>
          <w:szCs w:val="24"/>
        </w:rPr>
        <w:t>June 30, 20</w:t>
      </w:r>
      <w:r w:rsidR="00BF7115">
        <w:rPr>
          <w:rFonts w:ascii="Times New Roman" w:hAnsi="Times New Roman" w:cs="Times New Roman"/>
          <w:sz w:val="24"/>
          <w:szCs w:val="24"/>
        </w:rPr>
        <w:t>2</w:t>
      </w:r>
      <w:r w:rsidR="00540F1B">
        <w:rPr>
          <w:rFonts w:ascii="Times New Roman" w:hAnsi="Times New Roman" w:cs="Times New Roman"/>
          <w:sz w:val="24"/>
          <w:szCs w:val="24"/>
        </w:rPr>
        <w:t>4</w:t>
      </w:r>
      <w:r w:rsidR="00C96869" w:rsidRPr="00CD1D9B">
        <w:rPr>
          <w:rFonts w:ascii="Times New Roman" w:hAnsi="Times New Roman" w:cs="Times New Roman"/>
          <w:sz w:val="24"/>
          <w:szCs w:val="24"/>
        </w:rPr>
        <w:t>, is summarized</w:t>
      </w:r>
      <w:r w:rsidR="00490825">
        <w:rPr>
          <w:rFonts w:ascii="Times New Roman" w:hAnsi="Times New Roman" w:cs="Times New Roman"/>
          <w:sz w:val="24"/>
          <w:szCs w:val="24"/>
        </w:rPr>
        <w:t xml:space="preserve"> </w:t>
      </w:r>
      <w:r w:rsidR="00C96869">
        <w:rPr>
          <w:rFonts w:ascii="Times New Roman" w:hAnsi="Times New Roman" w:cs="Times New Roman"/>
          <w:sz w:val="24"/>
          <w:szCs w:val="24"/>
        </w:rPr>
        <w:t xml:space="preserve">in Figure </w:t>
      </w:r>
      <w:r w:rsidR="008D66D1">
        <w:rPr>
          <w:rFonts w:ascii="Times New Roman" w:hAnsi="Times New Roman" w:cs="Times New Roman"/>
          <w:sz w:val="24"/>
          <w:szCs w:val="24"/>
        </w:rPr>
        <w:t>7</w:t>
      </w:r>
      <w:r w:rsidR="00C96869">
        <w:rPr>
          <w:rFonts w:ascii="Times New Roman" w:hAnsi="Times New Roman" w:cs="Times New Roman"/>
          <w:sz w:val="24"/>
          <w:szCs w:val="24"/>
        </w:rPr>
        <w:t>.</w:t>
      </w:r>
      <w:r w:rsidR="00015A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51BD6C" w14:textId="75AA8C9B" w:rsidR="002867BA" w:rsidRDefault="00714CE6">
      <w:pPr>
        <w:rPr>
          <w:rFonts w:ascii="Times New Roman" w:hAnsi="Times New Roman" w:cs="Times New Roman"/>
          <w:b/>
          <w:sz w:val="24"/>
          <w:szCs w:val="24"/>
        </w:rPr>
      </w:pPr>
      <w:r w:rsidRPr="009E6275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EE5F9E" w:rsidRPr="009E62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62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6860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C96869" w:rsidRPr="00A4223D">
        <w:rPr>
          <w:rFonts w:ascii="Times New Roman" w:hAnsi="Times New Roman" w:cs="Times New Roman"/>
          <w:b/>
          <w:sz w:val="24"/>
          <w:szCs w:val="24"/>
        </w:rPr>
        <w:t xml:space="preserve">Figure </w:t>
      </w:r>
      <w:r w:rsidR="008D66D1" w:rsidRPr="00A4223D">
        <w:rPr>
          <w:rFonts w:ascii="Times New Roman" w:hAnsi="Times New Roman" w:cs="Times New Roman"/>
          <w:b/>
          <w:sz w:val="24"/>
          <w:szCs w:val="24"/>
        </w:rPr>
        <w:t>7</w:t>
      </w:r>
    </w:p>
    <w:tbl>
      <w:tblPr>
        <w:tblW w:w="47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988"/>
        <w:gridCol w:w="2803"/>
      </w:tblGrid>
      <w:tr w:rsidR="00D64B0C" w:rsidRPr="00D64B0C" w14:paraId="2C689D7A" w14:textId="77777777" w:rsidTr="00BC6185">
        <w:trPr>
          <w:trHeight w:val="315"/>
          <w:jc w:val="center"/>
        </w:trPr>
        <w:tc>
          <w:tcPr>
            <w:tcW w:w="4791" w:type="dxa"/>
            <w:gridSpan w:val="2"/>
            <w:shd w:val="clear" w:color="auto" w:fill="auto"/>
            <w:noWrap/>
            <w:hideMark/>
          </w:tcPr>
          <w:p w14:paraId="3F15DCC6" w14:textId="77777777" w:rsidR="00E06ABB" w:rsidRDefault="00D64B0C" w:rsidP="00F07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4B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Summary of Endowment Pool Activity </w:t>
            </w:r>
          </w:p>
          <w:p w14:paraId="1999629B" w14:textId="43CCBE79" w:rsidR="00D64B0C" w:rsidRPr="00D64B0C" w:rsidRDefault="00AC50BD" w:rsidP="00F07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1959">
              <w:rPr>
                <w:rFonts w:ascii="Times New Roman" w:eastAsia="Times New Roman" w:hAnsi="Times New Roman" w:cs="Times New Roman"/>
                <w:b/>
                <w:bCs/>
              </w:rPr>
              <w:t>FY1</w:t>
            </w:r>
            <w:r w:rsidR="00A4223D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  <w:r w:rsidR="00E06ABB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D64B0C" w:rsidRPr="004A1959"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  <w:r w:rsidR="00E06ABB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0A3C09" w:rsidRPr="004A1959">
              <w:rPr>
                <w:rFonts w:ascii="Times New Roman" w:eastAsia="Times New Roman" w:hAnsi="Times New Roman" w:cs="Times New Roman"/>
                <w:b/>
                <w:bCs/>
              </w:rPr>
              <w:t>FY2</w:t>
            </w:r>
            <w:r w:rsidR="00A4223D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</w:tr>
      <w:tr w:rsidR="00D64B0C" w:rsidRPr="00D64B0C" w14:paraId="4D4BD5BD" w14:textId="77777777" w:rsidTr="00BC6185">
        <w:trPr>
          <w:trHeight w:val="300"/>
          <w:jc w:val="center"/>
        </w:trPr>
        <w:tc>
          <w:tcPr>
            <w:tcW w:w="4791" w:type="dxa"/>
            <w:gridSpan w:val="2"/>
            <w:shd w:val="clear" w:color="auto" w:fill="auto"/>
            <w:noWrap/>
            <w:hideMark/>
          </w:tcPr>
          <w:p w14:paraId="446E0F40" w14:textId="77777777" w:rsidR="00D64B0C" w:rsidRPr="00D64B0C" w:rsidRDefault="00D64B0C" w:rsidP="00D6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4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All figures in millions</w:t>
            </w:r>
          </w:p>
        </w:tc>
      </w:tr>
      <w:tr w:rsidR="00D64B0C" w:rsidRPr="00D64B0C" w14:paraId="2075C70D" w14:textId="77777777" w:rsidTr="00BC6185">
        <w:trPr>
          <w:trHeight w:val="300"/>
          <w:jc w:val="center"/>
        </w:trPr>
        <w:tc>
          <w:tcPr>
            <w:tcW w:w="1988" w:type="dxa"/>
            <w:shd w:val="clear" w:color="auto" w:fill="auto"/>
            <w:noWrap/>
            <w:vAlign w:val="bottom"/>
            <w:hideMark/>
          </w:tcPr>
          <w:p w14:paraId="7153A0C1" w14:textId="77777777" w:rsidR="00D64B0C" w:rsidRPr="00D64B0C" w:rsidRDefault="00D64B0C" w:rsidP="00D6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4B0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99" w:type="dxa"/>
            <w:shd w:val="clear" w:color="auto" w:fill="auto"/>
            <w:noWrap/>
            <w:vAlign w:val="bottom"/>
            <w:hideMark/>
          </w:tcPr>
          <w:p w14:paraId="304AF7F0" w14:textId="77777777" w:rsidR="00D64B0C" w:rsidRPr="00D64B0C" w:rsidRDefault="00D64B0C" w:rsidP="00D6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4B0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64B0C" w:rsidRPr="00D64B0C" w14:paraId="3C73F614" w14:textId="77777777" w:rsidTr="00BC6185">
        <w:trPr>
          <w:trHeight w:val="300"/>
          <w:jc w:val="center"/>
        </w:trPr>
        <w:tc>
          <w:tcPr>
            <w:tcW w:w="1988" w:type="dxa"/>
            <w:shd w:val="clear" w:color="auto" w:fill="auto"/>
            <w:noWrap/>
            <w:vAlign w:val="bottom"/>
            <w:hideMark/>
          </w:tcPr>
          <w:p w14:paraId="61620162" w14:textId="77777777" w:rsidR="00D64B0C" w:rsidRPr="00D64B0C" w:rsidRDefault="00D64B0C" w:rsidP="00D6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4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99" w:type="dxa"/>
            <w:shd w:val="clear" w:color="auto" w:fill="auto"/>
            <w:noWrap/>
            <w:hideMark/>
          </w:tcPr>
          <w:p w14:paraId="07DBE745" w14:textId="2D8E1819" w:rsidR="00D64B0C" w:rsidRPr="00D64B0C" w:rsidRDefault="00D64B0C" w:rsidP="00D6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Ten Year</w:t>
            </w:r>
            <w:r w:rsidRPr="00D64B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Totals</w:t>
            </w:r>
          </w:p>
        </w:tc>
      </w:tr>
      <w:tr w:rsidR="00D64B0C" w:rsidRPr="00D64B0C" w14:paraId="60225055" w14:textId="77777777" w:rsidTr="00BC6185">
        <w:trPr>
          <w:trHeight w:val="300"/>
          <w:jc w:val="center"/>
        </w:trPr>
        <w:tc>
          <w:tcPr>
            <w:tcW w:w="1988" w:type="dxa"/>
            <w:shd w:val="clear" w:color="auto" w:fill="auto"/>
            <w:noWrap/>
            <w:vAlign w:val="bottom"/>
            <w:hideMark/>
          </w:tcPr>
          <w:p w14:paraId="47B440B2" w14:textId="77777777" w:rsidR="00D64B0C" w:rsidRPr="00D64B0C" w:rsidRDefault="00D64B0C" w:rsidP="00D6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4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99" w:type="dxa"/>
            <w:shd w:val="clear" w:color="auto" w:fill="auto"/>
            <w:noWrap/>
            <w:vAlign w:val="bottom"/>
            <w:hideMark/>
          </w:tcPr>
          <w:p w14:paraId="6922C7ED" w14:textId="77777777" w:rsidR="00D64B0C" w:rsidRPr="00D64B0C" w:rsidRDefault="00D64B0C" w:rsidP="00D64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4B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64B0C" w:rsidRPr="00D64B0C" w14:paraId="7DB98306" w14:textId="77777777" w:rsidTr="00BC6185">
        <w:trPr>
          <w:trHeight w:val="300"/>
          <w:jc w:val="center"/>
        </w:trPr>
        <w:tc>
          <w:tcPr>
            <w:tcW w:w="1988" w:type="dxa"/>
            <w:shd w:val="clear" w:color="auto" w:fill="auto"/>
            <w:noWrap/>
            <w:hideMark/>
          </w:tcPr>
          <w:p w14:paraId="1F70BF96" w14:textId="77777777" w:rsidR="00D64B0C" w:rsidRPr="00D64B0C" w:rsidRDefault="00D64B0C" w:rsidP="00D64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64B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Beginning Balance</w:t>
            </w:r>
          </w:p>
        </w:tc>
        <w:tc>
          <w:tcPr>
            <w:tcW w:w="2799" w:type="dxa"/>
            <w:shd w:val="clear" w:color="auto" w:fill="auto"/>
            <w:noWrap/>
            <w:hideMark/>
          </w:tcPr>
          <w:p w14:paraId="4372AB91" w14:textId="5EAF8371" w:rsidR="00D64B0C" w:rsidRPr="00D64B0C" w:rsidRDefault="00A4223D" w:rsidP="00F07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326</w:t>
            </w:r>
            <w:r w:rsidR="00AF13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D64B0C" w:rsidRPr="00D64B0C" w14:paraId="13C12805" w14:textId="77777777" w:rsidTr="00BC6185">
        <w:trPr>
          <w:trHeight w:val="300"/>
          <w:jc w:val="center"/>
        </w:trPr>
        <w:tc>
          <w:tcPr>
            <w:tcW w:w="1988" w:type="dxa"/>
            <w:shd w:val="clear" w:color="auto" w:fill="auto"/>
            <w:noWrap/>
            <w:vAlign w:val="bottom"/>
            <w:hideMark/>
          </w:tcPr>
          <w:p w14:paraId="50E47E95" w14:textId="77777777" w:rsidR="00D64B0C" w:rsidRPr="00D64B0C" w:rsidRDefault="00D64B0C" w:rsidP="00D64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4B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9" w:type="dxa"/>
            <w:shd w:val="clear" w:color="auto" w:fill="auto"/>
            <w:noWrap/>
            <w:vAlign w:val="bottom"/>
            <w:hideMark/>
          </w:tcPr>
          <w:p w14:paraId="68D8E847" w14:textId="77777777" w:rsidR="00D64B0C" w:rsidRPr="00D64B0C" w:rsidRDefault="00D64B0C" w:rsidP="00D6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4B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64B0C" w:rsidRPr="00D64B0C" w14:paraId="110D8ABB" w14:textId="77777777" w:rsidTr="00BC6185">
        <w:trPr>
          <w:trHeight w:val="300"/>
          <w:jc w:val="center"/>
        </w:trPr>
        <w:tc>
          <w:tcPr>
            <w:tcW w:w="1988" w:type="dxa"/>
            <w:shd w:val="clear" w:color="auto" w:fill="auto"/>
            <w:noWrap/>
            <w:hideMark/>
          </w:tcPr>
          <w:p w14:paraId="7428F6B8" w14:textId="77777777" w:rsidR="00D64B0C" w:rsidRPr="00D64B0C" w:rsidRDefault="00D64B0C" w:rsidP="00D6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4B0C">
              <w:rPr>
                <w:rFonts w:ascii="Times New Roman" w:eastAsia="Times New Roman" w:hAnsi="Times New Roman" w:cs="Times New Roman"/>
                <w:sz w:val="20"/>
                <w:szCs w:val="20"/>
              </w:rPr>
              <w:t>Net Additions</w:t>
            </w:r>
          </w:p>
        </w:tc>
        <w:tc>
          <w:tcPr>
            <w:tcW w:w="2799" w:type="dxa"/>
            <w:shd w:val="clear" w:color="auto" w:fill="auto"/>
            <w:noWrap/>
            <w:hideMark/>
          </w:tcPr>
          <w:p w14:paraId="628DE5CE" w14:textId="0964F6A7" w:rsidR="00D64B0C" w:rsidRPr="00D64B0C" w:rsidRDefault="0068575C" w:rsidP="00FE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A4223D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A4223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D64B0C" w:rsidRPr="00D64B0C" w14:paraId="0E4E9E76" w14:textId="77777777" w:rsidTr="00BC6185">
        <w:trPr>
          <w:trHeight w:val="300"/>
          <w:jc w:val="center"/>
        </w:trPr>
        <w:tc>
          <w:tcPr>
            <w:tcW w:w="1988" w:type="dxa"/>
            <w:shd w:val="clear" w:color="auto" w:fill="auto"/>
            <w:noWrap/>
            <w:vAlign w:val="bottom"/>
            <w:hideMark/>
          </w:tcPr>
          <w:p w14:paraId="4F8FEC7E" w14:textId="77777777" w:rsidR="00D64B0C" w:rsidRPr="00D64B0C" w:rsidRDefault="00D64B0C" w:rsidP="00D6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4B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9" w:type="dxa"/>
            <w:shd w:val="clear" w:color="auto" w:fill="auto"/>
            <w:noWrap/>
            <w:vAlign w:val="bottom"/>
            <w:hideMark/>
          </w:tcPr>
          <w:p w14:paraId="5F707F54" w14:textId="77777777" w:rsidR="00D64B0C" w:rsidRPr="00D64B0C" w:rsidRDefault="00D64B0C" w:rsidP="00D6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4B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64B0C" w:rsidRPr="00D64B0C" w14:paraId="07FEC26C" w14:textId="77777777" w:rsidTr="00BC6185">
        <w:trPr>
          <w:trHeight w:val="300"/>
          <w:jc w:val="center"/>
        </w:trPr>
        <w:tc>
          <w:tcPr>
            <w:tcW w:w="1988" w:type="dxa"/>
            <w:shd w:val="clear" w:color="auto" w:fill="auto"/>
            <w:noWrap/>
            <w:hideMark/>
          </w:tcPr>
          <w:p w14:paraId="1056B0DB" w14:textId="65DF58D6" w:rsidR="00D64B0C" w:rsidRPr="00D64B0C" w:rsidRDefault="00D64B0C" w:rsidP="00976E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4B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76EEF">
              <w:rPr>
                <w:rFonts w:ascii="Times New Roman" w:eastAsia="Times New Roman" w:hAnsi="Times New Roman" w:cs="Times New Roman"/>
                <w:sz w:val="20"/>
                <w:szCs w:val="20"/>
              </w:rPr>
              <w:t>Distributions</w:t>
            </w:r>
          </w:p>
        </w:tc>
        <w:tc>
          <w:tcPr>
            <w:tcW w:w="2799" w:type="dxa"/>
            <w:shd w:val="clear" w:color="auto" w:fill="auto"/>
            <w:noWrap/>
            <w:hideMark/>
          </w:tcPr>
          <w:p w14:paraId="68CB8105" w14:textId="1AC22BD6" w:rsidR="00D64B0C" w:rsidRPr="00D64B0C" w:rsidRDefault="00976EEF" w:rsidP="00F07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-1</w:t>
            </w:r>
            <w:r w:rsidR="00A4223D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A422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64B0C" w:rsidRPr="00D64B0C" w14:paraId="5A009098" w14:textId="77777777" w:rsidTr="00BC6185">
        <w:trPr>
          <w:trHeight w:val="300"/>
          <w:jc w:val="center"/>
        </w:trPr>
        <w:tc>
          <w:tcPr>
            <w:tcW w:w="1988" w:type="dxa"/>
            <w:shd w:val="clear" w:color="auto" w:fill="auto"/>
            <w:noWrap/>
            <w:vAlign w:val="bottom"/>
            <w:hideMark/>
          </w:tcPr>
          <w:p w14:paraId="537556F1" w14:textId="77777777" w:rsidR="00D64B0C" w:rsidRPr="00D64B0C" w:rsidRDefault="00D64B0C" w:rsidP="00D6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4B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9" w:type="dxa"/>
            <w:shd w:val="clear" w:color="auto" w:fill="auto"/>
            <w:noWrap/>
            <w:vAlign w:val="bottom"/>
            <w:hideMark/>
          </w:tcPr>
          <w:p w14:paraId="57952DBF" w14:textId="77777777" w:rsidR="00D64B0C" w:rsidRPr="00D64B0C" w:rsidRDefault="00D64B0C" w:rsidP="00D6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4B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64B0C" w:rsidRPr="00D64B0C" w14:paraId="0D4BD183" w14:textId="77777777" w:rsidTr="00BC6185">
        <w:trPr>
          <w:trHeight w:val="300"/>
          <w:jc w:val="center"/>
        </w:trPr>
        <w:tc>
          <w:tcPr>
            <w:tcW w:w="1988" w:type="dxa"/>
            <w:shd w:val="clear" w:color="auto" w:fill="auto"/>
            <w:noWrap/>
            <w:hideMark/>
          </w:tcPr>
          <w:p w14:paraId="62B80FDA" w14:textId="437D3222" w:rsidR="00D64B0C" w:rsidRPr="00D64B0C" w:rsidRDefault="00D7058A" w:rsidP="00D64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Capital Appreciation</w:t>
            </w:r>
          </w:p>
        </w:tc>
        <w:tc>
          <w:tcPr>
            <w:tcW w:w="2799" w:type="dxa"/>
            <w:shd w:val="clear" w:color="auto" w:fill="auto"/>
            <w:noWrap/>
            <w:hideMark/>
          </w:tcPr>
          <w:p w14:paraId="4A4508F8" w14:textId="16417B4C" w:rsidR="00D64B0C" w:rsidRPr="00D64B0C" w:rsidRDefault="00F07B9E" w:rsidP="00F07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  <w:r w:rsidR="00A4223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68575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A4223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D64B0C" w:rsidRPr="00D64B0C" w14:paraId="677AC0B8" w14:textId="77777777" w:rsidTr="00BC6185">
        <w:trPr>
          <w:trHeight w:val="300"/>
          <w:jc w:val="center"/>
        </w:trPr>
        <w:tc>
          <w:tcPr>
            <w:tcW w:w="1988" w:type="dxa"/>
            <w:shd w:val="clear" w:color="auto" w:fill="auto"/>
            <w:noWrap/>
            <w:vAlign w:val="bottom"/>
            <w:hideMark/>
          </w:tcPr>
          <w:p w14:paraId="30B1497C" w14:textId="77777777" w:rsidR="00D64B0C" w:rsidRPr="00D64B0C" w:rsidRDefault="00D64B0C" w:rsidP="00D64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4B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9" w:type="dxa"/>
            <w:shd w:val="clear" w:color="auto" w:fill="auto"/>
            <w:noWrap/>
            <w:vAlign w:val="bottom"/>
            <w:hideMark/>
          </w:tcPr>
          <w:p w14:paraId="1C5CEB0C" w14:textId="77777777" w:rsidR="00D64B0C" w:rsidRPr="00D64B0C" w:rsidRDefault="00D64B0C" w:rsidP="00D64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4B0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64B0C" w:rsidRPr="00D64B0C" w14:paraId="0019F6F4" w14:textId="77777777" w:rsidTr="00BC6185">
        <w:trPr>
          <w:trHeight w:val="300"/>
          <w:jc w:val="center"/>
        </w:trPr>
        <w:tc>
          <w:tcPr>
            <w:tcW w:w="1988" w:type="dxa"/>
            <w:shd w:val="clear" w:color="auto" w:fill="auto"/>
            <w:noWrap/>
            <w:hideMark/>
          </w:tcPr>
          <w:p w14:paraId="6B4048B4" w14:textId="77777777" w:rsidR="00D64B0C" w:rsidRPr="00D64B0C" w:rsidRDefault="00D64B0C" w:rsidP="00D64B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64B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Ending Balance</w:t>
            </w:r>
          </w:p>
        </w:tc>
        <w:tc>
          <w:tcPr>
            <w:tcW w:w="2799" w:type="dxa"/>
            <w:shd w:val="clear" w:color="auto" w:fill="auto"/>
            <w:noWrap/>
            <w:hideMark/>
          </w:tcPr>
          <w:p w14:paraId="1C3216E1" w14:textId="1F3F0423" w:rsidR="00D64B0C" w:rsidRPr="00D64B0C" w:rsidRDefault="00A4223D" w:rsidP="00FE7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514</w:t>
            </w:r>
            <w:r w:rsidR="00AC50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</w:tbl>
    <w:p w14:paraId="3A3A38BF" w14:textId="77777777" w:rsidR="00C96869" w:rsidRPr="00C96869" w:rsidRDefault="00C96869">
      <w:pPr>
        <w:rPr>
          <w:rFonts w:ascii="Times New Roman" w:hAnsi="Times New Roman" w:cs="Times New Roman"/>
          <w:b/>
          <w:sz w:val="24"/>
          <w:szCs w:val="24"/>
        </w:rPr>
      </w:pPr>
    </w:p>
    <w:p w14:paraId="2C52C592" w14:textId="767C2A8C" w:rsidR="00015C23" w:rsidRPr="00925665" w:rsidRDefault="00375255" w:rsidP="0092566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17772">
        <w:rPr>
          <w:rFonts w:ascii="Times New Roman" w:hAnsi="Times New Roman" w:cs="Times New Roman"/>
          <w:b/>
          <w:i/>
          <w:sz w:val="24"/>
          <w:szCs w:val="24"/>
        </w:rPr>
        <w:br w:type="page"/>
      </w:r>
      <w:r w:rsidR="002867BA" w:rsidRPr="00925665">
        <w:rPr>
          <w:rFonts w:ascii="Times New Roman" w:hAnsi="Times New Roman" w:cs="Times New Roman"/>
          <w:b/>
          <w:sz w:val="32"/>
          <w:szCs w:val="32"/>
        </w:rPr>
        <w:lastRenderedPageBreak/>
        <w:t>Operating Pool</w:t>
      </w:r>
    </w:p>
    <w:p w14:paraId="273BB44F" w14:textId="7B478F55" w:rsidR="00925665" w:rsidRPr="00925665" w:rsidRDefault="00925665" w:rsidP="00925665">
      <w:pPr>
        <w:keepNext/>
        <w:framePr w:dropCap="drop" w:lines="2" w:wrap="around" w:vAnchor="text" w:hAnchor="text"/>
        <w:spacing w:after="0" w:line="595" w:lineRule="exact"/>
        <w:textAlignment w:val="baseline"/>
        <w:rPr>
          <w:rFonts w:ascii="Times New Roman" w:hAnsi="Times New Roman" w:cs="Times New Roman"/>
          <w:position w:val="-5"/>
          <w:sz w:val="73"/>
          <w:szCs w:val="24"/>
        </w:rPr>
      </w:pPr>
      <w:r w:rsidRPr="00925665">
        <w:rPr>
          <w:rFonts w:ascii="Times New Roman" w:hAnsi="Times New Roman" w:cs="Times New Roman"/>
          <w:position w:val="-5"/>
          <w:sz w:val="73"/>
          <w:szCs w:val="24"/>
        </w:rPr>
        <w:t>T</w:t>
      </w:r>
    </w:p>
    <w:p w14:paraId="54F6E26D" w14:textId="5A05B388" w:rsidR="003B4B3F" w:rsidRPr="00917772" w:rsidRDefault="003114AA" w:rsidP="00925665">
      <w:pPr>
        <w:spacing w:after="360"/>
        <w:rPr>
          <w:rFonts w:ascii="Times New Roman" w:hAnsi="Times New Roman" w:cs="Times New Roman"/>
          <w:sz w:val="24"/>
          <w:szCs w:val="24"/>
        </w:rPr>
      </w:pPr>
      <w:r w:rsidRPr="00917772">
        <w:rPr>
          <w:rFonts w:ascii="Times New Roman" w:hAnsi="Times New Roman" w:cs="Times New Roman"/>
          <w:sz w:val="24"/>
          <w:szCs w:val="24"/>
        </w:rPr>
        <w:t xml:space="preserve">he </w:t>
      </w:r>
      <w:r w:rsidRPr="00917772">
        <w:rPr>
          <w:rFonts w:ascii="Times New Roman" w:hAnsi="Times New Roman" w:cs="Times New Roman"/>
          <w:i/>
          <w:sz w:val="24"/>
          <w:szCs w:val="24"/>
        </w:rPr>
        <w:t>Operating Pool</w:t>
      </w:r>
      <w:r w:rsidRPr="00917772">
        <w:rPr>
          <w:rFonts w:ascii="Times New Roman" w:hAnsi="Times New Roman" w:cs="Times New Roman"/>
          <w:sz w:val="24"/>
          <w:szCs w:val="24"/>
        </w:rPr>
        <w:t xml:space="preserve"> </w:t>
      </w:r>
      <w:r w:rsidR="00DF3F59" w:rsidRPr="00917772">
        <w:rPr>
          <w:rFonts w:ascii="Times New Roman" w:hAnsi="Times New Roman" w:cs="Times New Roman"/>
          <w:sz w:val="24"/>
          <w:szCs w:val="24"/>
        </w:rPr>
        <w:t>(</w:t>
      </w:r>
      <w:r w:rsidR="00BB08CA" w:rsidRPr="00917772">
        <w:rPr>
          <w:rFonts w:ascii="Times New Roman" w:hAnsi="Times New Roman" w:cs="Times New Roman"/>
          <w:sz w:val="24"/>
          <w:szCs w:val="24"/>
        </w:rPr>
        <w:t xml:space="preserve">market </w:t>
      </w:r>
      <w:r w:rsidR="00BB08CA" w:rsidRPr="00706B36">
        <w:rPr>
          <w:rFonts w:ascii="Times New Roman" w:hAnsi="Times New Roman" w:cs="Times New Roman"/>
          <w:sz w:val="24"/>
          <w:szCs w:val="24"/>
        </w:rPr>
        <w:t>value</w:t>
      </w:r>
      <w:r w:rsidR="00907C62" w:rsidRPr="00706B36">
        <w:rPr>
          <w:rFonts w:ascii="Times New Roman" w:hAnsi="Times New Roman" w:cs="Times New Roman"/>
          <w:sz w:val="24"/>
          <w:szCs w:val="24"/>
        </w:rPr>
        <w:t xml:space="preserve"> </w:t>
      </w:r>
      <w:r w:rsidR="00D0515A" w:rsidRPr="00706B36">
        <w:rPr>
          <w:rFonts w:ascii="Times New Roman" w:hAnsi="Times New Roman" w:cs="Times New Roman"/>
          <w:sz w:val="24"/>
          <w:szCs w:val="24"/>
        </w:rPr>
        <w:t>$</w:t>
      </w:r>
      <w:r w:rsidR="00FF781A" w:rsidRPr="00706B36">
        <w:rPr>
          <w:rFonts w:ascii="Times New Roman" w:hAnsi="Times New Roman" w:cs="Times New Roman"/>
          <w:sz w:val="24"/>
          <w:szCs w:val="24"/>
        </w:rPr>
        <w:t>3.</w:t>
      </w:r>
      <w:r w:rsidR="00137A47">
        <w:rPr>
          <w:rFonts w:ascii="Times New Roman" w:hAnsi="Times New Roman" w:cs="Times New Roman"/>
          <w:sz w:val="24"/>
          <w:szCs w:val="24"/>
        </w:rPr>
        <w:t>66</w:t>
      </w:r>
      <w:r w:rsidR="005251CC" w:rsidRPr="00706B36">
        <w:rPr>
          <w:rFonts w:ascii="Times New Roman" w:hAnsi="Times New Roman" w:cs="Times New Roman"/>
          <w:sz w:val="24"/>
          <w:szCs w:val="24"/>
        </w:rPr>
        <w:t xml:space="preserve"> billion</w:t>
      </w:r>
      <w:r w:rsidR="00DF3F59" w:rsidRPr="005F684D">
        <w:rPr>
          <w:rFonts w:ascii="Times New Roman" w:hAnsi="Times New Roman" w:cs="Times New Roman"/>
          <w:sz w:val="24"/>
          <w:szCs w:val="24"/>
        </w:rPr>
        <w:t>)</w:t>
      </w:r>
      <w:r w:rsidR="00DF3F59" w:rsidRPr="00917772">
        <w:rPr>
          <w:rFonts w:ascii="Times New Roman" w:hAnsi="Times New Roman" w:cs="Times New Roman"/>
          <w:sz w:val="24"/>
          <w:szCs w:val="24"/>
        </w:rPr>
        <w:t xml:space="preserve"> </w:t>
      </w:r>
      <w:r w:rsidRPr="00917772">
        <w:rPr>
          <w:rFonts w:ascii="Times New Roman" w:hAnsi="Times New Roman" w:cs="Times New Roman"/>
          <w:sz w:val="24"/>
          <w:szCs w:val="24"/>
        </w:rPr>
        <w:t>consists of funds available for</w:t>
      </w:r>
      <w:r w:rsidR="00D84095" w:rsidRPr="00917772">
        <w:rPr>
          <w:rFonts w:ascii="Times New Roman" w:hAnsi="Times New Roman" w:cs="Times New Roman"/>
          <w:sz w:val="24"/>
          <w:szCs w:val="24"/>
        </w:rPr>
        <w:t xml:space="preserve"> current use</w:t>
      </w:r>
      <w:r w:rsidR="00ED1E6D" w:rsidRPr="00917772">
        <w:rPr>
          <w:rFonts w:ascii="Times New Roman" w:hAnsi="Times New Roman" w:cs="Times New Roman"/>
          <w:sz w:val="24"/>
          <w:szCs w:val="24"/>
        </w:rPr>
        <w:t xml:space="preserve"> by academic and administrativ</w:t>
      </w:r>
      <w:r w:rsidR="003554A7">
        <w:rPr>
          <w:rFonts w:ascii="Times New Roman" w:hAnsi="Times New Roman" w:cs="Times New Roman"/>
          <w:sz w:val="24"/>
          <w:szCs w:val="24"/>
        </w:rPr>
        <w:t>e units within the System. The p</w:t>
      </w:r>
      <w:r w:rsidR="00ED1E6D" w:rsidRPr="00917772">
        <w:rPr>
          <w:rFonts w:ascii="Times New Roman" w:hAnsi="Times New Roman" w:cs="Times New Roman"/>
          <w:sz w:val="24"/>
          <w:szCs w:val="24"/>
        </w:rPr>
        <w:t>ool includes cash from state appropriations, tuition and fees, student loan funds, grants</w:t>
      </w:r>
      <w:r w:rsidR="00E04838" w:rsidRPr="00917772">
        <w:rPr>
          <w:rFonts w:ascii="Times New Roman" w:hAnsi="Times New Roman" w:cs="Times New Roman"/>
          <w:sz w:val="24"/>
          <w:szCs w:val="24"/>
        </w:rPr>
        <w:t>,</w:t>
      </w:r>
      <w:r w:rsidR="00ED1E6D" w:rsidRPr="00917772">
        <w:rPr>
          <w:rFonts w:ascii="Times New Roman" w:hAnsi="Times New Roman" w:cs="Times New Roman"/>
          <w:sz w:val="24"/>
          <w:szCs w:val="24"/>
        </w:rPr>
        <w:t xml:space="preserve"> self-insurance programs, and hospital and auxiliary services</w:t>
      </w:r>
      <w:r w:rsidRPr="00917772">
        <w:rPr>
          <w:rFonts w:ascii="Times New Roman" w:hAnsi="Times New Roman" w:cs="Times New Roman"/>
          <w:sz w:val="24"/>
          <w:szCs w:val="24"/>
        </w:rPr>
        <w:t>. The consolidated management of funds provides robust tracking and effic</w:t>
      </w:r>
      <w:r w:rsidR="00DD3F6E" w:rsidRPr="00917772">
        <w:rPr>
          <w:rFonts w:ascii="Times New Roman" w:hAnsi="Times New Roman" w:cs="Times New Roman"/>
          <w:sz w:val="24"/>
          <w:szCs w:val="24"/>
        </w:rPr>
        <w:t>ient investment management.</w:t>
      </w:r>
      <w:r w:rsidR="00ED1E6D" w:rsidRPr="009177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04B250" w14:textId="326DC76C" w:rsidR="00015C23" w:rsidRDefault="00B051D5" w:rsidP="00925665">
      <w:pPr>
        <w:spacing w:after="360"/>
        <w:rPr>
          <w:rFonts w:ascii="Times New Roman" w:hAnsi="Times New Roman" w:cs="Times New Roman"/>
          <w:sz w:val="24"/>
          <w:szCs w:val="24"/>
        </w:rPr>
      </w:pPr>
      <w:r w:rsidRPr="00917772">
        <w:rPr>
          <w:rFonts w:ascii="Times New Roman" w:hAnsi="Times New Roman" w:cs="Times New Roman"/>
          <w:sz w:val="24"/>
          <w:szCs w:val="24"/>
        </w:rPr>
        <w:t xml:space="preserve">The investment objective for the </w:t>
      </w:r>
      <w:r w:rsidR="003554A7">
        <w:rPr>
          <w:rFonts w:ascii="Times New Roman" w:hAnsi="Times New Roman" w:cs="Times New Roman"/>
          <w:sz w:val="24"/>
          <w:szCs w:val="24"/>
        </w:rPr>
        <w:t>operating pool</w:t>
      </w:r>
      <w:r w:rsidR="007E1DC6" w:rsidRPr="009177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E1DC6" w:rsidRPr="00917772">
        <w:rPr>
          <w:rFonts w:ascii="Times New Roman" w:hAnsi="Times New Roman" w:cs="Times New Roman"/>
          <w:sz w:val="24"/>
          <w:szCs w:val="24"/>
        </w:rPr>
        <w:t>is to preserve the value of the principal, maintain liquidity appropriate to the forecasted working capital requirements of the System, provide prudent diversification</w:t>
      </w:r>
      <w:r w:rsidR="003A534A">
        <w:rPr>
          <w:rFonts w:ascii="Times New Roman" w:hAnsi="Times New Roman" w:cs="Times New Roman"/>
          <w:sz w:val="24"/>
          <w:szCs w:val="24"/>
        </w:rPr>
        <w:t>,</w:t>
      </w:r>
      <w:r w:rsidR="007E1DC6" w:rsidRPr="00917772">
        <w:rPr>
          <w:rFonts w:ascii="Times New Roman" w:hAnsi="Times New Roman" w:cs="Times New Roman"/>
          <w:sz w:val="24"/>
          <w:szCs w:val="24"/>
        </w:rPr>
        <w:t xml:space="preserve"> </w:t>
      </w:r>
      <w:r w:rsidR="00726128" w:rsidRPr="00917772">
        <w:rPr>
          <w:rFonts w:ascii="Times New Roman" w:hAnsi="Times New Roman" w:cs="Times New Roman"/>
          <w:sz w:val="24"/>
          <w:szCs w:val="24"/>
        </w:rPr>
        <w:t xml:space="preserve">and </w:t>
      </w:r>
      <w:r w:rsidR="007E1DC6" w:rsidRPr="00917772">
        <w:rPr>
          <w:rFonts w:ascii="Times New Roman" w:hAnsi="Times New Roman" w:cs="Times New Roman"/>
          <w:sz w:val="24"/>
          <w:szCs w:val="24"/>
        </w:rPr>
        <w:t xml:space="preserve">maximize the rate of return on investment. </w:t>
      </w:r>
      <w:r w:rsidR="00CB1F4A">
        <w:rPr>
          <w:rFonts w:ascii="Times New Roman" w:hAnsi="Times New Roman" w:cs="Times New Roman"/>
          <w:sz w:val="24"/>
          <w:szCs w:val="24"/>
        </w:rPr>
        <w:t>Income from the</w:t>
      </w:r>
      <w:r w:rsidR="005251CC" w:rsidRPr="00917772">
        <w:rPr>
          <w:rFonts w:ascii="Times New Roman" w:hAnsi="Times New Roman" w:cs="Times New Roman"/>
          <w:sz w:val="24"/>
          <w:szCs w:val="24"/>
        </w:rPr>
        <w:t xml:space="preserve"> pool</w:t>
      </w:r>
      <w:r w:rsidR="00726128" w:rsidRPr="00917772">
        <w:rPr>
          <w:rFonts w:ascii="Times New Roman" w:hAnsi="Times New Roman" w:cs="Times New Roman"/>
          <w:sz w:val="24"/>
          <w:szCs w:val="24"/>
        </w:rPr>
        <w:t xml:space="preserve"> is</w:t>
      </w:r>
      <w:r w:rsidR="00C246E8" w:rsidRPr="00917772">
        <w:rPr>
          <w:rFonts w:ascii="Times New Roman" w:hAnsi="Times New Roman" w:cs="Times New Roman"/>
          <w:sz w:val="24"/>
          <w:szCs w:val="24"/>
        </w:rPr>
        <w:t xml:space="preserve"> returned to units in proportion to their sh</w:t>
      </w:r>
      <w:r w:rsidR="00C037CC" w:rsidRPr="00917772">
        <w:rPr>
          <w:rFonts w:ascii="Times New Roman" w:hAnsi="Times New Roman" w:cs="Times New Roman"/>
          <w:sz w:val="24"/>
          <w:szCs w:val="24"/>
        </w:rPr>
        <w:t>a</w:t>
      </w:r>
      <w:r w:rsidR="00C246E8" w:rsidRPr="00917772">
        <w:rPr>
          <w:rFonts w:ascii="Times New Roman" w:hAnsi="Times New Roman" w:cs="Times New Roman"/>
          <w:sz w:val="24"/>
          <w:szCs w:val="24"/>
        </w:rPr>
        <w:t xml:space="preserve">re of </w:t>
      </w:r>
      <w:r w:rsidR="005251CC" w:rsidRPr="00917772">
        <w:rPr>
          <w:rFonts w:ascii="Times New Roman" w:hAnsi="Times New Roman" w:cs="Times New Roman"/>
          <w:sz w:val="24"/>
          <w:szCs w:val="24"/>
        </w:rPr>
        <w:t>the assets</w:t>
      </w:r>
      <w:r w:rsidR="00C246E8" w:rsidRPr="00917772">
        <w:rPr>
          <w:rFonts w:ascii="Times New Roman" w:hAnsi="Times New Roman" w:cs="Times New Roman"/>
          <w:sz w:val="24"/>
          <w:szCs w:val="24"/>
        </w:rPr>
        <w:t>.</w:t>
      </w:r>
      <w:r w:rsidR="00E04838" w:rsidRPr="00917772">
        <w:rPr>
          <w:rFonts w:ascii="Times New Roman" w:hAnsi="Times New Roman" w:cs="Times New Roman"/>
          <w:sz w:val="24"/>
          <w:szCs w:val="24"/>
        </w:rPr>
        <w:t xml:space="preserve"> </w:t>
      </w:r>
      <w:r w:rsidR="00907C62">
        <w:rPr>
          <w:rFonts w:ascii="Times New Roman" w:hAnsi="Times New Roman" w:cs="Times New Roman"/>
          <w:sz w:val="24"/>
          <w:szCs w:val="24"/>
        </w:rPr>
        <w:t xml:space="preserve">During </w:t>
      </w:r>
      <w:r w:rsidR="00986199">
        <w:rPr>
          <w:rFonts w:ascii="Times New Roman" w:hAnsi="Times New Roman" w:cs="Times New Roman"/>
          <w:sz w:val="24"/>
          <w:szCs w:val="24"/>
        </w:rPr>
        <w:t xml:space="preserve">fiscal year </w:t>
      </w:r>
      <w:r w:rsidR="00D0515A" w:rsidRPr="00F74E9E">
        <w:rPr>
          <w:rFonts w:ascii="Times New Roman" w:hAnsi="Times New Roman" w:cs="Times New Roman"/>
          <w:sz w:val="24"/>
          <w:szCs w:val="24"/>
        </w:rPr>
        <w:t>202</w:t>
      </w:r>
      <w:r w:rsidR="00540F1B" w:rsidRPr="00F74E9E">
        <w:rPr>
          <w:rFonts w:ascii="Times New Roman" w:hAnsi="Times New Roman" w:cs="Times New Roman"/>
          <w:sz w:val="24"/>
          <w:szCs w:val="24"/>
        </w:rPr>
        <w:t>4</w:t>
      </w:r>
      <w:r w:rsidR="00C037CC" w:rsidRPr="00F74E9E">
        <w:rPr>
          <w:rFonts w:ascii="Times New Roman" w:hAnsi="Times New Roman" w:cs="Times New Roman"/>
          <w:sz w:val="24"/>
          <w:szCs w:val="24"/>
        </w:rPr>
        <w:t>,</w:t>
      </w:r>
      <w:r w:rsidR="00C246E8" w:rsidRPr="00F74E9E">
        <w:rPr>
          <w:rFonts w:ascii="Times New Roman" w:hAnsi="Times New Roman" w:cs="Times New Roman"/>
          <w:sz w:val="24"/>
          <w:szCs w:val="24"/>
        </w:rPr>
        <w:t xml:space="preserve"> </w:t>
      </w:r>
      <w:r w:rsidR="00042761" w:rsidRPr="00F74E9E">
        <w:rPr>
          <w:rFonts w:ascii="Times New Roman" w:hAnsi="Times New Roman" w:cs="Times New Roman"/>
          <w:sz w:val="24"/>
          <w:szCs w:val="24"/>
        </w:rPr>
        <w:t>approximately $</w:t>
      </w:r>
      <w:r w:rsidR="00F74E9E" w:rsidRPr="00F74E9E">
        <w:rPr>
          <w:rFonts w:ascii="Times New Roman" w:hAnsi="Times New Roman" w:cs="Times New Roman"/>
          <w:sz w:val="24"/>
          <w:szCs w:val="24"/>
        </w:rPr>
        <w:t>172</w:t>
      </w:r>
      <w:r w:rsidR="00954BA6" w:rsidRPr="00F74E9E">
        <w:rPr>
          <w:rFonts w:ascii="Times New Roman" w:hAnsi="Times New Roman" w:cs="Times New Roman"/>
          <w:sz w:val="24"/>
          <w:szCs w:val="24"/>
        </w:rPr>
        <w:t xml:space="preserve"> million</w:t>
      </w:r>
      <w:r w:rsidR="00954BA6" w:rsidRPr="00917772">
        <w:rPr>
          <w:rFonts w:ascii="Times New Roman" w:hAnsi="Times New Roman" w:cs="Times New Roman"/>
          <w:sz w:val="24"/>
          <w:szCs w:val="24"/>
        </w:rPr>
        <w:t xml:space="preserve"> was distributed </w:t>
      </w:r>
      <w:r w:rsidR="003554A7">
        <w:rPr>
          <w:rFonts w:ascii="Times New Roman" w:hAnsi="Times New Roman" w:cs="Times New Roman"/>
          <w:sz w:val="24"/>
          <w:szCs w:val="24"/>
        </w:rPr>
        <w:t>from the o</w:t>
      </w:r>
      <w:r w:rsidR="00D0515A">
        <w:rPr>
          <w:rFonts w:ascii="Times New Roman" w:hAnsi="Times New Roman" w:cs="Times New Roman"/>
          <w:sz w:val="24"/>
          <w:szCs w:val="24"/>
        </w:rPr>
        <w:t>perat</w:t>
      </w:r>
      <w:r w:rsidR="003554A7">
        <w:rPr>
          <w:rFonts w:ascii="Times New Roman" w:hAnsi="Times New Roman" w:cs="Times New Roman"/>
          <w:sz w:val="24"/>
          <w:szCs w:val="24"/>
        </w:rPr>
        <w:t>ing p</w:t>
      </w:r>
      <w:r w:rsidR="00D0515A">
        <w:rPr>
          <w:rFonts w:ascii="Times New Roman" w:hAnsi="Times New Roman" w:cs="Times New Roman"/>
          <w:sz w:val="24"/>
          <w:szCs w:val="24"/>
        </w:rPr>
        <w:t xml:space="preserve">ool </w:t>
      </w:r>
      <w:r w:rsidR="006F4B1E">
        <w:rPr>
          <w:rFonts w:ascii="Times New Roman" w:hAnsi="Times New Roman" w:cs="Times New Roman"/>
          <w:sz w:val="24"/>
          <w:szCs w:val="24"/>
        </w:rPr>
        <w:t>(</w:t>
      </w:r>
      <w:r w:rsidR="009E34AA">
        <w:rPr>
          <w:rFonts w:ascii="Times New Roman" w:hAnsi="Times New Roman" w:cs="Times New Roman"/>
          <w:sz w:val="24"/>
          <w:szCs w:val="24"/>
        </w:rPr>
        <w:t>including</w:t>
      </w:r>
      <w:r w:rsidR="006F4B1E">
        <w:rPr>
          <w:rFonts w:ascii="Times New Roman" w:hAnsi="Times New Roman" w:cs="Times New Roman"/>
          <w:sz w:val="24"/>
          <w:szCs w:val="24"/>
        </w:rPr>
        <w:t xml:space="preserve"> the permanent core allocation)</w:t>
      </w:r>
      <w:r w:rsidR="006F4B1E" w:rsidRPr="00917772">
        <w:rPr>
          <w:rFonts w:ascii="Times New Roman" w:hAnsi="Times New Roman" w:cs="Times New Roman"/>
          <w:sz w:val="24"/>
          <w:szCs w:val="24"/>
        </w:rPr>
        <w:t xml:space="preserve"> </w:t>
      </w:r>
      <w:r w:rsidR="00D0515A">
        <w:rPr>
          <w:rFonts w:ascii="Times New Roman" w:hAnsi="Times New Roman" w:cs="Times New Roman"/>
          <w:sz w:val="24"/>
          <w:szCs w:val="24"/>
        </w:rPr>
        <w:t xml:space="preserve">after </w:t>
      </w:r>
      <w:r w:rsidR="009E34AA">
        <w:rPr>
          <w:rFonts w:ascii="Times New Roman" w:hAnsi="Times New Roman" w:cs="Times New Roman"/>
          <w:sz w:val="24"/>
          <w:szCs w:val="24"/>
        </w:rPr>
        <w:t xml:space="preserve">banking and </w:t>
      </w:r>
      <w:r w:rsidR="00D0515A">
        <w:rPr>
          <w:rFonts w:ascii="Times New Roman" w:hAnsi="Times New Roman" w:cs="Times New Roman"/>
          <w:sz w:val="24"/>
          <w:szCs w:val="24"/>
        </w:rPr>
        <w:t>investment management fees were paid</w:t>
      </w:r>
      <w:r w:rsidR="006F4B1E">
        <w:rPr>
          <w:rFonts w:ascii="Times New Roman" w:hAnsi="Times New Roman" w:cs="Times New Roman"/>
          <w:sz w:val="24"/>
          <w:szCs w:val="24"/>
        </w:rPr>
        <w:t>.</w:t>
      </w:r>
      <w:r w:rsidR="00485D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32BA65" w14:textId="736CD363" w:rsidR="006C3DDA" w:rsidRPr="006C3DDA" w:rsidRDefault="006C3DDA" w:rsidP="006C3DDA">
      <w:pPr>
        <w:spacing w:after="240"/>
        <w:rPr>
          <w:rFonts w:ascii="Times New Roman" w:hAnsi="Times New Roman" w:cs="Times New Roman"/>
          <w:b/>
          <w:sz w:val="28"/>
          <w:szCs w:val="28"/>
        </w:rPr>
      </w:pPr>
      <w:r w:rsidRPr="006C3DDA">
        <w:rPr>
          <w:rFonts w:ascii="Times New Roman" w:hAnsi="Times New Roman" w:cs="Times New Roman"/>
          <w:b/>
          <w:sz w:val="28"/>
          <w:szCs w:val="28"/>
        </w:rPr>
        <w:t>Asset Allocation</w:t>
      </w:r>
    </w:p>
    <w:p w14:paraId="72F6055F" w14:textId="781B49CD" w:rsidR="00015C23" w:rsidRDefault="003554A7" w:rsidP="00015C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Operating pool</w:t>
      </w:r>
      <w:r w:rsidR="00015C23" w:rsidRPr="00917772">
        <w:rPr>
          <w:rFonts w:ascii="Times New Roman" w:hAnsi="Times New Roman" w:cs="Times New Roman"/>
          <w:sz w:val="24"/>
          <w:szCs w:val="24"/>
        </w:rPr>
        <w:t xml:space="preserve"> assets are invested in fixed income securities and cash equivale</w:t>
      </w:r>
      <w:r w:rsidR="00485D0C">
        <w:rPr>
          <w:rFonts w:ascii="Times New Roman" w:hAnsi="Times New Roman" w:cs="Times New Roman"/>
          <w:sz w:val="24"/>
          <w:szCs w:val="24"/>
        </w:rPr>
        <w:t>nts</w:t>
      </w:r>
      <w:r w:rsidR="006F4B1E">
        <w:rPr>
          <w:rFonts w:ascii="Times New Roman" w:hAnsi="Times New Roman" w:cs="Times New Roman"/>
          <w:sz w:val="24"/>
          <w:szCs w:val="24"/>
        </w:rPr>
        <w:t xml:space="preserve">. </w:t>
      </w:r>
      <w:r w:rsidR="00015C23" w:rsidRPr="00917772">
        <w:rPr>
          <w:rFonts w:ascii="Times New Roman" w:hAnsi="Times New Roman" w:cs="Times New Roman"/>
          <w:sz w:val="24"/>
          <w:szCs w:val="24"/>
        </w:rPr>
        <w:t>The assets are allocated by liquidity layer. Investment managers within a given liquidity layer follow fundamentally consistent investment guidelines that set forth restrictions on duration, credit quality, diversification, performance benchmarks</w:t>
      </w:r>
      <w:r w:rsidR="003A534A">
        <w:rPr>
          <w:rFonts w:ascii="Times New Roman" w:hAnsi="Times New Roman" w:cs="Times New Roman"/>
          <w:sz w:val="24"/>
          <w:szCs w:val="24"/>
        </w:rPr>
        <w:t>,</w:t>
      </w:r>
      <w:r w:rsidR="00015C23" w:rsidRPr="00917772">
        <w:rPr>
          <w:rFonts w:ascii="Times New Roman" w:hAnsi="Times New Roman" w:cs="Times New Roman"/>
          <w:sz w:val="24"/>
          <w:szCs w:val="24"/>
        </w:rPr>
        <w:t xml:space="preserve"> and permissible security types, among</w:t>
      </w:r>
      <w:r w:rsidR="008D3210">
        <w:rPr>
          <w:rFonts w:ascii="Times New Roman" w:hAnsi="Times New Roman" w:cs="Times New Roman"/>
          <w:sz w:val="24"/>
          <w:szCs w:val="24"/>
        </w:rPr>
        <w:t>st</w:t>
      </w:r>
      <w:r w:rsidR="00015C23" w:rsidRPr="00917772">
        <w:rPr>
          <w:rFonts w:ascii="Times New Roman" w:hAnsi="Times New Roman" w:cs="Times New Roman"/>
          <w:sz w:val="24"/>
          <w:szCs w:val="24"/>
        </w:rPr>
        <w:t xml:space="preserve"> others. </w:t>
      </w:r>
      <w:r w:rsidR="009E6275">
        <w:rPr>
          <w:rFonts w:ascii="Times New Roman" w:hAnsi="Times New Roman" w:cs="Times New Roman"/>
          <w:sz w:val="24"/>
          <w:szCs w:val="24"/>
        </w:rPr>
        <w:t>Provided that</w:t>
      </w:r>
      <w:r w:rsidR="00015C23" w:rsidRPr="00917772">
        <w:rPr>
          <w:rFonts w:ascii="Times New Roman" w:hAnsi="Times New Roman" w:cs="Times New Roman"/>
          <w:sz w:val="24"/>
          <w:szCs w:val="24"/>
        </w:rPr>
        <w:t xml:space="preserve"> state regulation does not allow the System to b</w:t>
      </w:r>
      <w:r w:rsidR="00485D0C">
        <w:rPr>
          <w:rFonts w:ascii="Times New Roman" w:hAnsi="Times New Roman" w:cs="Times New Roman"/>
          <w:sz w:val="24"/>
          <w:szCs w:val="24"/>
        </w:rPr>
        <w:t>orrow for working capital, the operating p</w:t>
      </w:r>
      <w:r w:rsidR="00015C23" w:rsidRPr="00917772">
        <w:rPr>
          <w:rFonts w:ascii="Times New Roman" w:hAnsi="Times New Roman" w:cs="Times New Roman"/>
          <w:sz w:val="24"/>
          <w:szCs w:val="24"/>
        </w:rPr>
        <w:t>ool</w:t>
      </w:r>
      <w:r w:rsidR="00015C23" w:rsidRPr="009177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C4493">
        <w:rPr>
          <w:rFonts w:ascii="Times New Roman" w:hAnsi="Times New Roman" w:cs="Times New Roman"/>
          <w:sz w:val="24"/>
          <w:szCs w:val="24"/>
        </w:rPr>
        <w:t>has ample</w:t>
      </w:r>
      <w:r w:rsidR="00015C23" w:rsidRPr="00917772" w:rsidDel="00FE7DC0">
        <w:rPr>
          <w:rFonts w:ascii="Times New Roman" w:hAnsi="Times New Roman" w:cs="Times New Roman"/>
          <w:sz w:val="24"/>
          <w:szCs w:val="24"/>
        </w:rPr>
        <w:t xml:space="preserve"> </w:t>
      </w:r>
      <w:r w:rsidR="00015C23" w:rsidRPr="00917772">
        <w:rPr>
          <w:rFonts w:ascii="Times New Roman" w:hAnsi="Times New Roman" w:cs="Times New Roman"/>
          <w:sz w:val="24"/>
          <w:szCs w:val="24"/>
        </w:rPr>
        <w:t>liquid</w:t>
      </w:r>
      <w:r w:rsidR="006C4493">
        <w:rPr>
          <w:rFonts w:ascii="Times New Roman" w:hAnsi="Times New Roman" w:cs="Times New Roman"/>
          <w:sz w:val="24"/>
          <w:szCs w:val="24"/>
        </w:rPr>
        <w:t>ity</w:t>
      </w:r>
      <w:r w:rsidR="00015C23" w:rsidRPr="00917772">
        <w:rPr>
          <w:rFonts w:ascii="Times New Roman" w:hAnsi="Times New Roman" w:cs="Times New Roman"/>
          <w:sz w:val="24"/>
          <w:szCs w:val="24"/>
        </w:rPr>
        <w:t xml:space="preserve"> and </w:t>
      </w:r>
      <w:r w:rsidR="006C4493">
        <w:rPr>
          <w:rFonts w:ascii="Times New Roman" w:hAnsi="Times New Roman" w:cs="Times New Roman"/>
          <w:sz w:val="24"/>
          <w:szCs w:val="24"/>
        </w:rPr>
        <w:t xml:space="preserve">is </w:t>
      </w:r>
      <w:r w:rsidR="00015C23" w:rsidRPr="00917772">
        <w:rPr>
          <w:rFonts w:ascii="Times New Roman" w:hAnsi="Times New Roman" w:cs="Times New Roman"/>
          <w:sz w:val="24"/>
          <w:szCs w:val="24"/>
        </w:rPr>
        <w:t>of high quality with a</w:t>
      </w:r>
      <w:r w:rsidR="00CB1F4A">
        <w:rPr>
          <w:rFonts w:ascii="Times New Roman" w:hAnsi="Times New Roman" w:cs="Times New Roman"/>
          <w:sz w:val="24"/>
          <w:szCs w:val="24"/>
        </w:rPr>
        <w:t>n</w:t>
      </w:r>
      <w:r w:rsidR="00015C23" w:rsidRPr="00917772">
        <w:rPr>
          <w:rFonts w:ascii="Times New Roman" w:hAnsi="Times New Roman" w:cs="Times New Roman"/>
          <w:sz w:val="24"/>
          <w:szCs w:val="24"/>
        </w:rPr>
        <w:t xml:space="preserve"> </w:t>
      </w:r>
      <w:r w:rsidR="00015C23" w:rsidRPr="00B859DB">
        <w:rPr>
          <w:rFonts w:ascii="Times New Roman" w:hAnsi="Times New Roman" w:cs="Times New Roman"/>
          <w:sz w:val="24"/>
          <w:szCs w:val="24"/>
        </w:rPr>
        <w:t>averag</w:t>
      </w:r>
      <w:r w:rsidR="00CB1F4A" w:rsidRPr="00B859DB">
        <w:rPr>
          <w:rFonts w:ascii="Times New Roman" w:hAnsi="Times New Roman" w:cs="Times New Roman"/>
          <w:sz w:val="24"/>
          <w:szCs w:val="24"/>
        </w:rPr>
        <w:t xml:space="preserve">e </w:t>
      </w:r>
      <w:r w:rsidR="005F684D" w:rsidRPr="00B859DB">
        <w:rPr>
          <w:rFonts w:ascii="Times New Roman" w:hAnsi="Times New Roman" w:cs="Times New Roman"/>
          <w:sz w:val="24"/>
          <w:szCs w:val="24"/>
        </w:rPr>
        <w:t>AA</w:t>
      </w:r>
      <w:r w:rsidR="00B859DB" w:rsidRPr="00B859DB">
        <w:rPr>
          <w:rFonts w:ascii="Times New Roman" w:hAnsi="Times New Roman" w:cs="Times New Roman"/>
          <w:sz w:val="24"/>
          <w:szCs w:val="24"/>
        </w:rPr>
        <w:t>-</w:t>
      </w:r>
      <w:r w:rsidR="006C3DDA" w:rsidRPr="00B859DB">
        <w:rPr>
          <w:rFonts w:ascii="Times New Roman" w:hAnsi="Times New Roman" w:cs="Times New Roman"/>
          <w:sz w:val="24"/>
          <w:szCs w:val="24"/>
        </w:rPr>
        <w:t xml:space="preserve"> credit</w:t>
      </w:r>
      <w:r w:rsidR="006C3DDA">
        <w:rPr>
          <w:rFonts w:ascii="Times New Roman" w:hAnsi="Times New Roman" w:cs="Times New Roman"/>
          <w:sz w:val="24"/>
          <w:szCs w:val="24"/>
        </w:rPr>
        <w:t xml:space="preserve"> rating. </w:t>
      </w:r>
      <w:r w:rsidR="0065474B">
        <w:rPr>
          <w:rFonts w:ascii="Times New Roman" w:hAnsi="Times New Roman" w:cs="Times New Roman"/>
          <w:sz w:val="24"/>
          <w:szCs w:val="24"/>
        </w:rPr>
        <w:t>Figure</w:t>
      </w:r>
      <w:r w:rsidR="00A60FBD">
        <w:rPr>
          <w:rFonts w:ascii="Times New Roman" w:hAnsi="Times New Roman" w:cs="Times New Roman"/>
          <w:sz w:val="24"/>
          <w:szCs w:val="24"/>
        </w:rPr>
        <w:t xml:space="preserve"> </w:t>
      </w:r>
      <w:r w:rsidR="008D66D1">
        <w:rPr>
          <w:rFonts w:ascii="Times New Roman" w:hAnsi="Times New Roman" w:cs="Times New Roman"/>
          <w:sz w:val="24"/>
          <w:szCs w:val="24"/>
        </w:rPr>
        <w:t>8</w:t>
      </w:r>
      <w:r w:rsidR="00015C23" w:rsidRPr="00917772">
        <w:rPr>
          <w:rFonts w:ascii="Times New Roman" w:hAnsi="Times New Roman" w:cs="Times New Roman"/>
          <w:sz w:val="24"/>
          <w:szCs w:val="24"/>
        </w:rPr>
        <w:t xml:space="preserve"> </w:t>
      </w:r>
      <w:r w:rsidR="006C3DDA">
        <w:rPr>
          <w:rFonts w:ascii="Times New Roman" w:hAnsi="Times New Roman" w:cs="Times New Roman"/>
          <w:sz w:val="24"/>
          <w:szCs w:val="24"/>
        </w:rPr>
        <w:t xml:space="preserve">demonstrates the </w:t>
      </w:r>
      <w:r w:rsidR="00485D0C">
        <w:rPr>
          <w:rFonts w:ascii="Times New Roman" w:hAnsi="Times New Roman" w:cs="Times New Roman"/>
          <w:sz w:val="24"/>
          <w:szCs w:val="24"/>
        </w:rPr>
        <w:t>operating p</w:t>
      </w:r>
      <w:r w:rsidR="00907C62">
        <w:rPr>
          <w:rFonts w:ascii="Times New Roman" w:hAnsi="Times New Roman" w:cs="Times New Roman"/>
          <w:sz w:val="24"/>
          <w:szCs w:val="24"/>
        </w:rPr>
        <w:t>ool’s</w:t>
      </w:r>
      <w:r w:rsidR="006C3DDA">
        <w:rPr>
          <w:rFonts w:ascii="Times New Roman" w:hAnsi="Times New Roman" w:cs="Times New Roman"/>
          <w:sz w:val="24"/>
          <w:szCs w:val="24"/>
        </w:rPr>
        <w:t xml:space="preserve"> asset allocation </w:t>
      </w:r>
      <w:r w:rsidR="00907C62">
        <w:rPr>
          <w:rFonts w:ascii="Times New Roman" w:hAnsi="Times New Roman" w:cs="Times New Roman"/>
          <w:sz w:val="24"/>
          <w:szCs w:val="24"/>
        </w:rPr>
        <w:t xml:space="preserve">on </w:t>
      </w:r>
      <w:r w:rsidR="00FF12AE">
        <w:rPr>
          <w:rFonts w:ascii="Times New Roman" w:hAnsi="Times New Roman" w:cs="Times New Roman"/>
          <w:sz w:val="24"/>
          <w:szCs w:val="24"/>
        </w:rPr>
        <w:t>June 30, 202</w:t>
      </w:r>
      <w:r w:rsidR="00540F1B">
        <w:rPr>
          <w:rFonts w:ascii="Times New Roman" w:hAnsi="Times New Roman" w:cs="Times New Roman"/>
          <w:sz w:val="24"/>
          <w:szCs w:val="24"/>
        </w:rPr>
        <w:t>4</w:t>
      </w:r>
      <w:r w:rsidR="00907C62">
        <w:rPr>
          <w:rFonts w:ascii="Times New Roman" w:hAnsi="Times New Roman" w:cs="Times New Roman"/>
          <w:sz w:val="24"/>
          <w:szCs w:val="24"/>
        </w:rPr>
        <w:t xml:space="preserve">, </w:t>
      </w:r>
      <w:r w:rsidR="006C3DDA">
        <w:rPr>
          <w:rFonts w:ascii="Times New Roman" w:hAnsi="Times New Roman" w:cs="Times New Roman"/>
          <w:sz w:val="24"/>
          <w:szCs w:val="24"/>
        </w:rPr>
        <w:t>within the policy ranges by liquidity layer</w:t>
      </w:r>
      <w:r w:rsidR="00015C23" w:rsidRPr="0091777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1D223B9" w14:textId="28C1BEA4" w:rsidR="00015C23" w:rsidRPr="00015C23" w:rsidRDefault="00D816CE" w:rsidP="00D816CE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A60FBD" w:rsidRPr="00B54390">
        <w:rPr>
          <w:rFonts w:ascii="Times New Roman" w:hAnsi="Times New Roman" w:cs="Times New Roman"/>
          <w:b/>
          <w:sz w:val="24"/>
          <w:szCs w:val="24"/>
        </w:rPr>
        <w:t>Figure</w:t>
      </w:r>
      <w:r w:rsidR="00C15F97" w:rsidRPr="00B543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66D1" w:rsidRPr="00B54390">
        <w:rPr>
          <w:rFonts w:ascii="Times New Roman" w:hAnsi="Times New Roman" w:cs="Times New Roman"/>
          <w:b/>
          <w:sz w:val="24"/>
          <w:szCs w:val="24"/>
        </w:rPr>
        <w:t>8</w:t>
      </w:r>
    </w:p>
    <w:p w14:paraId="0D3986D3" w14:textId="452DE71B" w:rsidR="00015C23" w:rsidRDefault="00FF12AE" w:rsidP="003476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D07DF69" wp14:editId="6E14A6F7">
            <wp:extent cx="5248275" cy="2266950"/>
            <wp:effectExtent l="0" t="0" r="9525" b="0"/>
            <wp:docPr id="12" name="Chart 12" descr="Figure 8 &#10;&#10;Operating Pool by Liquidity Layer Policy Ranges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3681C4CF" w14:textId="77777777" w:rsidR="0016179F" w:rsidRDefault="0016179F">
      <w:pPr>
        <w:rPr>
          <w:rFonts w:ascii="Times New Roman" w:hAnsi="Times New Roman" w:cs="Times New Roman"/>
          <w:b/>
          <w:sz w:val="24"/>
          <w:szCs w:val="24"/>
        </w:rPr>
      </w:pPr>
    </w:p>
    <w:p w14:paraId="74368682" w14:textId="77777777" w:rsidR="00386277" w:rsidRDefault="00386277">
      <w:pPr>
        <w:rPr>
          <w:rFonts w:ascii="Times New Roman" w:hAnsi="Times New Roman" w:cs="Times New Roman"/>
          <w:b/>
          <w:sz w:val="28"/>
          <w:szCs w:val="28"/>
        </w:rPr>
      </w:pPr>
    </w:p>
    <w:p w14:paraId="3F585AD1" w14:textId="77777777" w:rsidR="006F4B1E" w:rsidRDefault="006F4B1E">
      <w:pPr>
        <w:rPr>
          <w:rFonts w:ascii="Times New Roman" w:hAnsi="Times New Roman" w:cs="Times New Roman"/>
          <w:b/>
          <w:sz w:val="28"/>
          <w:szCs w:val="28"/>
        </w:rPr>
      </w:pPr>
    </w:p>
    <w:p w14:paraId="641D3783" w14:textId="77777777" w:rsidR="007A054A" w:rsidRDefault="007A054A">
      <w:pPr>
        <w:rPr>
          <w:rFonts w:ascii="Times New Roman" w:hAnsi="Times New Roman" w:cs="Times New Roman"/>
          <w:b/>
          <w:sz w:val="28"/>
          <w:szCs w:val="28"/>
        </w:rPr>
      </w:pPr>
    </w:p>
    <w:p w14:paraId="2B680D92" w14:textId="6769E258" w:rsidR="0016179F" w:rsidRPr="006C3DDA" w:rsidRDefault="006C3DDA">
      <w:pPr>
        <w:rPr>
          <w:rFonts w:ascii="Times New Roman" w:hAnsi="Times New Roman" w:cs="Times New Roman"/>
          <w:b/>
          <w:sz w:val="28"/>
          <w:szCs w:val="28"/>
        </w:rPr>
      </w:pPr>
      <w:r w:rsidRPr="006C3DDA">
        <w:rPr>
          <w:rFonts w:ascii="Times New Roman" w:hAnsi="Times New Roman" w:cs="Times New Roman"/>
          <w:b/>
          <w:sz w:val="28"/>
          <w:szCs w:val="28"/>
        </w:rPr>
        <w:lastRenderedPageBreak/>
        <w:t>Performance</w:t>
      </w:r>
      <w:r w:rsidR="002C3769">
        <w:rPr>
          <w:rFonts w:ascii="Times New Roman" w:hAnsi="Times New Roman" w:cs="Times New Roman"/>
          <w:b/>
          <w:sz w:val="28"/>
          <w:szCs w:val="28"/>
        </w:rPr>
        <w:t xml:space="preserve"> Measurement</w:t>
      </w:r>
    </w:p>
    <w:p w14:paraId="1A0DA6AD" w14:textId="558C4474" w:rsidR="00CB3AA6" w:rsidRDefault="00DA1613" w:rsidP="00CB3A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Operating p</w:t>
      </w:r>
      <w:r w:rsidR="006C3DDA">
        <w:rPr>
          <w:rFonts w:ascii="Times New Roman" w:hAnsi="Times New Roman" w:cs="Times New Roman"/>
          <w:sz w:val="24"/>
          <w:szCs w:val="24"/>
        </w:rPr>
        <w:t>ool managers</w:t>
      </w:r>
      <w:r w:rsidR="00470B2F">
        <w:rPr>
          <w:rFonts w:ascii="Times New Roman" w:hAnsi="Times New Roman" w:cs="Times New Roman"/>
          <w:sz w:val="24"/>
          <w:szCs w:val="24"/>
        </w:rPr>
        <w:t xml:space="preserve"> have consistently outperformed the perfo</w:t>
      </w:r>
      <w:r w:rsidR="00A33260">
        <w:rPr>
          <w:rFonts w:ascii="Times New Roman" w:hAnsi="Times New Roman" w:cs="Times New Roman"/>
          <w:sz w:val="24"/>
          <w:szCs w:val="24"/>
        </w:rPr>
        <w:t>rmance benchmark.</w:t>
      </w:r>
      <w:r w:rsidR="007E5089">
        <w:rPr>
          <w:rFonts w:ascii="Times New Roman" w:hAnsi="Times New Roman" w:cs="Times New Roman"/>
          <w:sz w:val="24"/>
          <w:szCs w:val="24"/>
        </w:rPr>
        <w:t xml:space="preserve"> </w:t>
      </w:r>
      <w:r w:rsidR="00A60FBD" w:rsidRPr="00514814">
        <w:rPr>
          <w:rFonts w:ascii="Times New Roman" w:hAnsi="Times New Roman" w:cs="Times New Roman"/>
          <w:sz w:val="24"/>
          <w:szCs w:val="24"/>
        </w:rPr>
        <w:t xml:space="preserve">Historical performance relative to the performance benchmark is displayed in Figure </w:t>
      </w:r>
      <w:r w:rsidR="008D3210">
        <w:rPr>
          <w:rFonts w:ascii="Times New Roman" w:hAnsi="Times New Roman" w:cs="Times New Roman"/>
          <w:sz w:val="24"/>
          <w:szCs w:val="24"/>
        </w:rPr>
        <w:t>9</w:t>
      </w:r>
      <w:r w:rsidR="00A60FBD" w:rsidRPr="00514814">
        <w:rPr>
          <w:rFonts w:ascii="Times New Roman" w:hAnsi="Times New Roman" w:cs="Times New Roman"/>
          <w:sz w:val="24"/>
          <w:szCs w:val="24"/>
        </w:rPr>
        <w:t>.</w:t>
      </w:r>
    </w:p>
    <w:p w14:paraId="25B683CE" w14:textId="0A578B55" w:rsidR="007E560F" w:rsidRDefault="007E560F" w:rsidP="00CB3AA6">
      <w:pPr>
        <w:rPr>
          <w:rFonts w:ascii="Times New Roman" w:hAnsi="Times New Roman" w:cs="Times New Roman"/>
          <w:sz w:val="24"/>
          <w:szCs w:val="24"/>
        </w:rPr>
      </w:pPr>
    </w:p>
    <w:p w14:paraId="2F5BE758" w14:textId="720B4493" w:rsidR="007E560F" w:rsidRPr="007E560F" w:rsidRDefault="007E560F" w:rsidP="00CB3AA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Figure 9</w:t>
      </w:r>
    </w:p>
    <w:p w14:paraId="4D670867" w14:textId="4CE25A82" w:rsidR="009565BB" w:rsidRDefault="009565BB" w:rsidP="0016179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20174">
        <w:rPr>
          <w:noProof/>
          <w:sz w:val="24"/>
          <w:szCs w:val="24"/>
        </w:rPr>
        <w:drawing>
          <wp:inline distT="0" distB="0" distL="0" distR="0" wp14:anchorId="22B708A4" wp14:editId="6CF16DD5">
            <wp:extent cx="5816009" cy="2619124"/>
            <wp:effectExtent l="0" t="0" r="13335" b="10160"/>
            <wp:docPr id="1" name="Chart 1" descr="Figure 9 &#10;&#10;Operating Pool Historical Performance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800-000009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4EDD6112" w14:textId="77777777" w:rsidR="00E06ABB" w:rsidRPr="003476E2" w:rsidRDefault="00E06ABB" w:rsidP="00E06ABB">
      <w:pPr>
        <w:spacing w:after="0"/>
        <w:ind w:left="720"/>
        <w:rPr>
          <w:rFonts w:ascii="Times New Roman" w:hAnsi="Times New Roman" w:cs="Times New Roman"/>
          <w:sz w:val="20"/>
          <w:szCs w:val="20"/>
        </w:rPr>
      </w:pPr>
      <w:r w:rsidRPr="003476E2">
        <w:rPr>
          <w:rFonts w:ascii="Times New Roman" w:hAnsi="Times New Roman" w:cs="Times New Roman"/>
          <w:sz w:val="20"/>
          <w:szCs w:val="20"/>
        </w:rPr>
        <w:t xml:space="preserve">*Note: The </w:t>
      </w:r>
      <w:r>
        <w:rPr>
          <w:rFonts w:ascii="Times New Roman" w:hAnsi="Times New Roman" w:cs="Times New Roman"/>
          <w:sz w:val="20"/>
          <w:szCs w:val="20"/>
        </w:rPr>
        <w:t>t</w:t>
      </w:r>
      <w:r w:rsidRPr="003476E2">
        <w:rPr>
          <w:rFonts w:ascii="Times New Roman" w:hAnsi="Times New Roman" w:cs="Times New Roman"/>
          <w:sz w:val="20"/>
          <w:szCs w:val="20"/>
        </w:rPr>
        <w:t xml:space="preserve">otal </w:t>
      </w:r>
      <w:r>
        <w:rPr>
          <w:rFonts w:ascii="Times New Roman" w:hAnsi="Times New Roman" w:cs="Times New Roman"/>
          <w:sz w:val="20"/>
          <w:szCs w:val="20"/>
        </w:rPr>
        <w:t>operating p</w:t>
      </w:r>
      <w:r w:rsidRPr="003476E2">
        <w:rPr>
          <w:rFonts w:ascii="Times New Roman" w:hAnsi="Times New Roman" w:cs="Times New Roman"/>
          <w:sz w:val="20"/>
          <w:szCs w:val="20"/>
        </w:rPr>
        <w:t>ool market value does not inclu</w:t>
      </w:r>
      <w:r>
        <w:rPr>
          <w:rFonts w:ascii="Times New Roman" w:hAnsi="Times New Roman" w:cs="Times New Roman"/>
          <w:sz w:val="20"/>
          <w:szCs w:val="20"/>
        </w:rPr>
        <w:t>de the permanent core allocation</w:t>
      </w:r>
      <w:r w:rsidRPr="003476E2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This allocation is                     included in the endowment pool market value.</w:t>
      </w:r>
    </w:p>
    <w:p w14:paraId="5D377B60" w14:textId="7D996177" w:rsidR="003904AA" w:rsidRDefault="00770C56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14:paraId="19AF06D2" w14:textId="21D5D5C1" w:rsidR="00834E84" w:rsidRPr="009565BB" w:rsidRDefault="00386277" w:rsidP="0038627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565BB">
        <w:rPr>
          <w:rFonts w:ascii="Times New Roman" w:hAnsi="Times New Roman" w:cs="Times New Roman"/>
          <w:b/>
          <w:sz w:val="32"/>
          <w:szCs w:val="32"/>
        </w:rPr>
        <w:lastRenderedPageBreak/>
        <w:t>Financial Impact</w:t>
      </w:r>
    </w:p>
    <w:p w14:paraId="41058D0B" w14:textId="30971BDC" w:rsidR="00714CE6" w:rsidRPr="009565BB" w:rsidRDefault="00DA1613" w:rsidP="00A60FBD">
      <w:pPr>
        <w:spacing w:after="360"/>
        <w:rPr>
          <w:rFonts w:ascii="Times New Roman" w:hAnsi="Times New Roman" w:cs="Times New Roman"/>
          <w:sz w:val="24"/>
          <w:szCs w:val="24"/>
        </w:rPr>
      </w:pPr>
      <w:r w:rsidRPr="009565BB">
        <w:rPr>
          <w:rFonts w:ascii="Times New Roman" w:hAnsi="Times New Roman" w:cs="Times New Roman"/>
          <w:sz w:val="24"/>
          <w:szCs w:val="24"/>
        </w:rPr>
        <w:t>The investment p</w:t>
      </w:r>
      <w:r w:rsidR="00714CE6" w:rsidRPr="009565BB">
        <w:rPr>
          <w:rFonts w:ascii="Times New Roman" w:hAnsi="Times New Roman" w:cs="Times New Roman"/>
          <w:sz w:val="24"/>
          <w:szCs w:val="24"/>
        </w:rPr>
        <w:t>rogram generates investment income, as well as investment management costs</w:t>
      </w:r>
      <w:r w:rsidR="008041A5" w:rsidRPr="009565BB">
        <w:rPr>
          <w:rFonts w:ascii="Times New Roman" w:hAnsi="Times New Roman" w:cs="Times New Roman"/>
          <w:sz w:val="24"/>
          <w:szCs w:val="24"/>
        </w:rPr>
        <w:t>,</w:t>
      </w:r>
      <w:r w:rsidR="00714CE6" w:rsidRPr="009565BB">
        <w:rPr>
          <w:rFonts w:ascii="Times New Roman" w:hAnsi="Times New Roman" w:cs="Times New Roman"/>
          <w:sz w:val="24"/>
          <w:szCs w:val="24"/>
        </w:rPr>
        <w:t xml:space="preserve"> to the University System. </w:t>
      </w:r>
      <w:r w:rsidR="00A60FBD" w:rsidRPr="009565BB">
        <w:rPr>
          <w:rFonts w:ascii="Times New Roman" w:hAnsi="Times New Roman" w:cs="Times New Roman"/>
          <w:sz w:val="24"/>
          <w:szCs w:val="24"/>
        </w:rPr>
        <w:t>All costs are offset or paid directly from investment income. The Investment Office works diligently to maintain the cost structure at a reasonable level.</w:t>
      </w:r>
    </w:p>
    <w:p w14:paraId="679F7E5F" w14:textId="05F9E9EF" w:rsidR="00714CE6" w:rsidRPr="009565BB" w:rsidRDefault="00714CE6">
      <w:pPr>
        <w:rPr>
          <w:rFonts w:ascii="Times New Roman" w:hAnsi="Times New Roman" w:cs="Times New Roman"/>
          <w:b/>
          <w:sz w:val="28"/>
          <w:szCs w:val="28"/>
        </w:rPr>
      </w:pPr>
      <w:r w:rsidRPr="009565BB">
        <w:rPr>
          <w:rFonts w:ascii="Times New Roman" w:hAnsi="Times New Roman" w:cs="Times New Roman"/>
          <w:b/>
          <w:sz w:val="28"/>
          <w:szCs w:val="28"/>
        </w:rPr>
        <w:t>Income Distribution</w:t>
      </w:r>
    </w:p>
    <w:p w14:paraId="4AE8C76B" w14:textId="3D5476B5" w:rsidR="00834E84" w:rsidRPr="009565BB" w:rsidRDefault="00986199">
      <w:pPr>
        <w:rPr>
          <w:rFonts w:ascii="Times New Roman" w:hAnsi="Times New Roman" w:cs="Times New Roman"/>
          <w:sz w:val="24"/>
          <w:szCs w:val="24"/>
        </w:rPr>
      </w:pPr>
      <w:r w:rsidRPr="009565BB">
        <w:rPr>
          <w:rFonts w:ascii="Times New Roman" w:hAnsi="Times New Roman" w:cs="Times New Roman"/>
          <w:sz w:val="24"/>
          <w:szCs w:val="24"/>
        </w:rPr>
        <w:t>During the 20</w:t>
      </w:r>
      <w:r w:rsidR="00B14825" w:rsidRPr="009565BB">
        <w:rPr>
          <w:rFonts w:ascii="Times New Roman" w:hAnsi="Times New Roman" w:cs="Times New Roman"/>
          <w:sz w:val="24"/>
          <w:szCs w:val="24"/>
        </w:rPr>
        <w:t>2</w:t>
      </w:r>
      <w:r w:rsidR="00540F1B">
        <w:rPr>
          <w:rFonts w:ascii="Times New Roman" w:hAnsi="Times New Roman" w:cs="Times New Roman"/>
          <w:sz w:val="24"/>
          <w:szCs w:val="24"/>
        </w:rPr>
        <w:t>4</w:t>
      </w:r>
      <w:r w:rsidR="00AF0C22" w:rsidRPr="009565BB">
        <w:rPr>
          <w:rFonts w:ascii="Times New Roman" w:hAnsi="Times New Roman" w:cs="Times New Roman"/>
          <w:sz w:val="24"/>
          <w:szCs w:val="24"/>
        </w:rPr>
        <w:t xml:space="preserve"> </w:t>
      </w:r>
      <w:r w:rsidR="00982624" w:rsidRPr="009565BB">
        <w:rPr>
          <w:rFonts w:ascii="Times New Roman" w:hAnsi="Times New Roman" w:cs="Times New Roman"/>
          <w:sz w:val="24"/>
          <w:szCs w:val="24"/>
        </w:rPr>
        <w:t>fiscal</w:t>
      </w:r>
      <w:r w:rsidR="00DA1613" w:rsidRPr="009565BB">
        <w:rPr>
          <w:rFonts w:ascii="Times New Roman" w:hAnsi="Times New Roman" w:cs="Times New Roman"/>
          <w:sz w:val="24"/>
          <w:szCs w:val="24"/>
        </w:rPr>
        <w:t xml:space="preserve"> year, the investment p</w:t>
      </w:r>
      <w:r w:rsidR="00834E84" w:rsidRPr="009565BB">
        <w:rPr>
          <w:rFonts w:ascii="Times New Roman" w:hAnsi="Times New Roman" w:cs="Times New Roman"/>
          <w:sz w:val="24"/>
          <w:szCs w:val="24"/>
        </w:rPr>
        <w:t>ro</w:t>
      </w:r>
      <w:r w:rsidR="008041A5" w:rsidRPr="009565BB">
        <w:rPr>
          <w:rFonts w:ascii="Times New Roman" w:hAnsi="Times New Roman" w:cs="Times New Roman"/>
          <w:sz w:val="24"/>
          <w:szCs w:val="24"/>
        </w:rPr>
        <w:t xml:space="preserve">gram distributed </w:t>
      </w:r>
      <w:r w:rsidR="008041A5" w:rsidRPr="005717DA">
        <w:rPr>
          <w:rFonts w:ascii="Times New Roman" w:hAnsi="Times New Roman" w:cs="Times New Roman"/>
          <w:sz w:val="24"/>
          <w:szCs w:val="24"/>
        </w:rPr>
        <w:t xml:space="preserve">income of </w:t>
      </w:r>
      <w:r w:rsidR="005F684D" w:rsidRPr="005717DA">
        <w:rPr>
          <w:rFonts w:ascii="Times New Roman" w:hAnsi="Times New Roman" w:cs="Times New Roman"/>
          <w:sz w:val="24"/>
          <w:szCs w:val="24"/>
        </w:rPr>
        <w:t>$</w:t>
      </w:r>
      <w:r w:rsidR="005717DA" w:rsidRPr="005717DA">
        <w:rPr>
          <w:rFonts w:ascii="Times New Roman" w:hAnsi="Times New Roman" w:cs="Times New Roman"/>
          <w:sz w:val="24"/>
          <w:szCs w:val="24"/>
        </w:rPr>
        <w:t>205</w:t>
      </w:r>
      <w:r w:rsidR="00834E84" w:rsidRPr="005717DA">
        <w:rPr>
          <w:rFonts w:ascii="Times New Roman" w:hAnsi="Times New Roman" w:cs="Times New Roman"/>
          <w:sz w:val="24"/>
          <w:szCs w:val="24"/>
        </w:rPr>
        <w:t xml:space="preserve"> million to</w:t>
      </w:r>
      <w:r w:rsidR="00834E84" w:rsidRPr="009565BB">
        <w:rPr>
          <w:rFonts w:ascii="Times New Roman" w:hAnsi="Times New Roman" w:cs="Times New Roman"/>
          <w:sz w:val="24"/>
          <w:szCs w:val="24"/>
        </w:rPr>
        <w:t xml:space="preserve"> units across the University System</w:t>
      </w:r>
      <w:r w:rsidR="001D0B3F" w:rsidRPr="009565BB">
        <w:rPr>
          <w:rFonts w:ascii="Times New Roman" w:hAnsi="Times New Roman" w:cs="Times New Roman"/>
          <w:sz w:val="24"/>
          <w:szCs w:val="24"/>
        </w:rPr>
        <w:t xml:space="preserve"> after paying investment management fees. </w:t>
      </w:r>
      <w:r w:rsidR="00834E84" w:rsidRPr="009565BB">
        <w:rPr>
          <w:rFonts w:ascii="Times New Roman" w:hAnsi="Times New Roman" w:cs="Times New Roman"/>
          <w:sz w:val="24"/>
          <w:szCs w:val="24"/>
        </w:rPr>
        <w:t>The summary of the distributio</w:t>
      </w:r>
      <w:r w:rsidR="005251CC" w:rsidRPr="009565BB">
        <w:rPr>
          <w:rFonts w:ascii="Times New Roman" w:hAnsi="Times New Roman" w:cs="Times New Roman"/>
          <w:sz w:val="24"/>
          <w:szCs w:val="24"/>
        </w:rPr>
        <w:t>n</w:t>
      </w:r>
      <w:r w:rsidR="00851E0C" w:rsidRPr="009565BB">
        <w:rPr>
          <w:rFonts w:ascii="Times New Roman" w:hAnsi="Times New Roman" w:cs="Times New Roman"/>
          <w:sz w:val="24"/>
          <w:szCs w:val="24"/>
        </w:rPr>
        <w:t xml:space="preserve"> by source </w:t>
      </w:r>
      <w:r w:rsidR="00A60FBD" w:rsidRPr="009565BB">
        <w:rPr>
          <w:rFonts w:ascii="Times New Roman" w:hAnsi="Times New Roman" w:cs="Times New Roman"/>
          <w:sz w:val="24"/>
          <w:szCs w:val="24"/>
        </w:rPr>
        <w:t>is shown in Figure 1</w:t>
      </w:r>
      <w:r w:rsidR="008D3210">
        <w:rPr>
          <w:rFonts w:ascii="Times New Roman" w:hAnsi="Times New Roman" w:cs="Times New Roman"/>
          <w:sz w:val="24"/>
          <w:szCs w:val="24"/>
        </w:rPr>
        <w:t>0</w:t>
      </w:r>
      <w:r w:rsidR="00834E84" w:rsidRPr="009565B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91FC81F" w14:textId="55DB099B" w:rsidR="00C51922" w:rsidRPr="009565BB" w:rsidRDefault="0016179F" w:rsidP="0016179F">
      <w:pPr>
        <w:rPr>
          <w:rFonts w:ascii="Times New Roman" w:hAnsi="Times New Roman" w:cs="Times New Roman"/>
          <w:b/>
          <w:sz w:val="24"/>
          <w:szCs w:val="24"/>
        </w:rPr>
      </w:pPr>
      <w:r w:rsidRPr="009565B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D0B3F" w:rsidRPr="009565BB">
        <w:rPr>
          <w:rFonts w:ascii="Times New Roman" w:hAnsi="Times New Roman" w:cs="Times New Roman"/>
          <w:b/>
          <w:sz w:val="24"/>
          <w:szCs w:val="24"/>
        </w:rPr>
        <w:tab/>
      </w:r>
      <w:r w:rsidR="001D0B3F" w:rsidRPr="009565BB">
        <w:rPr>
          <w:rFonts w:ascii="Times New Roman" w:hAnsi="Times New Roman" w:cs="Times New Roman"/>
          <w:b/>
          <w:sz w:val="24"/>
          <w:szCs w:val="24"/>
        </w:rPr>
        <w:tab/>
      </w:r>
      <w:r w:rsidR="001D0B3F" w:rsidRPr="009565BB"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 w:rsidR="00A60FBD" w:rsidRPr="005717DA">
        <w:rPr>
          <w:rFonts w:ascii="Times New Roman" w:hAnsi="Times New Roman" w:cs="Times New Roman"/>
          <w:b/>
          <w:sz w:val="24"/>
          <w:szCs w:val="24"/>
        </w:rPr>
        <w:t>Figure 1</w:t>
      </w:r>
      <w:r w:rsidR="008D3210" w:rsidRPr="005717DA">
        <w:rPr>
          <w:rFonts w:ascii="Times New Roman" w:hAnsi="Times New Roman" w:cs="Times New Roman"/>
          <w:b/>
          <w:sz w:val="24"/>
          <w:szCs w:val="24"/>
        </w:rPr>
        <w:t>0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044"/>
        <w:gridCol w:w="1470"/>
      </w:tblGrid>
      <w:tr w:rsidR="001D0B3F" w:rsidRPr="009565BB" w14:paraId="7C3BCFBE" w14:textId="7EF0DBD0" w:rsidTr="00DA1613">
        <w:trPr>
          <w:jc w:val="center"/>
        </w:trPr>
        <w:tc>
          <w:tcPr>
            <w:tcW w:w="4044" w:type="dxa"/>
            <w:shd w:val="clear" w:color="auto" w:fill="BFBFBF" w:themeFill="background1" w:themeFillShade="BF"/>
          </w:tcPr>
          <w:p w14:paraId="55BEF31C" w14:textId="77777777" w:rsidR="001D0B3F" w:rsidRPr="009565BB" w:rsidRDefault="001D0B3F" w:rsidP="002375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5BB">
              <w:rPr>
                <w:rFonts w:ascii="Times New Roman" w:hAnsi="Times New Roman" w:cs="Times New Roman"/>
                <w:b/>
                <w:sz w:val="24"/>
                <w:szCs w:val="24"/>
              </w:rPr>
              <w:t>($ Millions)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14:paraId="792DC926" w14:textId="736149DF" w:rsidR="001D0B3F" w:rsidRPr="009565BB" w:rsidRDefault="001D0B3F" w:rsidP="00917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5BB">
              <w:rPr>
                <w:rFonts w:ascii="Times New Roman" w:hAnsi="Times New Roman" w:cs="Times New Roman"/>
                <w:b/>
                <w:sz w:val="24"/>
                <w:szCs w:val="24"/>
              </w:rPr>
              <w:t>Distribution</w:t>
            </w:r>
          </w:p>
        </w:tc>
      </w:tr>
      <w:tr w:rsidR="001D0B3F" w:rsidRPr="009565BB" w14:paraId="4AC2E13A" w14:textId="6C8AAA1E" w:rsidTr="00DA1613">
        <w:trPr>
          <w:jc w:val="center"/>
        </w:trPr>
        <w:tc>
          <w:tcPr>
            <w:tcW w:w="4044" w:type="dxa"/>
          </w:tcPr>
          <w:p w14:paraId="1D9DB9B7" w14:textId="5AA919FD" w:rsidR="001D0B3F" w:rsidRPr="009565BB" w:rsidRDefault="001D0B3F" w:rsidP="00237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5BB">
              <w:rPr>
                <w:rFonts w:ascii="Times New Roman" w:hAnsi="Times New Roman" w:cs="Times New Roman"/>
                <w:sz w:val="24"/>
                <w:szCs w:val="24"/>
              </w:rPr>
              <w:t>Endowment Pool</w:t>
            </w:r>
          </w:p>
        </w:tc>
        <w:tc>
          <w:tcPr>
            <w:tcW w:w="1260" w:type="dxa"/>
          </w:tcPr>
          <w:p w14:paraId="1EAD2FB8" w14:textId="0A857496" w:rsidR="001D0B3F" w:rsidRPr="009565BB" w:rsidRDefault="005717DA" w:rsidP="00B1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</w:t>
            </w:r>
          </w:p>
        </w:tc>
      </w:tr>
      <w:tr w:rsidR="001D0B3F" w:rsidRPr="009565BB" w14:paraId="38012EC1" w14:textId="750C7231" w:rsidTr="00DA1613">
        <w:trPr>
          <w:jc w:val="center"/>
        </w:trPr>
        <w:tc>
          <w:tcPr>
            <w:tcW w:w="4044" w:type="dxa"/>
          </w:tcPr>
          <w:p w14:paraId="314758B2" w14:textId="195EC0AC" w:rsidR="001D0B3F" w:rsidRPr="009565BB" w:rsidRDefault="001D0B3F" w:rsidP="00237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5BB">
              <w:rPr>
                <w:rFonts w:ascii="Times New Roman" w:hAnsi="Times New Roman" w:cs="Times New Roman"/>
                <w:sz w:val="24"/>
                <w:szCs w:val="24"/>
              </w:rPr>
              <w:t xml:space="preserve">Operating Pool </w:t>
            </w:r>
          </w:p>
        </w:tc>
        <w:tc>
          <w:tcPr>
            <w:tcW w:w="1260" w:type="dxa"/>
          </w:tcPr>
          <w:p w14:paraId="7985C586" w14:textId="4FC754BD" w:rsidR="001D0B3F" w:rsidRPr="009565BB" w:rsidRDefault="005717DA" w:rsidP="00B1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172.2</w:t>
            </w:r>
          </w:p>
        </w:tc>
      </w:tr>
      <w:tr w:rsidR="001D0B3F" w:rsidRPr="009565BB" w14:paraId="488A8B29" w14:textId="77777777" w:rsidTr="00DA1613">
        <w:trPr>
          <w:jc w:val="center"/>
        </w:trPr>
        <w:tc>
          <w:tcPr>
            <w:tcW w:w="4044" w:type="dxa"/>
          </w:tcPr>
          <w:p w14:paraId="7C76B022" w14:textId="26F40A92" w:rsidR="001D0B3F" w:rsidRPr="009565BB" w:rsidRDefault="001D0B3F" w:rsidP="00237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5BB">
              <w:rPr>
                <w:rFonts w:ascii="Times New Roman" w:hAnsi="Times New Roman" w:cs="Times New Roman"/>
                <w:sz w:val="24"/>
                <w:szCs w:val="24"/>
              </w:rPr>
              <w:t>Endowment Farms</w:t>
            </w:r>
          </w:p>
        </w:tc>
        <w:tc>
          <w:tcPr>
            <w:tcW w:w="1260" w:type="dxa"/>
          </w:tcPr>
          <w:p w14:paraId="705002DB" w14:textId="0D027D1C" w:rsidR="001D0B3F" w:rsidRPr="009565BB" w:rsidRDefault="008817D5" w:rsidP="00B1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C2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717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D0B3F" w:rsidRPr="009565BB" w14:paraId="148AD749" w14:textId="11ABAA7B" w:rsidTr="00DA1613">
        <w:trPr>
          <w:jc w:val="center"/>
        </w:trPr>
        <w:tc>
          <w:tcPr>
            <w:tcW w:w="4044" w:type="dxa"/>
            <w:tcBorders>
              <w:bottom w:val="single" w:sz="4" w:space="0" w:color="auto"/>
            </w:tcBorders>
          </w:tcPr>
          <w:p w14:paraId="702B9AE4" w14:textId="77777777" w:rsidR="001D0B3F" w:rsidRPr="009565BB" w:rsidRDefault="001D0B3F" w:rsidP="002375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5BB">
              <w:rPr>
                <w:rFonts w:ascii="Times New Roman" w:hAnsi="Times New Roman" w:cs="Times New Roman"/>
                <w:b/>
                <w:sz w:val="24"/>
                <w:szCs w:val="24"/>
              </w:rPr>
              <w:t>Total Distribution</w:t>
            </w:r>
          </w:p>
        </w:tc>
        <w:tc>
          <w:tcPr>
            <w:tcW w:w="1260" w:type="dxa"/>
          </w:tcPr>
          <w:p w14:paraId="01B7E716" w14:textId="462E5B56" w:rsidR="001D0B3F" w:rsidRPr="009565BB" w:rsidRDefault="005717DA" w:rsidP="00B148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205.3</w:t>
            </w:r>
          </w:p>
        </w:tc>
      </w:tr>
    </w:tbl>
    <w:p w14:paraId="31E5BE36" w14:textId="77777777" w:rsidR="00917772" w:rsidRPr="009565BB" w:rsidRDefault="00917772">
      <w:pPr>
        <w:rPr>
          <w:rFonts w:ascii="Times New Roman" w:hAnsi="Times New Roman" w:cs="Times New Roman"/>
          <w:b/>
          <w:sz w:val="24"/>
          <w:szCs w:val="24"/>
        </w:rPr>
      </w:pPr>
    </w:p>
    <w:p w14:paraId="09069503" w14:textId="7A7F8005" w:rsidR="007B4942" w:rsidRPr="009565BB" w:rsidRDefault="00294D2F">
      <w:pPr>
        <w:rPr>
          <w:rFonts w:ascii="Times New Roman" w:hAnsi="Times New Roman" w:cs="Times New Roman"/>
          <w:b/>
          <w:sz w:val="28"/>
          <w:szCs w:val="28"/>
        </w:rPr>
      </w:pPr>
      <w:r w:rsidRPr="009565BB">
        <w:rPr>
          <w:rFonts w:ascii="Times New Roman" w:hAnsi="Times New Roman" w:cs="Times New Roman"/>
          <w:b/>
          <w:sz w:val="28"/>
          <w:szCs w:val="28"/>
        </w:rPr>
        <w:t>Program Costs</w:t>
      </w:r>
      <w:r w:rsidR="004621BC" w:rsidRPr="009565B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29D97DF" w14:textId="73BDE60F" w:rsidR="00A407AF" w:rsidRPr="009565BB" w:rsidRDefault="00834304" w:rsidP="00A407AF">
      <w:pPr>
        <w:spacing w:after="360"/>
        <w:rPr>
          <w:rFonts w:ascii="Times New Roman" w:hAnsi="Times New Roman" w:cs="Times New Roman"/>
          <w:sz w:val="24"/>
          <w:szCs w:val="24"/>
        </w:rPr>
      </w:pPr>
      <w:r w:rsidRPr="009565BB">
        <w:rPr>
          <w:rFonts w:ascii="Times New Roman" w:hAnsi="Times New Roman" w:cs="Times New Roman"/>
          <w:sz w:val="24"/>
          <w:szCs w:val="24"/>
        </w:rPr>
        <w:t>The most significant cost</w:t>
      </w:r>
      <w:r w:rsidR="00DA1613" w:rsidRPr="009565BB">
        <w:rPr>
          <w:rFonts w:ascii="Times New Roman" w:hAnsi="Times New Roman" w:cs="Times New Roman"/>
          <w:sz w:val="24"/>
          <w:szCs w:val="24"/>
        </w:rPr>
        <w:t xml:space="preserve"> to the investment p</w:t>
      </w:r>
      <w:r w:rsidR="00C6716C" w:rsidRPr="009565BB">
        <w:rPr>
          <w:rFonts w:ascii="Times New Roman" w:hAnsi="Times New Roman" w:cs="Times New Roman"/>
          <w:sz w:val="24"/>
          <w:szCs w:val="24"/>
        </w:rPr>
        <w:t>rogram is external counterparty (</w:t>
      </w:r>
      <w:r w:rsidR="00C6716C" w:rsidRPr="009565BB">
        <w:rPr>
          <w:rFonts w:ascii="Times New Roman" w:hAnsi="Times New Roman" w:cs="Times New Roman"/>
          <w:i/>
          <w:sz w:val="24"/>
          <w:szCs w:val="24"/>
        </w:rPr>
        <w:t>i.e.,</w:t>
      </w:r>
      <w:r w:rsidR="00C6716C" w:rsidRPr="009565BB">
        <w:rPr>
          <w:rFonts w:ascii="Times New Roman" w:hAnsi="Times New Roman" w:cs="Times New Roman"/>
          <w:sz w:val="24"/>
          <w:szCs w:val="24"/>
        </w:rPr>
        <w:t xml:space="preserve"> investment manager, custody, investmen</w:t>
      </w:r>
      <w:r w:rsidR="00982624" w:rsidRPr="009565BB">
        <w:rPr>
          <w:rFonts w:ascii="Times New Roman" w:hAnsi="Times New Roman" w:cs="Times New Roman"/>
          <w:sz w:val="24"/>
          <w:szCs w:val="24"/>
        </w:rPr>
        <w:t>t consultant) fees. For fiscal</w:t>
      </w:r>
      <w:r w:rsidR="008D4AFA" w:rsidRPr="009565BB">
        <w:rPr>
          <w:rFonts w:ascii="Times New Roman" w:hAnsi="Times New Roman" w:cs="Times New Roman"/>
          <w:sz w:val="24"/>
          <w:szCs w:val="24"/>
        </w:rPr>
        <w:t xml:space="preserve"> year 202</w:t>
      </w:r>
      <w:r w:rsidR="00540F1B">
        <w:rPr>
          <w:rFonts w:ascii="Times New Roman" w:hAnsi="Times New Roman" w:cs="Times New Roman"/>
          <w:sz w:val="24"/>
          <w:szCs w:val="24"/>
        </w:rPr>
        <w:t>4</w:t>
      </w:r>
      <w:r w:rsidR="009F11D8" w:rsidRPr="009565BB">
        <w:rPr>
          <w:rFonts w:ascii="Times New Roman" w:hAnsi="Times New Roman" w:cs="Times New Roman"/>
          <w:sz w:val="24"/>
          <w:szCs w:val="24"/>
        </w:rPr>
        <w:t xml:space="preserve">, this </w:t>
      </w:r>
      <w:r w:rsidR="009F11D8" w:rsidRPr="00D3710E">
        <w:rPr>
          <w:rFonts w:ascii="Times New Roman" w:hAnsi="Times New Roman" w:cs="Times New Roman"/>
          <w:sz w:val="24"/>
          <w:szCs w:val="24"/>
        </w:rPr>
        <w:t xml:space="preserve">comprised </w:t>
      </w:r>
      <w:r w:rsidR="00B31A90" w:rsidRPr="00D3710E">
        <w:rPr>
          <w:rFonts w:ascii="Times New Roman" w:hAnsi="Times New Roman" w:cs="Times New Roman"/>
          <w:sz w:val="24"/>
          <w:szCs w:val="24"/>
        </w:rPr>
        <w:t>$</w:t>
      </w:r>
      <w:r w:rsidR="00D3710E" w:rsidRPr="00D3710E">
        <w:rPr>
          <w:rFonts w:ascii="Times New Roman" w:hAnsi="Times New Roman" w:cs="Times New Roman"/>
          <w:sz w:val="24"/>
          <w:szCs w:val="24"/>
        </w:rPr>
        <w:t>14.1</w:t>
      </w:r>
      <w:r w:rsidR="00DF1F46" w:rsidRPr="00D3710E">
        <w:rPr>
          <w:rFonts w:ascii="Times New Roman" w:hAnsi="Times New Roman" w:cs="Times New Roman"/>
          <w:sz w:val="24"/>
          <w:szCs w:val="24"/>
        </w:rPr>
        <w:t xml:space="preserve"> million or </w:t>
      </w:r>
      <w:r w:rsidR="00107521" w:rsidRPr="00D3710E">
        <w:rPr>
          <w:rFonts w:ascii="Times New Roman" w:hAnsi="Times New Roman" w:cs="Times New Roman"/>
          <w:sz w:val="24"/>
          <w:szCs w:val="24"/>
        </w:rPr>
        <w:t>2</w:t>
      </w:r>
      <w:r w:rsidR="00D3710E" w:rsidRPr="00D3710E">
        <w:rPr>
          <w:rFonts w:ascii="Times New Roman" w:hAnsi="Times New Roman" w:cs="Times New Roman"/>
          <w:sz w:val="24"/>
          <w:szCs w:val="24"/>
        </w:rPr>
        <w:t>9</w:t>
      </w:r>
      <w:r w:rsidR="009F11D8" w:rsidRPr="00D3710E">
        <w:rPr>
          <w:rFonts w:ascii="Times New Roman" w:hAnsi="Times New Roman" w:cs="Times New Roman"/>
          <w:sz w:val="24"/>
          <w:szCs w:val="24"/>
        </w:rPr>
        <w:t xml:space="preserve"> basis</w:t>
      </w:r>
      <w:r w:rsidR="009F11D8" w:rsidRPr="009565BB">
        <w:rPr>
          <w:rFonts w:ascii="Times New Roman" w:hAnsi="Times New Roman" w:cs="Times New Roman"/>
          <w:sz w:val="24"/>
          <w:szCs w:val="24"/>
        </w:rPr>
        <w:t xml:space="preserve"> points of total assets</w:t>
      </w:r>
      <w:r w:rsidR="00A407AF" w:rsidRPr="009565BB">
        <w:rPr>
          <w:rFonts w:ascii="Times New Roman" w:hAnsi="Times New Roman" w:cs="Times New Roman"/>
          <w:sz w:val="24"/>
          <w:szCs w:val="24"/>
        </w:rPr>
        <w:t>. Investment manager</w:t>
      </w:r>
      <w:r w:rsidR="00C6716C" w:rsidRPr="009565BB">
        <w:rPr>
          <w:rFonts w:ascii="Times New Roman" w:hAnsi="Times New Roman" w:cs="Times New Roman"/>
          <w:sz w:val="24"/>
          <w:szCs w:val="24"/>
        </w:rPr>
        <w:t xml:space="preserve"> fees </w:t>
      </w:r>
      <w:r w:rsidR="00A407AF" w:rsidRPr="009565BB">
        <w:rPr>
          <w:rFonts w:ascii="Times New Roman" w:hAnsi="Times New Roman" w:cs="Times New Roman"/>
          <w:sz w:val="24"/>
          <w:szCs w:val="24"/>
        </w:rPr>
        <w:t>are net against performance</w:t>
      </w:r>
      <w:r w:rsidR="00C6716C" w:rsidRPr="009565BB">
        <w:rPr>
          <w:rFonts w:ascii="Times New Roman" w:hAnsi="Times New Roman" w:cs="Times New Roman"/>
          <w:sz w:val="24"/>
          <w:szCs w:val="24"/>
        </w:rPr>
        <w:t xml:space="preserve">. </w:t>
      </w:r>
      <w:r w:rsidR="00D816CE">
        <w:rPr>
          <w:rFonts w:ascii="Times New Roman" w:hAnsi="Times New Roman" w:cs="Times New Roman"/>
          <w:sz w:val="24"/>
          <w:szCs w:val="24"/>
        </w:rPr>
        <w:t>A</w:t>
      </w:r>
      <w:r w:rsidR="00DA1613" w:rsidRPr="009565BB">
        <w:rPr>
          <w:rFonts w:ascii="Times New Roman" w:hAnsi="Times New Roman" w:cs="Times New Roman"/>
          <w:sz w:val="24"/>
          <w:szCs w:val="24"/>
        </w:rPr>
        <w:t xml:space="preserve"> fee schedule is enclose</w:t>
      </w:r>
      <w:r w:rsidR="006F4B1E" w:rsidRPr="009565BB">
        <w:rPr>
          <w:rFonts w:ascii="Times New Roman" w:hAnsi="Times New Roman" w:cs="Times New Roman"/>
          <w:sz w:val="24"/>
          <w:szCs w:val="24"/>
        </w:rPr>
        <w:t>d</w:t>
      </w:r>
      <w:r w:rsidR="00DA1613" w:rsidRPr="009565BB">
        <w:rPr>
          <w:rFonts w:ascii="Times New Roman" w:hAnsi="Times New Roman" w:cs="Times New Roman"/>
          <w:sz w:val="24"/>
          <w:szCs w:val="24"/>
        </w:rPr>
        <w:t xml:space="preserve"> in the appendix</w:t>
      </w:r>
      <w:r w:rsidR="00D816CE">
        <w:rPr>
          <w:rFonts w:ascii="Times New Roman" w:hAnsi="Times New Roman" w:cs="Times New Roman"/>
          <w:sz w:val="24"/>
          <w:szCs w:val="24"/>
        </w:rPr>
        <w:t xml:space="preserve"> to this report</w:t>
      </w:r>
      <w:r w:rsidR="00A407AF" w:rsidRPr="009565BB">
        <w:rPr>
          <w:rFonts w:ascii="Times New Roman" w:hAnsi="Times New Roman" w:cs="Times New Roman"/>
          <w:sz w:val="24"/>
          <w:szCs w:val="24"/>
        </w:rPr>
        <w:t xml:space="preserve">, </w:t>
      </w:r>
      <w:r w:rsidR="00D816CE">
        <w:rPr>
          <w:rFonts w:ascii="Times New Roman" w:hAnsi="Times New Roman" w:cs="Times New Roman"/>
          <w:sz w:val="24"/>
          <w:szCs w:val="24"/>
        </w:rPr>
        <w:t>while the fiscal year 202</w:t>
      </w:r>
      <w:r w:rsidR="00540F1B">
        <w:rPr>
          <w:rFonts w:ascii="Times New Roman" w:hAnsi="Times New Roman" w:cs="Times New Roman"/>
          <w:sz w:val="24"/>
          <w:szCs w:val="24"/>
        </w:rPr>
        <w:t>4</w:t>
      </w:r>
      <w:r w:rsidR="00D816CE">
        <w:rPr>
          <w:rFonts w:ascii="Times New Roman" w:hAnsi="Times New Roman" w:cs="Times New Roman"/>
          <w:sz w:val="24"/>
          <w:szCs w:val="24"/>
        </w:rPr>
        <w:t xml:space="preserve"> fee summary </w:t>
      </w:r>
      <w:r w:rsidR="00A407AF" w:rsidRPr="009565BB">
        <w:rPr>
          <w:rFonts w:ascii="Times New Roman" w:hAnsi="Times New Roman" w:cs="Times New Roman"/>
          <w:sz w:val="24"/>
          <w:szCs w:val="24"/>
        </w:rPr>
        <w:t>is included</w:t>
      </w:r>
      <w:r w:rsidR="006F4B1E" w:rsidRPr="009565BB">
        <w:rPr>
          <w:rFonts w:ascii="Times New Roman" w:hAnsi="Times New Roman" w:cs="Times New Roman"/>
          <w:sz w:val="24"/>
          <w:szCs w:val="24"/>
        </w:rPr>
        <w:t xml:space="preserve"> separately</w:t>
      </w:r>
      <w:r w:rsidR="00A407AF" w:rsidRPr="009565BB">
        <w:rPr>
          <w:rFonts w:ascii="Times New Roman" w:hAnsi="Times New Roman" w:cs="Times New Roman"/>
          <w:sz w:val="24"/>
          <w:szCs w:val="24"/>
        </w:rPr>
        <w:t xml:space="preserve"> in the board materials.</w:t>
      </w:r>
      <w:r w:rsidR="00EE5F9E" w:rsidRPr="009565BB">
        <w:rPr>
          <w:rFonts w:ascii="Times New Roman" w:hAnsi="Times New Roman" w:cs="Times New Roman"/>
          <w:sz w:val="24"/>
          <w:szCs w:val="24"/>
        </w:rPr>
        <w:t xml:space="preserve"> </w:t>
      </w:r>
      <w:r w:rsidR="00C6716C" w:rsidRPr="009565BB">
        <w:rPr>
          <w:rFonts w:ascii="Times New Roman" w:hAnsi="Times New Roman" w:cs="Times New Roman"/>
          <w:sz w:val="24"/>
          <w:szCs w:val="24"/>
        </w:rPr>
        <w:t>Internally, t</w:t>
      </w:r>
      <w:r w:rsidR="00FB58B8" w:rsidRPr="009565BB">
        <w:rPr>
          <w:rFonts w:ascii="Times New Roman" w:hAnsi="Times New Roman" w:cs="Times New Roman"/>
          <w:sz w:val="24"/>
          <w:szCs w:val="24"/>
        </w:rPr>
        <w:t>he</w:t>
      </w:r>
      <w:r w:rsidR="004621BC" w:rsidRPr="009565BB">
        <w:rPr>
          <w:rFonts w:ascii="Times New Roman" w:hAnsi="Times New Roman" w:cs="Times New Roman"/>
          <w:sz w:val="24"/>
          <w:szCs w:val="24"/>
        </w:rPr>
        <w:t xml:space="preserve"> Invest</w:t>
      </w:r>
      <w:r w:rsidR="003904AA" w:rsidRPr="009565BB">
        <w:rPr>
          <w:rFonts w:ascii="Times New Roman" w:hAnsi="Times New Roman" w:cs="Times New Roman"/>
          <w:sz w:val="24"/>
          <w:szCs w:val="24"/>
        </w:rPr>
        <w:t xml:space="preserve">ment Office is comprised of </w:t>
      </w:r>
      <w:r w:rsidR="00540F1B">
        <w:rPr>
          <w:rFonts w:ascii="Times New Roman" w:hAnsi="Times New Roman" w:cs="Times New Roman"/>
          <w:sz w:val="24"/>
          <w:szCs w:val="24"/>
        </w:rPr>
        <w:t>four</w:t>
      </w:r>
      <w:r w:rsidR="003904AA" w:rsidRPr="009565BB">
        <w:rPr>
          <w:rFonts w:ascii="Times New Roman" w:hAnsi="Times New Roman" w:cs="Times New Roman"/>
          <w:sz w:val="24"/>
          <w:szCs w:val="24"/>
        </w:rPr>
        <w:t xml:space="preserve"> </w:t>
      </w:r>
      <w:r w:rsidR="00025A47" w:rsidRPr="009565BB">
        <w:rPr>
          <w:rFonts w:ascii="Times New Roman" w:hAnsi="Times New Roman" w:cs="Times New Roman"/>
          <w:sz w:val="24"/>
          <w:szCs w:val="24"/>
        </w:rPr>
        <w:t>full-time</w:t>
      </w:r>
      <w:r w:rsidR="003904AA" w:rsidRPr="009565BB">
        <w:rPr>
          <w:rFonts w:ascii="Times New Roman" w:hAnsi="Times New Roman" w:cs="Times New Roman"/>
          <w:sz w:val="24"/>
          <w:szCs w:val="24"/>
        </w:rPr>
        <w:t xml:space="preserve"> employees</w:t>
      </w:r>
      <w:r w:rsidR="004621BC" w:rsidRPr="009565BB">
        <w:rPr>
          <w:rFonts w:ascii="Times New Roman" w:hAnsi="Times New Roman" w:cs="Times New Roman"/>
          <w:sz w:val="24"/>
          <w:szCs w:val="24"/>
        </w:rPr>
        <w:t xml:space="preserve"> with </w:t>
      </w:r>
      <w:r w:rsidR="001742C3">
        <w:rPr>
          <w:rFonts w:ascii="Times New Roman" w:hAnsi="Times New Roman" w:cs="Times New Roman"/>
          <w:sz w:val="24"/>
          <w:szCs w:val="24"/>
        </w:rPr>
        <w:t>a fiscal year 202</w:t>
      </w:r>
      <w:r w:rsidR="00540F1B">
        <w:rPr>
          <w:rFonts w:ascii="Times New Roman" w:hAnsi="Times New Roman" w:cs="Times New Roman"/>
          <w:sz w:val="24"/>
          <w:szCs w:val="24"/>
        </w:rPr>
        <w:t>4</w:t>
      </w:r>
      <w:r w:rsidR="004621BC" w:rsidRPr="009565BB">
        <w:rPr>
          <w:rFonts w:ascii="Times New Roman" w:hAnsi="Times New Roman" w:cs="Times New Roman"/>
          <w:sz w:val="24"/>
          <w:szCs w:val="24"/>
        </w:rPr>
        <w:t xml:space="preserve"> sal</w:t>
      </w:r>
      <w:r w:rsidRPr="009565BB">
        <w:rPr>
          <w:rFonts w:ascii="Times New Roman" w:hAnsi="Times New Roman" w:cs="Times New Roman"/>
          <w:sz w:val="24"/>
          <w:szCs w:val="24"/>
        </w:rPr>
        <w:t xml:space="preserve">ary cost to </w:t>
      </w:r>
      <w:r w:rsidR="008B0048" w:rsidRPr="009565BB">
        <w:rPr>
          <w:rFonts w:ascii="Times New Roman" w:hAnsi="Times New Roman" w:cs="Times New Roman"/>
          <w:sz w:val="24"/>
          <w:szCs w:val="24"/>
        </w:rPr>
        <w:t>the System of</w:t>
      </w:r>
      <w:r w:rsidR="00A407AF" w:rsidRPr="009565BB">
        <w:rPr>
          <w:rFonts w:ascii="Times New Roman" w:hAnsi="Times New Roman" w:cs="Times New Roman"/>
          <w:sz w:val="24"/>
          <w:szCs w:val="24"/>
        </w:rPr>
        <w:t xml:space="preserve"> </w:t>
      </w:r>
      <w:r w:rsidR="00A407AF" w:rsidRPr="00360D69">
        <w:rPr>
          <w:rFonts w:ascii="Times New Roman" w:hAnsi="Times New Roman" w:cs="Times New Roman"/>
          <w:sz w:val="24"/>
          <w:szCs w:val="24"/>
        </w:rPr>
        <w:t>approximately $</w:t>
      </w:r>
      <w:r w:rsidR="00360D69" w:rsidRPr="00360D69">
        <w:rPr>
          <w:rFonts w:ascii="Times New Roman" w:hAnsi="Times New Roman" w:cs="Times New Roman"/>
          <w:sz w:val="24"/>
          <w:szCs w:val="24"/>
        </w:rPr>
        <w:t>4</w:t>
      </w:r>
      <w:r w:rsidR="003C49C4">
        <w:rPr>
          <w:rFonts w:ascii="Times New Roman" w:hAnsi="Times New Roman" w:cs="Times New Roman"/>
          <w:sz w:val="24"/>
          <w:szCs w:val="24"/>
        </w:rPr>
        <w:t>30</w:t>
      </w:r>
      <w:r w:rsidRPr="00360D69">
        <w:rPr>
          <w:rFonts w:ascii="Times New Roman" w:hAnsi="Times New Roman" w:cs="Times New Roman"/>
          <w:sz w:val="24"/>
          <w:szCs w:val="24"/>
        </w:rPr>
        <w:t xml:space="preserve">k </w:t>
      </w:r>
      <w:r w:rsidR="00BC3017" w:rsidRPr="00360D69">
        <w:rPr>
          <w:rFonts w:ascii="Times New Roman" w:hAnsi="Times New Roman" w:cs="Times New Roman"/>
          <w:sz w:val="24"/>
          <w:szCs w:val="24"/>
        </w:rPr>
        <w:t>and</w:t>
      </w:r>
      <w:r w:rsidRPr="009565BB">
        <w:rPr>
          <w:rFonts w:ascii="Times New Roman" w:hAnsi="Times New Roman" w:cs="Times New Roman"/>
          <w:sz w:val="24"/>
          <w:szCs w:val="24"/>
        </w:rPr>
        <w:t xml:space="preserve"> </w:t>
      </w:r>
      <w:r w:rsidR="007D3475" w:rsidRPr="009565BB">
        <w:rPr>
          <w:rFonts w:ascii="Times New Roman" w:hAnsi="Times New Roman" w:cs="Times New Roman"/>
          <w:sz w:val="24"/>
          <w:szCs w:val="24"/>
        </w:rPr>
        <w:t>additional budgetary expenses (</w:t>
      </w:r>
      <w:r w:rsidR="007D3475" w:rsidRPr="009565BB">
        <w:rPr>
          <w:rFonts w:ascii="Times New Roman" w:hAnsi="Times New Roman" w:cs="Times New Roman"/>
          <w:i/>
          <w:iCs/>
          <w:sz w:val="24"/>
          <w:szCs w:val="24"/>
        </w:rPr>
        <w:t>i.e.,</w:t>
      </w:r>
      <w:r w:rsidR="007D3475" w:rsidRPr="009565BB">
        <w:rPr>
          <w:rFonts w:ascii="Times New Roman" w:hAnsi="Times New Roman" w:cs="Times New Roman"/>
          <w:sz w:val="24"/>
          <w:szCs w:val="24"/>
        </w:rPr>
        <w:t xml:space="preserve"> travel, technology, training) totaling</w:t>
      </w:r>
      <w:r w:rsidRPr="009565BB">
        <w:rPr>
          <w:rFonts w:ascii="Times New Roman" w:hAnsi="Times New Roman" w:cs="Times New Roman"/>
          <w:sz w:val="24"/>
          <w:szCs w:val="24"/>
        </w:rPr>
        <w:t xml:space="preserve"> </w:t>
      </w:r>
      <w:r w:rsidR="001742C3" w:rsidRPr="003C49C4">
        <w:rPr>
          <w:rFonts w:ascii="Times New Roman" w:hAnsi="Times New Roman" w:cs="Times New Roman"/>
          <w:sz w:val="24"/>
          <w:szCs w:val="24"/>
        </w:rPr>
        <w:t xml:space="preserve">approximately </w:t>
      </w:r>
      <w:r w:rsidR="00514814" w:rsidRPr="003C49C4">
        <w:rPr>
          <w:rFonts w:ascii="Times New Roman" w:hAnsi="Times New Roman" w:cs="Times New Roman"/>
          <w:sz w:val="24"/>
          <w:szCs w:val="24"/>
        </w:rPr>
        <w:t>$</w:t>
      </w:r>
      <w:r w:rsidR="00C771FF" w:rsidRPr="003C49C4">
        <w:rPr>
          <w:rFonts w:ascii="Times New Roman" w:hAnsi="Times New Roman" w:cs="Times New Roman"/>
          <w:sz w:val="24"/>
          <w:szCs w:val="24"/>
        </w:rPr>
        <w:t>2</w:t>
      </w:r>
      <w:r w:rsidR="003C49C4" w:rsidRPr="003C49C4">
        <w:rPr>
          <w:rFonts w:ascii="Times New Roman" w:hAnsi="Times New Roman" w:cs="Times New Roman"/>
          <w:sz w:val="24"/>
          <w:szCs w:val="24"/>
        </w:rPr>
        <w:t>00</w:t>
      </w:r>
      <w:r w:rsidRPr="003C49C4">
        <w:rPr>
          <w:rFonts w:ascii="Times New Roman" w:hAnsi="Times New Roman" w:cs="Times New Roman"/>
          <w:sz w:val="24"/>
          <w:szCs w:val="24"/>
        </w:rPr>
        <w:t>k.</w:t>
      </w:r>
      <w:r w:rsidR="001742C3" w:rsidRPr="003C49C4">
        <w:rPr>
          <w:rFonts w:ascii="Times New Roman" w:hAnsi="Times New Roman" w:cs="Times New Roman"/>
          <w:sz w:val="24"/>
          <w:szCs w:val="24"/>
        </w:rPr>
        <w:t xml:space="preserve"> In</w:t>
      </w:r>
      <w:r w:rsidR="001742C3">
        <w:rPr>
          <w:rFonts w:ascii="Times New Roman" w:hAnsi="Times New Roman" w:cs="Times New Roman"/>
          <w:sz w:val="24"/>
          <w:szCs w:val="24"/>
        </w:rPr>
        <w:t xml:space="preserve"> total, </w:t>
      </w:r>
      <w:r w:rsidR="001742C3" w:rsidRPr="00747A30">
        <w:rPr>
          <w:rFonts w:ascii="Times New Roman" w:hAnsi="Times New Roman" w:cs="Times New Roman"/>
          <w:sz w:val="24"/>
          <w:szCs w:val="24"/>
        </w:rPr>
        <w:t>investment office expenses comprised 1 basis point (0.01%) of total assets</w:t>
      </w:r>
      <w:r w:rsidR="000147BD" w:rsidRPr="00747A30">
        <w:rPr>
          <w:rFonts w:ascii="Times New Roman" w:hAnsi="Times New Roman" w:cs="Times New Roman"/>
          <w:sz w:val="24"/>
          <w:szCs w:val="24"/>
        </w:rPr>
        <w:t xml:space="preserve"> or less than </w:t>
      </w:r>
      <w:r w:rsidR="00747A30" w:rsidRPr="00747A30">
        <w:rPr>
          <w:rFonts w:ascii="Times New Roman" w:hAnsi="Times New Roman" w:cs="Times New Roman"/>
          <w:sz w:val="24"/>
          <w:szCs w:val="24"/>
        </w:rPr>
        <w:t>6</w:t>
      </w:r>
      <w:r w:rsidR="000147BD" w:rsidRPr="00747A30">
        <w:rPr>
          <w:rFonts w:ascii="Times New Roman" w:hAnsi="Times New Roman" w:cs="Times New Roman"/>
          <w:sz w:val="24"/>
          <w:szCs w:val="24"/>
        </w:rPr>
        <w:t xml:space="preserve"> basis points (0.0</w:t>
      </w:r>
      <w:r w:rsidR="00747A30" w:rsidRPr="00747A30">
        <w:rPr>
          <w:rFonts w:ascii="Times New Roman" w:hAnsi="Times New Roman" w:cs="Times New Roman"/>
          <w:sz w:val="24"/>
          <w:szCs w:val="24"/>
        </w:rPr>
        <w:t>6</w:t>
      </w:r>
      <w:r w:rsidR="000147BD" w:rsidRPr="00747A30">
        <w:rPr>
          <w:rFonts w:ascii="Times New Roman" w:hAnsi="Times New Roman" w:cs="Times New Roman"/>
          <w:sz w:val="24"/>
          <w:szCs w:val="24"/>
        </w:rPr>
        <w:t>%) of endowment</w:t>
      </w:r>
      <w:r w:rsidR="000147BD">
        <w:rPr>
          <w:rFonts w:ascii="Times New Roman" w:hAnsi="Times New Roman" w:cs="Times New Roman"/>
          <w:sz w:val="24"/>
          <w:szCs w:val="24"/>
        </w:rPr>
        <w:t xml:space="preserve"> assets</w:t>
      </w:r>
      <w:r w:rsidR="001742C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B2F19C0" w14:textId="6EDB7E8C" w:rsidR="009E6275" w:rsidRPr="009565BB" w:rsidRDefault="00A407AF" w:rsidP="00A407AF">
      <w:pPr>
        <w:spacing w:after="360"/>
        <w:rPr>
          <w:rFonts w:ascii="Times New Roman" w:hAnsi="Times New Roman" w:cs="Times New Roman"/>
          <w:sz w:val="24"/>
          <w:szCs w:val="24"/>
        </w:rPr>
      </w:pPr>
      <w:r w:rsidRPr="009565BB">
        <w:rPr>
          <w:rFonts w:ascii="Times New Roman" w:hAnsi="Times New Roman" w:cs="Times New Roman"/>
          <w:sz w:val="24"/>
          <w:szCs w:val="24"/>
        </w:rPr>
        <w:t xml:space="preserve">The </w:t>
      </w:r>
      <w:r w:rsidR="00D816CE">
        <w:rPr>
          <w:rFonts w:ascii="Times New Roman" w:hAnsi="Times New Roman" w:cs="Times New Roman"/>
          <w:sz w:val="24"/>
          <w:szCs w:val="24"/>
        </w:rPr>
        <w:t>fiscal year 202</w:t>
      </w:r>
      <w:r w:rsidR="00540F1B">
        <w:rPr>
          <w:rFonts w:ascii="Times New Roman" w:hAnsi="Times New Roman" w:cs="Times New Roman"/>
          <w:sz w:val="24"/>
          <w:szCs w:val="24"/>
        </w:rPr>
        <w:t>4</w:t>
      </w:r>
      <w:r w:rsidRPr="009565BB">
        <w:rPr>
          <w:rFonts w:ascii="Times New Roman" w:hAnsi="Times New Roman" w:cs="Times New Roman"/>
          <w:sz w:val="24"/>
          <w:szCs w:val="24"/>
        </w:rPr>
        <w:t xml:space="preserve"> </w:t>
      </w:r>
      <w:r w:rsidR="00D816CE">
        <w:rPr>
          <w:rFonts w:ascii="Times New Roman" w:hAnsi="Times New Roman" w:cs="Times New Roman"/>
          <w:sz w:val="24"/>
          <w:szCs w:val="24"/>
        </w:rPr>
        <w:t>s</w:t>
      </w:r>
      <w:r w:rsidR="006F4B1E" w:rsidRPr="009565BB">
        <w:rPr>
          <w:rFonts w:ascii="Times New Roman" w:hAnsi="Times New Roman" w:cs="Times New Roman"/>
          <w:sz w:val="24"/>
          <w:szCs w:val="24"/>
        </w:rPr>
        <w:t xml:space="preserve">ecurity </w:t>
      </w:r>
      <w:r w:rsidR="00D816CE">
        <w:rPr>
          <w:rFonts w:ascii="Times New Roman" w:hAnsi="Times New Roman" w:cs="Times New Roman"/>
          <w:sz w:val="24"/>
          <w:szCs w:val="24"/>
        </w:rPr>
        <w:t>l</w:t>
      </w:r>
      <w:r w:rsidR="006F4B1E" w:rsidRPr="009565BB">
        <w:rPr>
          <w:rFonts w:ascii="Times New Roman" w:hAnsi="Times New Roman" w:cs="Times New Roman"/>
          <w:sz w:val="24"/>
          <w:szCs w:val="24"/>
        </w:rPr>
        <w:t>isting and</w:t>
      </w:r>
      <w:r w:rsidRPr="009565BB">
        <w:rPr>
          <w:rFonts w:ascii="Times New Roman" w:hAnsi="Times New Roman" w:cs="Times New Roman"/>
          <w:sz w:val="24"/>
          <w:szCs w:val="24"/>
        </w:rPr>
        <w:t xml:space="preserve"> </w:t>
      </w:r>
      <w:r w:rsidR="00D816CE">
        <w:rPr>
          <w:rFonts w:ascii="Times New Roman" w:hAnsi="Times New Roman" w:cs="Times New Roman"/>
          <w:sz w:val="24"/>
          <w:szCs w:val="24"/>
        </w:rPr>
        <w:t>e</w:t>
      </w:r>
      <w:r w:rsidRPr="009565BB">
        <w:rPr>
          <w:rFonts w:ascii="Times New Roman" w:hAnsi="Times New Roman" w:cs="Times New Roman"/>
          <w:sz w:val="24"/>
          <w:szCs w:val="24"/>
        </w:rPr>
        <w:t xml:space="preserve">ndowment </w:t>
      </w:r>
      <w:r w:rsidR="00D816CE">
        <w:rPr>
          <w:rFonts w:ascii="Times New Roman" w:hAnsi="Times New Roman" w:cs="Times New Roman"/>
          <w:sz w:val="24"/>
          <w:szCs w:val="24"/>
        </w:rPr>
        <w:t>t</w:t>
      </w:r>
      <w:r w:rsidRPr="009565BB">
        <w:rPr>
          <w:rFonts w:ascii="Times New Roman" w:hAnsi="Times New Roman" w:cs="Times New Roman"/>
          <w:sz w:val="24"/>
          <w:szCs w:val="24"/>
        </w:rPr>
        <w:t xml:space="preserve">ransaction </w:t>
      </w:r>
      <w:r w:rsidR="00D816CE">
        <w:rPr>
          <w:rFonts w:ascii="Times New Roman" w:hAnsi="Times New Roman" w:cs="Times New Roman"/>
          <w:sz w:val="24"/>
          <w:szCs w:val="24"/>
        </w:rPr>
        <w:t>r</w:t>
      </w:r>
      <w:r w:rsidRPr="009565BB">
        <w:rPr>
          <w:rFonts w:ascii="Times New Roman" w:hAnsi="Times New Roman" w:cs="Times New Roman"/>
          <w:sz w:val="24"/>
          <w:szCs w:val="24"/>
        </w:rPr>
        <w:t xml:space="preserve">eport have also been included </w:t>
      </w:r>
      <w:r w:rsidR="008807AF" w:rsidRPr="009565BB">
        <w:rPr>
          <w:rFonts w:ascii="Times New Roman" w:hAnsi="Times New Roman" w:cs="Times New Roman"/>
          <w:sz w:val="24"/>
          <w:szCs w:val="24"/>
        </w:rPr>
        <w:t xml:space="preserve">as separate attachments </w:t>
      </w:r>
      <w:r w:rsidR="00D063D2" w:rsidRPr="009565BB">
        <w:rPr>
          <w:rFonts w:ascii="Times New Roman" w:hAnsi="Times New Roman" w:cs="Times New Roman"/>
          <w:sz w:val="24"/>
          <w:szCs w:val="24"/>
        </w:rPr>
        <w:t>in</w:t>
      </w:r>
      <w:r w:rsidRPr="009565BB">
        <w:rPr>
          <w:rFonts w:ascii="Times New Roman" w:hAnsi="Times New Roman" w:cs="Times New Roman"/>
          <w:sz w:val="24"/>
          <w:szCs w:val="24"/>
        </w:rPr>
        <w:t xml:space="preserve"> the board materials. </w:t>
      </w:r>
    </w:p>
    <w:p w14:paraId="0305E3DB" w14:textId="77777777" w:rsidR="00E1022B" w:rsidRPr="009565BB" w:rsidRDefault="00E1022B">
      <w:pPr>
        <w:rPr>
          <w:rFonts w:ascii="Times New Roman" w:hAnsi="Times New Roman" w:cs="Times New Roman"/>
          <w:b/>
          <w:sz w:val="24"/>
          <w:szCs w:val="24"/>
        </w:rPr>
      </w:pPr>
    </w:p>
    <w:p w14:paraId="18FAA429" w14:textId="061A00A0" w:rsidR="00770C56" w:rsidRPr="009565BB" w:rsidRDefault="00770C56">
      <w:pPr>
        <w:rPr>
          <w:rStyle w:val="Hyperlink"/>
          <w:rFonts w:ascii="Times New Roman" w:hAnsi="Times New Roman" w:cs="Times New Roman"/>
          <w:sz w:val="24"/>
          <w:szCs w:val="24"/>
        </w:rPr>
      </w:pPr>
      <w:r w:rsidRPr="009565BB">
        <w:rPr>
          <w:rStyle w:val="Hyperlink"/>
          <w:rFonts w:ascii="Times New Roman" w:hAnsi="Times New Roman" w:cs="Times New Roman"/>
          <w:sz w:val="24"/>
          <w:szCs w:val="24"/>
        </w:rPr>
        <w:br w:type="page"/>
      </w:r>
    </w:p>
    <w:p w14:paraId="742C1105" w14:textId="77777777" w:rsidR="00E91C7F" w:rsidRPr="009565BB" w:rsidRDefault="00E91C7F" w:rsidP="007E0481">
      <w:pPr>
        <w:pStyle w:val="Heading1"/>
      </w:pPr>
      <w:r w:rsidRPr="009565BB">
        <w:lastRenderedPageBreak/>
        <w:t xml:space="preserve">University of Illinois System </w:t>
      </w:r>
    </w:p>
    <w:p w14:paraId="5995DEC8" w14:textId="77777777" w:rsidR="00E91C7F" w:rsidRPr="009565BB" w:rsidRDefault="00E91C7F" w:rsidP="007E0481">
      <w:pPr>
        <w:pStyle w:val="Heading1"/>
      </w:pPr>
      <w:r w:rsidRPr="009565BB">
        <w:t>Investment Fee Schedule – Traditional Investments</w:t>
      </w:r>
    </w:p>
    <w:p w14:paraId="65908322" w14:textId="77777777" w:rsidR="00E91C7F" w:rsidRPr="009565BB" w:rsidRDefault="00E91C7F" w:rsidP="00E91C7F">
      <w:pPr>
        <w:ind w:hanging="630"/>
        <w:rPr>
          <w:rFonts w:ascii="Times New Roman" w:hAnsi="Times New Roman" w:cs="Times New Roman"/>
          <w:b/>
        </w:rPr>
      </w:pPr>
    </w:p>
    <w:p w14:paraId="74039F71" w14:textId="77777777" w:rsidR="00E91C7F" w:rsidRPr="009565BB" w:rsidRDefault="00E91C7F" w:rsidP="00E91C7F">
      <w:pPr>
        <w:rPr>
          <w:rFonts w:ascii="Times New Roman" w:hAnsi="Times New Roman" w:cs="Times New Roman"/>
          <w:b/>
        </w:rPr>
      </w:pPr>
      <w:r w:rsidRPr="009565BB">
        <w:rPr>
          <w:rFonts w:ascii="Times New Roman" w:hAnsi="Times New Roman" w:cs="Times New Roman"/>
          <w:b/>
        </w:rPr>
        <w:t>Firm</w:t>
      </w:r>
      <w:r w:rsidRPr="009565BB">
        <w:rPr>
          <w:rFonts w:ascii="Times New Roman" w:hAnsi="Times New Roman" w:cs="Times New Roman"/>
          <w:b/>
        </w:rPr>
        <w:tab/>
      </w:r>
      <w:r w:rsidRPr="009565BB">
        <w:rPr>
          <w:rFonts w:ascii="Times New Roman" w:hAnsi="Times New Roman" w:cs="Times New Roman"/>
        </w:rPr>
        <w:tab/>
      </w:r>
      <w:r w:rsidRPr="009565BB">
        <w:rPr>
          <w:rFonts w:ascii="Times New Roman" w:hAnsi="Times New Roman" w:cs="Times New Roman"/>
        </w:rPr>
        <w:tab/>
      </w:r>
      <w:r w:rsidRPr="009565BB">
        <w:rPr>
          <w:rFonts w:ascii="Times New Roman" w:hAnsi="Times New Roman" w:cs="Times New Roman"/>
        </w:rPr>
        <w:tab/>
      </w:r>
      <w:r w:rsidRPr="009565BB">
        <w:rPr>
          <w:rFonts w:ascii="Times New Roman" w:hAnsi="Times New Roman" w:cs="Times New Roman"/>
        </w:rPr>
        <w:tab/>
      </w:r>
      <w:r w:rsidRPr="009565BB">
        <w:rPr>
          <w:rFonts w:ascii="Times New Roman" w:hAnsi="Times New Roman" w:cs="Times New Roman"/>
        </w:rPr>
        <w:tab/>
      </w:r>
      <w:r w:rsidRPr="009565BB">
        <w:rPr>
          <w:rFonts w:ascii="Times New Roman" w:hAnsi="Times New Roman" w:cs="Times New Roman"/>
        </w:rPr>
        <w:tab/>
      </w:r>
      <w:r w:rsidRPr="009565BB">
        <w:rPr>
          <w:rFonts w:ascii="Times New Roman" w:hAnsi="Times New Roman" w:cs="Times New Roman"/>
          <w:b/>
        </w:rPr>
        <w:t>Terms</w:t>
      </w:r>
    </w:p>
    <w:p w14:paraId="4A08A810" w14:textId="77777777" w:rsidR="00E91C7F" w:rsidRPr="009565BB" w:rsidRDefault="00E91C7F" w:rsidP="00E91C7F">
      <w:pPr>
        <w:rPr>
          <w:rFonts w:ascii="Times New Roman" w:hAnsi="Times New Roman" w:cs="Times New Roman"/>
        </w:rPr>
      </w:pPr>
      <w:r w:rsidRPr="009565BB">
        <w:rPr>
          <w:rFonts w:ascii="Times New Roman" w:hAnsi="Times New Roman" w:cs="Times New Roman"/>
          <w:u w:val="single"/>
        </w:rPr>
        <w:t>Money Market Funds</w:t>
      </w:r>
      <w:r w:rsidRPr="009565BB">
        <w:rPr>
          <w:rFonts w:ascii="Times New Roman" w:hAnsi="Times New Roman" w:cs="Times New Roman"/>
        </w:rPr>
        <w:tab/>
      </w:r>
      <w:r w:rsidRPr="009565BB">
        <w:rPr>
          <w:rFonts w:ascii="Times New Roman" w:hAnsi="Times New Roman" w:cs="Times New Roman"/>
        </w:rPr>
        <w:tab/>
      </w:r>
      <w:r w:rsidRPr="009565BB">
        <w:rPr>
          <w:rFonts w:ascii="Times New Roman" w:hAnsi="Times New Roman" w:cs="Times New Roman"/>
        </w:rPr>
        <w:tab/>
      </w:r>
      <w:r w:rsidRPr="009565BB">
        <w:rPr>
          <w:rFonts w:ascii="Times New Roman" w:hAnsi="Times New Roman" w:cs="Times New Roman"/>
        </w:rPr>
        <w:tab/>
      </w:r>
      <w:r w:rsidRPr="009565BB">
        <w:rPr>
          <w:rFonts w:ascii="Times New Roman" w:hAnsi="Times New Roman" w:cs="Times New Roman"/>
        </w:rPr>
        <w:tab/>
      </w:r>
      <w:r w:rsidRPr="009565BB">
        <w:rPr>
          <w:rFonts w:ascii="Times New Roman" w:hAnsi="Times New Roman" w:cs="Times New Roman"/>
          <w:u w:val="single"/>
        </w:rPr>
        <w:t>Management Fee</w:t>
      </w:r>
    </w:p>
    <w:p w14:paraId="49244AF3" w14:textId="77777777" w:rsidR="00E91C7F" w:rsidRPr="009565BB" w:rsidRDefault="00E91C7F" w:rsidP="00E91C7F">
      <w:pPr>
        <w:pStyle w:val="NoSpacing"/>
        <w:rPr>
          <w:rFonts w:ascii="Times New Roman" w:hAnsi="Times New Roman"/>
        </w:rPr>
      </w:pPr>
      <w:r w:rsidRPr="009565BB">
        <w:rPr>
          <w:rFonts w:ascii="Times New Roman" w:hAnsi="Times New Roman"/>
        </w:rPr>
        <w:t>JP Morgan</w:t>
      </w:r>
      <w:r w:rsidRPr="009565BB">
        <w:rPr>
          <w:rFonts w:ascii="Times New Roman" w:hAnsi="Times New Roman"/>
        </w:rPr>
        <w:tab/>
      </w:r>
      <w:r w:rsidRPr="009565BB">
        <w:rPr>
          <w:rFonts w:ascii="Times New Roman" w:hAnsi="Times New Roman"/>
        </w:rPr>
        <w:tab/>
      </w:r>
      <w:r w:rsidRPr="009565BB">
        <w:rPr>
          <w:rFonts w:ascii="Times New Roman" w:hAnsi="Times New Roman"/>
        </w:rPr>
        <w:tab/>
      </w:r>
      <w:r w:rsidRPr="009565BB">
        <w:rPr>
          <w:rFonts w:ascii="Times New Roman" w:hAnsi="Times New Roman"/>
        </w:rPr>
        <w:tab/>
      </w:r>
      <w:r w:rsidRPr="009565BB">
        <w:rPr>
          <w:rFonts w:ascii="Times New Roman" w:hAnsi="Times New Roman"/>
        </w:rPr>
        <w:tab/>
      </w:r>
      <w:r w:rsidRPr="009565BB">
        <w:rPr>
          <w:rFonts w:ascii="Times New Roman" w:hAnsi="Times New Roman"/>
        </w:rPr>
        <w:tab/>
        <w:t>0.18%</w:t>
      </w:r>
    </w:p>
    <w:p w14:paraId="54E54FDB" w14:textId="77777777" w:rsidR="00E13DB8" w:rsidRDefault="00E91C7F" w:rsidP="00E91C7F">
      <w:pPr>
        <w:pStyle w:val="NoSpacing"/>
        <w:rPr>
          <w:rFonts w:ascii="Times New Roman" w:hAnsi="Times New Roman"/>
        </w:rPr>
      </w:pPr>
      <w:r w:rsidRPr="009565BB">
        <w:rPr>
          <w:rFonts w:ascii="Times New Roman" w:hAnsi="Times New Roman"/>
        </w:rPr>
        <w:t>(U.S. Government Money Market Fund</w:t>
      </w:r>
      <w:r w:rsidR="00E13DB8">
        <w:rPr>
          <w:rFonts w:ascii="Times New Roman" w:hAnsi="Times New Roman"/>
        </w:rPr>
        <w:t xml:space="preserve"> &amp;</w:t>
      </w:r>
    </w:p>
    <w:p w14:paraId="105C1DA7" w14:textId="757C52E1" w:rsidR="00E91C7F" w:rsidRPr="009565BB" w:rsidRDefault="00E13DB8" w:rsidP="00E91C7F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JP Morgan Prime Money Market Fund</w:t>
      </w:r>
      <w:r w:rsidR="00E91C7F" w:rsidRPr="009565BB">
        <w:rPr>
          <w:rFonts w:ascii="Times New Roman" w:hAnsi="Times New Roman"/>
        </w:rPr>
        <w:t>)</w:t>
      </w:r>
      <w:r w:rsidR="00E91C7F" w:rsidRPr="009565BB">
        <w:rPr>
          <w:rFonts w:ascii="Times New Roman" w:hAnsi="Times New Roman"/>
        </w:rPr>
        <w:tab/>
      </w:r>
    </w:p>
    <w:p w14:paraId="38EA4D2F" w14:textId="77777777" w:rsidR="00E91C7F" w:rsidRPr="009565BB" w:rsidRDefault="00E91C7F" w:rsidP="00E91C7F">
      <w:pPr>
        <w:pStyle w:val="NoSpacing"/>
        <w:ind w:hanging="630"/>
        <w:rPr>
          <w:rFonts w:ascii="Times New Roman" w:hAnsi="Times New Roman"/>
        </w:rPr>
      </w:pPr>
    </w:p>
    <w:p w14:paraId="0F9FE2C9" w14:textId="77777777" w:rsidR="00E91C7F" w:rsidRPr="009565BB" w:rsidRDefault="00E91C7F" w:rsidP="00E91C7F">
      <w:pPr>
        <w:pStyle w:val="NoSpacing"/>
        <w:rPr>
          <w:rFonts w:ascii="Times New Roman" w:hAnsi="Times New Roman"/>
        </w:rPr>
      </w:pPr>
      <w:r w:rsidRPr="009565BB">
        <w:rPr>
          <w:rFonts w:ascii="Times New Roman" w:hAnsi="Times New Roman"/>
        </w:rPr>
        <w:t>Northern Trust</w:t>
      </w:r>
      <w:r w:rsidRPr="009565BB">
        <w:rPr>
          <w:rFonts w:ascii="Times New Roman" w:hAnsi="Times New Roman"/>
        </w:rPr>
        <w:tab/>
      </w:r>
      <w:r w:rsidRPr="009565BB">
        <w:rPr>
          <w:rFonts w:ascii="Times New Roman" w:hAnsi="Times New Roman"/>
        </w:rPr>
        <w:tab/>
      </w:r>
      <w:r w:rsidRPr="009565BB">
        <w:rPr>
          <w:rFonts w:ascii="Times New Roman" w:hAnsi="Times New Roman"/>
        </w:rPr>
        <w:tab/>
      </w:r>
      <w:r w:rsidRPr="009565BB">
        <w:rPr>
          <w:rFonts w:ascii="Times New Roman" w:hAnsi="Times New Roman"/>
        </w:rPr>
        <w:tab/>
      </w:r>
      <w:r w:rsidRPr="009565BB">
        <w:rPr>
          <w:rFonts w:ascii="Times New Roman" w:hAnsi="Times New Roman"/>
        </w:rPr>
        <w:tab/>
      </w:r>
      <w:r w:rsidRPr="009565BB">
        <w:rPr>
          <w:rFonts w:ascii="Times New Roman" w:hAnsi="Times New Roman"/>
        </w:rPr>
        <w:tab/>
        <w:t>0.20%</w:t>
      </w:r>
    </w:p>
    <w:p w14:paraId="4B8FC6B7" w14:textId="1BD39668" w:rsidR="00B663FF" w:rsidRDefault="00B663FF" w:rsidP="00B663FF">
      <w:pPr>
        <w:pStyle w:val="NoSpacing"/>
        <w:rPr>
          <w:rFonts w:ascii="Times New Roman" w:hAnsi="Times New Roman"/>
        </w:rPr>
      </w:pPr>
      <w:r w:rsidRPr="003207A5">
        <w:rPr>
          <w:rFonts w:ascii="Times New Roman" w:hAnsi="Times New Roman"/>
        </w:rPr>
        <w:t>(</w:t>
      </w:r>
      <w:r>
        <w:rPr>
          <w:rFonts w:ascii="Times New Roman" w:hAnsi="Times New Roman"/>
        </w:rPr>
        <w:t>U.S.</w:t>
      </w:r>
      <w:r w:rsidRPr="003207A5">
        <w:rPr>
          <w:rFonts w:ascii="Times New Roman" w:hAnsi="Times New Roman"/>
        </w:rPr>
        <w:t xml:space="preserve"> Government Select</w:t>
      </w:r>
    </w:p>
    <w:p w14:paraId="65C74241" w14:textId="77777777" w:rsidR="00B663FF" w:rsidRPr="003207A5" w:rsidRDefault="00B663FF" w:rsidP="00B663FF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Siebert Williams Shank Shares)</w:t>
      </w:r>
    </w:p>
    <w:p w14:paraId="44A66E7E" w14:textId="77777777" w:rsidR="00E91C7F" w:rsidRPr="009565BB" w:rsidRDefault="00E91C7F" w:rsidP="00E91C7F">
      <w:pPr>
        <w:pStyle w:val="NoSpacing"/>
        <w:rPr>
          <w:rFonts w:ascii="Times New Roman" w:hAnsi="Times New Roman"/>
        </w:rPr>
      </w:pPr>
    </w:p>
    <w:p w14:paraId="05384FBA" w14:textId="17EADC99" w:rsidR="00E91C7F" w:rsidRPr="009565BB" w:rsidRDefault="00E91C7F" w:rsidP="00E91C7F">
      <w:pPr>
        <w:pStyle w:val="NoSpacing"/>
        <w:rPr>
          <w:rFonts w:ascii="Times New Roman" w:hAnsi="Times New Roman"/>
        </w:rPr>
      </w:pPr>
      <w:r w:rsidRPr="009565BB">
        <w:rPr>
          <w:rFonts w:ascii="Times New Roman" w:hAnsi="Times New Roman"/>
        </w:rPr>
        <w:t>Illinois Funds</w:t>
      </w:r>
      <w:r w:rsidRPr="009565BB">
        <w:rPr>
          <w:rFonts w:ascii="Times New Roman" w:hAnsi="Times New Roman"/>
        </w:rPr>
        <w:tab/>
      </w:r>
      <w:r w:rsidRPr="009565BB">
        <w:rPr>
          <w:rFonts w:ascii="Times New Roman" w:hAnsi="Times New Roman"/>
        </w:rPr>
        <w:tab/>
      </w:r>
      <w:r w:rsidRPr="009565BB">
        <w:rPr>
          <w:rFonts w:ascii="Times New Roman" w:hAnsi="Times New Roman"/>
        </w:rPr>
        <w:tab/>
      </w:r>
      <w:r w:rsidRPr="009565BB">
        <w:rPr>
          <w:rFonts w:ascii="Times New Roman" w:hAnsi="Times New Roman"/>
        </w:rPr>
        <w:tab/>
      </w:r>
      <w:r w:rsidRPr="009565BB">
        <w:rPr>
          <w:rFonts w:ascii="Times New Roman" w:hAnsi="Times New Roman"/>
        </w:rPr>
        <w:tab/>
      </w:r>
      <w:r w:rsidRPr="009565BB">
        <w:rPr>
          <w:rFonts w:ascii="Times New Roman" w:hAnsi="Times New Roman"/>
        </w:rPr>
        <w:tab/>
        <w:t>0.05% (plus administrative expenses)</w:t>
      </w:r>
    </w:p>
    <w:p w14:paraId="5C573B8E" w14:textId="77777777" w:rsidR="00E91C7F" w:rsidRPr="009565BB" w:rsidRDefault="00E91C7F" w:rsidP="00E91C7F">
      <w:pPr>
        <w:pStyle w:val="NoSpacing"/>
        <w:ind w:hanging="630"/>
        <w:rPr>
          <w:rFonts w:ascii="Times New Roman" w:hAnsi="Times New Roman"/>
          <w:u w:val="single"/>
        </w:rPr>
      </w:pPr>
    </w:p>
    <w:p w14:paraId="19949E24" w14:textId="77777777" w:rsidR="00E91C7F" w:rsidRPr="009565BB" w:rsidRDefault="00E91C7F" w:rsidP="00E91C7F">
      <w:pPr>
        <w:pStyle w:val="NoSpacing"/>
        <w:rPr>
          <w:rFonts w:ascii="Times New Roman" w:hAnsi="Times New Roman"/>
        </w:rPr>
      </w:pPr>
      <w:r w:rsidRPr="009565BB">
        <w:rPr>
          <w:rFonts w:ascii="Times New Roman" w:hAnsi="Times New Roman"/>
          <w:u w:val="single"/>
        </w:rPr>
        <w:t>Fixed Income</w:t>
      </w:r>
      <w:r w:rsidRPr="009565BB">
        <w:rPr>
          <w:rFonts w:ascii="Times New Roman" w:hAnsi="Times New Roman"/>
        </w:rPr>
        <w:tab/>
      </w:r>
    </w:p>
    <w:p w14:paraId="75837F9A" w14:textId="77777777" w:rsidR="00E91C7F" w:rsidRPr="009565BB" w:rsidRDefault="00E91C7F" w:rsidP="00E91C7F">
      <w:pPr>
        <w:pStyle w:val="NoSpacing"/>
        <w:ind w:hanging="630"/>
        <w:rPr>
          <w:rFonts w:ascii="Times New Roman" w:hAnsi="Times New Roman"/>
        </w:rPr>
      </w:pPr>
      <w:r w:rsidRPr="009565BB">
        <w:rPr>
          <w:rFonts w:ascii="Times New Roman" w:hAnsi="Times New Roman"/>
        </w:rPr>
        <w:tab/>
      </w:r>
      <w:r w:rsidRPr="009565BB">
        <w:rPr>
          <w:rFonts w:ascii="Times New Roman" w:hAnsi="Times New Roman"/>
        </w:rPr>
        <w:tab/>
      </w:r>
      <w:r w:rsidRPr="009565BB">
        <w:rPr>
          <w:rFonts w:ascii="Times New Roman" w:hAnsi="Times New Roman"/>
        </w:rPr>
        <w:tab/>
      </w:r>
      <w:r w:rsidRPr="009565BB">
        <w:rPr>
          <w:rFonts w:ascii="Times New Roman" w:hAnsi="Times New Roman"/>
        </w:rPr>
        <w:tab/>
      </w:r>
      <w:r w:rsidRPr="009565BB">
        <w:rPr>
          <w:rFonts w:ascii="Times New Roman" w:hAnsi="Times New Roman"/>
        </w:rPr>
        <w:tab/>
      </w:r>
      <w:r w:rsidRPr="009565BB">
        <w:rPr>
          <w:rFonts w:ascii="Times New Roman" w:hAnsi="Times New Roman"/>
        </w:rPr>
        <w:tab/>
      </w:r>
      <w:r w:rsidRPr="009565BB">
        <w:rPr>
          <w:rFonts w:ascii="Times New Roman" w:hAnsi="Times New Roman"/>
        </w:rPr>
        <w:tab/>
      </w:r>
      <w:r w:rsidRPr="009565BB">
        <w:rPr>
          <w:rFonts w:ascii="Times New Roman" w:hAnsi="Times New Roman"/>
        </w:rPr>
        <w:tab/>
      </w:r>
      <w:r w:rsidRPr="009565BB">
        <w:rPr>
          <w:rFonts w:ascii="Times New Roman" w:hAnsi="Times New Roman"/>
        </w:rPr>
        <w:tab/>
      </w:r>
      <w:r w:rsidRPr="009565BB">
        <w:rPr>
          <w:rFonts w:ascii="Times New Roman" w:hAnsi="Times New Roman"/>
        </w:rPr>
        <w:tab/>
      </w:r>
    </w:p>
    <w:p w14:paraId="50C31D72" w14:textId="77777777" w:rsidR="00E91C7F" w:rsidRPr="009565BB" w:rsidRDefault="00E91C7F" w:rsidP="00E91C7F">
      <w:pPr>
        <w:pStyle w:val="NoSpacing"/>
        <w:ind w:left="720" w:hanging="720"/>
        <w:rPr>
          <w:rFonts w:ascii="Times New Roman" w:hAnsi="Times New Roman"/>
        </w:rPr>
      </w:pPr>
      <w:r w:rsidRPr="009565BB">
        <w:rPr>
          <w:rFonts w:ascii="Times New Roman" w:hAnsi="Times New Roman"/>
        </w:rPr>
        <w:t>Galliard Capital Management</w:t>
      </w:r>
      <w:r w:rsidRPr="009565BB">
        <w:rPr>
          <w:rFonts w:ascii="Times New Roman" w:hAnsi="Times New Roman"/>
        </w:rPr>
        <w:tab/>
      </w:r>
      <w:r w:rsidRPr="009565BB">
        <w:rPr>
          <w:rFonts w:ascii="Times New Roman" w:hAnsi="Times New Roman"/>
        </w:rPr>
        <w:tab/>
      </w:r>
      <w:r w:rsidRPr="009565BB">
        <w:rPr>
          <w:rFonts w:ascii="Times New Roman" w:hAnsi="Times New Roman"/>
        </w:rPr>
        <w:tab/>
      </w:r>
      <w:r w:rsidRPr="009565BB">
        <w:rPr>
          <w:rFonts w:ascii="Times New Roman" w:hAnsi="Times New Roman"/>
        </w:rPr>
        <w:tab/>
        <w:t>0.18% - first $200 million</w:t>
      </w:r>
    </w:p>
    <w:p w14:paraId="684D8AD5" w14:textId="77777777" w:rsidR="00E91C7F" w:rsidRPr="009565BB" w:rsidRDefault="00E91C7F" w:rsidP="00E91C7F">
      <w:pPr>
        <w:pStyle w:val="NoSpacing"/>
        <w:ind w:left="720" w:hanging="720"/>
        <w:rPr>
          <w:rFonts w:ascii="Times New Roman" w:hAnsi="Times New Roman"/>
        </w:rPr>
      </w:pPr>
      <w:r w:rsidRPr="009565BB">
        <w:rPr>
          <w:rFonts w:ascii="Times New Roman" w:hAnsi="Times New Roman"/>
        </w:rPr>
        <w:t>(Short Duration)</w:t>
      </w:r>
      <w:r w:rsidRPr="009565BB">
        <w:rPr>
          <w:rFonts w:ascii="Times New Roman" w:hAnsi="Times New Roman"/>
        </w:rPr>
        <w:tab/>
      </w:r>
      <w:r w:rsidRPr="009565BB">
        <w:rPr>
          <w:rFonts w:ascii="Times New Roman" w:hAnsi="Times New Roman"/>
        </w:rPr>
        <w:tab/>
      </w:r>
      <w:r w:rsidRPr="009565BB">
        <w:rPr>
          <w:rFonts w:ascii="Times New Roman" w:hAnsi="Times New Roman"/>
        </w:rPr>
        <w:tab/>
      </w:r>
      <w:r w:rsidRPr="009565BB">
        <w:rPr>
          <w:rFonts w:ascii="Times New Roman" w:hAnsi="Times New Roman"/>
        </w:rPr>
        <w:tab/>
      </w:r>
      <w:r w:rsidRPr="009565BB">
        <w:rPr>
          <w:rFonts w:ascii="Times New Roman" w:hAnsi="Times New Roman"/>
        </w:rPr>
        <w:tab/>
        <w:t>0.15% - balance</w:t>
      </w:r>
      <w:r w:rsidRPr="009565BB">
        <w:rPr>
          <w:rFonts w:ascii="Times New Roman" w:hAnsi="Times New Roman"/>
        </w:rPr>
        <w:tab/>
      </w:r>
      <w:r w:rsidRPr="009565BB">
        <w:rPr>
          <w:rFonts w:ascii="Times New Roman" w:hAnsi="Times New Roman"/>
        </w:rPr>
        <w:tab/>
      </w:r>
      <w:r w:rsidRPr="009565BB">
        <w:rPr>
          <w:rFonts w:ascii="Times New Roman" w:hAnsi="Times New Roman"/>
        </w:rPr>
        <w:tab/>
      </w:r>
      <w:r w:rsidRPr="009565BB">
        <w:rPr>
          <w:rFonts w:ascii="Times New Roman" w:hAnsi="Times New Roman"/>
        </w:rPr>
        <w:tab/>
      </w:r>
    </w:p>
    <w:p w14:paraId="01D40737" w14:textId="77777777" w:rsidR="00E91C7F" w:rsidRPr="009565BB" w:rsidRDefault="00E91C7F" w:rsidP="00E91C7F">
      <w:pPr>
        <w:pStyle w:val="NoSpacing"/>
        <w:rPr>
          <w:rFonts w:ascii="Times New Roman" w:hAnsi="Times New Roman"/>
        </w:rPr>
      </w:pPr>
      <w:r w:rsidRPr="009565BB">
        <w:rPr>
          <w:rFonts w:ascii="Times New Roman" w:hAnsi="Times New Roman"/>
        </w:rPr>
        <w:tab/>
      </w:r>
      <w:r w:rsidRPr="009565BB">
        <w:rPr>
          <w:rFonts w:ascii="Times New Roman" w:hAnsi="Times New Roman"/>
        </w:rPr>
        <w:tab/>
      </w:r>
      <w:r w:rsidRPr="009565BB">
        <w:rPr>
          <w:rFonts w:ascii="Times New Roman" w:hAnsi="Times New Roman"/>
        </w:rPr>
        <w:tab/>
      </w:r>
      <w:r w:rsidRPr="009565BB">
        <w:rPr>
          <w:rFonts w:ascii="Times New Roman" w:hAnsi="Times New Roman"/>
        </w:rPr>
        <w:tab/>
      </w:r>
      <w:r w:rsidRPr="009565BB">
        <w:rPr>
          <w:rFonts w:ascii="Times New Roman" w:hAnsi="Times New Roman"/>
        </w:rPr>
        <w:tab/>
      </w:r>
      <w:r w:rsidRPr="009565BB">
        <w:rPr>
          <w:rFonts w:ascii="Times New Roman" w:hAnsi="Times New Roman"/>
        </w:rPr>
        <w:tab/>
      </w:r>
      <w:r w:rsidRPr="009565BB">
        <w:rPr>
          <w:rFonts w:ascii="Times New Roman" w:hAnsi="Times New Roman"/>
        </w:rPr>
        <w:tab/>
      </w:r>
      <w:r w:rsidRPr="009565BB">
        <w:rPr>
          <w:rFonts w:ascii="Times New Roman" w:hAnsi="Times New Roman"/>
        </w:rPr>
        <w:tab/>
      </w:r>
      <w:r w:rsidRPr="009565BB">
        <w:rPr>
          <w:rFonts w:ascii="Times New Roman" w:hAnsi="Times New Roman"/>
        </w:rPr>
        <w:tab/>
      </w:r>
      <w:r w:rsidRPr="009565BB">
        <w:rPr>
          <w:rFonts w:ascii="Times New Roman" w:hAnsi="Times New Roman"/>
        </w:rPr>
        <w:tab/>
      </w:r>
    </w:p>
    <w:p w14:paraId="3E2589CB" w14:textId="77777777" w:rsidR="00E91C7F" w:rsidRPr="009565BB" w:rsidRDefault="00E91C7F" w:rsidP="00E91C7F">
      <w:pPr>
        <w:pStyle w:val="NoSpacing"/>
        <w:ind w:left="720" w:hanging="720"/>
        <w:rPr>
          <w:rFonts w:ascii="Times New Roman" w:hAnsi="Times New Roman"/>
        </w:rPr>
      </w:pPr>
      <w:r w:rsidRPr="009565BB">
        <w:rPr>
          <w:rFonts w:ascii="Times New Roman" w:hAnsi="Times New Roman"/>
        </w:rPr>
        <w:t>Income Research + Management</w:t>
      </w:r>
      <w:r w:rsidRPr="009565BB">
        <w:rPr>
          <w:rFonts w:ascii="Times New Roman" w:hAnsi="Times New Roman"/>
        </w:rPr>
        <w:tab/>
      </w:r>
      <w:r w:rsidRPr="009565BB">
        <w:rPr>
          <w:rFonts w:ascii="Times New Roman" w:hAnsi="Times New Roman"/>
        </w:rPr>
        <w:tab/>
      </w:r>
      <w:r w:rsidRPr="009565BB">
        <w:rPr>
          <w:rFonts w:ascii="Times New Roman" w:hAnsi="Times New Roman"/>
        </w:rPr>
        <w:tab/>
        <w:t>0.21% - first $100 million</w:t>
      </w:r>
    </w:p>
    <w:p w14:paraId="41240F29" w14:textId="77777777" w:rsidR="00E91C7F" w:rsidRPr="009565BB" w:rsidRDefault="00E91C7F" w:rsidP="00E91C7F">
      <w:pPr>
        <w:pStyle w:val="NoSpacing"/>
        <w:ind w:left="720" w:hanging="720"/>
        <w:rPr>
          <w:rFonts w:ascii="Times New Roman" w:hAnsi="Times New Roman"/>
        </w:rPr>
      </w:pPr>
      <w:r w:rsidRPr="009565BB">
        <w:rPr>
          <w:rFonts w:ascii="Times New Roman" w:hAnsi="Times New Roman"/>
        </w:rPr>
        <w:t>(Short Duration and Intermediate)</w:t>
      </w:r>
      <w:r w:rsidRPr="009565BB">
        <w:rPr>
          <w:rFonts w:ascii="Times New Roman" w:hAnsi="Times New Roman"/>
        </w:rPr>
        <w:tab/>
      </w:r>
      <w:r w:rsidRPr="009565BB">
        <w:rPr>
          <w:rFonts w:ascii="Times New Roman" w:hAnsi="Times New Roman"/>
        </w:rPr>
        <w:tab/>
      </w:r>
      <w:r w:rsidRPr="009565BB">
        <w:rPr>
          <w:rFonts w:ascii="Times New Roman" w:hAnsi="Times New Roman"/>
        </w:rPr>
        <w:tab/>
        <w:t>0.18% - next $100 million</w:t>
      </w:r>
    </w:p>
    <w:p w14:paraId="1F665D48" w14:textId="452F87B5" w:rsidR="00E91C7F" w:rsidRPr="009565BB" w:rsidRDefault="00E91C7F" w:rsidP="00E91C7F">
      <w:pPr>
        <w:pStyle w:val="NoSpacing"/>
        <w:ind w:left="720" w:hanging="1350"/>
        <w:rPr>
          <w:rFonts w:ascii="Times New Roman" w:hAnsi="Times New Roman"/>
        </w:rPr>
      </w:pPr>
      <w:r w:rsidRPr="009565BB">
        <w:rPr>
          <w:rFonts w:ascii="Times New Roman" w:hAnsi="Times New Roman"/>
        </w:rPr>
        <w:tab/>
      </w:r>
      <w:r w:rsidRPr="009565BB">
        <w:rPr>
          <w:rFonts w:ascii="Times New Roman" w:hAnsi="Times New Roman"/>
        </w:rPr>
        <w:tab/>
      </w:r>
      <w:r w:rsidRPr="009565BB">
        <w:rPr>
          <w:rFonts w:ascii="Times New Roman" w:hAnsi="Times New Roman"/>
        </w:rPr>
        <w:tab/>
      </w:r>
      <w:r w:rsidRPr="009565BB">
        <w:rPr>
          <w:rFonts w:ascii="Times New Roman" w:hAnsi="Times New Roman"/>
        </w:rPr>
        <w:tab/>
      </w:r>
      <w:r w:rsidRPr="009565BB">
        <w:rPr>
          <w:rFonts w:ascii="Times New Roman" w:hAnsi="Times New Roman"/>
        </w:rPr>
        <w:tab/>
      </w:r>
      <w:r w:rsidRPr="009565BB">
        <w:rPr>
          <w:rFonts w:ascii="Times New Roman" w:hAnsi="Times New Roman"/>
        </w:rPr>
        <w:tab/>
      </w:r>
      <w:r w:rsidRPr="009565BB">
        <w:rPr>
          <w:rFonts w:ascii="Times New Roman" w:hAnsi="Times New Roman"/>
        </w:rPr>
        <w:tab/>
        <w:t xml:space="preserve">0.15% - balance </w:t>
      </w:r>
    </w:p>
    <w:p w14:paraId="22C573A1" w14:textId="77777777" w:rsidR="00E91C7F" w:rsidRPr="009565BB" w:rsidRDefault="00E91C7F" w:rsidP="00E91C7F">
      <w:pPr>
        <w:pStyle w:val="NoSpacing"/>
        <w:rPr>
          <w:rFonts w:ascii="Times New Roman" w:hAnsi="Times New Roman"/>
        </w:rPr>
      </w:pPr>
    </w:p>
    <w:p w14:paraId="0D68B956" w14:textId="6955FC85" w:rsidR="00E91C7F" w:rsidRPr="009565BB" w:rsidRDefault="00E91C7F" w:rsidP="00E91C7F">
      <w:pPr>
        <w:pStyle w:val="NoSpacing"/>
        <w:rPr>
          <w:rFonts w:ascii="Times New Roman" w:hAnsi="Times New Roman"/>
        </w:rPr>
      </w:pPr>
      <w:r w:rsidRPr="009565BB">
        <w:rPr>
          <w:rFonts w:ascii="Times New Roman" w:hAnsi="Times New Roman"/>
        </w:rPr>
        <w:t>JP Morgan</w:t>
      </w:r>
      <w:r w:rsidRPr="009565BB">
        <w:rPr>
          <w:rFonts w:ascii="Times New Roman" w:hAnsi="Times New Roman"/>
        </w:rPr>
        <w:tab/>
      </w:r>
      <w:r w:rsidRPr="009565BB">
        <w:rPr>
          <w:rFonts w:ascii="Times New Roman" w:hAnsi="Times New Roman"/>
        </w:rPr>
        <w:tab/>
      </w:r>
      <w:r w:rsidRPr="009565BB">
        <w:rPr>
          <w:rFonts w:ascii="Times New Roman" w:hAnsi="Times New Roman"/>
        </w:rPr>
        <w:tab/>
      </w:r>
      <w:r w:rsidRPr="009565BB">
        <w:rPr>
          <w:rFonts w:ascii="Times New Roman" w:hAnsi="Times New Roman"/>
        </w:rPr>
        <w:tab/>
      </w:r>
      <w:r w:rsidRPr="009565BB">
        <w:rPr>
          <w:rFonts w:ascii="Times New Roman" w:hAnsi="Times New Roman"/>
        </w:rPr>
        <w:tab/>
      </w:r>
      <w:r w:rsidRPr="009565BB">
        <w:rPr>
          <w:rFonts w:ascii="Times New Roman" w:hAnsi="Times New Roman"/>
        </w:rPr>
        <w:tab/>
        <w:t>0.15% - first $50 million</w:t>
      </w:r>
    </w:p>
    <w:p w14:paraId="059ACCEC" w14:textId="77777777" w:rsidR="00E91C7F" w:rsidRPr="009565BB" w:rsidRDefault="00E91C7F" w:rsidP="00E91C7F">
      <w:pPr>
        <w:pStyle w:val="NoSpacing"/>
        <w:rPr>
          <w:rFonts w:ascii="Times New Roman" w:hAnsi="Times New Roman"/>
        </w:rPr>
      </w:pPr>
      <w:r w:rsidRPr="009565BB">
        <w:rPr>
          <w:rFonts w:ascii="Times New Roman" w:hAnsi="Times New Roman"/>
        </w:rPr>
        <w:t>(Managed Reserves)</w:t>
      </w:r>
      <w:r w:rsidRPr="009565BB">
        <w:rPr>
          <w:rFonts w:ascii="Times New Roman" w:hAnsi="Times New Roman"/>
        </w:rPr>
        <w:tab/>
      </w:r>
      <w:r w:rsidRPr="009565BB">
        <w:rPr>
          <w:rFonts w:ascii="Times New Roman" w:hAnsi="Times New Roman"/>
        </w:rPr>
        <w:tab/>
      </w:r>
      <w:r w:rsidRPr="009565BB">
        <w:rPr>
          <w:rFonts w:ascii="Times New Roman" w:hAnsi="Times New Roman"/>
        </w:rPr>
        <w:tab/>
      </w:r>
      <w:r w:rsidRPr="009565BB">
        <w:rPr>
          <w:rFonts w:ascii="Times New Roman" w:hAnsi="Times New Roman"/>
        </w:rPr>
        <w:tab/>
      </w:r>
      <w:r w:rsidRPr="009565BB">
        <w:rPr>
          <w:rFonts w:ascii="Times New Roman" w:hAnsi="Times New Roman"/>
        </w:rPr>
        <w:tab/>
        <w:t>0.125% - next $50 million</w:t>
      </w:r>
    </w:p>
    <w:p w14:paraId="1EB42173" w14:textId="4B760EC8" w:rsidR="00E91C7F" w:rsidRPr="009565BB" w:rsidRDefault="00E91C7F" w:rsidP="00E91C7F">
      <w:pPr>
        <w:pStyle w:val="NoSpacing"/>
        <w:ind w:left="720" w:hanging="1350"/>
        <w:rPr>
          <w:rFonts w:ascii="Times New Roman" w:hAnsi="Times New Roman"/>
        </w:rPr>
      </w:pPr>
      <w:r w:rsidRPr="009565BB">
        <w:rPr>
          <w:rFonts w:ascii="Times New Roman" w:hAnsi="Times New Roman"/>
        </w:rPr>
        <w:tab/>
      </w:r>
      <w:r w:rsidRPr="009565BB">
        <w:rPr>
          <w:rFonts w:ascii="Times New Roman" w:hAnsi="Times New Roman"/>
        </w:rPr>
        <w:tab/>
      </w:r>
      <w:r w:rsidRPr="009565BB">
        <w:rPr>
          <w:rFonts w:ascii="Times New Roman" w:hAnsi="Times New Roman"/>
        </w:rPr>
        <w:tab/>
      </w:r>
      <w:r w:rsidRPr="009565BB">
        <w:rPr>
          <w:rFonts w:ascii="Times New Roman" w:hAnsi="Times New Roman"/>
        </w:rPr>
        <w:tab/>
      </w:r>
      <w:r w:rsidRPr="009565BB">
        <w:rPr>
          <w:rFonts w:ascii="Times New Roman" w:hAnsi="Times New Roman"/>
        </w:rPr>
        <w:tab/>
      </w:r>
      <w:r w:rsidRPr="009565BB">
        <w:rPr>
          <w:rFonts w:ascii="Times New Roman" w:hAnsi="Times New Roman"/>
        </w:rPr>
        <w:tab/>
      </w:r>
      <w:r w:rsidRPr="009565BB">
        <w:rPr>
          <w:rFonts w:ascii="Times New Roman" w:hAnsi="Times New Roman"/>
        </w:rPr>
        <w:tab/>
        <w:t>0.10% - next $100 million</w:t>
      </w:r>
    </w:p>
    <w:p w14:paraId="7F73F697" w14:textId="0B21FB4E" w:rsidR="00E91C7F" w:rsidRPr="009565BB" w:rsidRDefault="00E91C7F" w:rsidP="00E91C7F">
      <w:pPr>
        <w:pStyle w:val="NoSpacing"/>
        <w:ind w:left="720" w:hanging="1350"/>
        <w:rPr>
          <w:rFonts w:ascii="Times New Roman" w:hAnsi="Times New Roman"/>
        </w:rPr>
      </w:pPr>
      <w:r w:rsidRPr="009565BB">
        <w:rPr>
          <w:rFonts w:ascii="Times New Roman" w:hAnsi="Times New Roman"/>
        </w:rPr>
        <w:tab/>
      </w:r>
      <w:r w:rsidRPr="009565BB">
        <w:rPr>
          <w:rFonts w:ascii="Times New Roman" w:hAnsi="Times New Roman"/>
        </w:rPr>
        <w:tab/>
      </w:r>
      <w:r w:rsidRPr="009565BB">
        <w:rPr>
          <w:rFonts w:ascii="Times New Roman" w:hAnsi="Times New Roman"/>
        </w:rPr>
        <w:tab/>
      </w:r>
      <w:r w:rsidRPr="009565BB">
        <w:rPr>
          <w:rFonts w:ascii="Times New Roman" w:hAnsi="Times New Roman"/>
        </w:rPr>
        <w:tab/>
      </w:r>
      <w:r w:rsidRPr="009565BB">
        <w:rPr>
          <w:rFonts w:ascii="Times New Roman" w:hAnsi="Times New Roman"/>
        </w:rPr>
        <w:tab/>
      </w:r>
      <w:r w:rsidRPr="009565BB">
        <w:rPr>
          <w:rFonts w:ascii="Times New Roman" w:hAnsi="Times New Roman"/>
        </w:rPr>
        <w:tab/>
      </w:r>
      <w:r w:rsidRPr="009565BB">
        <w:rPr>
          <w:rFonts w:ascii="Times New Roman" w:hAnsi="Times New Roman"/>
        </w:rPr>
        <w:tab/>
        <w:t>0.08% - next $100 million</w:t>
      </w:r>
    </w:p>
    <w:p w14:paraId="1EC7F971" w14:textId="77777777" w:rsidR="00E91C7F" w:rsidRPr="009565BB" w:rsidRDefault="00E91C7F" w:rsidP="00E91C7F">
      <w:pPr>
        <w:pStyle w:val="NoSpacing"/>
        <w:rPr>
          <w:rFonts w:ascii="Times New Roman" w:hAnsi="Times New Roman"/>
        </w:rPr>
      </w:pPr>
    </w:p>
    <w:p w14:paraId="78B91DD1" w14:textId="77777777" w:rsidR="00E91C7F" w:rsidRPr="009565BB" w:rsidRDefault="00E91C7F" w:rsidP="00E91C7F">
      <w:pPr>
        <w:pStyle w:val="NoSpacing"/>
        <w:ind w:left="720" w:hanging="720"/>
        <w:rPr>
          <w:rFonts w:ascii="Times New Roman" w:hAnsi="Times New Roman"/>
        </w:rPr>
      </w:pPr>
      <w:r w:rsidRPr="009565BB">
        <w:rPr>
          <w:rFonts w:ascii="Times New Roman" w:hAnsi="Times New Roman"/>
        </w:rPr>
        <w:t>Neuberger Berman</w:t>
      </w:r>
      <w:r w:rsidRPr="009565BB">
        <w:rPr>
          <w:rFonts w:ascii="Times New Roman" w:hAnsi="Times New Roman"/>
        </w:rPr>
        <w:tab/>
      </w:r>
      <w:r w:rsidRPr="009565BB">
        <w:rPr>
          <w:rFonts w:ascii="Times New Roman" w:hAnsi="Times New Roman"/>
        </w:rPr>
        <w:tab/>
      </w:r>
      <w:r w:rsidRPr="009565BB">
        <w:rPr>
          <w:rFonts w:ascii="Times New Roman" w:hAnsi="Times New Roman"/>
        </w:rPr>
        <w:tab/>
      </w:r>
      <w:r w:rsidRPr="009565BB">
        <w:rPr>
          <w:rFonts w:ascii="Times New Roman" w:hAnsi="Times New Roman"/>
        </w:rPr>
        <w:tab/>
      </w:r>
      <w:r w:rsidRPr="009565BB">
        <w:rPr>
          <w:rFonts w:ascii="Times New Roman" w:hAnsi="Times New Roman"/>
        </w:rPr>
        <w:tab/>
        <w:t>0.175% - first $50 million</w:t>
      </w:r>
    </w:p>
    <w:p w14:paraId="70B9DCD9" w14:textId="77777777" w:rsidR="00E91C7F" w:rsidRPr="009565BB" w:rsidRDefault="00E91C7F" w:rsidP="00E91C7F">
      <w:pPr>
        <w:pStyle w:val="NoSpacing"/>
        <w:ind w:left="720" w:hanging="720"/>
        <w:rPr>
          <w:rFonts w:ascii="Times New Roman" w:hAnsi="Times New Roman"/>
        </w:rPr>
      </w:pPr>
      <w:r w:rsidRPr="009565BB">
        <w:rPr>
          <w:rFonts w:ascii="Times New Roman" w:hAnsi="Times New Roman"/>
        </w:rPr>
        <w:t>(Enhanced Cash)</w:t>
      </w:r>
      <w:r w:rsidRPr="009565BB">
        <w:rPr>
          <w:rFonts w:ascii="Times New Roman" w:hAnsi="Times New Roman"/>
        </w:rPr>
        <w:tab/>
      </w:r>
      <w:r w:rsidRPr="009565BB">
        <w:rPr>
          <w:rFonts w:ascii="Times New Roman" w:hAnsi="Times New Roman"/>
        </w:rPr>
        <w:tab/>
      </w:r>
      <w:r w:rsidRPr="009565BB">
        <w:rPr>
          <w:rFonts w:ascii="Times New Roman" w:hAnsi="Times New Roman"/>
        </w:rPr>
        <w:tab/>
      </w:r>
      <w:r w:rsidRPr="009565BB">
        <w:rPr>
          <w:rFonts w:ascii="Times New Roman" w:hAnsi="Times New Roman"/>
        </w:rPr>
        <w:tab/>
      </w:r>
      <w:r w:rsidRPr="009565BB">
        <w:rPr>
          <w:rFonts w:ascii="Times New Roman" w:hAnsi="Times New Roman"/>
        </w:rPr>
        <w:tab/>
        <w:t>0.15% - next $50 million</w:t>
      </w:r>
    </w:p>
    <w:p w14:paraId="255A6FD6" w14:textId="0BF19DE4" w:rsidR="00E91C7F" w:rsidRPr="009565BB" w:rsidRDefault="00E91C7F" w:rsidP="00E91C7F">
      <w:pPr>
        <w:pStyle w:val="NoSpacing"/>
        <w:ind w:left="720" w:hanging="1350"/>
        <w:rPr>
          <w:rFonts w:ascii="Times New Roman" w:hAnsi="Times New Roman"/>
        </w:rPr>
      </w:pPr>
      <w:r w:rsidRPr="009565BB">
        <w:rPr>
          <w:rFonts w:ascii="Times New Roman" w:hAnsi="Times New Roman"/>
        </w:rPr>
        <w:tab/>
      </w:r>
      <w:r w:rsidRPr="009565BB">
        <w:rPr>
          <w:rFonts w:ascii="Times New Roman" w:hAnsi="Times New Roman"/>
        </w:rPr>
        <w:tab/>
      </w:r>
      <w:r w:rsidRPr="009565BB">
        <w:rPr>
          <w:rFonts w:ascii="Times New Roman" w:hAnsi="Times New Roman"/>
        </w:rPr>
        <w:tab/>
      </w:r>
      <w:r w:rsidRPr="009565BB">
        <w:rPr>
          <w:rFonts w:ascii="Times New Roman" w:hAnsi="Times New Roman"/>
        </w:rPr>
        <w:tab/>
      </w:r>
      <w:r w:rsidRPr="009565BB">
        <w:rPr>
          <w:rFonts w:ascii="Times New Roman" w:hAnsi="Times New Roman"/>
        </w:rPr>
        <w:tab/>
      </w:r>
      <w:r w:rsidRPr="009565BB">
        <w:rPr>
          <w:rFonts w:ascii="Times New Roman" w:hAnsi="Times New Roman"/>
        </w:rPr>
        <w:tab/>
      </w:r>
      <w:r w:rsidRPr="009565BB">
        <w:rPr>
          <w:rFonts w:ascii="Times New Roman" w:hAnsi="Times New Roman"/>
        </w:rPr>
        <w:tab/>
        <w:t>0.12% - next $150 million</w:t>
      </w:r>
    </w:p>
    <w:p w14:paraId="19813A17" w14:textId="4F42E25C" w:rsidR="00E91C7F" w:rsidRPr="009565BB" w:rsidRDefault="00E91C7F" w:rsidP="00E91C7F">
      <w:pPr>
        <w:pStyle w:val="NoSpacing"/>
        <w:ind w:left="720" w:hanging="1350"/>
        <w:rPr>
          <w:rFonts w:ascii="Times New Roman" w:hAnsi="Times New Roman"/>
        </w:rPr>
      </w:pPr>
      <w:r w:rsidRPr="009565BB">
        <w:rPr>
          <w:rFonts w:ascii="Times New Roman" w:hAnsi="Times New Roman"/>
        </w:rPr>
        <w:tab/>
      </w:r>
      <w:r w:rsidRPr="009565BB">
        <w:rPr>
          <w:rFonts w:ascii="Times New Roman" w:hAnsi="Times New Roman"/>
        </w:rPr>
        <w:tab/>
      </w:r>
      <w:r w:rsidRPr="009565BB">
        <w:rPr>
          <w:rFonts w:ascii="Times New Roman" w:hAnsi="Times New Roman"/>
        </w:rPr>
        <w:tab/>
      </w:r>
      <w:r w:rsidRPr="009565BB">
        <w:rPr>
          <w:rFonts w:ascii="Times New Roman" w:hAnsi="Times New Roman"/>
        </w:rPr>
        <w:tab/>
      </w:r>
      <w:r w:rsidRPr="009565BB">
        <w:rPr>
          <w:rFonts w:ascii="Times New Roman" w:hAnsi="Times New Roman"/>
        </w:rPr>
        <w:tab/>
      </w:r>
      <w:r w:rsidRPr="009565BB">
        <w:rPr>
          <w:rFonts w:ascii="Times New Roman" w:hAnsi="Times New Roman"/>
        </w:rPr>
        <w:tab/>
      </w:r>
      <w:r w:rsidRPr="009565BB">
        <w:rPr>
          <w:rFonts w:ascii="Times New Roman" w:hAnsi="Times New Roman"/>
        </w:rPr>
        <w:tab/>
        <w:t>(10% rebate on total fee)</w:t>
      </w:r>
    </w:p>
    <w:p w14:paraId="0D9E3390" w14:textId="77777777" w:rsidR="00E91C7F" w:rsidRPr="009565BB" w:rsidRDefault="00E91C7F" w:rsidP="00E91C7F">
      <w:pPr>
        <w:pStyle w:val="NoSpacing"/>
        <w:ind w:left="720" w:hanging="1350"/>
        <w:rPr>
          <w:rFonts w:ascii="Times New Roman" w:hAnsi="Times New Roman"/>
        </w:rPr>
      </w:pPr>
    </w:p>
    <w:p w14:paraId="092CDF6D" w14:textId="77777777" w:rsidR="00E91C7F" w:rsidRPr="009565BB" w:rsidRDefault="00E91C7F" w:rsidP="00E91C7F">
      <w:pPr>
        <w:pStyle w:val="NoSpacing"/>
        <w:ind w:left="720" w:hanging="720"/>
        <w:rPr>
          <w:rFonts w:ascii="Times New Roman" w:hAnsi="Times New Roman"/>
        </w:rPr>
      </w:pPr>
      <w:r w:rsidRPr="009565BB">
        <w:rPr>
          <w:rFonts w:ascii="Times New Roman" w:hAnsi="Times New Roman"/>
        </w:rPr>
        <w:t>Neuberger Berman</w:t>
      </w:r>
      <w:r w:rsidRPr="009565BB">
        <w:rPr>
          <w:rFonts w:ascii="Times New Roman" w:hAnsi="Times New Roman"/>
        </w:rPr>
        <w:tab/>
      </w:r>
      <w:r w:rsidRPr="009565BB">
        <w:rPr>
          <w:rFonts w:ascii="Times New Roman" w:hAnsi="Times New Roman"/>
        </w:rPr>
        <w:tab/>
      </w:r>
      <w:r w:rsidRPr="009565BB">
        <w:rPr>
          <w:rFonts w:ascii="Times New Roman" w:hAnsi="Times New Roman"/>
        </w:rPr>
        <w:tab/>
      </w:r>
      <w:r w:rsidRPr="009565BB">
        <w:rPr>
          <w:rFonts w:ascii="Times New Roman" w:hAnsi="Times New Roman"/>
        </w:rPr>
        <w:tab/>
      </w:r>
      <w:r w:rsidRPr="009565BB">
        <w:rPr>
          <w:rFonts w:ascii="Times New Roman" w:hAnsi="Times New Roman"/>
        </w:rPr>
        <w:tab/>
        <w:t>0.20% - flat fee</w:t>
      </w:r>
      <w:r w:rsidRPr="009565BB">
        <w:rPr>
          <w:rFonts w:ascii="Times New Roman" w:hAnsi="Times New Roman"/>
        </w:rPr>
        <w:tab/>
      </w:r>
      <w:r w:rsidRPr="009565BB">
        <w:rPr>
          <w:rFonts w:ascii="Times New Roman" w:hAnsi="Times New Roman"/>
        </w:rPr>
        <w:tab/>
      </w:r>
      <w:r w:rsidRPr="009565BB">
        <w:rPr>
          <w:rFonts w:ascii="Times New Roman" w:hAnsi="Times New Roman"/>
        </w:rPr>
        <w:tab/>
      </w:r>
      <w:r w:rsidRPr="009565BB">
        <w:rPr>
          <w:rFonts w:ascii="Times New Roman" w:hAnsi="Times New Roman"/>
        </w:rPr>
        <w:tab/>
      </w:r>
      <w:r w:rsidRPr="009565BB">
        <w:rPr>
          <w:rFonts w:ascii="Times New Roman" w:hAnsi="Times New Roman"/>
        </w:rPr>
        <w:tab/>
      </w:r>
      <w:r w:rsidRPr="009565BB">
        <w:rPr>
          <w:rFonts w:ascii="Times New Roman" w:hAnsi="Times New Roman"/>
        </w:rPr>
        <w:tab/>
      </w:r>
    </w:p>
    <w:p w14:paraId="19841059" w14:textId="77777777" w:rsidR="00E91C7F" w:rsidRPr="009565BB" w:rsidRDefault="00E91C7F" w:rsidP="00E91C7F">
      <w:pPr>
        <w:pStyle w:val="NoSpacing"/>
        <w:ind w:left="720" w:hanging="720"/>
        <w:rPr>
          <w:rFonts w:ascii="Times New Roman" w:hAnsi="Times New Roman"/>
        </w:rPr>
      </w:pPr>
      <w:r w:rsidRPr="009565BB">
        <w:rPr>
          <w:rFonts w:ascii="Times New Roman" w:hAnsi="Times New Roman"/>
        </w:rPr>
        <w:t>(Intermediate)</w:t>
      </w:r>
      <w:r w:rsidRPr="009565BB">
        <w:rPr>
          <w:rFonts w:ascii="Times New Roman" w:hAnsi="Times New Roman"/>
        </w:rPr>
        <w:tab/>
      </w:r>
      <w:r w:rsidRPr="009565BB">
        <w:rPr>
          <w:rFonts w:ascii="Times New Roman" w:hAnsi="Times New Roman"/>
        </w:rPr>
        <w:tab/>
      </w:r>
      <w:r w:rsidRPr="009565BB">
        <w:rPr>
          <w:rFonts w:ascii="Times New Roman" w:hAnsi="Times New Roman"/>
        </w:rPr>
        <w:tab/>
      </w:r>
      <w:r w:rsidRPr="009565BB">
        <w:rPr>
          <w:rFonts w:ascii="Times New Roman" w:hAnsi="Times New Roman"/>
        </w:rPr>
        <w:tab/>
      </w:r>
      <w:r w:rsidRPr="009565BB">
        <w:rPr>
          <w:rFonts w:ascii="Times New Roman" w:hAnsi="Times New Roman"/>
        </w:rPr>
        <w:tab/>
      </w:r>
      <w:r w:rsidRPr="009565BB">
        <w:rPr>
          <w:rFonts w:ascii="Times New Roman" w:hAnsi="Times New Roman"/>
        </w:rPr>
        <w:tab/>
        <w:t>(10% rebate on total fee)</w:t>
      </w:r>
    </w:p>
    <w:p w14:paraId="7A73DF33" w14:textId="77777777" w:rsidR="00E91C7F" w:rsidRPr="009565BB" w:rsidRDefault="00E91C7F" w:rsidP="00E91C7F">
      <w:pPr>
        <w:pStyle w:val="NoSpacing"/>
        <w:ind w:left="720" w:hanging="1350"/>
        <w:rPr>
          <w:rFonts w:ascii="Times New Roman" w:hAnsi="Times New Roman"/>
        </w:rPr>
      </w:pPr>
    </w:p>
    <w:p w14:paraId="4A46A28F" w14:textId="77777777" w:rsidR="00E91C7F" w:rsidRPr="009565BB" w:rsidRDefault="00E91C7F" w:rsidP="00E91C7F">
      <w:pPr>
        <w:pStyle w:val="NoSpacing"/>
        <w:ind w:left="720" w:hanging="720"/>
        <w:rPr>
          <w:rFonts w:ascii="Times New Roman" w:hAnsi="Times New Roman"/>
        </w:rPr>
      </w:pPr>
      <w:r w:rsidRPr="009565BB">
        <w:rPr>
          <w:rFonts w:ascii="Times New Roman" w:hAnsi="Times New Roman"/>
        </w:rPr>
        <w:t>Northern Trust</w:t>
      </w:r>
      <w:r w:rsidRPr="009565BB">
        <w:rPr>
          <w:rFonts w:ascii="Times New Roman" w:hAnsi="Times New Roman"/>
        </w:rPr>
        <w:tab/>
      </w:r>
      <w:r w:rsidRPr="009565BB">
        <w:rPr>
          <w:rFonts w:ascii="Times New Roman" w:hAnsi="Times New Roman"/>
        </w:rPr>
        <w:tab/>
      </w:r>
      <w:r w:rsidRPr="009565BB">
        <w:rPr>
          <w:rFonts w:ascii="Times New Roman" w:hAnsi="Times New Roman"/>
        </w:rPr>
        <w:tab/>
      </w:r>
      <w:r w:rsidRPr="009565BB">
        <w:rPr>
          <w:rFonts w:ascii="Times New Roman" w:hAnsi="Times New Roman"/>
        </w:rPr>
        <w:tab/>
      </w:r>
      <w:r w:rsidRPr="009565BB">
        <w:rPr>
          <w:rFonts w:ascii="Times New Roman" w:hAnsi="Times New Roman"/>
        </w:rPr>
        <w:tab/>
      </w:r>
      <w:r w:rsidRPr="009565BB">
        <w:rPr>
          <w:rFonts w:ascii="Times New Roman" w:hAnsi="Times New Roman"/>
        </w:rPr>
        <w:tab/>
        <w:t>0.20% - first $100 million</w:t>
      </w:r>
    </w:p>
    <w:p w14:paraId="12D72BAF" w14:textId="77777777" w:rsidR="00E91C7F" w:rsidRPr="009565BB" w:rsidRDefault="00E91C7F" w:rsidP="00E91C7F">
      <w:pPr>
        <w:pStyle w:val="NoSpacing"/>
        <w:ind w:left="720" w:hanging="720"/>
        <w:rPr>
          <w:rFonts w:ascii="Times New Roman" w:hAnsi="Times New Roman"/>
        </w:rPr>
      </w:pPr>
      <w:r w:rsidRPr="009565BB">
        <w:rPr>
          <w:rFonts w:ascii="Times New Roman" w:hAnsi="Times New Roman"/>
        </w:rPr>
        <w:t>(Short Duration)</w:t>
      </w:r>
      <w:r w:rsidRPr="009565BB">
        <w:rPr>
          <w:rFonts w:ascii="Times New Roman" w:hAnsi="Times New Roman"/>
        </w:rPr>
        <w:tab/>
      </w:r>
      <w:r w:rsidRPr="009565BB">
        <w:rPr>
          <w:rFonts w:ascii="Times New Roman" w:hAnsi="Times New Roman"/>
        </w:rPr>
        <w:tab/>
      </w:r>
      <w:r w:rsidRPr="009565BB">
        <w:rPr>
          <w:rFonts w:ascii="Times New Roman" w:hAnsi="Times New Roman"/>
        </w:rPr>
        <w:tab/>
      </w:r>
      <w:r w:rsidRPr="009565BB">
        <w:rPr>
          <w:rFonts w:ascii="Times New Roman" w:hAnsi="Times New Roman"/>
        </w:rPr>
        <w:tab/>
      </w:r>
      <w:r w:rsidRPr="009565BB">
        <w:rPr>
          <w:rFonts w:ascii="Times New Roman" w:hAnsi="Times New Roman"/>
        </w:rPr>
        <w:tab/>
        <w:t>0.18% - balance</w:t>
      </w:r>
    </w:p>
    <w:p w14:paraId="63B382FB" w14:textId="77777777" w:rsidR="00E91C7F" w:rsidRPr="009565BB" w:rsidRDefault="00E91C7F" w:rsidP="00E91C7F">
      <w:pPr>
        <w:pStyle w:val="NoSpacing"/>
        <w:ind w:left="720" w:hanging="1350"/>
        <w:rPr>
          <w:rFonts w:ascii="Times New Roman" w:hAnsi="Times New Roman"/>
        </w:rPr>
      </w:pPr>
    </w:p>
    <w:p w14:paraId="78B4D00A" w14:textId="77779B6E" w:rsidR="00E91C7F" w:rsidRPr="009565BB" w:rsidRDefault="00151527" w:rsidP="00E91C7F">
      <w:pPr>
        <w:pStyle w:val="NoSpacing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Allspring Global Investments</w:t>
      </w:r>
      <w:r>
        <w:rPr>
          <w:rFonts w:ascii="Times New Roman" w:hAnsi="Times New Roman"/>
        </w:rPr>
        <w:tab/>
      </w:r>
      <w:r w:rsidR="00E91C7F" w:rsidRPr="009565BB">
        <w:rPr>
          <w:rFonts w:ascii="Times New Roman" w:hAnsi="Times New Roman"/>
        </w:rPr>
        <w:tab/>
      </w:r>
      <w:r w:rsidR="00E91C7F" w:rsidRPr="009565BB">
        <w:rPr>
          <w:rFonts w:ascii="Times New Roman" w:hAnsi="Times New Roman"/>
        </w:rPr>
        <w:tab/>
      </w:r>
      <w:r w:rsidR="00E91C7F" w:rsidRPr="009565BB">
        <w:rPr>
          <w:rFonts w:ascii="Times New Roman" w:hAnsi="Times New Roman"/>
        </w:rPr>
        <w:tab/>
        <w:t>0.09% - first $100 million</w:t>
      </w:r>
    </w:p>
    <w:p w14:paraId="4B9E0F4F" w14:textId="77777777" w:rsidR="00E91C7F" w:rsidRPr="009565BB" w:rsidRDefault="00E91C7F" w:rsidP="00E91C7F">
      <w:pPr>
        <w:pStyle w:val="NoSpacing"/>
        <w:ind w:left="720" w:hanging="720"/>
        <w:rPr>
          <w:rFonts w:ascii="Times New Roman" w:hAnsi="Times New Roman"/>
        </w:rPr>
      </w:pPr>
      <w:r w:rsidRPr="009565BB">
        <w:rPr>
          <w:rFonts w:ascii="Times New Roman" w:hAnsi="Times New Roman"/>
        </w:rPr>
        <w:t>(Conservative Income and Short Duration)</w:t>
      </w:r>
      <w:r w:rsidRPr="009565BB">
        <w:rPr>
          <w:rFonts w:ascii="Times New Roman" w:hAnsi="Times New Roman"/>
        </w:rPr>
        <w:tab/>
      </w:r>
      <w:r w:rsidRPr="009565BB">
        <w:rPr>
          <w:rFonts w:ascii="Times New Roman" w:hAnsi="Times New Roman"/>
        </w:rPr>
        <w:tab/>
        <w:t>0.07% - balance</w:t>
      </w:r>
    </w:p>
    <w:p w14:paraId="09BE3753" w14:textId="77777777" w:rsidR="00E91C7F" w:rsidRPr="009565BB" w:rsidRDefault="00E91C7F" w:rsidP="00E91C7F">
      <w:pPr>
        <w:pStyle w:val="NoSpacing"/>
        <w:ind w:left="720" w:hanging="1350"/>
        <w:rPr>
          <w:rFonts w:ascii="Times New Roman" w:hAnsi="Times New Roman"/>
        </w:rPr>
      </w:pPr>
    </w:p>
    <w:p w14:paraId="0430F294" w14:textId="1E69D273" w:rsidR="00130A9B" w:rsidRDefault="00E91C7F" w:rsidP="00E91C7F">
      <w:pPr>
        <w:pStyle w:val="NoSpacing"/>
        <w:ind w:left="720" w:hanging="720"/>
        <w:rPr>
          <w:rFonts w:ascii="Times New Roman" w:hAnsi="Times New Roman"/>
        </w:rPr>
      </w:pPr>
      <w:r w:rsidRPr="009565BB">
        <w:rPr>
          <w:rFonts w:ascii="Times New Roman" w:hAnsi="Times New Roman"/>
        </w:rPr>
        <w:t xml:space="preserve">Attucks Asset Management </w:t>
      </w:r>
      <w:r w:rsidR="00130A9B">
        <w:rPr>
          <w:rFonts w:ascii="Times New Roman" w:hAnsi="Times New Roman"/>
        </w:rPr>
        <w:t>(Operating)</w:t>
      </w:r>
      <w:r w:rsidR="00130A9B">
        <w:rPr>
          <w:rFonts w:ascii="Times New Roman" w:hAnsi="Times New Roman"/>
        </w:rPr>
        <w:tab/>
      </w:r>
      <w:r w:rsidRPr="009565BB">
        <w:rPr>
          <w:rFonts w:ascii="Times New Roman" w:hAnsi="Times New Roman"/>
        </w:rPr>
        <w:tab/>
      </w:r>
      <w:r w:rsidRPr="009565BB">
        <w:rPr>
          <w:rFonts w:ascii="Times New Roman" w:hAnsi="Times New Roman"/>
        </w:rPr>
        <w:tab/>
      </w:r>
      <w:r w:rsidR="00130A9B">
        <w:rPr>
          <w:rFonts w:ascii="Times New Roman" w:hAnsi="Times New Roman"/>
        </w:rPr>
        <w:t>0.26% - flat fee</w:t>
      </w:r>
    </w:p>
    <w:p w14:paraId="1DD5AB7E" w14:textId="77777777" w:rsidR="00130A9B" w:rsidRDefault="00130A9B" w:rsidP="00E91C7F">
      <w:pPr>
        <w:pStyle w:val="NoSpacing"/>
        <w:ind w:left="720" w:hanging="720"/>
        <w:rPr>
          <w:rFonts w:ascii="Times New Roman" w:hAnsi="Times New Roman"/>
        </w:rPr>
      </w:pPr>
    </w:p>
    <w:p w14:paraId="615D14A9" w14:textId="55644C2B" w:rsidR="00E91C7F" w:rsidRPr="009565BB" w:rsidRDefault="00E91C7F" w:rsidP="00E91C7F">
      <w:pPr>
        <w:pStyle w:val="NoSpacing"/>
        <w:ind w:left="720" w:hanging="720"/>
        <w:rPr>
          <w:rFonts w:ascii="Times New Roman" w:hAnsi="Times New Roman"/>
        </w:rPr>
      </w:pPr>
      <w:r w:rsidRPr="009565BB">
        <w:rPr>
          <w:rFonts w:ascii="Times New Roman" w:hAnsi="Times New Roman"/>
        </w:rPr>
        <w:tab/>
      </w:r>
      <w:r w:rsidRPr="009565BB">
        <w:rPr>
          <w:rFonts w:ascii="Times New Roman" w:hAnsi="Times New Roman"/>
        </w:rPr>
        <w:tab/>
      </w:r>
      <w:r w:rsidRPr="009565BB">
        <w:rPr>
          <w:rFonts w:ascii="Times New Roman" w:hAnsi="Times New Roman"/>
        </w:rPr>
        <w:tab/>
      </w:r>
    </w:p>
    <w:p w14:paraId="4AEE895C" w14:textId="77777777" w:rsidR="00E91C7F" w:rsidRPr="009565BB" w:rsidRDefault="00E91C7F" w:rsidP="00E91C7F">
      <w:pPr>
        <w:pStyle w:val="NoSpacing"/>
        <w:ind w:left="720" w:hanging="1350"/>
        <w:rPr>
          <w:rFonts w:ascii="Times New Roman" w:hAnsi="Times New Roman"/>
        </w:rPr>
      </w:pPr>
      <w:r w:rsidRPr="009565BB">
        <w:rPr>
          <w:rFonts w:ascii="Times New Roman" w:hAnsi="Times New Roman"/>
        </w:rPr>
        <w:tab/>
      </w:r>
      <w:r w:rsidRPr="009565BB">
        <w:rPr>
          <w:rFonts w:ascii="Times New Roman" w:hAnsi="Times New Roman"/>
        </w:rPr>
        <w:tab/>
      </w:r>
      <w:r w:rsidRPr="009565BB">
        <w:rPr>
          <w:rFonts w:ascii="Times New Roman" w:hAnsi="Times New Roman"/>
        </w:rPr>
        <w:tab/>
      </w:r>
      <w:r w:rsidRPr="009565BB">
        <w:rPr>
          <w:rFonts w:ascii="Times New Roman" w:hAnsi="Times New Roman"/>
        </w:rPr>
        <w:tab/>
      </w:r>
      <w:r w:rsidRPr="009565BB">
        <w:rPr>
          <w:rFonts w:ascii="Times New Roman" w:hAnsi="Times New Roman"/>
        </w:rPr>
        <w:tab/>
      </w:r>
      <w:r w:rsidRPr="009565BB">
        <w:rPr>
          <w:rFonts w:ascii="Times New Roman" w:hAnsi="Times New Roman"/>
        </w:rPr>
        <w:tab/>
      </w:r>
    </w:p>
    <w:p w14:paraId="3C1872D4" w14:textId="77777777" w:rsidR="00E91C7F" w:rsidRPr="009565BB" w:rsidRDefault="00E91C7F" w:rsidP="007E0481">
      <w:pPr>
        <w:pStyle w:val="Heading1"/>
      </w:pPr>
      <w:r w:rsidRPr="009565BB">
        <w:lastRenderedPageBreak/>
        <w:t xml:space="preserve">University of Illinois System </w:t>
      </w:r>
    </w:p>
    <w:p w14:paraId="10F9F1C8" w14:textId="77777777" w:rsidR="00E91C7F" w:rsidRPr="009565BB" w:rsidRDefault="00E91C7F" w:rsidP="007E0481">
      <w:pPr>
        <w:pStyle w:val="Heading1"/>
      </w:pPr>
      <w:r w:rsidRPr="009565BB">
        <w:t>Investment Fee Schedule – Traditional Investments</w:t>
      </w:r>
    </w:p>
    <w:p w14:paraId="5FBD3310" w14:textId="77777777" w:rsidR="00E91C7F" w:rsidRPr="009565BB" w:rsidRDefault="00E91C7F" w:rsidP="00E91C7F">
      <w:pPr>
        <w:ind w:hanging="630"/>
        <w:rPr>
          <w:rFonts w:ascii="Times New Roman" w:hAnsi="Times New Roman" w:cs="Times New Roman"/>
          <w:b/>
        </w:rPr>
      </w:pPr>
    </w:p>
    <w:p w14:paraId="785CC97F" w14:textId="77777777" w:rsidR="00E91C7F" w:rsidRPr="009565BB" w:rsidRDefault="00E91C7F" w:rsidP="00E91C7F">
      <w:pPr>
        <w:rPr>
          <w:rFonts w:ascii="Times New Roman" w:hAnsi="Times New Roman" w:cs="Times New Roman"/>
        </w:rPr>
      </w:pPr>
      <w:r w:rsidRPr="009565BB">
        <w:rPr>
          <w:rFonts w:ascii="Times New Roman" w:hAnsi="Times New Roman" w:cs="Times New Roman"/>
          <w:b/>
        </w:rPr>
        <w:t>Firm</w:t>
      </w:r>
      <w:r w:rsidRPr="009565BB">
        <w:rPr>
          <w:rFonts w:ascii="Times New Roman" w:hAnsi="Times New Roman" w:cs="Times New Roman"/>
          <w:b/>
        </w:rPr>
        <w:tab/>
      </w:r>
      <w:r w:rsidRPr="009565BB">
        <w:rPr>
          <w:rFonts w:ascii="Times New Roman" w:hAnsi="Times New Roman" w:cs="Times New Roman"/>
        </w:rPr>
        <w:tab/>
      </w:r>
      <w:r w:rsidRPr="009565BB">
        <w:rPr>
          <w:rFonts w:ascii="Times New Roman" w:hAnsi="Times New Roman" w:cs="Times New Roman"/>
        </w:rPr>
        <w:tab/>
      </w:r>
      <w:r w:rsidRPr="009565BB">
        <w:rPr>
          <w:rFonts w:ascii="Times New Roman" w:hAnsi="Times New Roman" w:cs="Times New Roman"/>
        </w:rPr>
        <w:tab/>
      </w:r>
      <w:r w:rsidRPr="009565BB">
        <w:rPr>
          <w:rFonts w:ascii="Times New Roman" w:hAnsi="Times New Roman" w:cs="Times New Roman"/>
        </w:rPr>
        <w:tab/>
      </w:r>
      <w:r w:rsidRPr="009565BB">
        <w:rPr>
          <w:rFonts w:ascii="Times New Roman" w:hAnsi="Times New Roman" w:cs="Times New Roman"/>
        </w:rPr>
        <w:tab/>
      </w:r>
      <w:r w:rsidRPr="009565BB">
        <w:rPr>
          <w:rFonts w:ascii="Times New Roman" w:hAnsi="Times New Roman" w:cs="Times New Roman"/>
        </w:rPr>
        <w:tab/>
      </w:r>
      <w:r w:rsidRPr="009565BB">
        <w:rPr>
          <w:rFonts w:ascii="Times New Roman" w:hAnsi="Times New Roman" w:cs="Times New Roman"/>
          <w:b/>
        </w:rPr>
        <w:t>Terms</w:t>
      </w:r>
    </w:p>
    <w:p w14:paraId="1AAB016E" w14:textId="5F78B0EC" w:rsidR="00E91C7F" w:rsidRPr="009565BB" w:rsidRDefault="00E91C7F" w:rsidP="00E91C7F">
      <w:pPr>
        <w:pStyle w:val="NoSpacing"/>
        <w:ind w:left="720" w:hanging="720"/>
        <w:rPr>
          <w:rFonts w:ascii="Times New Roman" w:hAnsi="Times New Roman"/>
        </w:rPr>
      </w:pPr>
      <w:r w:rsidRPr="009565BB">
        <w:rPr>
          <w:rFonts w:ascii="Times New Roman" w:hAnsi="Times New Roman"/>
          <w:u w:val="single"/>
        </w:rPr>
        <w:t>Fixed Income (</w:t>
      </w:r>
      <w:r w:rsidR="00BC37DD">
        <w:rPr>
          <w:rFonts w:ascii="Times New Roman" w:hAnsi="Times New Roman"/>
          <w:u w:val="single"/>
        </w:rPr>
        <w:t>c</w:t>
      </w:r>
      <w:r w:rsidRPr="009565BB">
        <w:rPr>
          <w:rFonts w:ascii="Times New Roman" w:hAnsi="Times New Roman"/>
          <w:u w:val="single"/>
        </w:rPr>
        <w:t>ontinued</w:t>
      </w:r>
      <w:r w:rsidR="00E13DB8">
        <w:rPr>
          <w:rFonts w:ascii="Times New Roman" w:hAnsi="Times New Roman"/>
          <w:u w:val="single"/>
        </w:rPr>
        <w:t>)</w:t>
      </w:r>
      <w:r w:rsidRPr="009565BB">
        <w:rPr>
          <w:rFonts w:ascii="Times New Roman" w:hAnsi="Times New Roman"/>
        </w:rPr>
        <w:tab/>
      </w:r>
      <w:r w:rsidRPr="009565BB">
        <w:rPr>
          <w:rFonts w:ascii="Times New Roman" w:hAnsi="Times New Roman"/>
        </w:rPr>
        <w:tab/>
      </w:r>
      <w:r w:rsidRPr="009565BB">
        <w:rPr>
          <w:rFonts w:ascii="Times New Roman" w:hAnsi="Times New Roman"/>
        </w:rPr>
        <w:tab/>
      </w:r>
      <w:r w:rsidRPr="009565BB">
        <w:rPr>
          <w:rFonts w:ascii="Times New Roman" w:hAnsi="Times New Roman"/>
        </w:rPr>
        <w:tab/>
      </w:r>
      <w:r w:rsidRPr="009565BB">
        <w:rPr>
          <w:rFonts w:ascii="Times New Roman" w:hAnsi="Times New Roman"/>
          <w:u w:val="single"/>
        </w:rPr>
        <w:t>Management Fee</w:t>
      </w:r>
    </w:p>
    <w:p w14:paraId="39E8A202" w14:textId="77777777" w:rsidR="00130A9B" w:rsidRDefault="00130A9B" w:rsidP="00130A9B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Attucks Asset Management (Endowment)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9565BB">
        <w:rPr>
          <w:rFonts w:ascii="Times New Roman" w:hAnsi="Times New Roman"/>
        </w:rPr>
        <w:t xml:space="preserve">0.35% </w:t>
      </w:r>
      <w:r>
        <w:rPr>
          <w:rFonts w:ascii="Times New Roman" w:hAnsi="Times New Roman"/>
        </w:rPr>
        <w:t>- first $50 million</w:t>
      </w:r>
    </w:p>
    <w:p w14:paraId="2C9BEDAF" w14:textId="77777777" w:rsidR="00130A9B" w:rsidRDefault="00130A9B" w:rsidP="00130A9B">
      <w:pPr>
        <w:pStyle w:val="NoSpacing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0.30% - next $50 million</w:t>
      </w:r>
    </w:p>
    <w:p w14:paraId="74FA2CEF" w14:textId="77777777" w:rsidR="00130A9B" w:rsidRDefault="00130A9B" w:rsidP="00130A9B">
      <w:pPr>
        <w:pStyle w:val="NoSpacing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0.27% - next $50 million</w:t>
      </w:r>
    </w:p>
    <w:p w14:paraId="3C9ACF46" w14:textId="77777777" w:rsidR="00130A9B" w:rsidRDefault="00130A9B" w:rsidP="00130A9B">
      <w:pPr>
        <w:pStyle w:val="NoSpacing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0.25% - next $100 million</w:t>
      </w:r>
    </w:p>
    <w:p w14:paraId="19D96EA5" w14:textId="1A0E936A" w:rsidR="00130A9B" w:rsidRDefault="00130A9B" w:rsidP="00130A9B">
      <w:pPr>
        <w:pStyle w:val="NoSpacing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0.22% - over $250 million</w:t>
      </w:r>
    </w:p>
    <w:p w14:paraId="6D126C09" w14:textId="77777777" w:rsidR="00130A9B" w:rsidRDefault="00130A9B" w:rsidP="00E91C7F">
      <w:pPr>
        <w:pStyle w:val="NoSpacing"/>
        <w:ind w:left="720" w:hanging="720"/>
        <w:rPr>
          <w:rFonts w:ascii="Times New Roman" w:hAnsi="Times New Roman"/>
        </w:rPr>
      </w:pPr>
    </w:p>
    <w:p w14:paraId="2D6288D7" w14:textId="3C39FAF6" w:rsidR="00E91C7F" w:rsidRDefault="00E91C7F" w:rsidP="00E91C7F">
      <w:pPr>
        <w:pStyle w:val="NoSpacing"/>
        <w:ind w:left="720" w:hanging="720"/>
        <w:rPr>
          <w:rFonts w:ascii="Times New Roman" w:hAnsi="Times New Roman"/>
        </w:rPr>
      </w:pPr>
      <w:r w:rsidRPr="009565BB">
        <w:rPr>
          <w:rFonts w:ascii="Times New Roman" w:hAnsi="Times New Roman"/>
        </w:rPr>
        <w:t>Vanguard Total Bond Market Index</w:t>
      </w:r>
      <w:r w:rsidRPr="009565BB">
        <w:rPr>
          <w:rFonts w:ascii="Times New Roman" w:hAnsi="Times New Roman"/>
        </w:rPr>
        <w:tab/>
      </w:r>
      <w:r w:rsidRPr="009565BB">
        <w:rPr>
          <w:rFonts w:ascii="Times New Roman" w:hAnsi="Times New Roman"/>
        </w:rPr>
        <w:tab/>
      </w:r>
      <w:r w:rsidRPr="009565BB">
        <w:rPr>
          <w:rFonts w:ascii="Times New Roman" w:hAnsi="Times New Roman"/>
        </w:rPr>
        <w:tab/>
        <w:t>0.05% flat fee</w:t>
      </w:r>
    </w:p>
    <w:p w14:paraId="175D84B7" w14:textId="79B90FAF" w:rsidR="00130A9B" w:rsidRDefault="00130A9B" w:rsidP="00E91C7F">
      <w:pPr>
        <w:pStyle w:val="NoSpacing"/>
        <w:ind w:left="720" w:hanging="720"/>
        <w:rPr>
          <w:rFonts w:ascii="Times New Roman" w:hAnsi="Times New Roman"/>
        </w:rPr>
      </w:pPr>
    </w:p>
    <w:p w14:paraId="4B9B970C" w14:textId="7351752B" w:rsidR="00130A9B" w:rsidRPr="009565BB" w:rsidRDefault="00130A9B" w:rsidP="00E91C7F">
      <w:pPr>
        <w:pStyle w:val="NoSpacing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Artisan High Income Fund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0.85% flat fee</w:t>
      </w:r>
    </w:p>
    <w:p w14:paraId="18D2700F" w14:textId="253F0C4E" w:rsidR="00E91C7F" w:rsidRPr="009565BB" w:rsidRDefault="00E91C7F" w:rsidP="00B663FF">
      <w:pPr>
        <w:pStyle w:val="NoSpacing"/>
        <w:rPr>
          <w:rFonts w:ascii="Times New Roman" w:hAnsi="Times New Roman"/>
        </w:rPr>
      </w:pPr>
      <w:r w:rsidRPr="009565BB">
        <w:rPr>
          <w:rFonts w:ascii="Times New Roman" w:hAnsi="Times New Roman"/>
        </w:rPr>
        <w:tab/>
      </w:r>
      <w:r w:rsidRPr="009565BB">
        <w:rPr>
          <w:rFonts w:ascii="Times New Roman" w:hAnsi="Times New Roman"/>
        </w:rPr>
        <w:tab/>
      </w:r>
    </w:p>
    <w:p w14:paraId="5C21A46C" w14:textId="77777777" w:rsidR="00E91C7F" w:rsidRPr="009565BB" w:rsidRDefault="00E91C7F" w:rsidP="00E91C7F">
      <w:pPr>
        <w:pStyle w:val="NoSpacing"/>
        <w:ind w:left="720" w:hanging="720"/>
        <w:rPr>
          <w:rFonts w:ascii="Times New Roman" w:hAnsi="Times New Roman"/>
          <w:u w:val="single"/>
        </w:rPr>
      </w:pPr>
      <w:r w:rsidRPr="009565BB">
        <w:rPr>
          <w:rFonts w:ascii="Times New Roman" w:hAnsi="Times New Roman"/>
          <w:u w:val="single"/>
        </w:rPr>
        <w:t>Equity</w:t>
      </w:r>
      <w:r w:rsidRPr="009565BB">
        <w:rPr>
          <w:rFonts w:ascii="Times New Roman" w:hAnsi="Times New Roman"/>
        </w:rPr>
        <w:tab/>
      </w:r>
      <w:r w:rsidRPr="009565BB">
        <w:rPr>
          <w:rFonts w:ascii="Times New Roman" w:hAnsi="Times New Roman"/>
        </w:rPr>
        <w:tab/>
      </w:r>
      <w:r w:rsidRPr="009565BB">
        <w:rPr>
          <w:rFonts w:ascii="Times New Roman" w:hAnsi="Times New Roman"/>
        </w:rPr>
        <w:tab/>
      </w:r>
      <w:r w:rsidRPr="009565BB">
        <w:rPr>
          <w:rFonts w:ascii="Times New Roman" w:hAnsi="Times New Roman"/>
        </w:rPr>
        <w:tab/>
      </w:r>
      <w:r w:rsidRPr="009565BB">
        <w:rPr>
          <w:rFonts w:ascii="Times New Roman" w:hAnsi="Times New Roman"/>
        </w:rPr>
        <w:tab/>
      </w:r>
      <w:r w:rsidRPr="009565BB">
        <w:rPr>
          <w:rFonts w:ascii="Times New Roman" w:hAnsi="Times New Roman"/>
        </w:rPr>
        <w:tab/>
      </w:r>
    </w:p>
    <w:p w14:paraId="71088090" w14:textId="77777777" w:rsidR="00E91C7F" w:rsidRPr="009565BB" w:rsidRDefault="00E91C7F" w:rsidP="009155DE">
      <w:pPr>
        <w:pStyle w:val="NoSpacing"/>
        <w:rPr>
          <w:rFonts w:ascii="Times New Roman" w:hAnsi="Times New Roman"/>
        </w:rPr>
      </w:pPr>
    </w:p>
    <w:p w14:paraId="6E39108B" w14:textId="77777777" w:rsidR="00E91C7F" w:rsidRPr="009565BB" w:rsidRDefault="00E91C7F" w:rsidP="00E91C7F">
      <w:pPr>
        <w:pStyle w:val="NoSpacing"/>
        <w:ind w:left="720" w:hanging="720"/>
        <w:rPr>
          <w:rFonts w:ascii="Times New Roman" w:hAnsi="Times New Roman"/>
        </w:rPr>
      </w:pPr>
      <w:r w:rsidRPr="009565BB">
        <w:rPr>
          <w:rFonts w:ascii="Times New Roman" w:hAnsi="Times New Roman"/>
        </w:rPr>
        <w:t>BlackRock</w:t>
      </w:r>
      <w:r w:rsidRPr="009565BB">
        <w:rPr>
          <w:rFonts w:ascii="Times New Roman" w:hAnsi="Times New Roman"/>
        </w:rPr>
        <w:tab/>
      </w:r>
      <w:r w:rsidRPr="009565BB">
        <w:rPr>
          <w:rFonts w:ascii="Times New Roman" w:hAnsi="Times New Roman"/>
        </w:rPr>
        <w:tab/>
      </w:r>
      <w:r w:rsidRPr="009565BB">
        <w:rPr>
          <w:rFonts w:ascii="Times New Roman" w:hAnsi="Times New Roman"/>
        </w:rPr>
        <w:tab/>
      </w:r>
      <w:r w:rsidRPr="009565BB">
        <w:rPr>
          <w:rFonts w:ascii="Times New Roman" w:hAnsi="Times New Roman"/>
        </w:rPr>
        <w:tab/>
      </w:r>
      <w:r w:rsidRPr="009565BB">
        <w:rPr>
          <w:rFonts w:ascii="Times New Roman" w:hAnsi="Times New Roman"/>
        </w:rPr>
        <w:tab/>
      </w:r>
      <w:r w:rsidRPr="009565BB">
        <w:rPr>
          <w:rFonts w:ascii="Times New Roman" w:hAnsi="Times New Roman"/>
        </w:rPr>
        <w:tab/>
        <w:t>0.055% flat fee</w:t>
      </w:r>
    </w:p>
    <w:p w14:paraId="1E3C84A2" w14:textId="0D45C155" w:rsidR="00E91C7F" w:rsidRPr="009565BB" w:rsidRDefault="00E91C7F" w:rsidP="00E91C7F">
      <w:pPr>
        <w:pStyle w:val="NoSpacing"/>
        <w:ind w:left="720" w:hanging="720"/>
        <w:rPr>
          <w:rFonts w:ascii="Times New Roman" w:hAnsi="Times New Roman"/>
        </w:rPr>
      </w:pPr>
      <w:r w:rsidRPr="009565BB">
        <w:rPr>
          <w:rFonts w:ascii="Times New Roman" w:hAnsi="Times New Roman"/>
        </w:rPr>
        <w:t>(ESG U.S. All Cap Equity)</w:t>
      </w:r>
    </w:p>
    <w:p w14:paraId="12B8F021" w14:textId="77777777" w:rsidR="00E91C7F" w:rsidRPr="009565BB" w:rsidRDefault="00E91C7F" w:rsidP="00E91C7F">
      <w:pPr>
        <w:pStyle w:val="NoSpacing"/>
        <w:ind w:left="720" w:hanging="1350"/>
        <w:rPr>
          <w:rFonts w:ascii="Times New Roman" w:hAnsi="Times New Roman"/>
        </w:rPr>
      </w:pPr>
    </w:p>
    <w:p w14:paraId="0873EF81" w14:textId="62B7E59A" w:rsidR="00130A9B" w:rsidRPr="009565BB" w:rsidRDefault="00151527" w:rsidP="00130A9B">
      <w:pPr>
        <w:pStyle w:val="NoSpacing"/>
        <w:ind w:left="720" w:hanging="720"/>
        <w:rPr>
          <w:rFonts w:ascii="Times New Roman" w:hAnsi="Times New Roman"/>
        </w:rPr>
      </w:pPr>
      <w:r w:rsidRPr="009565BB">
        <w:rPr>
          <w:rFonts w:ascii="Times New Roman" w:hAnsi="Times New Roman"/>
        </w:rPr>
        <w:t>BlackRock</w:t>
      </w:r>
      <w:r w:rsidRPr="009565BB">
        <w:rPr>
          <w:rFonts w:ascii="Times New Roman" w:hAnsi="Times New Roman"/>
        </w:rPr>
        <w:tab/>
      </w:r>
      <w:r w:rsidRPr="009565BB">
        <w:rPr>
          <w:rFonts w:ascii="Times New Roman" w:hAnsi="Times New Roman"/>
        </w:rPr>
        <w:tab/>
      </w:r>
      <w:r w:rsidRPr="009565BB">
        <w:rPr>
          <w:rFonts w:ascii="Times New Roman" w:hAnsi="Times New Roman"/>
        </w:rPr>
        <w:tab/>
      </w:r>
      <w:r w:rsidRPr="009565BB">
        <w:rPr>
          <w:rFonts w:ascii="Times New Roman" w:hAnsi="Times New Roman"/>
        </w:rPr>
        <w:tab/>
      </w:r>
      <w:r w:rsidRPr="009565BB">
        <w:rPr>
          <w:rFonts w:ascii="Times New Roman" w:hAnsi="Times New Roman"/>
        </w:rPr>
        <w:tab/>
      </w:r>
      <w:r w:rsidRPr="009565BB">
        <w:rPr>
          <w:rFonts w:ascii="Times New Roman" w:hAnsi="Times New Roman"/>
        </w:rPr>
        <w:tab/>
        <w:t>0.</w:t>
      </w:r>
      <w:r w:rsidR="00130A9B">
        <w:rPr>
          <w:rFonts w:ascii="Times New Roman" w:hAnsi="Times New Roman"/>
        </w:rPr>
        <w:t>12</w:t>
      </w:r>
      <w:r w:rsidRPr="009565BB">
        <w:rPr>
          <w:rFonts w:ascii="Times New Roman" w:hAnsi="Times New Roman"/>
        </w:rPr>
        <w:t>% flat fee</w:t>
      </w:r>
    </w:p>
    <w:p w14:paraId="2BA40298" w14:textId="43F0388F" w:rsidR="00151527" w:rsidRDefault="00151527" w:rsidP="00151527">
      <w:pPr>
        <w:pStyle w:val="NoSpacing"/>
        <w:ind w:left="720" w:hanging="720"/>
        <w:rPr>
          <w:rFonts w:ascii="Times New Roman" w:hAnsi="Times New Roman"/>
        </w:rPr>
      </w:pPr>
      <w:r w:rsidRPr="009565BB">
        <w:rPr>
          <w:rFonts w:ascii="Times New Roman" w:hAnsi="Times New Roman"/>
        </w:rPr>
        <w:t>(</w:t>
      </w:r>
      <w:r w:rsidR="00130A9B">
        <w:rPr>
          <w:rFonts w:ascii="Times New Roman" w:hAnsi="Times New Roman"/>
        </w:rPr>
        <w:t>ESG Insights World ex-USA</w:t>
      </w:r>
      <w:r w:rsidRPr="009565BB">
        <w:rPr>
          <w:rFonts w:ascii="Times New Roman" w:hAnsi="Times New Roman"/>
        </w:rPr>
        <w:t>)</w:t>
      </w:r>
    </w:p>
    <w:p w14:paraId="71B6AA33" w14:textId="07AC6815" w:rsidR="00130A9B" w:rsidRDefault="00130A9B" w:rsidP="00151527">
      <w:pPr>
        <w:pStyle w:val="NoSpacing"/>
        <w:ind w:left="720" w:hanging="720"/>
        <w:rPr>
          <w:rFonts w:ascii="Times New Roman" w:hAnsi="Times New Roman"/>
        </w:rPr>
      </w:pPr>
    </w:p>
    <w:p w14:paraId="7C21A359" w14:textId="71C146C9" w:rsidR="00130A9B" w:rsidRDefault="00130A9B" w:rsidP="00151527">
      <w:pPr>
        <w:pStyle w:val="NoSpacing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BlackRock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0.08% flat fee</w:t>
      </w:r>
    </w:p>
    <w:p w14:paraId="3BF8D367" w14:textId="77B43854" w:rsidR="00130A9B" w:rsidRPr="009565BB" w:rsidRDefault="00130A9B" w:rsidP="00151527">
      <w:pPr>
        <w:pStyle w:val="NoSpacing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(MSCI Emerging Markets Free Fund)</w:t>
      </w:r>
      <w:r>
        <w:rPr>
          <w:rFonts w:ascii="Times New Roman" w:hAnsi="Times New Roman"/>
        </w:rPr>
        <w:tab/>
      </w:r>
    </w:p>
    <w:p w14:paraId="13D931A8" w14:textId="77777777" w:rsidR="00151527" w:rsidRDefault="00151527" w:rsidP="00E91C7F">
      <w:pPr>
        <w:pStyle w:val="NoSpacing"/>
        <w:ind w:left="720" w:hanging="720"/>
        <w:rPr>
          <w:rFonts w:ascii="Times New Roman" w:hAnsi="Times New Roman"/>
        </w:rPr>
      </w:pPr>
    </w:p>
    <w:p w14:paraId="5BE0DB15" w14:textId="4E043E5C" w:rsidR="00E91C7F" w:rsidRPr="009565BB" w:rsidRDefault="00E91C7F" w:rsidP="00E91C7F">
      <w:pPr>
        <w:pStyle w:val="NoSpacing"/>
        <w:ind w:left="720" w:hanging="720"/>
        <w:rPr>
          <w:rFonts w:ascii="Times New Roman" w:hAnsi="Times New Roman"/>
        </w:rPr>
      </w:pPr>
      <w:r w:rsidRPr="009565BB">
        <w:rPr>
          <w:rFonts w:ascii="Times New Roman" w:hAnsi="Times New Roman"/>
        </w:rPr>
        <w:t>Ariel Capital Management</w:t>
      </w:r>
      <w:r w:rsidRPr="009565BB">
        <w:rPr>
          <w:rFonts w:ascii="Times New Roman" w:hAnsi="Times New Roman"/>
        </w:rPr>
        <w:tab/>
      </w:r>
      <w:r w:rsidRPr="009565BB">
        <w:rPr>
          <w:rFonts w:ascii="Times New Roman" w:hAnsi="Times New Roman"/>
        </w:rPr>
        <w:tab/>
      </w:r>
      <w:r w:rsidRPr="009565BB">
        <w:rPr>
          <w:rFonts w:ascii="Times New Roman" w:hAnsi="Times New Roman"/>
        </w:rPr>
        <w:tab/>
      </w:r>
      <w:r w:rsidRPr="009565BB">
        <w:rPr>
          <w:rFonts w:ascii="Times New Roman" w:hAnsi="Times New Roman"/>
        </w:rPr>
        <w:tab/>
        <w:t>1.00% - first $10 million</w:t>
      </w:r>
    </w:p>
    <w:p w14:paraId="5C419E34" w14:textId="77777777" w:rsidR="00E91C7F" w:rsidRPr="009565BB" w:rsidRDefault="00E91C7F" w:rsidP="00E91C7F">
      <w:pPr>
        <w:pStyle w:val="NoSpacing"/>
        <w:ind w:left="720" w:hanging="720"/>
        <w:rPr>
          <w:rFonts w:ascii="Times New Roman" w:hAnsi="Times New Roman"/>
        </w:rPr>
      </w:pPr>
      <w:r w:rsidRPr="009565BB">
        <w:rPr>
          <w:rFonts w:ascii="Times New Roman" w:hAnsi="Times New Roman"/>
        </w:rPr>
        <w:t>(Small Mid Cap Value)</w:t>
      </w:r>
      <w:r w:rsidRPr="009565BB">
        <w:rPr>
          <w:rFonts w:ascii="Times New Roman" w:hAnsi="Times New Roman"/>
        </w:rPr>
        <w:tab/>
      </w:r>
      <w:r w:rsidRPr="009565BB">
        <w:rPr>
          <w:rFonts w:ascii="Times New Roman" w:hAnsi="Times New Roman"/>
        </w:rPr>
        <w:tab/>
      </w:r>
      <w:r w:rsidRPr="009565BB">
        <w:rPr>
          <w:rFonts w:ascii="Times New Roman" w:hAnsi="Times New Roman"/>
        </w:rPr>
        <w:tab/>
      </w:r>
      <w:r w:rsidRPr="009565BB">
        <w:rPr>
          <w:rFonts w:ascii="Times New Roman" w:hAnsi="Times New Roman"/>
        </w:rPr>
        <w:tab/>
      </w:r>
      <w:r w:rsidRPr="009565BB">
        <w:rPr>
          <w:rFonts w:ascii="Times New Roman" w:hAnsi="Times New Roman"/>
        </w:rPr>
        <w:tab/>
        <w:t>0.75% - next $10 million</w:t>
      </w:r>
    </w:p>
    <w:p w14:paraId="5C5F081B" w14:textId="1ACE02BE" w:rsidR="00E91C7F" w:rsidRPr="009565BB" w:rsidRDefault="00E91C7F" w:rsidP="00E91C7F">
      <w:pPr>
        <w:pStyle w:val="NoSpacing"/>
        <w:ind w:left="720" w:hanging="1350"/>
        <w:rPr>
          <w:rFonts w:ascii="Times New Roman" w:hAnsi="Times New Roman"/>
        </w:rPr>
      </w:pPr>
      <w:r w:rsidRPr="009565BB">
        <w:rPr>
          <w:rFonts w:ascii="Times New Roman" w:hAnsi="Times New Roman"/>
        </w:rPr>
        <w:tab/>
      </w:r>
      <w:r w:rsidRPr="009565BB">
        <w:rPr>
          <w:rFonts w:ascii="Times New Roman" w:hAnsi="Times New Roman"/>
        </w:rPr>
        <w:tab/>
      </w:r>
      <w:r w:rsidRPr="009565BB">
        <w:rPr>
          <w:rFonts w:ascii="Times New Roman" w:hAnsi="Times New Roman"/>
        </w:rPr>
        <w:tab/>
      </w:r>
      <w:r w:rsidRPr="009565BB">
        <w:rPr>
          <w:rFonts w:ascii="Times New Roman" w:hAnsi="Times New Roman"/>
        </w:rPr>
        <w:tab/>
      </w:r>
      <w:r w:rsidRPr="009565BB">
        <w:rPr>
          <w:rFonts w:ascii="Times New Roman" w:hAnsi="Times New Roman"/>
        </w:rPr>
        <w:tab/>
      </w:r>
      <w:r w:rsidRPr="009565BB">
        <w:rPr>
          <w:rFonts w:ascii="Times New Roman" w:hAnsi="Times New Roman"/>
        </w:rPr>
        <w:tab/>
      </w:r>
      <w:r w:rsidRPr="009565BB">
        <w:rPr>
          <w:rFonts w:ascii="Times New Roman" w:hAnsi="Times New Roman"/>
        </w:rPr>
        <w:tab/>
        <w:t>0.50% - balance</w:t>
      </w:r>
    </w:p>
    <w:p w14:paraId="1C1FDC74" w14:textId="77777777" w:rsidR="00E91C7F" w:rsidRPr="009565BB" w:rsidRDefault="00E91C7F" w:rsidP="00E91C7F">
      <w:pPr>
        <w:pStyle w:val="NoSpacing"/>
        <w:rPr>
          <w:rFonts w:ascii="Times New Roman" w:hAnsi="Times New Roman"/>
        </w:rPr>
      </w:pPr>
    </w:p>
    <w:p w14:paraId="0D591267" w14:textId="77777777" w:rsidR="00E91C7F" w:rsidRPr="009565BB" w:rsidRDefault="00E91C7F" w:rsidP="00E91C7F">
      <w:pPr>
        <w:pStyle w:val="NoSpacing"/>
        <w:ind w:left="720" w:hanging="720"/>
        <w:rPr>
          <w:rFonts w:ascii="Times New Roman" w:hAnsi="Times New Roman"/>
          <w:u w:val="single"/>
        </w:rPr>
      </w:pPr>
      <w:r w:rsidRPr="009565BB">
        <w:rPr>
          <w:rFonts w:ascii="Times New Roman" w:hAnsi="Times New Roman"/>
          <w:u w:val="single"/>
        </w:rPr>
        <w:t>Real Estate Investment Trust</w:t>
      </w:r>
    </w:p>
    <w:p w14:paraId="2D23BF1A" w14:textId="77777777" w:rsidR="00E91C7F" w:rsidRPr="009565BB" w:rsidRDefault="00E91C7F" w:rsidP="00E91C7F">
      <w:pPr>
        <w:pStyle w:val="NoSpacing"/>
        <w:ind w:left="720" w:hanging="720"/>
        <w:rPr>
          <w:rFonts w:ascii="Times New Roman" w:hAnsi="Times New Roman"/>
        </w:rPr>
      </w:pPr>
      <w:r w:rsidRPr="009565BB">
        <w:rPr>
          <w:rFonts w:ascii="Times New Roman" w:hAnsi="Times New Roman"/>
        </w:rPr>
        <w:t>Vanguard</w:t>
      </w:r>
      <w:r w:rsidRPr="009565BB">
        <w:rPr>
          <w:rFonts w:ascii="Times New Roman" w:hAnsi="Times New Roman"/>
        </w:rPr>
        <w:tab/>
      </w:r>
      <w:r w:rsidRPr="009565BB">
        <w:rPr>
          <w:rFonts w:ascii="Times New Roman" w:hAnsi="Times New Roman"/>
        </w:rPr>
        <w:tab/>
      </w:r>
      <w:r w:rsidRPr="009565BB">
        <w:rPr>
          <w:rFonts w:ascii="Times New Roman" w:hAnsi="Times New Roman"/>
        </w:rPr>
        <w:tab/>
      </w:r>
      <w:r w:rsidRPr="009565BB">
        <w:rPr>
          <w:rFonts w:ascii="Times New Roman" w:hAnsi="Times New Roman"/>
        </w:rPr>
        <w:tab/>
      </w:r>
      <w:r w:rsidRPr="009565BB">
        <w:rPr>
          <w:rFonts w:ascii="Times New Roman" w:hAnsi="Times New Roman"/>
        </w:rPr>
        <w:tab/>
      </w:r>
      <w:r w:rsidRPr="009565BB">
        <w:rPr>
          <w:rFonts w:ascii="Times New Roman" w:hAnsi="Times New Roman"/>
        </w:rPr>
        <w:tab/>
        <w:t>0.09% flat fee</w:t>
      </w:r>
    </w:p>
    <w:p w14:paraId="4F671F70" w14:textId="77777777" w:rsidR="00E91C7F" w:rsidRPr="009565BB" w:rsidRDefault="00E91C7F" w:rsidP="00E91C7F">
      <w:pPr>
        <w:pStyle w:val="NoSpacing"/>
        <w:ind w:left="720" w:hanging="720"/>
        <w:rPr>
          <w:rFonts w:ascii="Times New Roman" w:hAnsi="Times New Roman"/>
        </w:rPr>
      </w:pPr>
      <w:r w:rsidRPr="009565BB">
        <w:rPr>
          <w:rFonts w:ascii="Times New Roman" w:hAnsi="Times New Roman"/>
        </w:rPr>
        <w:t>(Real Estate Investment Trust Index Fund)</w:t>
      </w:r>
    </w:p>
    <w:p w14:paraId="422DE11B" w14:textId="77777777" w:rsidR="00E91C7F" w:rsidRPr="009565BB" w:rsidRDefault="00E91C7F" w:rsidP="00E91C7F">
      <w:pPr>
        <w:pStyle w:val="NoSpacing"/>
        <w:ind w:left="720" w:hanging="1350"/>
        <w:rPr>
          <w:rFonts w:ascii="Times New Roman" w:hAnsi="Times New Roman"/>
        </w:rPr>
      </w:pPr>
      <w:r w:rsidRPr="009565BB">
        <w:rPr>
          <w:rFonts w:ascii="Times New Roman" w:hAnsi="Times New Roman"/>
        </w:rPr>
        <w:tab/>
      </w:r>
    </w:p>
    <w:p w14:paraId="7521A558" w14:textId="77777777" w:rsidR="00E91C7F" w:rsidRDefault="00E91C7F" w:rsidP="00E91C7F">
      <w:pPr>
        <w:pStyle w:val="NoSpacing"/>
        <w:ind w:left="720" w:hanging="1350"/>
      </w:pPr>
    </w:p>
    <w:p w14:paraId="26D10753" w14:textId="77777777" w:rsidR="00E91C7F" w:rsidRDefault="00E91C7F" w:rsidP="00E91C7F">
      <w:pPr>
        <w:pStyle w:val="NoSpacing"/>
        <w:ind w:left="720" w:hanging="1350"/>
      </w:pPr>
    </w:p>
    <w:p w14:paraId="3C12B36D" w14:textId="77777777" w:rsidR="00E91C7F" w:rsidRDefault="00E91C7F" w:rsidP="00E91C7F">
      <w:pPr>
        <w:pStyle w:val="NoSpacing"/>
        <w:ind w:left="720" w:hanging="1350"/>
      </w:pPr>
    </w:p>
    <w:p w14:paraId="347A1FE2" w14:textId="77777777" w:rsidR="00E91C7F" w:rsidRDefault="00E91C7F" w:rsidP="00E91C7F">
      <w:pPr>
        <w:pStyle w:val="NoSpacing"/>
        <w:ind w:left="720" w:hanging="1350"/>
      </w:pPr>
    </w:p>
    <w:p w14:paraId="4C25FF49" w14:textId="77777777" w:rsidR="00E91C7F" w:rsidRDefault="00E91C7F" w:rsidP="00E91C7F">
      <w:pPr>
        <w:pStyle w:val="NoSpacing"/>
        <w:ind w:left="720" w:hanging="1350"/>
      </w:pPr>
    </w:p>
    <w:p w14:paraId="68BF79B8" w14:textId="77777777" w:rsidR="00E91C7F" w:rsidRDefault="00E91C7F" w:rsidP="00E91C7F">
      <w:pPr>
        <w:pStyle w:val="NoSpacing"/>
        <w:ind w:left="720" w:hanging="1350"/>
      </w:pPr>
    </w:p>
    <w:p w14:paraId="14AD7EC2" w14:textId="77777777" w:rsidR="00E91C7F" w:rsidRDefault="00E91C7F" w:rsidP="007E0481">
      <w:pPr>
        <w:pStyle w:val="Heading1"/>
      </w:pPr>
      <w:r>
        <w:br w:type="page"/>
      </w:r>
    </w:p>
    <w:p w14:paraId="5EE49611" w14:textId="77777777" w:rsidR="00E91C7F" w:rsidRPr="00591E16" w:rsidRDefault="00E91C7F" w:rsidP="007E0481">
      <w:pPr>
        <w:pStyle w:val="Heading1"/>
      </w:pPr>
      <w:r w:rsidRPr="00591E16">
        <w:lastRenderedPageBreak/>
        <w:t>University of Illinois System</w:t>
      </w:r>
    </w:p>
    <w:p w14:paraId="025DEFDC" w14:textId="77777777" w:rsidR="00E91C7F" w:rsidRPr="00591E16" w:rsidRDefault="00E91C7F" w:rsidP="007E0481">
      <w:pPr>
        <w:pStyle w:val="Heading1"/>
      </w:pPr>
      <w:r w:rsidRPr="00591E16">
        <w:t>Investment Fee Schedule – Alternative Investments</w:t>
      </w:r>
    </w:p>
    <w:p w14:paraId="68C76AB0" w14:textId="77777777" w:rsidR="00E91C7F" w:rsidRPr="00591E16" w:rsidRDefault="00E91C7F" w:rsidP="00E91C7F">
      <w:pPr>
        <w:rPr>
          <w:rFonts w:ascii="Times New Roman" w:hAnsi="Times New Roman" w:cs="Times New Roman"/>
        </w:rPr>
      </w:pPr>
    </w:p>
    <w:p w14:paraId="4554E2BE" w14:textId="77777777" w:rsidR="00E91C7F" w:rsidRPr="00591E16" w:rsidRDefault="00E91C7F" w:rsidP="00E91C7F">
      <w:pPr>
        <w:rPr>
          <w:rFonts w:ascii="Times New Roman" w:hAnsi="Times New Roman" w:cs="Times New Roman"/>
        </w:rPr>
      </w:pPr>
      <w:r w:rsidRPr="00591E16">
        <w:rPr>
          <w:rFonts w:ascii="Times New Roman" w:hAnsi="Times New Roman" w:cs="Times New Roman"/>
          <w:b/>
        </w:rPr>
        <w:t>Firm</w:t>
      </w:r>
      <w:r w:rsidRPr="00591E16">
        <w:rPr>
          <w:rFonts w:ascii="Times New Roman" w:hAnsi="Times New Roman" w:cs="Times New Roman"/>
          <w:b/>
        </w:rPr>
        <w:tab/>
      </w:r>
      <w:r w:rsidRPr="00591E16">
        <w:rPr>
          <w:rFonts w:ascii="Times New Roman" w:hAnsi="Times New Roman" w:cs="Times New Roman"/>
        </w:rPr>
        <w:tab/>
      </w:r>
      <w:r w:rsidRPr="00591E16">
        <w:rPr>
          <w:rFonts w:ascii="Times New Roman" w:hAnsi="Times New Roman" w:cs="Times New Roman"/>
        </w:rPr>
        <w:tab/>
      </w:r>
      <w:r w:rsidRPr="00591E16">
        <w:rPr>
          <w:rFonts w:ascii="Times New Roman" w:hAnsi="Times New Roman" w:cs="Times New Roman"/>
        </w:rPr>
        <w:tab/>
      </w:r>
      <w:r w:rsidRPr="00591E16">
        <w:rPr>
          <w:rFonts w:ascii="Times New Roman" w:hAnsi="Times New Roman" w:cs="Times New Roman"/>
        </w:rPr>
        <w:tab/>
      </w:r>
      <w:r w:rsidRPr="00591E16">
        <w:rPr>
          <w:rFonts w:ascii="Times New Roman" w:hAnsi="Times New Roman" w:cs="Times New Roman"/>
        </w:rPr>
        <w:tab/>
      </w:r>
      <w:r w:rsidRPr="00591E16">
        <w:rPr>
          <w:rFonts w:ascii="Times New Roman" w:hAnsi="Times New Roman" w:cs="Times New Roman"/>
        </w:rPr>
        <w:tab/>
      </w:r>
      <w:r w:rsidRPr="00591E16">
        <w:rPr>
          <w:rFonts w:ascii="Times New Roman" w:hAnsi="Times New Roman" w:cs="Times New Roman"/>
          <w:b/>
        </w:rPr>
        <w:t>Terms</w:t>
      </w:r>
    </w:p>
    <w:p w14:paraId="648B66B7" w14:textId="73980466" w:rsidR="00E91C7F" w:rsidRPr="00591E16" w:rsidRDefault="00E91C7F" w:rsidP="00E91C7F">
      <w:pPr>
        <w:pStyle w:val="NoSpacing"/>
        <w:rPr>
          <w:rFonts w:ascii="Times New Roman" w:hAnsi="Times New Roman"/>
        </w:rPr>
      </w:pPr>
      <w:r w:rsidRPr="00591E16">
        <w:rPr>
          <w:rFonts w:ascii="Times New Roman" w:hAnsi="Times New Roman"/>
          <w:u w:val="single"/>
        </w:rPr>
        <w:t xml:space="preserve">Private </w:t>
      </w:r>
      <w:r w:rsidR="009C69BA">
        <w:rPr>
          <w:rFonts w:ascii="Times New Roman" w:hAnsi="Times New Roman"/>
          <w:u w:val="single"/>
        </w:rPr>
        <w:t>Equity</w:t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  <w:u w:val="single"/>
        </w:rPr>
        <w:t>Management Fee</w:t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  <w:u w:val="single"/>
        </w:rPr>
        <w:t>Carried Interest</w:t>
      </w:r>
    </w:p>
    <w:p w14:paraId="52F07690" w14:textId="77777777" w:rsidR="00E91C7F" w:rsidRPr="00591E16" w:rsidRDefault="00E91C7F" w:rsidP="00E91C7F">
      <w:pPr>
        <w:pStyle w:val="NoSpacing"/>
        <w:ind w:hanging="630"/>
        <w:rPr>
          <w:rFonts w:ascii="Times New Roman" w:hAnsi="Times New Roman"/>
        </w:rPr>
      </w:pP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</w:r>
    </w:p>
    <w:p w14:paraId="6E01445B" w14:textId="77777777" w:rsidR="00E91C7F" w:rsidRPr="00591E16" w:rsidRDefault="00E91C7F" w:rsidP="00E91C7F">
      <w:pPr>
        <w:pStyle w:val="NoSpacing"/>
        <w:rPr>
          <w:rFonts w:ascii="Times New Roman" w:hAnsi="Times New Roman"/>
        </w:rPr>
      </w:pPr>
      <w:r w:rsidRPr="00591E16">
        <w:rPr>
          <w:rFonts w:ascii="Times New Roman" w:hAnsi="Times New Roman"/>
        </w:rPr>
        <w:t>Adams Street Partners</w:t>
      </w:r>
    </w:p>
    <w:p w14:paraId="41A8534A" w14:textId="77777777" w:rsidR="00E91C7F" w:rsidRPr="00591E16" w:rsidRDefault="00E91C7F" w:rsidP="00E91C7F">
      <w:pPr>
        <w:pStyle w:val="NoSpacing"/>
        <w:ind w:left="720" w:hanging="720"/>
        <w:rPr>
          <w:rFonts w:ascii="Times New Roman" w:hAnsi="Times New Roman"/>
        </w:rPr>
      </w:pPr>
      <w:r w:rsidRPr="00591E16">
        <w:rPr>
          <w:rFonts w:ascii="Times New Roman" w:hAnsi="Times New Roman"/>
        </w:rPr>
        <w:t>ASP 2004 U.S. Fund</w:t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  <w:t>0.00%</w:t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  <w:t>10% on Secondary</w:t>
      </w:r>
    </w:p>
    <w:p w14:paraId="71901E03" w14:textId="77777777" w:rsidR="00E91C7F" w:rsidRPr="00591E16" w:rsidRDefault="00E91C7F" w:rsidP="00E91C7F">
      <w:pPr>
        <w:pStyle w:val="NoSpacing"/>
        <w:ind w:left="720" w:hanging="720"/>
        <w:rPr>
          <w:rFonts w:ascii="Times New Roman" w:hAnsi="Times New Roman"/>
        </w:rPr>
      </w:pPr>
      <w:r w:rsidRPr="00591E16">
        <w:rPr>
          <w:rFonts w:ascii="Times New Roman" w:hAnsi="Times New Roman"/>
        </w:rPr>
        <w:t>ASP 2004 Non-U.S. Fund</w:t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  <w:t>0.00%</w:t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  <w:t>10% on Secondary</w:t>
      </w:r>
    </w:p>
    <w:p w14:paraId="40DC5B04" w14:textId="77777777" w:rsidR="00E91C7F" w:rsidRPr="00591E16" w:rsidRDefault="00E91C7F" w:rsidP="00E91C7F">
      <w:pPr>
        <w:pStyle w:val="NoSpacing"/>
        <w:ind w:left="720" w:hanging="1350"/>
        <w:rPr>
          <w:rFonts w:ascii="Times New Roman" w:hAnsi="Times New Roman"/>
        </w:rPr>
      </w:pPr>
    </w:p>
    <w:p w14:paraId="609C8117" w14:textId="25678027" w:rsidR="00E91C7F" w:rsidRPr="00591E16" w:rsidRDefault="00E91C7F" w:rsidP="00E91C7F">
      <w:pPr>
        <w:pStyle w:val="NoSpacing"/>
        <w:ind w:left="720" w:hanging="720"/>
        <w:rPr>
          <w:rFonts w:ascii="Times New Roman" w:hAnsi="Times New Roman"/>
        </w:rPr>
      </w:pPr>
      <w:r w:rsidRPr="00591E16">
        <w:rPr>
          <w:rFonts w:ascii="Times New Roman" w:hAnsi="Times New Roman"/>
        </w:rPr>
        <w:t>ASP 2006 U.S. Fund</w:t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  <w:t>0.</w:t>
      </w:r>
      <w:r w:rsidR="00B663FF">
        <w:rPr>
          <w:rFonts w:ascii="Times New Roman" w:hAnsi="Times New Roman"/>
        </w:rPr>
        <w:t>0</w:t>
      </w:r>
      <w:r w:rsidRPr="00591E16">
        <w:rPr>
          <w:rFonts w:ascii="Times New Roman" w:hAnsi="Times New Roman"/>
        </w:rPr>
        <w:t>0%</w:t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  <w:t>10% on Secondary</w:t>
      </w:r>
    </w:p>
    <w:p w14:paraId="6F114AFC" w14:textId="7D5AFBAA" w:rsidR="00E91C7F" w:rsidRPr="00591E16" w:rsidRDefault="00E91C7F" w:rsidP="00E91C7F">
      <w:pPr>
        <w:pStyle w:val="NoSpacing"/>
        <w:ind w:left="720" w:hanging="720"/>
        <w:rPr>
          <w:rFonts w:ascii="Times New Roman" w:hAnsi="Times New Roman"/>
        </w:rPr>
      </w:pPr>
      <w:r w:rsidRPr="00591E16">
        <w:rPr>
          <w:rFonts w:ascii="Times New Roman" w:hAnsi="Times New Roman"/>
        </w:rPr>
        <w:t>ASP 2006 Non-U.S. Fund</w:t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  <w:t>0.</w:t>
      </w:r>
      <w:r w:rsidR="00B663FF">
        <w:rPr>
          <w:rFonts w:ascii="Times New Roman" w:hAnsi="Times New Roman"/>
        </w:rPr>
        <w:t>0</w:t>
      </w:r>
      <w:r w:rsidRPr="00591E16">
        <w:rPr>
          <w:rFonts w:ascii="Times New Roman" w:hAnsi="Times New Roman"/>
        </w:rPr>
        <w:t>0%</w:t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  <w:t>10% on Secondary</w:t>
      </w:r>
    </w:p>
    <w:p w14:paraId="05769A84" w14:textId="77777777" w:rsidR="00E91C7F" w:rsidRPr="00591E16" w:rsidRDefault="00E91C7F" w:rsidP="00E91C7F">
      <w:pPr>
        <w:pStyle w:val="NoSpacing"/>
        <w:ind w:left="720" w:hanging="720"/>
        <w:rPr>
          <w:rFonts w:ascii="Times New Roman" w:hAnsi="Times New Roman"/>
        </w:rPr>
      </w:pPr>
      <w:r w:rsidRPr="00591E16">
        <w:rPr>
          <w:rFonts w:ascii="Times New Roman" w:hAnsi="Times New Roman"/>
        </w:rPr>
        <w:t>ASP 2006 Direct Fund</w:t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  <w:t>0.00%</w:t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  <w:t>20%</w:t>
      </w:r>
    </w:p>
    <w:p w14:paraId="32125BE6" w14:textId="77777777" w:rsidR="00E91C7F" w:rsidRPr="00591E16" w:rsidRDefault="00E91C7F" w:rsidP="00E91C7F">
      <w:pPr>
        <w:pStyle w:val="NoSpacing"/>
        <w:ind w:left="720" w:hanging="1350"/>
        <w:rPr>
          <w:rFonts w:ascii="Times New Roman" w:hAnsi="Times New Roman"/>
        </w:rPr>
      </w:pPr>
    </w:p>
    <w:p w14:paraId="055C44E6" w14:textId="4F501855" w:rsidR="00E91C7F" w:rsidRPr="00591E16" w:rsidRDefault="00E91C7F" w:rsidP="00E91C7F">
      <w:pPr>
        <w:pStyle w:val="NoSpacing"/>
        <w:ind w:left="720" w:hanging="720"/>
        <w:rPr>
          <w:rFonts w:ascii="Times New Roman" w:hAnsi="Times New Roman"/>
        </w:rPr>
      </w:pPr>
      <w:r w:rsidRPr="00591E16">
        <w:rPr>
          <w:rFonts w:ascii="Times New Roman" w:hAnsi="Times New Roman"/>
        </w:rPr>
        <w:t>ASP 2007 U.S. Fund</w:t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  <w:t>0.</w:t>
      </w:r>
      <w:r w:rsidR="00E13DB8">
        <w:rPr>
          <w:rFonts w:ascii="Times New Roman" w:hAnsi="Times New Roman"/>
        </w:rPr>
        <w:t>0</w:t>
      </w:r>
      <w:r w:rsidRPr="00591E16">
        <w:rPr>
          <w:rFonts w:ascii="Times New Roman" w:hAnsi="Times New Roman"/>
        </w:rPr>
        <w:t>0%</w:t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  <w:t>10% on Secondary</w:t>
      </w:r>
    </w:p>
    <w:p w14:paraId="3FCBE3D4" w14:textId="0ECBA099" w:rsidR="00E91C7F" w:rsidRPr="00591E16" w:rsidRDefault="00E91C7F" w:rsidP="00E91C7F">
      <w:pPr>
        <w:pStyle w:val="NoSpacing"/>
        <w:ind w:left="720" w:hanging="720"/>
        <w:rPr>
          <w:rFonts w:ascii="Times New Roman" w:hAnsi="Times New Roman"/>
        </w:rPr>
      </w:pPr>
      <w:r w:rsidRPr="00591E16">
        <w:rPr>
          <w:rFonts w:ascii="Times New Roman" w:hAnsi="Times New Roman"/>
        </w:rPr>
        <w:t>ASP 2007 Non-U.S. Fund</w:t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  <w:t>0.</w:t>
      </w:r>
      <w:r w:rsidR="00E13DB8">
        <w:rPr>
          <w:rFonts w:ascii="Times New Roman" w:hAnsi="Times New Roman"/>
        </w:rPr>
        <w:t>0</w:t>
      </w:r>
      <w:r w:rsidRPr="00591E16">
        <w:rPr>
          <w:rFonts w:ascii="Times New Roman" w:hAnsi="Times New Roman"/>
        </w:rPr>
        <w:t>0%</w:t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  <w:t>10% on Secondary</w:t>
      </w:r>
    </w:p>
    <w:p w14:paraId="0BEFFF4E" w14:textId="141DCBAB" w:rsidR="00E91C7F" w:rsidRPr="00591E16" w:rsidRDefault="00E91C7F" w:rsidP="00E91C7F">
      <w:pPr>
        <w:pStyle w:val="NoSpacing"/>
        <w:ind w:left="720" w:hanging="720"/>
        <w:rPr>
          <w:rFonts w:ascii="Times New Roman" w:hAnsi="Times New Roman"/>
        </w:rPr>
      </w:pPr>
      <w:r w:rsidRPr="00591E16">
        <w:rPr>
          <w:rFonts w:ascii="Times New Roman" w:hAnsi="Times New Roman"/>
        </w:rPr>
        <w:t>ASP 2007 Direct Fund</w:t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  <w:t>0.</w:t>
      </w:r>
      <w:r w:rsidR="00E13DB8">
        <w:rPr>
          <w:rFonts w:ascii="Times New Roman" w:hAnsi="Times New Roman"/>
        </w:rPr>
        <w:t>0</w:t>
      </w:r>
      <w:r w:rsidRPr="00591E16">
        <w:rPr>
          <w:rFonts w:ascii="Times New Roman" w:hAnsi="Times New Roman"/>
        </w:rPr>
        <w:t>0%</w:t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  <w:t>20%</w:t>
      </w:r>
    </w:p>
    <w:p w14:paraId="11220B29" w14:textId="77777777" w:rsidR="00E91C7F" w:rsidRPr="00591E16" w:rsidRDefault="00E91C7F" w:rsidP="00E91C7F">
      <w:pPr>
        <w:pStyle w:val="NoSpacing"/>
        <w:ind w:left="720" w:hanging="1350"/>
        <w:rPr>
          <w:rFonts w:ascii="Times New Roman" w:hAnsi="Times New Roman"/>
        </w:rPr>
      </w:pPr>
    </w:p>
    <w:p w14:paraId="6212E3BB" w14:textId="6D94C472" w:rsidR="00E91C7F" w:rsidRPr="00591E16" w:rsidRDefault="00E91C7F" w:rsidP="00E91C7F">
      <w:pPr>
        <w:pStyle w:val="NoSpacing"/>
        <w:ind w:left="720" w:hanging="720"/>
        <w:rPr>
          <w:rFonts w:ascii="Times New Roman" w:hAnsi="Times New Roman"/>
        </w:rPr>
      </w:pPr>
      <w:r w:rsidRPr="00591E16">
        <w:rPr>
          <w:rFonts w:ascii="Times New Roman" w:hAnsi="Times New Roman"/>
        </w:rPr>
        <w:t>ASP 2008 U.S. Fund</w:t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  <w:t>0.</w:t>
      </w:r>
      <w:r w:rsidR="00BC37DD">
        <w:rPr>
          <w:rFonts w:ascii="Times New Roman" w:hAnsi="Times New Roman"/>
        </w:rPr>
        <w:t>0</w:t>
      </w:r>
      <w:r w:rsidRPr="00591E16">
        <w:rPr>
          <w:rFonts w:ascii="Times New Roman" w:hAnsi="Times New Roman"/>
        </w:rPr>
        <w:t>0%</w:t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  <w:t>10% on Secondary</w:t>
      </w:r>
    </w:p>
    <w:p w14:paraId="09B773D9" w14:textId="066FE70C" w:rsidR="00E91C7F" w:rsidRPr="00591E16" w:rsidRDefault="00E91C7F" w:rsidP="00E91C7F">
      <w:pPr>
        <w:pStyle w:val="NoSpacing"/>
        <w:ind w:left="720" w:hanging="720"/>
        <w:rPr>
          <w:rFonts w:ascii="Times New Roman" w:hAnsi="Times New Roman"/>
        </w:rPr>
      </w:pPr>
      <w:r w:rsidRPr="00591E16">
        <w:rPr>
          <w:rFonts w:ascii="Times New Roman" w:hAnsi="Times New Roman"/>
        </w:rPr>
        <w:t>ASP 2008 Non-U.S. Fund</w:t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  <w:t>0.</w:t>
      </w:r>
      <w:r w:rsidR="00BC37DD">
        <w:rPr>
          <w:rFonts w:ascii="Times New Roman" w:hAnsi="Times New Roman"/>
        </w:rPr>
        <w:t>0</w:t>
      </w:r>
      <w:r w:rsidRPr="00591E16">
        <w:rPr>
          <w:rFonts w:ascii="Times New Roman" w:hAnsi="Times New Roman"/>
        </w:rPr>
        <w:t>0%</w:t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  <w:t>10% on Secondary</w:t>
      </w:r>
    </w:p>
    <w:p w14:paraId="5DE4096C" w14:textId="27BEAE09" w:rsidR="00E91C7F" w:rsidRPr="00591E16" w:rsidRDefault="00E91C7F" w:rsidP="00E91C7F">
      <w:pPr>
        <w:pStyle w:val="NoSpacing"/>
        <w:ind w:left="720" w:hanging="720"/>
        <w:rPr>
          <w:rFonts w:ascii="Times New Roman" w:hAnsi="Times New Roman"/>
        </w:rPr>
      </w:pPr>
      <w:r w:rsidRPr="00591E16">
        <w:rPr>
          <w:rFonts w:ascii="Times New Roman" w:hAnsi="Times New Roman"/>
        </w:rPr>
        <w:t>ASP 2008 Direct Fund</w:t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  <w:t>0.</w:t>
      </w:r>
      <w:r w:rsidR="00E13DB8">
        <w:rPr>
          <w:rFonts w:ascii="Times New Roman" w:hAnsi="Times New Roman"/>
        </w:rPr>
        <w:t>00</w:t>
      </w:r>
      <w:r w:rsidRPr="00591E16">
        <w:rPr>
          <w:rFonts w:ascii="Times New Roman" w:hAnsi="Times New Roman"/>
        </w:rPr>
        <w:t>%</w:t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  <w:t>20%</w:t>
      </w:r>
    </w:p>
    <w:p w14:paraId="104A59EA" w14:textId="77777777" w:rsidR="00E91C7F" w:rsidRPr="00591E16" w:rsidRDefault="00E91C7F" w:rsidP="00E91C7F">
      <w:pPr>
        <w:pStyle w:val="NoSpacing"/>
        <w:ind w:left="720" w:hanging="1350"/>
        <w:rPr>
          <w:rFonts w:ascii="Times New Roman" w:hAnsi="Times New Roman"/>
        </w:rPr>
      </w:pPr>
    </w:p>
    <w:p w14:paraId="0F682C25" w14:textId="1D58C6E5" w:rsidR="00E91C7F" w:rsidRPr="00591E16" w:rsidRDefault="00E91C7F" w:rsidP="00E91C7F">
      <w:pPr>
        <w:pStyle w:val="NoSpacing"/>
        <w:ind w:left="720" w:hanging="720"/>
        <w:rPr>
          <w:rFonts w:ascii="Times New Roman" w:hAnsi="Times New Roman"/>
        </w:rPr>
      </w:pPr>
      <w:r w:rsidRPr="00591E16">
        <w:rPr>
          <w:rFonts w:ascii="Times New Roman" w:hAnsi="Times New Roman"/>
        </w:rPr>
        <w:t>ASP 2009 U.S. Fund</w:t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  <w:t>0.</w:t>
      </w:r>
      <w:r w:rsidR="00BC37DD">
        <w:rPr>
          <w:rFonts w:ascii="Times New Roman" w:hAnsi="Times New Roman"/>
        </w:rPr>
        <w:t>1</w:t>
      </w:r>
      <w:r w:rsidRPr="00591E16">
        <w:rPr>
          <w:rFonts w:ascii="Times New Roman" w:hAnsi="Times New Roman"/>
        </w:rPr>
        <w:t>0%</w:t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  <w:t>10% on Secondary</w:t>
      </w:r>
    </w:p>
    <w:p w14:paraId="2A723B85" w14:textId="485D71A2" w:rsidR="00E91C7F" w:rsidRPr="00591E16" w:rsidRDefault="00E91C7F" w:rsidP="00E91C7F">
      <w:pPr>
        <w:pStyle w:val="NoSpacing"/>
        <w:ind w:left="720" w:hanging="720"/>
        <w:rPr>
          <w:rFonts w:ascii="Times New Roman" w:hAnsi="Times New Roman"/>
        </w:rPr>
      </w:pPr>
      <w:r w:rsidRPr="00591E16">
        <w:rPr>
          <w:rFonts w:ascii="Times New Roman" w:hAnsi="Times New Roman"/>
        </w:rPr>
        <w:t>ASP 2009 Non-U.S. Developed Fund</w:t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  <w:t>0.</w:t>
      </w:r>
      <w:r w:rsidR="00BC37DD">
        <w:rPr>
          <w:rFonts w:ascii="Times New Roman" w:hAnsi="Times New Roman"/>
        </w:rPr>
        <w:t>1</w:t>
      </w:r>
      <w:r w:rsidRPr="00591E16">
        <w:rPr>
          <w:rFonts w:ascii="Times New Roman" w:hAnsi="Times New Roman"/>
        </w:rPr>
        <w:t>0%</w:t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  <w:t>10% on Secondary</w:t>
      </w:r>
    </w:p>
    <w:p w14:paraId="7B621A01" w14:textId="1700B30B" w:rsidR="00E91C7F" w:rsidRPr="00591E16" w:rsidRDefault="00E91C7F" w:rsidP="00E91C7F">
      <w:pPr>
        <w:pStyle w:val="NoSpacing"/>
        <w:ind w:left="720" w:hanging="720"/>
        <w:rPr>
          <w:rFonts w:ascii="Times New Roman" w:hAnsi="Times New Roman"/>
        </w:rPr>
      </w:pPr>
      <w:r w:rsidRPr="00591E16">
        <w:rPr>
          <w:rFonts w:ascii="Times New Roman" w:hAnsi="Times New Roman"/>
        </w:rPr>
        <w:t>ASP 2009 Non-U.S. Emerging Markets Fund</w:t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  <w:t>0.</w:t>
      </w:r>
      <w:r w:rsidR="00BC37DD">
        <w:rPr>
          <w:rFonts w:ascii="Times New Roman" w:hAnsi="Times New Roman"/>
        </w:rPr>
        <w:t>1</w:t>
      </w:r>
      <w:r w:rsidRPr="00591E16">
        <w:rPr>
          <w:rFonts w:ascii="Times New Roman" w:hAnsi="Times New Roman"/>
        </w:rPr>
        <w:t>0%</w:t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  <w:t>10% on Secondary</w:t>
      </w:r>
    </w:p>
    <w:p w14:paraId="7D8C9D82" w14:textId="41DB5D4C" w:rsidR="00E91C7F" w:rsidRPr="00591E16" w:rsidRDefault="00E91C7F" w:rsidP="00E91C7F">
      <w:pPr>
        <w:pStyle w:val="NoSpacing"/>
        <w:ind w:left="720" w:hanging="720"/>
        <w:rPr>
          <w:rFonts w:ascii="Times New Roman" w:hAnsi="Times New Roman"/>
        </w:rPr>
      </w:pPr>
      <w:r w:rsidRPr="00591E16">
        <w:rPr>
          <w:rFonts w:ascii="Times New Roman" w:hAnsi="Times New Roman"/>
        </w:rPr>
        <w:t>ASP 2009 Direct Fund</w:t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  <w:t>0.</w:t>
      </w:r>
      <w:r w:rsidR="00BC37DD">
        <w:rPr>
          <w:rFonts w:ascii="Times New Roman" w:hAnsi="Times New Roman"/>
        </w:rPr>
        <w:t>00</w:t>
      </w:r>
      <w:r w:rsidRPr="00591E16">
        <w:rPr>
          <w:rFonts w:ascii="Times New Roman" w:hAnsi="Times New Roman"/>
        </w:rPr>
        <w:t>%</w:t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  <w:t>20%</w:t>
      </w:r>
    </w:p>
    <w:p w14:paraId="16837BE4" w14:textId="77777777" w:rsidR="00E91C7F" w:rsidRPr="00591E16" w:rsidRDefault="00E91C7F" w:rsidP="00E91C7F">
      <w:pPr>
        <w:pStyle w:val="NoSpacing"/>
        <w:ind w:left="720" w:hanging="1350"/>
        <w:rPr>
          <w:rFonts w:ascii="Times New Roman" w:hAnsi="Times New Roman"/>
        </w:rPr>
      </w:pPr>
    </w:p>
    <w:p w14:paraId="4D349073" w14:textId="19354C10" w:rsidR="00E91C7F" w:rsidRPr="00591E16" w:rsidRDefault="00E91C7F" w:rsidP="00E91C7F">
      <w:pPr>
        <w:pStyle w:val="NoSpacing"/>
        <w:ind w:left="720" w:hanging="720"/>
        <w:rPr>
          <w:rFonts w:ascii="Times New Roman" w:hAnsi="Times New Roman"/>
        </w:rPr>
      </w:pPr>
      <w:r w:rsidRPr="00591E16">
        <w:rPr>
          <w:rFonts w:ascii="Times New Roman" w:hAnsi="Times New Roman"/>
        </w:rPr>
        <w:t>ASP 2010 U.S. Fund</w:t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  <w:t>0.</w:t>
      </w:r>
      <w:r w:rsidR="00BC37DD">
        <w:rPr>
          <w:rFonts w:ascii="Times New Roman" w:hAnsi="Times New Roman"/>
        </w:rPr>
        <w:t>2</w:t>
      </w:r>
      <w:r w:rsidRPr="00591E16">
        <w:rPr>
          <w:rFonts w:ascii="Times New Roman" w:hAnsi="Times New Roman"/>
        </w:rPr>
        <w:t>0%</w:t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  <w:t>10% on Secondary</w:t>
      </w:r>
    </w:p>
    <w:p w14:paraId="74967593" w14:textId="066C7BFB" w:rsidR="00E91C7F" w:rsidRPr="00591E16" w:rsidRDefault="00E91C7F" w:rsidP="00E91C7F">
      <w:pPr>
        <w:pStyle w:val="NoSpacing"/>
        <w:ind w:left="720" w:hanging="720"/>
        <w:rPr>
          <w:rFonts w:ascii="Times New Roman" w:hAnsi="Times New Roman"/>
        </w:rPr>
      </w:pPr>
      <w:r w:rsidRPr="00591E16">
        <w:rPr>
          <w:rFonts w:ascii="Times New Roman" w:hAnsi="Times New Roman"/>
        </w:rPr>
        <w:t>ASP 2010 Non-U.S. Developed Fund</w:t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  <w:t>0.</w:t>
      </w:r>
      <w:r w:rsidR="00BC37DD">
        <w:rPr>
          <w:rFonts w:ascii="Times New Roman" w:hAnsi="Times New Roman"/>
        </w:rPr>
        <w:t>2</w:t>
      </w:r>
      <w:r w:rsidRPr="00591E16">
        <w:rPr>
          <w:rFonts w:ascii="Times New Roman" w:hAnsi="Times New Roman"/>
        </w:rPr>
        <w:t>0%</w:t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  <w:t>10% on Secondary</w:t>
      </w:r>
    </w:p>
    <w:p w14:paraId="4B297486" w14:textId="599C7B56" w:rsidR="00E91C7F" w:rsidRPr="00591E16" w:rsidRDefault="00E91C7F" w:rsidP="00E91C7F">
      <w:pPr>
        <w:pStyle w:val="NoSpacing"/>
        <w:ind w:left="720" w:hanging="720"/>
        <w:rPr>
          <w:rFonts w:ascii="Times New Roman" w:hAnsi="Times New Roman"/>
        </w:rPr>
      </w:pPr>
      <w:r w:rsidRPr="00591E16">
        <w:rPr>
          <w:rFonts w:ascii="Times New Roman" w:hAnsi="Times New Roman"/>
        </w:rPr>
        <w:t>ASP 2010 Non-U.S. Emerging Markets Fund</w:t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  <w:t>0.</w:t>
      </w:r>
      <w:r w:rsidR="00BC37DD">
        <w:rPr>
          <w:rFonts w:ascii="Times New Roman" w:hAnsi="Times New Roman"/>
        </w:rPr>
        <w:t>2</w:t>
      </w:r>
      <w:r w:rsidRPr="00591E16">
        <w:rPr>
          <w:rFonts w:ascii="Times New Roman" w:hAnsi="Times New Roman"/>
        </w:rPr>
        <w:t>0%</w:t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  <w:t>10% on Secondary</w:t>
      </w:r>
    </w:p>
    <w:p w14:paraId="106816B8" w14:textId="6D1A93B0" w:rsidR="00E91C7F" w:rsidRPr="00591E16" w:rsidRDefault="00E91C7F" w:rsidP="00E91C7F">
      <w:pPr>
        <w:pStyle w:val="NoSpacing"/>
        <w:ind w:left="720" w:hanging="720"/>
        <w:rPr>
          <w:rFonts w:ascii="Times New Roman" w:hAnsi="Times New Roman"/>
        </w:rPr>
      </w:pPr>
      <w:r w:rsidRPr="00591E16">
        <w:rPr>
          <w:rFonts w:ascii="Times New Roman" w:hAnsi="Times New Roman"/>
        </w:rPr>
        <w:t>ASP 2010 Direct Fund</w:t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  <w:t>0.</w:t>
      </w:r>
      <w:r w:rsidR="00BC37DD">
        <w:rPr>
          <w:rFonts w:ascii="Times New Roman" w:hAnsi="Times New Roman"/>
        </w:rPr>
        <w:t>1</w:t>
      </w:r>
      <w:r w:rsidRPr="00591E16">
        <w:rPr>
          <w:rFonts w:ascii="Times New Roman" w:hAnsi="Times New Roman"/>
        </w:rPr>
        <w:t>9%</w:t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  <w:t>20%</w:t>
      </w:r>
    </w:p>
    <w:p w14:paraId="043C42C0" w14:textId="77777777" w:rsidR="00E91C7F" w:rsidRPr="00591E16" w:rsidRDefault="00E91C7F" w:rsidP="00E91C7F">
      <w:pPr>
        <w:pStyle w:val="NoSpacing"/>
        <w:ind w:left="720" w:hanging="1350"/>
        <w:rPr>
          <w:rFonts w:ascii="Times New Roman" w:hAnsi="Times New Roman"/>
        </w:rPr>
      </w:pPr>
    </w:p>
    <w:p w14:paraId="16D9722E" w14:textId="420DCF8D" w:rsidR="00E91C7F" w:rsidRPr="00591E16" w:rsidRDefault="00E91C7F" w:rsidP="00E91C7F">
      <w:pPr>
        <w:pStyle w:val="NoSpacing"/>
        <w:ind w:left="720" w:hanging="720"/>
        <w:rPr>
          <w:rFonts w:ascii="Times New Roman" w:hAnsi="Times New Roman"/>
        </w:rPr>
      </w:pPr>
      <w:r w:rsidRPr="00591E16">
        <w:rPr>
          <w:rFonts w:ascii="Times New Roman" w:hAnsi="Times New Roman"/>
        </w:rPr>
        <w:t>ASP 2011 U.S. Fund</w:t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  <w:t>0.</w:t>
      </w:r>
      <w:r w:rsidR="00BC37DD">
        <w:rPr>
          <w:rFonts w:ascii="Times New Roman" w:hAnsi="Times New Roman"/>
        </w:rPr>
        <w:t>3</w:t>
      </w:r>
      <w:r w:rsidRPr="00591E16">
        <w:rPr>
          <w:rFonts w:ascii="Times New Roman" w:hAnsi="Times New Roman"/>
        </w:rPr>
        <w:t>0%</w:t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  <w:t>10% on Secondary</w:t>
      </w:r>
    </w:p>
    <w:p w14:paraId="2EFE0B8E" w14:textId="02E37B83" w:rsidR="00E91C7F" w:rsidRPr="00591E16" w:rsidRDefault="00E91C7F" w:rsidP="00E91C7F">
      <w:pPr>
        <w:pStyle w:val="NoSpacing"/>
        <w:ind w:left="720" w:hanging="720"/>
        <w:rPr>
          <w:rFonts w:ascii="Times New Roman" w:hAnsi="Times New Roman"/>
        </w:rPr>
      </w:pPr>
      <w:r w:rsidRPr="00591E16">
        <w:rPr>
          <w:rFonts w:ascii="Times New Roman" w:hAnsi="Times New Roman"/>
        </w:rPr>
        <w:t>ASP 2011 Non-U.S. Developed Fund</w:t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  <w:t>0.</w:t>
      </w:r>
      <w:r w:rsidR="00BC37DD">
        <w:rPr>
          <w:rFonts w:ascii="Times New Roman" w:hAnsi="Times New Roman"/>
        </w:rPr>
        <w:t>3</w:t>
      </w:r>
      <w:r w:rsidRPr="00591E16">
        <w:rPr>
          <w:rFonts w:ascii="Times New Roman" w:hAnsi="Times New Roman"/>
        </w:rPr>
        <w:t>0%</w:t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  <w:t>10% on Secondary</w:t>
      </w:r>
    </w:p>
    <w:p w14:paraId="630E0CF1" w14:textId="3E2A2E1A" w:rsidR="00E91C7F" w:rsidRPr="00591E16" w:rsidRDefault="00E91C7F" w:rsidP="00E91C7F">
      <w:pPr>
        <w:pStyle w:val="NoSpacing"/>
        <w:ind w:left="720" w:hanging="720"/>
        <w:rPr>
          <w:rFonts w:ascii="Times New Roman" w:hAnsi="Times New Roman"/>
        </w:rPr>
      </w:pPr>
      <w:r w:rsidRPr="00591E16">
        <w:rPr>
          <w:rFonts w:ascii="Times New Roman" w:hAnsi="Times New Roman"/>
        </w:rPr>
        <w:t>ASP 2011 Non-U.S. Emerging Markets Fund</w:t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  <w:t>0.</w:t>
      </w:r>
      <w:r w:rsidR="00BC37DD">
        <w:rPr>
          <w:rFonts w:ascii="Times New Roman" w:hAnsi="Times New Roman"/>
        </w:rPr>
        <w:t>3</w:t>
      </w:r>
      <w:r w:rsidRPr="00591E16">
        <w:rPr>
          <w:rFonts w:ascii="Times New Roman" w:hAnsi="Times New Roman"/>
        </w:rPr>
        <w:t>0%</w:t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  <w:t>10% on Secondary</w:t>
      </w:r>
    </w:p>
    <w:p w14:paraId="2D1368E5" w14:textId="3ACA841D" w:rsidR="00E91C7F" w:rsidRPr="00591E16" w:rsidRDefault="00E91C7F" w:rsidP="00E91C7F">
      <w:pPr>
        <w:pStyle w:val="NoSpacing"/>
        <w:ind w:left="720" w:hanging="720"/>
        <w:rPr>
          <w:rFonts w:ascii="Times New Roman" w:hAnsi="Times New Roman"/>
        </w:rPr>
      </w:pPr>
      <w:r w:rsidRPr="00591E16">
        <w:rPr>
          <w:rFonts w:ascii="Times New Roman" w:hAnsi="Times New Roman"/>
        </w:rPr>
        <w:t>ASP 2011 Direct Fund</w:t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  <w:t>0.</w:t>
      </w:r>
      <w:r w:rsidR="003E53A6">
        <w:rPr>
          <w:rFonts w:ascii="Times New Roman" w:hAnsi="Times New Roman"/>
        </w:rPr>
        <w:t>3</w:t>
      </w:r>
      <w:r w:rsidRPr="00591E16">
        <w:rPr>
          <w:rFonts w:ascii="Times New Roman" w:hAnsi="Times New Roman"/>
        </w:rPr>
        <w:t>9%</w:t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  <w:t xml:space="preserve">20% </w:t>
      </w:r>
    </w:p>
    <w:p w14:paraId="5CABEFE2" w14:textId="77777777" w:rsidR="00E91C7F" w:rsidRPr="00591E16" w:rsidRDefault="00E91C7F" w:rsidP="00E91C7F">
      <w:pPr>
        <w:pStyle w:val="NoSpacing"/>
        <w:ind w:left="720" w:hanging="1350"/>
        <w:rPr>
          <w:rFonts w:ascii="Times New Roman" w:hAnsi="Times New Roman"/>
        </w:rPr>
      </w:pPr>
    </w:p>
    <w:p w14:paraId="4B1E9102" w14:textId="28C848AB" w:rsidR="00E91C7F" w:rsidRPr="00591E16" w:rsidRDefault="00E91C7F" w:rsidP="00E91C7F">
      <w:pPr>
        <w:pStyle w:val="NoSpacing"/>
        <w:ind w:left="4320" w:hanging="4320"/>
        <w:rPr>
          <w:rFonts w:ascii="Times New Roman" w:hAnsi="Times New Roman"/>
        </w:rPr>
      </w:pPr>
      <w:r w:rsidRPr="00591E16">
        <w:rPr>
          <w:rFonts w:ascii="Times New Roman" w:hAnsi="Times New Roman"/>
        </w:rPr>
        <w:t>ASP 2013 Global Fund</w:t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  <w:t>0.</w:t>
      </w:r>
      <w:r w:rsidR="00BC37DD">
        <w:rPr>
          <w:rFonts w:ascii="Times New Roman" w:hAnsi="Times New Roman"/>
        </w:rPr>
        <w:t>53</w:t>
      </w:r>
      <w:r w:rsidRPr="00591E16">
        <w:rPr>
          <w:rFonts w:ascii="Times New Roman" w:hAnsi="Times New Roman"/>
        </w:rPr>
        <w:t>%</w:t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  <w:t xml:space="preserve">10% - Secondary &amp; Co-           </w:t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  <w:t>Investment, 20% Direct</w:t>
      </w:r>
    </w:p>
    <w:p w14:paraId="6EADE6BF" w14:textId="77777777" w:rsidR="00E91C7F" w:rsidRPr="00591E16" w:rsidRDefault="00E91C7F" w:rsidP="00E91C7F">
      <w:pPr>
        <w:pStyle w:val="NoSpacing"/>
        <w:ind w:left="720" w:hanging="1350"/>
        <w:rPr>
          <w:rFonts w:ascii="Times New Roman" w:hAnsi="Times New Roman"/>
        </w:rPr>
      </w:pPr>
    </w:p>
    <w:p w14:paraId="207A123E" w14:textId="469322AC" w:rsidR="00E91C7F" w:rsidRDefault="00E91C7F" w:rsidP="00E91C7F">
      <w:pPr>
        <w:pStyle w:val="NoSpacing"/>
        <w:ind w:left="1440" w:hanging="1620"/>
        <w:rPr>
          <w:rFonts w:ascii="Times New Roman" w:hAnsi="Times New Roman"/>
        </w:rPr>
      </w:pPr>
      <w:r w:rsidRPr="00591E16">
        <w:rPr>
          <w:rFonts w:ascii="Times New Roman" w:hAnsi="Times New Roman"/>
        </w:rPr>
        <w:t>ASP Co-Investment Fund III</w:t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  <w:t>0.</w:t>
      </w:r>
      <w:r w:rsidR="00BC37DD">
        <w:rPr>
          <w:rFonts w:ascii="Times New Roman" w:hAnsi="Times New Roman"/>
        </w:rPr>
        <w:t>5</w:t>
      </w:r>
      <w:r w:rsidRPr="00591E16">
        <w:rPr>
          <w:rFonts w:ascii="Times New Roman" w:hAnsi="Times New Roman"/>
        </w:rPr>
        <w:t>3%</w:t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  <w:t xml:space="preserve">10% </w:t>
      </w:r>
    </w:p>
    <w:p w14:paraId="1597BD3D" w14:textId="77777777" w:rsidR="00151527" w:rsidRPr="00591E16" w:rsidRDefault="00151527" w:rsidP="00E91C7F">
      <w:pPr>
        <w:pStyle w:val="NoSpacing"/>
        <w:ind w:left="1440" w:hanging="1620"/>
        <w:rPr>
          <w:rFonts w:ascii="Times New Roman" w:hAnsi="Times New Roman"/>
        </w:rPr>
      </w:pPr>
    </w:p>
    <w:p w14:paraId="061A9AE3" w14:textId="77777777" w:rsidR="00E91C7F" w:rsidRPr="00591E16" w:rsidRDefault="00E91C7F" w:rsidP="00E91C7F">
      <w:pPr>
        <w:pStyle w:val="NoSpacing"/>
        <w:numPr>
          <w:ilvl w:val="0"/>
          <w:numId w:val="25"/>
        </w:numPr>
        <w:ind w:left="-180" w:hanging="450"/>
        <w:rPr>
          <w:rFonts w:ascii="Times New Roman" w:hAnsi="Times New Roman"/>
          <w:sz w:val="18"/>
          <w:szCs w:val="18"/>
        </w:rPr>
      </w:pPr>
      <w:r w:rsidRPr="00591E16">
        <w:rPr>
          <w:rFonts w:ascii="Times New Roman" w:hAnsi="Times New Roman"/>
          <w:sz w:val="18"/>
          <w:szCs w:val="18"/>
        </w:rPr>
        <w:t xml:space="preserve">Fee Tail Down:  Fees above reflect reduction to 90% of the management fee in year eight of a subscription, 80% in year nine, 70% in year ten, etc. The tail down begins in year seven for direct funds. </w:t>
      </w:r>
    </w:p>
    <w:p w14:paraId="68A842F4" w14:textId="77777777" w:rsidR="00591E16" w:rsidRDefault="00591E16">
      <w:pP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45B49915" w14:textId="4512432F" w:rsidR="00E91C7F" w:rsidRPr="00591E16" w:rsidRDefault="00E91C7F" w:rsidP="007E0481">
      <w:pPr>
        <w:pStyle w:val="Heading1"/>
      </w:pPr>
      <w:r w:rsidRPr="00591E16">
        <w:lastRenderedPageBreak/>
        <w:t>University of Illinois System</w:t>
      </w:r>
    </w:p>
    <w:p w14:paraId="3C619152" w14:textId="77777777" w:rsidR="00E91C7F" w:rsidRPr="00591E16" w:rsidRDefault="00E91C7F" w:rsidP="007E0481">
      <w:pPr>
        <w:pStyle w:val="Heading1"/>
      </w:pPr>
      <w:r w:rsidRPr="00591E16">
        <w:t>Investment Fee Schedule – Alternative Investments</w:t>
      </w:r>
    </w:p>
    <w:p w14:paraId="0610D6B3" w14:textId="77777777" w:rsidR="00E91C7F" w:rsidRPr="00591E16" w:rsidRDefault="00E91C7F" w:rsidP="00E91C7F">
      <w:pPr>
        <w:rPr>
          <w:rFonts w:ascii="Times New Roman" w:hAnsi="Times New Roman" w:cs="Times New Roman"/>
        </w:rPr>
      </w:pPr>
    </w:p>
    <w:p w14:paraId="4F0957AF" w14:textId="77777777" w:rsidR="00E91C7F" w:rsidRPr="00591E16" w:rsidRDefault="00E91C7F" w:rsidP="00E91C7F">
      <w:pPr>
        <w:rPr>
          <w:rFonts w:ascii="Times New Roman" w:hAnsi="Times New Roman" w:cs="Times New Roman"/>
        </w:rPr>
      </w:pPr>
      <w:r w:rsidRPr="00591E16">
        <w:rPr>
          <w:rFonts w:ascii="Times New Roman" w:hAnsi="Times New Roman" w:cs="Times New Roman"/>
          <w:b/>
        </w:rPr>
        <w:t>Firm</w:t>
      </w:r>
      <w:r w:rsidRPr="00591E16">
        <w:rPr>
          <w:rFonts w:ascii="Times New Roman" w:hAnsi="Times New Roman" w:cs="Times New Roman"/>
          <w:b/>
        </w:rPr>
        <w:tab/>
      </w:r>
      <w:r w:rsidRPr="00591E16">
        <w:rPr>
          <w:rFonts w:ascii="Times New Roman" w:hAnsi="Times New Roman" w:cs="Times New Roman"/>
        </w:rPr>
        <w:tab/>
      </w:r>
      <w:r w:rsidRPr="00591E16">
        <w:rPr>
          <w:rFonts w:ascii="Times New Roman" w:hAnsi="Times New Roman" w:cs="Times New Roman"/>
        </w:rPr>
        <w:tab/>
      </w:r>
      <w:r w:rsidRPr="00591E16">
        <w:rPr>
          <w:rFonts w:ascii="Times New Roman" w:hAnsi="Times New Roman" w:cs="Times New Roman"/>
        </w:rPr>
        <w:tab/>
      </w:r>
      <w:r w:rsidRPr="00591E16">
        <w:rPr>
          <w:rFonts w:ascii="Times New Roman" w:hAnsi="Times New Roman" w:cs="Times New Roman"/>
        </w:rPr>
        <w:tab/>
      </w:r>
      <w:r w:rsidRPr="00591E16">
        <w:rPr>
          <w:rFonts w:ascii="Times New Roman" w:hAnsi="Times New Roman" w:cs="Times New Roman"/>
        </w:rPr>
        <w:tab/>
      </w:r>
      <w:r w:rsidRPr="00591E16">
        <w:rPr>
          <w:rFonts w:ascii="Times New Roman" w:hAnsi="Times New Roman" w:cs="Times New Roman"/>
        </w:rPr>
        <w:tab/>
      </w:r>
      <w:r w:rsidRPr="00591E16">
        <w:rPr>
          <w:rFonts w:ascii="Times New Roman" w:hAnsi="Times New Roman" w:cs="Times New Roman"/>
          <w:b/>
        </w:rPr>
        <w:t>Terms</w:t>
      </w:r>
    </w:p>
    <w:p w14:paraId="3475B96E" w14:textId="62403B01" w:rsidR="00E91C7F" w:rsidRPr="00591E16" w:rsidRDefault="00E91C7F" w:rsidP="00E91C7F">
      <w:pPr>
        <w:pStyle w:val="NoSpacing"/>
        <w:rPr>
          <w:rFonts w:ascii="Times New Roman" w:hAnsi="Times New Roman"/>
        </w:rPr>
      </w:pPr>
      <w:r w:rsidRPr="00591E16">
        <w:rPr>
          <w:rFonts w:ascii="Times New Roman" w:hAnsi="Times New Roman"/>
          <w:u w:val="single"/>
        </w:rPr>
        <w:t xml:space="preserve">Private </w:t>
      </w:r>
      <w:r w:rsidR="00C35665">
        <w:rPr>
          <w:rFonts w:ascii="Times New Roman" w:hAnsi="Times New Roman"/>
          <w:u w:val="single"/>
        </w:rPr>
        <w:t>Equity</w:t>
      </w:r>
      <w:r w:rsidRPr="00591E16">
        <w:rPr>
          <w:rFonts w:ascii="Times New Roman" w:hAnsi="Times New Roman"/>
          <w:u w:val="single"/>
        </w:rPr>
        <w:t xml:space="preserve"> (continued)</w:t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  <w:u w:val="single"/>
        </w:rPr>
        <w:t>Management Fee</w:t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  <w:u w:val="single"/>
        </w:rPr>
        <w:t>Carried Interest</w:t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</w:r>
    </w:p>
    <w:p w14:paraId="2357772C" w14:textId="77777777" w:rsidR="00E91C7F" w:rsidRPr="00591E16" w:rsidRDefault="00E91C7F" w:rsidP="00E91C7F">
      <w:pPr>
        <w:pStyle w:val="NoSpacing"/>
        <w:ind w:hanging="630"/>
        <w:rPr>
          <w:rFonts w:ascii="Times New Roman" w:hAnsi="Times New Roman"/>
        </w:rPr>
      </w:pP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</w:r>
    </w:p>
    <w:p w14:paraId="6D838E07" w14:textId="77777777" w:rsidR="00E91C7F" w:rsidRPr="00591E16" w:rsidRDefault="00E91C7F" w:rsidP="00E91C7F">
      <w:pPr>
        <w:pStyle w:val="NoSpacing"/>
        <w:rPr>
          <w:rFonts w:ascii="Times New Roman" w:hAnsi="Times New Roman"/>
        </w:rPr>
      </w:pPr>
      <w:r w:rsidRPr="00591E16">
        <w:rPr>
          <w:rFonts w:ascii="Times New Roman" w:hAnsi="Times New Roman"/>
        </w:rPr>
        <w:t>Clearlake Capital Partners IV</w:t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  <w:t>2.0%</w:t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  <w:t xml:space="preserve">     </w:t>
      </w:r>
      <w:r w:rsidRPr="00591E16">
        <w:rPr>
          <w:rFonts w:ascii="Times New Roman" w:hAnsi="Times New Roman"/>
        </w:rPr>
        <w:tab/>
        <w:t>20% (8% hurdle rate)</w:t>
      </w:r>
    </w:p>
    <w:p w14:paraId="6AEC817A" w14:textId="77777777" w:rsidR="00E91C7F" w:rsidRPr="00591E16" w:rsidRDefault="00E91C7F" w:rsidP="00E91C7F">
      <w:pPr>
        <w:pStyle w:val="NoSpacing"/>
        <w:ind w:right="-356" w:hanging="630"/>
        <w:rPr>
          <w:rFonts w:ascii="Times New Roman" w:hAnsi="Times New Roman"/>
        </w:rPr>
      </w:pPr>
    </w:p>
    <w:p w14:paraId="0E30048F" w14:textId="77777777" w:rsidR="00E91C7F" w:rsidRPr="00591E16" w:rsidRDefault="00E91C7F" w:rsidP="00E91C7F">
      <w:pPr>
        <w:pStyle w:val="NoSpacing"/>
        <w:rPr>
          <w:rFonts w:ascii="Times New Roman" w:hAnsi="Times New Roman"/>
        </w:rPr>
      </w:pPr>
      <w:r w:rsidRPr="00591E16">
        <w:rPr>
          <w:rFonts w:ascii="Times New Roman" w:hAnsi="Times New Roman"/>
        </w:rPr>
        <w:t xml:space="preserve">Clearlake Opportunities Fund </w:t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  <w:t>1.75%</w:t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  <w:t xml:space="preserve">20% (8% hurdle rate) </w:t>
      </w:r>
    </w:p>
    <w:p w14:paraId="632B9054" w14:textId="77777777" w:rsidR="00E91C7F" w:rsidRPr="00591E16" w:rsidRDefault="00E91C7F" w:rsidP="00E91C7F">
      <w:pPr>
        <w:pStyle w:val="NoSpacing"/>
        <w:ind w:hanging="630"/>
        <w:rPr>
          <w:rFonts w:ascii="Times New Roman" w:hAnsi="Times New Roman"/>
        </w:rPr>
      </w:pPr>
    </w:p>
    <w:p w14:paraId="194CD111" w14:textId="77777777" w:rsidR="00E91C7F" w:rsidRPr="00591E16" w:rsidRDefault="00E91C7F" w:rsidP="00E91C7F">
      <w:pPr>
        <w:pStyle w:val="NoSpacing"/>
        <w:rPr>
          <w:rFonts w:ascii="Times New Roman" w:hAnsi="Times New Roman"/>
        </w:rPr>
      </w:pPr>
      <w:r w:rsidRPr="00591E16">
        <w:rPr>
          <w:rFonts w:ascii="Times New Roman" w:hAnsi="Times New Roman"/>
        </w:rPr>
        <w:t>Clearlake Capital Partners V</w:t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  <w:t>1.75%</w:t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  <w:t>20% (8% hurdle rate)</w:t>
      </w:r>
    </w:p>
    <w:p w14:paraId="32FD37E4" w14:textId="77777777" w:rsidR="00E91C7F" w:rsidRPr="00591E16" w:rsidRDefault="00E91C7F" w:rsidP="00E91C7F">
      <w:pPr>
        <w:pStyle w:val="NoSpacing"/>
        <w:ind w:hanging="630"/>
        <w:rPr>
          <w:rFonts w:ascii="Times New Roman" w:hAnsi="Times New Roman"/>
        </w:rPr>
      </w:pPr>
    </w:p>
    <w:p w14:paraId="375600F1" w14:textId="6A3DDD9F" w:rsidR="00E91C7F" w:rsidRDefault="00E91C7F" w:rsidP="00E91C7F">
      <w:pPr>
        <w:pStyle w:val="NoSpacing"/>
        <w:rPr>
          <w:rFonts w:ascii="Times New Roman" w:hAnsi="Times New Roman"/>
        </w:rPr>
      </w:pPr>
      <w:r w:rsidRPr="00591E16">
        <w:rPr>
          <w:rFonts w:ascii="Times New Roman" w:hAnsi="Times New Roman"/>
        </w:rPr>
        <w:t>Clearlake Capital Partners VI</w:t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  <w:t>1.75%                                          20% (8% hurdle rate)</w:t>
      </w:r>
    </w:p>
    <w:p w14:paraId="626C1AF0" w14:textId="685264E4" w:rsidR="00E13DB8" w:rsidRDefault="00E13DB8" w:rsidP="00E91C7F">
      <w:pPr>
        <w:pStyle w:val="NoSpacing"/>
        <w:rPr>
          <w:rFonts w:ascii="Times New Roman" w:hAnsi="Times New Roman"/>
        </w:rPr>
      </w:pPr>
    </w:p>
    <w:p w14:paraId="3BF57AC3" w14:textId="5BE84F3E" w:rsidR="00E13DB8" w:rsidRPr="00591E16" w:rsidRDefault="00E13DB8" w:rsidP="00E91C7F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Clearlake Capital Partners VII</w:t>
      </w:r>
      <w:r w:rsidR="00130A9B">
        <w:rPr>
          <w:rFonts w:ascii="Times New Roman" w:hAnsi="Times New Roman"/>
        </w:rPr>
        <w:tab/>
      </w:r>
      <w:r w:rsidR="00130A9B">
        <w:rPr>
          <w:rFonts w:ascii="Times New Roman" w:hAnsi="Times New Roman"/>
        </w:rPr>
        <w:tab/>
      </w:r>
      <w:r w:rsidR="00130A9B">
        <w:rPr>
          <w:rFonts w:ascii="Times New Roman" w:hAnsi="Times New Roman"/>
        </w:rPr>
        <w:tab/>
      </w:r>
      <w:r w:rsidR="00130A9B">
        <w:rPr>
          <w:rFonts w:ascii="Times New Roman" w:hAnsi="Times New Roman"/>
        </w:rPr>
        <w:tab/>
        <w:t>1.70%</w:t>
      </w:r>
      <w:r w:rsidR="00130A9B">
        <w:rPr>
          <w:rFonts w:ascii="Times New Roman" w:hAnsi="Times New Roman"/>
        </w:rPr>
        <w:tab/>
      </w:r>
      <w:r w:rsidR="00130A9B">
        <w:rPr>
          <w:rFonts w:ascii="Times New Roman" w:hAnsi="Times New Roman"/>
        </w:rPr>
        <w:tab/>
      </w:r>
      <w:r w:rsidR="00130A9B">
        <w:rPr>
          <w:rFonts w:ascii="Times New Roman" w:hAnsi="Times New Roman"/>
        </w:rPr>
        <w:tab/>
      </w:r>
      <w:r w:rsidR="00130A9B">
        <w:rPr>
          <w:rFonts w:ascii="Times New Roman" w:hAnsi="Times New Roman"/>
        </w:rPr>
        <w:tab/>
      </w:r>
      <w:r w:rsidR="00130A9B" w:rsidRPr="00591E16">
        <w:rPr>
          <w:rFonts w:ascii="Times New Roman" w:hAnsi="Times New Roman"/>
        </w:rPr>
        <w:t>20% (8% hurdle rate)</w:t>
      </w:r>
    </w:p>
    <w:p w14:paraId="436AED97" w14:textId="7829956A" w:rsidR="003460C3" w:rsidRPr="00591E16" w:rsidRDefault="003460C3" w:rsidP="00E91C7F">
      <w:pPr>
        <w:pStyle w:val="NoSpacing"/>
        <w:rPr>
          <w:rFonts w:ascii="Times New Roman" w:hAnsi="Times New Roman"/>
        </w:rPr>
      </w:pPr>
    </w:p>
    <w:p w14:paraId="6E56025C" w14:textId="04A60AE8" w:rsidR="003460C3" w:rsidRPr="00591E16" w:rsidRDefault="003460C3" w:rsidP="00E91C7F">
      <w:pPr>
        <w:pStyle w:val="NoSpacing"/>
        <w:rPr>
          <w:rFonts w:ascii="Times New Roman" w:hAnsi="Times New Roman"/>
        </w:rPr>
      </w:pPr>
      <w:r w:rsidRPr="00591E16">
        <w:rPr>
          <w:rFonts w:ascii="Times New Roman" w:hAnsi="Times New Roman"/>
        </w:rPr>
        <w:t>Clearlake Flagship Plus</w:t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  <w:t>1.25%</w:t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  <w:t>20% (8% hurdle rate)</w:t>
      </w:r>
    </w:p>
    <w:p w14:paraId="796EF297" w14:textId="77777777" w:rsidR="00E91C7F" w:rsidRPr="00591E16" w:rsidRDefault="00E91C7F" w:rsidP="00E91C7F">
      <w:pPr>
        <w:pStyle w:val="NoSpacing"/>
        <w:ind w:hanging="630"/>
        <w:rPr>
          <w:rFonts w:ascii="Times New Roman" w:hAnsi="Times New Roman"/>
        </w:rPr>
      </w:pPr>
    </w:p>
    <w:p w14:paraId="305D9147" w14:textId="54360B6F" w:rsidR="00E91C7F" w:rsidRPr="00591E16" w:rsidRDefault="00E91C7F" w:rsidP="00E91C7F">
      <w:pPr>
        <w:pStyle w:val="NoSpacing"/>
        <w:rPr>
          <w:rFonts w:ascii="Times New Roman" w:hAnsi="Times New Roman"/>
        </w:rPr>
      </w:pPr>
      <w:r w:rsidRPr="00591E16">
        <w:rPr>
          <w:rFonts w:ascii="Times New Roman" w:hAnsi="Times New Roman"/>
        </w:rPr>
        <w:t>Clearlake I</w:t>
      </w:r>
      <w:r w:rsidR="00E13DB8">
        <w:rPr>
          <w:rFonts w:ascii="Times New Roman" w:hAnsi="Times New Roman"/>
        </w:rPr>
        <w:t>con</w:t>
      </w:r>
      <w:r w:rsidRPr="00591E16">
        <w:rPr>
          <w:rFonts w:ascii="Times New Roman" w:hAnsi="Times New Roman"/>
        </w:rPr>
        <w:tab/>
        <w:t xml:space="preserve"> </w:t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  <w:t>1.0%</w:t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  <w:t>20% (8% hurdle rate)</w:t>
      </w:r>
    </w:p>
    <w:p w14:paraId="2FB015DE" w14:textId="77777777" w:rsidR="00E91C7F" w:rsidRPr="00591E16" w:rsidRDefault="00E91C7F" w:rsidP="009216DC">
      <w:pPr>
        <w:pStyle w:val="NoSpacing"/>
        <w:rPr>
          <w:rFonts w:ascii="Times New Roman" w:hAnsi="Times New Roman"/>
        </w:rPr>
      </w:pPr>
    </w:p>
    <w:p w14:paraId="016527C8" w14:textId="0DB9E3FB" w:rsidR="00C35665" w:rsidRPr="003207A5" w:rsidRDefault="00C35665" w:rsidP="00C35665">
      <w:pPr>
        <w:pStyle w:val="NoSpacing"/>
        <w:rPr>
          <w:rFonts w:ascii="Times New Roman" w:hAnsi="Times New Roman"/>
        </w:rPr>
      </w:pPr>
      <w:r w:rsidRPr="003207A5">
        <w:rPr>
          <w:rFonts w:ascii="Times New Roman" w:hAnsi="Times New Roman"/>
        </w:rPr>
        <w:t>Clearlake I</w:t>
      </w:r>
      <w:r w:rsidR="00E13DB8">
        <w:rPr>
          <w:rFonts w:ascii="Times New Roman" w:hAnsi="Times New Roman"/>
        </w:rPr>
        <w:t>con</w:t>
      </w:r>
      <w:r w:rsidRPr="003207A5">
        <w:rPr>
          <w:rFonts w:ascii="Times New Roman" w:hAnsi="Times New Roman"/>
        </w:rPr>
        <w:t xml:space="preserve"> II</w:t>
      </w:r>
      <w:r w:rsidRPr="003207A5">
        <w:rPr>
          <w:rFonts w:ascii="Times New Roman" w:hAnsi="Times New Roman"/>
        </w:rPr>
        <w:tab/>
      </w:r>
      <w:r w:rsidRPr="003207A5">
        <w:rPr>
          <w:rFonts w:ascii="Times New Roman" w:hAnsi="Times New Roman"/>
        </w:rPr>
        <w:tab/>
      </w:r>
      <w:r w:rsidRPr="003207A5">
        <w:rPr>
          <w:rFonts w:ascii="Times New Roman" w:hAnsi="Times New Roman"/>
        </w:rPr>
        <w:tab/>
      </w:r>
      <w:r w:rsidRPr="003207A5">
        <w:rPr>
          <w:rFonts w:ascii="Times New Roman" w:hAnsi="Times New Roman"/>
        </w:rPr>
        <w:tab/>
      </w:r>
      <w:r w:rsidRPr="003207A5">
        <w:rPr>
          <w:rFonts w:ascii="Times New Roman" w:hAnsi="Times New Roman"/>
        </w:rPr>
        <w:tab/>
        <w:t>1.0%</w:t>
      </w:r>
      <w:r w:rsidRPr="003207A5">
        <w:rPr>
          <w:rFonts w:ascii="Times New Roman" w:hAnsi="Times New Roman"/>
        </w:rPr>
        <w:tab/>
      </w:r>
      <w:r w:rsidRPr="003207A5">
        <w:rPr>
          <w:rFonts w:ascii="Times New Roman" w:hAnsi="Times New Roman"/>
        </w:rPr>
        <w:tab/>
      </w:r>
      <w:r w:rsidRPr="003207A5">
        <w:rPr>
          <w:rFonts w:ascii="Times New Roman" w:hAnsi="Times New Roman"/>
        </w:rPr>
        <w:tab/>
      </w:r>
      <w:r w:rsidRPr="003207A5">
        <w:rPr>
          <w:rFonts w:ascii="Times New Roman" w:hAnsi="Times New Roman"/>
        </w:rPr>
        <w:tab/>
        <w:t>15%-25% step up</w:t>
      </w:r>
    </w:p>
    <w:p w14:paraId="20B3DB55" w14:textId="20052FB5" w:rsidR="00C35665" w:rsidRPr="003207A5" w:rsidRDefault="00C35665" w:rsidP="00C35665">
      <w:pPr>
        <w:pStyle w:val="NoSpacing"/>
        <w:ind w:hanging="630"/>
        <w:rPr>
          <w:rFonts w:ascii="Times New Roman" w:hAnsi="Times New Roman"/>
        </w:rPr>
      </w:pPr>
      <w:r w:rsidRPr="003207A5">
        <w:rPr>
          <w:rFonts w:ascii="Times New Roman" w:hAnsi="Times New Roman"/>
        </w:rPr>
        <w:tab/>
      </w:r>
      <w:r w:rsidRPr="003207A5">
        <w:rPr>
          <w:rFonts w:ascii="Times New Roman" w:hAnsi="Times New Roman"/>
        </w:rPr>
        <w:tab/>
      </w:r>
      <w:r w:rsidRPr="003207A5">
        <w:rPr>
          <w:rFonts w:ascii="Times New Roman" w:hAnsi="Times New Roman"/>
        </w:rPr>
        <w:tab/>
      </w:r>
      <w:r w:rsidRPr="003207A5">
        <w:rPr>
          <w:rFonts w:ascii="Times New Roman" w:hAnsi="Times New Roman"/>
        </w:rPr>
        <w:tab/>
      </w:r>
      <w:r w:rsidRPr="003207A5">
        <w:rPr>
          <w:rFonts w:ascii="Times New Roman" w:hAnsi="Times New Roman"/>
        </w:rPr>
        <w:tab/>
      </w:r>
      <w:r w:rsidRPr="003207A5">
        <w:rPr>
          <w:rFonts w:ascii="Times New Roman" w:hAnsi="Times New Roman"/>
        </w:rPr>
        <w:tab/>
      </w:r>
      <w:r w:rsidRPr="003207A5">
        <w:rPr>
          <w:rFonts w:ascii="Times New Roman" w:hAnsi="Times New Roman"/>
        </w:rPr>
        <w:tab/>
      </w:r>
      <w:r w:rsidRPr="003207A5">
        <w:rPr>
          <w:rFonts w:ascii="Times New Roman" w:hAnsi="Times New Roman"/>
        </w:rPr>
        <w:tab/>
      </w:r>
      <w:r w:rsidRPr="003207A5">
        <w:rPr>
          <w:rFonts w:ascii="Times New Roman" w:hAnsi="Times New Roman"/>
        </w:rPr>
        <w:tab/>
      </w:r>
      <w:r w:rsidRPr="003207A5">
        <w:rPr>
          <w:rFonts w:ascii="Times New Roman" w:hAnsi="Times New Roman"/>
        </w:rPr>
        <w:tab/>
      </w:r>
      <w:r w:rsidRPr="003207A5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3207A5">
        <w:rPr>
          <w:rFonts w:ascii="Times New Roman" w:hAnsi="Times New Roman"/>
        </w:rPr>
        <w:t>(8% hurdle rate)</w:t>
      </w:r>
    </w:p>
    <w:p w14:paraId="2EF1FDC9" w14:textId="77777777" w:rsidR="00C35665" w:rsidRPr="003207A5" w:rsidRDefault="00C35665" w:rsidP="00C35665">
      <w:pPr>
        <w:pStyle w:val="NoSpacing"/>
        <w:ind w:hanging="630"/>
        <w:rPr>
          <w:rFonts w:ascii="Times New Roman" w:hAnsi="Times New Roman"/>
        </w:rPr>
      </w:pPr>
    </w:p>
    <w:p w14:paraId="14A1C5F3" w14:textId="38A77448" w:rsidR="00C35665" w:rsidRPr="003207A5" w:rsidRDefault="00C35665" w:rsidP="00C35665">
      <w:pPr>
        <w:pStyle w:val="NoSpacing"/>
        <w:rPr>
          <w:rFonts w:ascii="Times New Roman" w:hAnsi="Times New Roman"/>
        </w:rPr>
      </w:pPr>
      <w:r w:rsidRPr="003207A5">
        <w:rPr>
          <w:rFonts w:ascii="Times New Roman" w:hAnsi="Times New Roman"/>
        </w:rPr>
        <w:t>Clearlake I</w:t>
      </w:r>
      <w:r w:rsidR="00E13DB8">
        <w:rPr>
          <w:rFonts w:ascii="Times New Roman" w:hAnsi="Times New Roman"/>
        </w:rPr>
        <w:t>con</w:t>
      </w:r>
      <w:r w:rsidRPr="003207A5">
        <w:rPr>
          <w:rFonts w:ascii="Times New Roman" w:hAnsi="Times New Roman"/>
        </w:rPr>
        <w:t xml:space="preserve"> IV</w:t>
      </w:r>
      <w:r w:rsidRPr="003207A5">
        <w:rPr>
          <w:rFonts w:ascii="Times New Roman" w:hAnsi="Times New Roman"/>
        </w:rPr>
        <w:tab/>
      </w:r>
      <w:r w:rsidRPr="003207A5">
        <w:rPr>
          <w:rFonts w:ascii="Times New Roman" w:hAnsi="Times New Roman"/>
        </w:rPr>
        <w:tab/>
      </w:r>
      <w:r w:rsidRPr="003207A5">
        <w:rPr>
          <w:rFonts w:ascii="Times New Roman" w:hAnsi="Times New Roman"/>
        </w:rPr>
        <w:tab/>
      </w:r>
      <w:r w:rsidRPr="003207A5">
        <w:rPr>
          <w:rFonts w:ascii="Times New Roman" w:hAnsi="Times New Roman"/>
        </w:rPr>
        <w:tab/>
      </w:r>
      <w:r w:rsidRPr="003207A5">
        <w:rPr>
          <w:rFonts w:ascii="Times New Roman" w:hAnsi="Times New Roman"/>
        </w:rPr>
        <w:tab/>
        <w:t>1.0%</w:t>
      </w:r>
      <w:r w:rsidRPr="003207A5">
        <w:rPr>
          <w:rFonts w:ascii="Times New Roman" w:hAnsi="Times New Roman"/>
        </w:rPr>
        <w:tab/>
      </w:r>
      <w:r w:rsidRPr="003207A5">
        <w:rPr>
          <w:rFonts w:ascii="Times New Roman" w:hAnsi="Times New Roman"/>
        </w:rPr>
        <w:tab/>
      </w:r>
      <w:r w:rsidRPr="003207A5">
        <w:rPr>
          <w:rFonts w:ascii="Times New Roman" w:hAnsi="Times New Roman"/>
        </w:rPr>
        <w:tab/>
      </w:r>
      <w:r w:rsidRPr="003207A5">
        <w:rPr>
          <w:rFonts w:ascii="Times New Roman" w:hAnsi="Times New Roman"/>
        </w:rPr>
        <w:tab/>
        <w:t>15%-25% step up</w:t>
      </w:r>
    </w:p>
    <w:p w14:paraId="1D33C6C5" w14:textId="6D44D8D7" w:rsidR="00C35665" w:rsidRDefault="00C35665" w:rsidP="00C35665">
      <w:pPr>
        <w:pStyle w:val="NoSpacing"/>
        <w:ind w:hanging="630"/>
        <w:rPr>
          <w:rFonts w:ascii="Times New Roman" w:hAnsi="Times New Roman"/>
        </w:rPr>
      </w:pPr>
      <w:r w:rsidRPr="003207A5">
        <w:rPr>
          <w:rFonts w:ascii="Times New Roman" w:hAnsi="Times New Roman"/>
        </w:rPr>
        <w:tab/>
      </w:r>
      <w:r w:rsidRPr="003207A5">
        <w:rPr>
          <w:rFonts w:ascii="Times New Roman" w:hAnsi="Times New Roman"/>
        </w:rPr>
        <w:tab/>
      </w:r>
      <w:r w:rsidRPr="003207A5">
        <w:rPr>
          <w:rFonts w:ascii="Times New Roman" w:hAnsi="Times New Roman"/>
        </w:rPr>
        <w:tab/>
      </w:r>
      <w:r w:rsidRPr="003207A5">
        <w:rPr>
          <w:rFonts w:ascii="Times New Roman" w:hAnsi="Times New Roman"/>
        </w:rPr>
        <w:tab/>
      </w:r>
      <w:r w:rsidRPr="003207A5">
        <w:rPr>
          <w:rFonts w:ascii="Times New Roman" w:hAnsi="Times New Roman"/>
        </w:rPr>
        <w:tab/>
      </w:r>
      <w:r w:rsidRPr="003207A5">
        <w:rPr>
          <w:rFonts w:ascii="Times New Roman" w:hAnsi="Times New Roman"/>
        </w:rPr>
        <w:tab/>
      </w:r>
      <w:r w:rsidRPr="003207A5">
        <w:rPr>
          <w:rFonts w:ascii="Times New Roman" w:hAnsi="Times New Roman"/>
        </w:rPr>
        <w:tab/>
      </w:r>
      <w:r w:rsidRPr="003207A5">
        <w:rPr>
          <w:rFonts w:ascii="Times New Roman" w:hAnsi="Times New Roman"/>
        </w:rPr>
        <w:tab/>
      </w:r>
      <w:r w:rsidRPr="003207A5">
        <w:rPr>
          <w:rFonts w:ascii="Times New Roman" w:hAnsi="Times New Roman"/>
        </w:rPr>
        <w:tab/>
      </w:r>
      <w:r w:rsidRPr="003207A5">
        <w:rPr>
          <w:rFonts w:ascii="Times New Roman" w:hAnsi="Times New Roman"/>
        </w:rPr>
        <w:tab/>
      </w:r>
      <w:r w:rsidRPr="003207A5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3207A5">
        <w:rPr>
          <w:rFonts w:ascii="Times New Roman" w:hAnsi="Times New Roman"/>
        </w:rPr>
        <w:t>(8% hurdle rate)</w:t>
      </w:r>
    </w:p>
    <w:p w14:paraId="6A44C78F" w14:textId="7B0F922A" w:rsidR="00E91C7F" w:rsidRPr="00591E16" w:rsidRDefault="00E91C7F" w:rsidP="00C35665">
      <w:pPr>
        <w:pStyle w:val="NoSpacing"/>
        <w:rPr>
          <w:rFonts w:ascii="Times New Roman" w:hAnsi="Times New Roman"/>
        </w:rPr>
      </w:pPr>
    </w:p>
    <w:p w14:paraId="6BA8BBEC" w14:textId="77777777" w:rsidR="00E91C7F" w:rsidRPr="00591E16" w:rsidRDefault="00E91C7F" w:rsidP="00E91C7F">
      <w:pPr>
        <w:pStyle w:val="NoSpacing"/>
        <w:rPr>
          <w:rFonts w:ascii="Times New Roman" w:hAnsi="Times New Roman"/>
        </w:rPr>
      </w:pPr>
      <w:r w:rsidRPr="00591E16">
        <w:rPr>
          <w:rFonts w:ascii="Times New Roman" w:hAnsi="Times New Roman"/>
        </w:rPr>
        <w:t>Centana Growth Partners II</w:t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  <w:t>2.5% with scale down</w:t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  <w:t>20% (8% hurdle rate)</w:t>
      </w:r>
    </w:p>
    <w:p w14:paraId="433E3A0E" w14:textId="1063FFE7" w:rsidR="00E91C7F" w:rsidRPr="00591E16" w:rsidRDefault="00E91C7F" w:rsidP="00E91C7F">
      <w:pPr>
        <w:pStyle w:val="NoSpacing"/>
        <w:ind w:hanging="630"/>
        <w:rPr>
          <w:rFonts w:ascii="Times New Roman" w:hAnsi="Times New Roman"/>
        </w:rPr>
      </w:pP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  <w:t>to 2.0% after 5</w:t>
      </w:r>
      <w:r w:rsidRPr="00591E16">
        <w:rPr>
          <w:rFonts w:ascii="Times New Roman" w:hAnsi="Times New Roman"/>
          <w:vertAlign w:val="superscript"/>
        </w:rPr>
        <w:t>th</w:t>
      </w:r>
      <w:r w:rsidRPr="00591E16">
        <w:rPr>
          <w:rFonts w:ascii="Times New Roman" w:hAnsi="Times New Roman"/>
        </w:rPr>
        <w:t xml:space="preserve"> year</w:t>
      </w:r>
      <w:r w:rsidRPr="00591E16">
        <w:rPr>
          <w:rFonts w:ascii="Times New Roman" w:hAnsi="Times New Roman"/>
        </w:rPr>
        <w:tab/>
      </w:r>
    </w:p>
    <w:p w14:paraId="290DBE3B" w14:textId="77777777" w:rsidR="00BC37DD" w:rsidRDefault="00BC37DD" w:rsidP="00BC37DD">
      <w:pPr>
        <w:pStyle w:val="NoSpacing"/>
        <w:rPr>
          <w:rFonts w:ascii="Times New Roman" w:hAnsi="Times New Roman"/>
        </w:rPr>
      </w:pPr>
    </w:p>
    <w:p w14:paraId="2B77B315" w14:textId="4EA308A2" w:rsidR="00E91C7F" w:rsidRDefault="00BC37DD" w:rsidP="00BC37DD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Edgewater Capital Partners IV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2.0%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25% of hurdle rate </w:t>
      </w:r>
      <w:r w:rsidR="003E53A6">
        <w:rPr>
          <w:rFonts w:ascii="Times New Roman" w:hAnsi="Times New Roman"/>
        </w:rPr>
        <w:t xml:space="preserve">(8%) </w:t>
      </w:r>
      <w:r>
        <w:rPr>
          <w:rFonts w:ascii="Times New Roman" w:hAnsi="Times New Roman"/>
        </w:rPr>
        <w:t xml:space="preserve">then </w:t>
      </w:r>
    </w:p>
    <w:p w14:paraId="3B0CEA61" w14:textId="1695C115" w:rsidR="00BC37DD" w:rsidRDefault="00BC37DD" w:rsidP="00BC37DD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3E53A6">
        <w:rPr>
          <w:rFonts w:ascii="Times New Roman" w:hAnsi="Times New Roman"/>
        </w:rPr>
        <w:t xml:space="preserve">20% </w:t>
      </w:r>
      <w:r>
        <w:rPr>
          <w:rFonts w:ascii="Times New Roman" w:hAnsi="Times New Roman"/>
        </w:rPr>
        <w:t>thereafter</w:t>
      </w:r>
    </w:p>
    <w:p w14:paraId="1A47C1EC" w14:textId="77777777" w:rsidR="00BC37DD" w:rsidRPr="00591E16" w:rsidRDefault="00BC37DD" w:rsidP="009155DE">
      <w:pPr>
        <w:pStyle w:val="NoSpacing"/>
        <w:rPr>
          <w:rFonts w:ascii="Times New Roman" w:hAnsi="Times New Roman"/>
        </w:rPr>
      </w:pPr>
    </w:p>
    <w:p w14:paraId="2A1DFDDA" w14:textId="79983B52" w:rsidR="00E91C7F" w:rsidRPr="00591E16" w:rsidRDefault="00E91C7F" w:rsidP="00E91C7F">
      <w:pPr>
        <w:pStyle w:val="NoSpacing"/>
        <w:rPr>
          <w:rFonts w:ascii="Times New Roman" w:hAnsi="Times New Roman"/>
        </w:rPr>
      </w:pPr>
      <w:r w:rsidRPr="00591E16">
        <w:rPr>
          <w:rFonts w:ascii="Times New Roman" w:hAnsi="Times New Roman"/>
        </w:rPr>
        <w:t>Illinois Ventures IETF III</w:t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  <w:t>2.5%</w:t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  <w:t>20%</w:t>
      </w:r>
    </w:p>
    <w:p w14:paraId="5BA06A23" w14:textId="77777777" w:rsidR="00E91C7F" w:rsidRPr="00591E16" w:rsidRDefault="00E91C7F" w:rsidP="00E91C7F">
      <w:pPr>
        <w:pStyle w:val="NoSpacing"/>
        <w:ind w:hanging="630"/>
        <w:rPr>
          <w:rFonts w:ascii="Times New Roman" w:hAnsi="Times New Roman"/>
        </w:rPr>
      </w:pPr>
    </w:p>
    <w:p w14:paraId="4C1B37F0" w14:textId="77F15974" w:rsidR="00BC37DD" w:rsidRDefault="00BC37DD" w:rsidP="00E91C7F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Main Post Growth Capital III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2.0%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20% (8% hurdle rate)</w:t>
      </w:r>
    </w:p>
    <w:p w14:paraId="1F8EFA46" w14:textId="77777777" w:rsidR="00BC37DD" w:rsidRDefault="00BC37DD" w:rsidP="00E91C7F">
      <w:pPr>
        <w:pStyle w:val="NoSpacing"/>
        <w:rPr>
          <w:rFonts w:ascii="Times New Roman" w:hAnsi="Times New Roman"/>
        </w:rPr>
      </w:pPr>
    </w:p>
    <w:p w14:paraId="3414A7AB" w14:textId="4B3DDE89" w:rsidR="00E91C7F" w:rsidRPr="00591E16" w:rsidRDefault="00E91C7F" w:rsidP="00E91C7F">
      <w:pPr>
        <w:pStyle w:val="NoSpacing"/>
        <w:rPr>
          <w:rFonts w:ascii="Times New Roman" w:hAnsi="Times New Roman"/>
        </w:rPr>
      </w:pPr>
      <w:r w:rsidRPr="00591E16">
        <w:rPr>
          <w:rFonts w:ascii="Times New Roman" w:hAnsi="Times New Roman"/>
        </w:rPr>
        <w:t>Oaktree Opportunities Fund X</w:t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  <w:t>1.6%</w:t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  <w:t>20% (8% hurdle rate)</w:t>
      </w:r>
    </w:p>
    <w:p w14:paraId="177114A1" w14:textId="77777777" w:rsidR="00E91C7F" w:rsidRPr="00591E16" w:rsidRDefault="00E91C7F" w:rsidP="00E91C7F">
      <w:pPr>
        <w:pStyle w:val="NoSpacing"/>
        <w:ind w:hanging="630"/>
        <w:rPr>
          <w:rFonts w:ascii="Times New Roman" w:hAnsi="Times New Roman"/>
        </w:rPr>
      </w:pPr>
    </w:p>
    <w:p w14:paraId="68311F3B" w14:textId="77777777" w:rsidR="00E91C7F" w:rsidRPr="00591E16" w:rsidRDefault="00E91C7F" w:rsidP="00E91C7F">
      <w:pPr>
        <w:pStyle w:val="NoSpacing"/>
        <w:rPr>
          <w:rFonts w:ascii="Times New Roman" w:hAnsi="Times New Roman"/>
        </w:rPr>
      </w:pPr>
      <w:r w:rsidRPr="00591E16">
        <w:rPr>
          <w:rFonts w:ascii="Times New Roman" w:hAnsi="Times New Roman"/>
        </w:rPr>
        <w:t>Oaktree Opportunities Fund X(b)</w:t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  <w:t>1.6%</w:t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  <w:t>20% (8% hurdle rate)</w:t>
      </w:r>
    </w:p>
    <w:p w14:paraId="3F8803DC" w14:textId="77777777" w:rsidR="00E91C7F" w:rsidRPr="00591E16" w:rsidRDefault="00E91C7F" w:rsidP="00E91C7F">
      <w:pPr>
        <w:pStyle w:val="NoSpacing"/>
        <w:ind w:hanging="630"/>
        <w:rPr>
          <w:rFonts w:ascii="Times New Roman" w:hAnsi="Times New Roman"/>
        </w:rPr>
      </w:pPr>
    </w:p>
    <w:p w14:paraId="165EDB25" w14:textId="77777777" w:rsidR="00E91C7F" w:rsidRPr="00591E16" w:rsidRDefault="00E91C7F" w:rsidP="00E91C7F">
      <w:pPr>
        <w:pStyle w:val="NoSpacing"/>
        <w:rPr>
          <w:rFonts w:ascii="Times New Roman" w:hAnsi="Times New Roman"/>
        </w:rPr>
      </w:pPr>
      <w:r w:rsidRPr="00591E16">
        <w:rPr>
          <w:rFonts w:ascii="Times New Roman" w:hAnsi="Times New Roman"/>
        </w:rPr>
        <w:t>ParkerGale Capital II, L.P.</w:t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  <w:t>2.0%</w:t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  <w:t>20% (8% hurdle rate)</w:t>
      </w:r>
    </w:p>
    <w:p w14:paraId="4A772A65" w14:textId="77777777" w:rsidR="00E91C7F" w:rsidRDefault="00E91C7F" w:rsidP="00C35665">
      <w:pPr>
        <w:pStyle w:val="NoSpacing"/>
        <w:rPr>
          <w:rFonts w:ascii="Times New Roman" w:hAnsi="Times New Roman"/>
        </w:rPr>
      </w:pPr>
    </w:p>
    <w:p w14:paraId="3770D8E9" w14:textId="0BD23EC1" w:rsidR="00BC37DD" w:rsidRDefault="00BC37DD" w:rsidP="00C35665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Pfingsten Partners VI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2.0%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>20% (8% hurdle rate)</w:t>
      </w:r>
    </w:p>
    <w:p w14:paraId="0F44B979" w14:textId="77777777" w:rsidR="00BC37DD" w:rsidRPr="00591E16" w:rsidRDefault="00BC37DD" w:rsidP="00C35665">
      <w:pPr>
        <w:pStyle w:val="NoSpacing"/>
        <w:rPr>
          <w:rFonts w:ascii="Times New Roman" w:hAnsi="Times New Roman"/>
        </w:rPr>
      </w:pPr>
    </w:p>
    <w:p w14:paraId="58A24DBD" w14:textId="7A34F2EF" w:rsidR="00E91C7F" w:rsidRDefault="00E91C7F" w:rsidP="00E91C7F">
      <w:pPr>
        <w:pStyle w:val="NoSpacing"/>
        <w:rPr>
          <w:rFonts w:ascii="Times New Roman" w:hAnsi="Times New Roman"/>
        </w:rPr>
      </w:pPr>
      <w:r w:rsidRPr="00591E16">
        <w:rPr>
          <w:rFonts w:ascii="Times New Roman" w:hAnsi="Times New Roman"/>
        </w:rPr>
        <w:t>Varsity Healthcare III</w:t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  <w:t>2.0%</w:t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  <w:t>20% (8% hurdle rate)</w:t>
      </w:r>
    </w:p>
    <w:p w14:paraId="5C58ACDD" w14:textId="50EC85CE" w:rsidR="00130A9B" w:rsidRDefault="00130A9B" w:rsidP="00E91C7F">
      <w:pPr>
        <w:pStyle w:val="NoSpacing"/>
        <w:rPr>
          <w:rFonts w:ascii="Times New Roman" w:hAnsi="Times New Roman"/>
        </w:rPr>
      </w:pPr>
    </w:p>
    <w:p w14:paraId="045E87E9" w14:textId="579EFDE2" w:rsidR="00130A9B" w:rsidRDefault="00130A9B" w:rsidP="00130A9B">
      <w:pPr>
        <w:pStyle w:val="NoSpacing"/>
        <w:rPr>
          <w:rFonts w:ascii="Times New Roman" w:hAnsi="Times New Roman"/>
        </w:rPr>
      </w:pPr>
      <w:r w:rsidRPr="00591E16">
        <w:rPr>
          <w:rFonts w:ascii="Times New Roman" w:hAnsi="Times New Roman"/>
        </w:rPr>
        <w:t>Varsity Healthcare I</w:t>
      </w:r>
      <w:r>
        <w:rPr>
          <w:rFonts w:ascii="Times New Roman" w:hAnsi="Times New Roman"/>
        </w:rPr>
        <w:t>V</w:t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  <w:t>2.0%</w:t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  <w:t>20% (8% hurdle rate)</w:t>
      </w:r>
    </w:p>
    <w:p w14:paraId="699B74AF" w14:textId="77777777" w:rsidR="00BC37DD" w:rsidRPr="00591E16" w:rsidRDefault="00BC37DD" w:rsidP="007E0481">
      <w:pPr>
        <w:pStyle w:val="Heading1"/>
      </w:pPr>
      <w:r w:rsidRPr="00591E16">
        <w:t>University of Illinois System</w:t>
      </w:r>
    </w:p>
    <w:p w14:paraId="0BD85696" w14:textId="77777777" w:rsidR="00BC37DD" w:rsidRPr="00591E16" w:rsidRDefault="00BC37DD" w:rsidP="007E0481">
      <w:pPr>
        <w:pStyle w:val="Heading1"/>
      </w:pPr>
      <w:r w:rsidRPr="00591E16">
        <w:lastRenderedPageBreak/>
        <w:t>Investment Fee Schedule – Alternative Investments</w:t>
      </w:r>
    </w:p>
    <w:p w14:paraId="3445AEB7" w14:textId="6A9D2CEE" w:rsidR="009E3F82" w:rsidRDefault="009E3F82" w:rsidP="007E0481">
      <w:pPr>
        <w:pStyle w:val="Heading1"/>
      </w:pPr>
    </w:p>
    <w:p w14:paraId="3C872074" w14:textId="77777777" w:rsidR="00BC37DD" w:rsidRDefault="00BC37DD" w:rsidP="00C35665">
      <w:pPr>
        <w:pStyle w:val="NoSpacing"/>
        <w:rPr>
          <w:rFonts w:ascii="Times New Roman" w:hAnsi="Times New Roman"/>
          <w:b/>
        </w:rPr>
      </w:pPr>
      <w:r w:rsidRPr="00591E16">
        <w:rPr>
          <w:rFonts w:ascii="Times New Roman" w:hAnsi="Times New Roman"/>
          <w:b/>
        </w:rPr>
        <w:t>Firm</w:t>
      </w:r>
      <w:r w:rsidRPr="00591E16">
        <w:rPr>
          <w:rFonts w:ascii="Times New Roman" w:hAnsi="Times New Roman"/>
          <w:b/>
        </w:rPr>
        <w:tab/>
      </w:r>
      <w:r w:rsidRPr="00591E16">
        <w:rPr>
          <w:rFonts w:ascii="Times New Roman" w:hAnsi="Times New Roman"/>
          <w:b/>
        </w:rPr>
        <w:tab/>
      </w:r>
      <w:r w:rsidRPr="00591E16">
        <w:rPr>
          <w:rFonts w:ascii="Times New Roman" w:hAnsi="Times New Roman"/>
          <w:b/>
        </w:rPr>
        <w:tab/>
      </w:r>
      <w:r w:rsidRPr="00591E16">
        <w:rPr>
          <w:rFonts w:ascii="Times New Roman" w:hAnsi="Times New Roman"/>
          <w:b/>
        </w:rPr>
        <w:tab/>
      </w:r>
      <w:r w:rsidRPr="00591E16">
        <w:rPr>
          <w:rFonts w:ascii="Times New Roman" w:hAnsi="Times New Roman"/>
          <w:b/>
        </w:rPr>
        <w:tab/>
      </w:r>
      <w:r w:rsidRPr="00591E16">
        <w:rPr>
          <w:rFonts w:ascii="Times New Roman" w:hAnsi="Times New Roman"/>
          <w:b/>
        </w:rPr>
        <w:tab/>
      </w:r>
      <w:r w:rsidRPr="00591E16">
        <w:rPr>
          <w:rFonts w:ascii="Times New Roman" w:hAnsi="Times New Roman"/>
          <w:b/>
        </w:rPr>
        <w:tab/>
        <w:t>Terms</w:t>
      </w:r>
      <w:r w:rsidRPr="00591E16">
        <w:rPr>
          <w:rFonts w:ascii="Times New Roman" w:hAnsi="Times New Roman"/>
          <w:b/>
        </w:rPr>
        <w:tab/>
      </w:r>
      <w:r w:rsidRPr="00591E16">
        <w:rPr>
          <w:rFonts w:ascii="Times New Roman" w:hAnsi="Times New Roman"/>
          <w:b/>
        </w:rPr>
        <w:tab/>
      </w:r>
    </w:p>
    <w:p w14:paraId="38CC4B99" w14:textId="77777777" w:rsidR="00BC37DD" w:rsidRDefault="00BC37DD" w:rsidP="00BC37DD">
      <w:pPr>
        <w:pStyle w:val="NoSpacing"/>
        <w:rPr>
          <w:rFonts w:ascii="Times New Roman" w:hAnsi="Times New Roman"/>
          <w:u w:val="single"/>
        </w:rPr>
      </w:pPr>
    </w:p>
    <w:p w14:paraId="3C4327AD" w14:textId="7755FCB3" w:rsidR="00BC37DD" w:rsidRPr="00591E16" w:rsidRDefault="00BC37DD" w:rsidP="00BC37DD">
      <w:pPr>
        <w:pStyle w:val="NoSpacing"/>
        <w:rPr>
          <w:rFonts w:ascii="Times New Roman" w:hAnsi="Times New Roman"/>
        </w:rPr>
      </w:pPr>
      <w:r w:rsidRPr="00591E16">
        <w:rPr>
          <w:rFonts w:ascii="Times New Roman" w:hAnsi="Times New Roman"/>
          <w:u w:val="single"/>
        </w:rPr>
        <w:t xml:space="preserve">Private </w:t>
      </w:r>
      <w:r>
        <w:rPr>
          <w:rFonts w:ascii="Times New Roman" w:hAnsi="Times New Roman"/>
          <w:u w:val="single"/>
        </w:rPr>
        <w:t>Equity</w:t>
      </w:r>
      <w:r w:rsidRPr="00591E16">
        <w:rPr>
          <w:rFonts w:ascii="Times New Roman" w:hAnsi="Times New Roman"/>
          <w:u w:val="single"/>
        </w:rPr>
        <w:t xml:space="preserve"> (continued)</w:t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  <w:u w:val="single"/>
        </w:rPr>
        <w:t>Management Fee</w:t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  <w:u w:val="single"/>
        </w:rPr>
        <w:t>Carried Interest</w:t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</w:r>
    </w:p>
    <w:p w14:paraId="1F312AC9" w14:textId="77777777" w:rsidR="00BC37DD" w:rsidRDefault="00BC37DD" w:rsidP="00C35665">
      <w:pPr>
        <w:pStyle w:val="NoSpacing"/>
        <w:rPr>
          <w:rFonts w:ascii="Times New Roman" w:hAnsi="Times New Roman"/>
          <w:b/>
        </w:rPr>
      </w:pPr>
    </w:p>
    <w:p w14:paraId="480A9865" w14:textId="523B004B" w:rsidR="00C35665" w:rsidRPr="00591E16" w:rsidRDefault="00E13DB8" w:rsidP="00C35665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FEG Select </w:t>
      </w:r>
      <w:r w:rsidR="00C35665" w:rsidRPr="00591E16">
        <w:rPr>
          <w:rFonts w:ascii="Times New Roman" w:hAnsi="Times New Roman"/>
        </w:rPr>
        <w:t>Tiger Global Private</w:t>
      </w:r>
      <w:r w:rsidR="00C35665" w:rsidRPr="00591E16">
        <w:rPr>
          <w:rFonts w:ascii="Times New Roman" w:hAnsi="Times New Roman"/>
        </w:rPr>
        <w:tab/>
      </w:r>
      <w:r w:rsidR="00C35665" w:rsidRPr="00591E16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C35665" w:rsidRPr="00591E16">
        <w:rPr>
          <w:rFonts w:ascii="Times New Roman" w:hAnsi="Times New Roman"/>
        </w:rPr>
        <w:t>2.0% (0.07% average</w:t>
      </w:r>
      <w:r w:rsidR="00C35665" w:rsidRPr="00591E16">
        <w:rPr>
          <w:rFonts w:ascii="Times New Roman" w:hAnsi="Times New Roman"/>
        </w:rPr>
        <w:tab/>
      </w:r>
      <w:r w:rsidR="00C35665" w:rsidRPr="00591E16">
        <w:rPr>
          <w:rFonts w:ascii="Times New Roman" w:hAnsi="Times New Roman"/>
        </w:rPr>
        <w:tab/>
        <w:t>20-25% step up</w:t>
      </w:r>
    </w:p>
    <w:p w14:paraId="59853979" w14:textId="617EE5DE" w:rsidR="00C35665" w:rsidRPr="00591E16" w:rsidRDefault="00E13DB8" w:rsidP="00C35665">
      <w:pPr>
        <w:pStyle w:val="NoSpacing"/>
        <w:rPr>
          <w:rFonts w:ascii="Times New Roman" w:hAnsi="Times New Roman"/>
        </w:rPr>
      </w:pPr>
      <w:r w:rsidRPr="00591E16">
        <w:rPr>
          <w:rFonts w:ascii="Times New Roman" w:hAnsi="Times New Roman"/>
        </w:rPr>
        <w:t>Investment Partners XIV</w:t>
      </w:r>
      <w:r w:rsidR="00C35665" w:rsidRPr="00591E16">
        <w:rPr>
          <w:rFonts w:ascii="Times New Roman" w:hAnsi="Times New Roman"/>
        </w:rPr>
        <w:tab/>
      </w:r>
      <w:r w:rsidR="00C35665" w:rsidRPr="00591E16">
        <w:rPr>
          <w:rFonts w:ascii="Times New Roman" w:hAnsi="Times New Roman"/>
        </w:rPr>
        <w:tab/>
      </w:r>
      <w:r w:rsidR="00C35665" w:rsidRPr="00591E16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C35665" w:rsidRPr="00591E16">
        <w:rPr>
          <w:rFonts w:ascii="Times New Roman" w:hAnsi="Times New Roman"/>
        </w:rPr>
        <w:t>FEG Select fee)</w:t>
      </w:r>
    </w:p>
    <w:p w14:paraId="3E8FA6E3" w14:textId="77777777" w:rsidR="009E3F82" w:rsidRPr="00591E16" w:rsidRDefault="009E3F82" w:rsidP="007E0481">
      <w:pPr>
        <w:pStyle w:val="Heading1"/>
      </w:pPr>
    </w:p>
    <w:p w14:paraId="578F002E" w14:textId="2E54331E" w:rsidR="00BC37DD" w:rsidRPr="00BC37DD" w:rsidRDefault="00BC37DD" w:rsidP="00BC37DD">
      <w:pPr>
        <w:pStyle w:val="NoSpacing"/>
        <w:rPr>
          <w:rFonts w:ascii="Times New Roman" w:hAnsi="Times New Roman"/>
          <w:b/>
        </w:rPr>
      </w:pPr>
      <w:r w:rsidRPr="00591E16">
        <w:rPr>
          <w:rFonts w:ascii="Times New Roman" w:hAnsi="Times New Roman"/>
          <w:u w:val="single"/>
        </w:rPr>
        <w:t xml:space="preserve">Private </w:t>
      </w:r>
      <w:r>
        <w:rPr>
          <w:rFonts w:ascii="Times New Roman" w:hAnsi="Times New Roman"/>
          <w:u w:val="single"/>
        </w:rPr>
        <w:t>Fixed Income</w:t>
      </w:r>
      <w:r w:rsidRPr="00C35665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</w:r>
    </w:p>
    <w:p w14:paraId="2406B99B" w14:textId="77777777" w:rsidR="00BC37DD" w:rsidRPr="00591E16" w:rsidRDefault="00BC37DD" w:rsidP="00BC37DD">
      <w:pPr>
        <w:pStyle w:val="NoSpacing"/>
        <w:rPr>
          <w:rFonts w:ascii="Times New Roman" w:hAnsi="Times New Roman"/>
        </w:rPr>
      </w:pPr>
    </w:p>
    <w:p w14:paraId="310B416E" w14:textId="77777777" w:rsidR="00BC37DD" w:rsidRPr="00591E16" w:rsidRDefault="00BC37DD" w:rsidP="00BC37DD">
      <w:pPr>
        <w:pStyle w:val="NoSpacing"/>
        <w:rPr>
          <w:rFonts w:ascii="Times New Roman" w:hAnsi="Times New Roman"/>
        </w:rPr>
      </w:pPr>
      <w:r w:rsidRPr="00591E16">
        <w:rPr>
          <w:rFonts w:ascii="Times New Roman" w:hAnsi="Times New Roman"/>
        </w:rPr>
        <w:t xml:space="preserve">Oaktree </w:t>
      </w:r>
      <w:r>
        <w:rPr>
          <w:rFonts w:ascii="Times New Roman" w:hAnsi="Times New Roman"/>
        </w:rPr>
        <w:t xml:space="preserve">Opportunities </w:t>
      </w:r>
      <w:r w:rsidRPr="00591E16">
        <w:rPr>
          <w:rFonts w:ascii="Times New Roman" w:hAnsi="Times New Roman"/>
        </w:rPr>
        <w:t>X</w:t>
      </w:r>
      <w:r>
        <w:rPr>
          <w:rFonts w:ascii="Times New Roman" w:hAnsi="Times New Roman"/>
        </w:rPr>
        <w:t>I</w:t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  <w:t>1.44%</w:t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  <w:t>20% (8% hurdle rate)</w:t>
      </w:r>
    </w:p>
    <w:p w14:paraId="17D9F5CD" w14:textId="77777777" w:rsidR="00BC37DD" w:rsidRDefault="00BC37DD" w:rsidP="00BC37DD">
      <w:pPr>
        <w:pStyle w:val="NoSpacing"/>
        <w:rPr>
          <w:rFonts w:ascii="Times New Roman" w:hAnsi="Times New Roman"/>
          <w:u w:val="single"/>
        </w:rPr>
      </w:pPr>
    </w:p>
    <w:p w14:paraId="1FB76EF9" w14:textId="77777777" w:rsidR="00BC37DD" w:rsidRDefault="00BC37DD" w:rsidP="00BC37DD">
      <w:pPr>
        <w:pStyle w:val="NoSpacing"/>
        <w:rPr>
          <w:rFonts w:ascii="Times New Roman" w:hAnsi="Times New Roman"/>
        </w:rPr>
      </w:pPr>
      <w:r w:rsidRPr="00591E16">
        <w:rPr>
          <w:rFonts w:ascii="Times New Roman" w:hAnsi="Times New Roman"/>
        </w:rPr>
        <w:t>Merit Mezzanine Fund VI</w:t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  <w:t>1.75%</w:t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  <w:t>20% (8% hurdle rate)</w:t>
      </w:r>
    </w:p>
    <w:p w14:paraId="5B291475" w14:textId="77777777" w:rsidR="00BC37DD" w:rsidRDefault="00BC37DD" w:rsidP="00BC37DD">
      <w:pPr>
        <w:pStyle w:val="NoSpacing"/>
        <w:rPr>
          <w:rFonts w:ascii="Times New Roman" w:hAnsi="Times New Roman"/>
        </w:rPr>
      </w:pPr>
    </w:p>
    <w:p w14:paraId="5202A9B7" w14:textId="77777777" w:rsidR="00BC37DD" w:rsidRDefault="00BC37DD" w:rsidP="00BC37DD">
      <w:pPr>
        <w:pStyle w:val="NoSpacing"/>
        <w:rPr>
          <w:rFonts w:ascii="Times New Roman" w:hAnsi="Times New Roman"/>
        </w:rPr>
      </w:pPr>
      <w:r w:rsidRPr="00591E16">
        <w:rPr>
          <w:rFonts w:ascii="Times New Roman" w:hAnsi="Times New Roman"/>
        </w:rPr>
        <w:t xml:space="preserve">Merit </w:t>
      </w:r>
      <w:r>
        <w:rPr>
          <w:rFonts w:ascii="Times New Roman" w:hAnsi="Times New Roman"/>
        </w:rPr>
        <w:t>Capital</w:t>
      </w:r>
      <w:r w:rsidRPr="00591E16">
        <w:rPr>
          <w:rFonts w:ascii="Times New Roman" w:hAnsi="Times New Roman"/>
        </w:rPr>
        <w:t xml:space="preserve"> Fund VI</w:t>
      </w:r>
      <w:r>
        <w:rPr>
          <w:rFonts w:ascii="Times New Roman" w:hAnsi="Times New Roman"/>
        </w:rPr>
        <w:t xml:space="preserve">I    </w:t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  <w:t>1.75%</w:t>
      </w:r>
      <w:r>
        <w:rPr>
          <w:rFonts w:ascii="Times New Roman" w:hAnsi="Times New Roman"/>
        </w:rPr>
        <w:t xml:space="preserve"> during investment</w:t>
      </w:r>
      <w:r w:rsidRPr="00591E16">
        <w:rPr>
          <w:rFonts w:ascii="Times New Roman" w:hAnsi="Times New Roman"/>
        </w:rPr>
        <w:tab/>
        <w:t>20% (8% hurdle rate)</w:t>
      </w:r>
    </w:p>
    <w:p w14:paraId="4B35A9D2" w14:textId="77777777" w:rsidR="00BC37DD" w:rsidRDefault="00BC37DD" w:rsidP="00BC37DD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Period, 1.50% thereafter</w:t>
      </w:r>
    </w:p>
    <w:p w14:paraId="64C0BD0C" w14:textId="77777777" w:rsidR="00BC37DD" w:rsidRDefault="00BC37DD" w:rsidP="00BC37DD">
      <w:pPr>
        <w:pStyle w:val="NoSpacing"/>
        <w:rPr>
          <w:rFonts w:ascii="Times New Roman" w:hAnsi="Times New Roman"/>
        </w:rPr>
      </w:pPr>
    </w:p>
    <w:p w14:paraId="51215471" w14:textId="77777777" w:rsidR="00BC37DD" w:rsidRPr="00591E16" w:rsidRDefault="00BC37DD" w:rsidP="00BC37DD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Antares Senior Loan Fund II</w:t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  <w:t>1.</w:t>
      </w:r>
      <w:r>
        <w:rPr>
          <w:rFonts w:ascii="Times New Roman" w:hAnsi="Times New Roman"/>
        </w:rPr>
        <w:t>0</w:t>
      </w:r>
      <w:r w:rsidRPr="00591E16">
        <w:rPr>
          <w:rFonts w:ascii="Times New Roman" w:hAnsi="Times New Roman"/>
        </w:rPr>
        <w:t>%</w:t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</w:r>
      <w:r>
        <w:rPr>
          <w:rFonts w:ascii="Times New Roman" w:hAnsi="Times New Roman"/>
        </w:rPr>
        <w:t>1</w:t>
      </w:r>
      <w:r w:rsidRPr="00591E16">
        <w:rPr>
          <w:rFonts w:ascii="Times New Roman" w:hAnsi="Times New Roman"/>
        </w:rPr>
        <w:t>0% (</w:t>
      </w:r>
      <w:r>
        <w:rPr>
          <w:rFonts w:ascii="Times New Roman" w:hAnsi="Times New Roman"/>
        </w:rPr>
        <w:t>5</w:t>
      </w:r>
      <w:r w:rsidRPr="00591E16">
        <w:rPr>
          <w:rFonts w:ascii="Times New Roman" w:hAnsi="Times New Roman"/>
        </w:rPr>
        <w:t>% hurdle rate)</w:t>
      </w:r>
    </w:p>
    <w:p w14:paraId="6F87DFDC" w14:textId="77777777" w:rsidR="00BC37DD" w:rsidRDefault="00BC37DD" w:rsidP="00BC37DD">
      <w:pPr>
        <w:pStyle w:val="NoSpacing"/>
        <w:rPr>
          <w:rFonts w:ascii="Times New Roman" w:hAnsi="Times New Roman"/>
          <w:u w:val="single"/>
        </w:rPr>
      </w:pPr>
    </w:p>
    <w:p w14:paraId="4FCD743D" w14:textId="5B8CCC72" w:rsidR="00BC37DD" w:rsidRPr="00591E16" w:rsidRDefault="00BC37DD" w:rsidP="00BC37DD">
      <w:pPr>
        <w:pStyle w:val="NoSpacing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Diversifying Strategies</w:t>
      </w:r>
      <w:r w:rsidRPr="00BC37DD">
        <w:rPr>
          <w:rFonts w:ascii="Times New Roman" w:hAnsi="Times New Roman"/>
        </w:rPr>
        <w:tab/>
      </w:r>
      <w:r w:rsidRPr="00BC37DD">
        <w:rPr>
          <w:rFonts w:ascii="Times New Roman" w:hAnsi="Times New Roman"/>
        </w:rPr>
        <w:tab/>
      </w:r>
      <w:r w:rsidRPr="00BC37DD">
        <w:rPr>
          <w:rFonts w:ascii="Times New Roman" w:hAnsi="Times New Roman"/>
        </w:rPr>
        <w:tab/>
      </w:r>
      <w:r w:rsidRPr="00BC37DD">
        <w:rPr>
          <w:rFonts w:ascii="Times New Roman" w:hAnsi="Times New Roman"/>
        </w:rPr>
        <w:tab/>
      </w:r>
      <w:r w:rsidRPr="00BC37DD">
        <w:rPr>
          <w:rFonts w:ascii="Times New Roman" w:hAnsi="Times New Roman"/>
        </w:rPr>
        <w:tab/>
      </w:r>
    </w:p>
    <w:p w14:paraId="17F12DD7" w14:textId="77777777" w:rsidR="00BC37DD" w:rsidRPr="00591E16" w:rsidRDefault="00BC37DD" w:rsidP="00BC37DD">
      <w:pPr>
        <w:pStyle w:val="NoSpacing"/>
        <w:ind w:hanging="630"/>
        <w:rPr>
          <w:rFonts w:ascii="Times New Roman" w:hAnsi="Times New Roman"/>
        </w:rPr>
      </w:pPr>
    </w:p>
    <w:p w14:paraId="1A78573E" w14:textId="72EC01D9" w:rsidR="00BC37DD" w:rsidRPr="00591E16" w:rsidRDefault="00BC37DD" w:rsidP="00BC37DD">
      <w:pPr>
        <w:pStyle w:val="NoSpacing"/>
        <w:rPr>
          <w:rFonts w:ascii="Times New Roman" w:hAnsi="Times New Roman"/>
        </w:rPr>
      </w:pPr>
      <w:r w:rsidRPr="00591E16">
        <w:rPr>
          <w:rFonts w:ascii="Times New Roman" w:hAnsi="Times New Roman"/>
        </w:rPr>
        <w:t>Davidson Kempner International</w:t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  <w:t>1.5%</w:t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  <w:t xml:space="preserve">20% </w:t>
      </w:r>
      <w:r w:rsidR="003E53A6">
        <w:rPr>
          <w:rFonts w:ascii="Times New Roman" w:hAnsi="Times New Roman"/>
        </w:rPr>
        <w:t>with high water mark</w:t>
      </w:r>
    </w:p>
    <w:p w14:paraId="15B7999A" w14:textId="77777777" w:rsidR="00BC37DD" w:rsidRPr="00591E16" w:rsidRDefault="00BC37DD" w:rsidP="00BC37DD">
      <w:pPr>
        <w:pStyle w:val="NoSpacing"/>
        <w:ind w:hanging="630"/>
        <w:rPr>
          <w:rFonts w:ascii="Times New Roman" w:hAnsi="Times New Roman"/>
        </w:rPr>
      </w:pPr>
    </w:p>
    <w:p w14:paraId="3F8C65A3" w14:textId="265CF5DC" w:rsidR="00BC37DD" w:rsidRDefault="00BC37DD" w:rsidP="005B5CEA">
      <w:pPr>
        <w:pStyle w:val="NoSpacing"/>
        <w:ind w:left="2160" w:hanging="2160"/>
        <w:rPr>
          <w:rFonts w:ascii="Times New Roman" w:hAnsi="Times New Roman"/>
        </w:rPr>
      </w:pPr>
      <w:r w:rsidRPr="00591E16">
        <w:rPr>
          <w:rFonts w:ascii="Times New Roman" w:hAnsi="Times New Roman"/>
        </w:rPr>
        <w:t>Elliott International</w:t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  <w:t>1.5%</w:t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  <w:t>20%</w:t>
      </w:r>
      <w:r w:rsidR="005B5CEA">
        <w:rPr>
          <w:rFonts w:ascii="Times New Roman" w:hAnsi="Times New Roman"/>
        </w:rPr>
        <w:t xml:space="preserve"> reduced by half until      </w:t>
      </w:r>
    </w:p>
    <w:p w14:paraId="4D0995B1" w14:textId="054BDCD5" w:rsidR="005B5CEA" w:rsidRDefault="005B5CEA" w:rsidP="005B5CEA">
      <w:pPr>
        <w:pStyle w:val="NoSpacing"/>
        <w:ind w:left="2160" w:hanging="216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200% of any loss </w:t>
      </w:r>
    </w:p>
    <w:p w14:paraId="6554A1F0" w14:textId="46AD36C8" w:rsidR="005B5CEA" w:rsidRDefault="005B5CEA" w:rsidP="005B5CEA">
      <w:pPr>
        <w:pStyle w:val="NoSpacing"/>
        <w:ind w:left="2160" w:hanging="216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carryforward has been </w:t>
      </w:r>
    </w:p>
    <w:p w14:paraId="6984F1E5" w14:textId="1E7E2DB6" w:rsidR="005B5CEA" w:rsidRPr="00591E16" w:rsidRDefault="005B5CEA" w:rsidP="005B5CEA">
      <w:pPr>
        <w:pStyle w:val="NoSpacing"/>
        <w:ind w:left="2160" w:hanging="216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recouped</w:t>
      </w:r>
    </w:p>
    <w:p w14:paraId="0823FD01" w14:textId="77777777" w:rsidR="00BC37DD" w:rsidRPr="00591E16" w:rsidRDefault="00BC37DD" w:rsidP="00BC37DD">
      <w:pPr>
        <w:pStyle w:val="NoSpacing"/>
        <w:rPr>
          <w:rFonts w:ascii="Times New Roman" w:hAnsi="Times New Roman"/>
        </w:rPr>
      </w:pPr>
    </w:p>
    <w:p w14:paraId="67ADBA38" w14:textId="77777777" w:rsidR="00BC37DD" w:rsidRPr="00591E16" w:rsidRDefault="00BC37DD" w:rsidP="00BC37DD">
      <w:pPr>
        <w:pStyle w:val="NoSpacing"/>
        <w:rPr>
          <w:rFonts w:ascii="Times New Roman" w:hAnsi="Times New Roman"/>
        </w:rPr>
      </w:pPr>
      <w:r w:rsidRPr="00591E16">
        <w:rPr>
          <w:rFonts w:ascii="Times New Roman" w:hAnsi="Times New Roman"/>
        </w:rPr>
        <w:t>Hudson Bay</w:t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  <w:t>2.0%</w:t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  <w:t>20% with high water mark</w:t>
      </w:r>
    </w:p>
    <w:p w14:paraId="0ECDF2A7" w14:textId="77777777" w:rsidR="00BC37DD" w:rsidRPr="00591E16" w:rsidRDefault="00BC37DD" w:rsidP="00BC37DD">
      <w:pPr>
        <w:pStyle w:val="NoSpacing"/>
        <w:ind w:hanging="630"/>
        <w:rPr>
          <w:rFonts w:ascii="Times New Roman" w:hAnsi="Times New Roman"/>
        </w:rPr>
      </w:pPr>
    </w:p>
    <w:p w14:paraId="0DE2B142" w14:textId="77777777" w:rsidR="00BC37DD" w:rsidRDefault="00BC37DD" w:rsidP="00BC37DD">
      <w:pPr>
        <w:pStyle w:val="NoSpacing"/>
        <w:rPr>
          <w:rFonts w:ascii="Times New Roman" w:hAnsi="Times New Roman"/>
        </w:rPr>
      </w:pPr>
      <w:r w:rsidRPr="00591E16">
        <w:rPr>
          <w:rFonts w:ascii="Times New Roman" w:hAnsi="Times New Roman"/>
        </w:rPr>
        <w:t>BlackRock Multi-Alternative Opportunities Fund</w:t>
      </w:r>
      <w:r w:rsidRPr="00591E16">
        <w:rPr>
          <w:rFonts w:ascii="Times New Roman" w:hAnsi="Times New Roman"/>
        </w:rPr>
        <w:tab/>
        <w:t>1.5%</w:t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  <w:t>20% (8% hurdle rate)</w:t>
      </w:r>
    </w:p>
    <w:p w14:paraId="4CB6FA7B" w14:textId="77777777" w:rsidR="00BC37DD" w:rsidRDefault="00BC37DD" w:rsidP="00BC37DD">
      <w:pPr>
        <w:pStyle w:val="NoSpacing"/>
        <w:rPr>
          <w:rFonts w:ascii="Times New Roman" w:hAnsi="Times New Roman"/>
        </w:rPr>
      </w:pPr>
    </w:p>
    <w:p w14:paraId="22B421CB" w14:textId="77777777" w:rsidR="00BC37DD" w:rsidRPr="00591E16" w:rsidRDefault="00BC37DD" w:rsidP="00BC37DD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BAM Atlas Enhanced Fund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1.75%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20% with high water mark</w:t>
      </w:r>
    </w:p>
    <w:p w14:paraId="0DAF85ED" w14:textId="77777777" w:rsidR="00BC37DD" w:rsidRDefault="00BC37DD" w:rsidP="00BC37DD">
      <w:pPr>
        <w:rPr>
          <w:rFonts w:ascii="Times New Roman" w:hAnsi="Times New Roman"/>
          <w:u w:val="single"/>
        </w:rPr>
      </w:pPr>
    </w:p>
    <w:p w14:paraId="4974725B" w14:textId="4AA3EC5D" w:rsidR="00BC37DD" w:rsidRPr="00FA584E" w:rsidRDefault="00BC37DD" w:rsidP="00BC37DD">
      <w:pPr>
        <w:rPr>
          <w:rFonts w:ascii="Times New Roman" w:eastAsia="Calibri" w:hAnsi="Times New Roman" w:cs="Times New Roman"/>
          <w:u w:val="single"/>
        </w:rPr>
      </w:pPr>
      <w:r w:rsidRPr="00591E16">
        <w:rPr>
          <w:rFonts w:ascii="Times New Roman" w:hAnsi="Times New Roman"/>
          <w:u w:val="single"/>
        </w:rPr>
        <w:t xml:space="preserve">Real </w:t>
      </w:r>
      <w:r>
        <w:rPr>
          <w:rFonts w:ascii="Times New Roman" w:hAnsi="Times New Roman"/>
          <w:u w:val="single"/>
        </w:rPr>
        <w:t>Assets</w:t>
      </w:r>
    </w:p>
    <w:p w14:paraId="1353DAFD" w14:textId="77777777" w:rsidR="00BC37DD" w:rsidRPr="00591E16" w:rsidRDefault="00BC37DD" w:rsidP="00BC37DD">
      <w:pPr>
        <w:pStyle w:val="NoSpacing"/>
        <w:rPr>
          <w:rFonts w:ascii="Times New Roman" w:hAnsi="Times New Roman"/>
        </w:rPr>
      </w:pPr>
      <w:r w:rsidRPr="00591E16">
        <w:rPr>
          <w:rFonts w:ascii="Times New Roman" w:hAnsi="Times New Roman"/>
        </w:rPr>
        <w:t>Heitman HART</w:t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  <w:t>1.1% - first $10 million</w:t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  <w:t>NA</w:t>
      </w:r>
    </w:p>
    <w:p w14:paraId="1304CBCB" w14:textId="77777777" w:rsidR="00BC37DD" w:rsidRPr="00591E16" w:rsidRDefault="00BC37DD" w:rsidP="00BC37DD">
      <w:pPr>
        <w:pStyle w:val="NoSpacing"/>
        <w:rPr>
          <w:rFonts w:ascii="Times New Roman" w:hAnsi="Times New Roman"/>
        </w:rPr>
      </w:pP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  <w:t>1.0% - next $15 million</w:t>
      </w:r>
    </w:p>
    <w:p w14:paraId="3A0AE0D8" w14:textId="77777777" w:rsidR="00BC37DD" w:rsidRPr="00591E16" w:rsidRDefault="00BC37DD" w:rsidP="00BC37DD">
      <w:pPr>
        <w:pStyle w:val="NoSpacing"/>
        <w:rPr>
          <w:rFonts w:ascii="Times New Roman" w:hAnsi="Times New Roman"/>
        </w:rPr>
      </w:pPr>
    </w:p>
    <w:p w14:paraId="4E609DDA" w14:textId="77777777" w:rsidR="00BC37DD" w:rsidRPr="00591E16" w:rsidRDefault="00BC37DD" w:rsidP="00BC37DD">
      <w:pPr>
        <w:pStyle w:val="NoSpacing"/>
        <w:ind w:left="-630" w:firstLine="630"/>
        <w:rPr>
          <w:rFonts w:ascii="Times New Roman" w:hAnsi="Times New Roman"/>
        </w:rPr>
      </w:pPr>
      <w:r w:rsidRPr="00591E16">
        <w:rPr>
          <w:rFonts w:ascii="Times New Roman" w:hAnsi="Times New Roman"/>
        </w:rPr>
        <w:t xml:space="preserve">Prudential PRISA </w:t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  <w:t>1.0% - first $10</w:t>
      </w:r>
      <w:r>
        <w:rPr>
          <w:rFonts w:ascii="Times New Roman" w:hAnsi="Times New Roman"/>
        </w:rPr>
        <w:t xml:space="preserve"> </w:t>
      </w:r>
      <w:r w:rsidRPr="00591E16">
        <w:rPr>
          <w:rFonts w:ascii="Times New Roman" w:hAnsi="Times New Roman"/>
        </w:rPr>
        <w:t>million</w:t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  <w:t xml:space="preserve">3% Operating Cash Flow </w:t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  <w:t>0.95% - $10M to $25M</w:t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  <w:t>0.10% Cash Balance</w:t>
      </w:r>
    </w:p>
    <w:p w14:paraId="6B9496CC" w14:textId="77777777" w:rsidR="00BC37DD" w:rsidRPr="00591E16" w:rsidRDefault="00BC37DD" w:rsidP="00BC37DD">
      <w:pPr>
        <w:pStyle w:val="NoSpacing"/>
        <w:ind w:left="-630"/>
        <w:rPr>
          <w:rFonts w:ascii="Times New Roman" w:hAnsi="Times New Roman"/>
        </w:rPr>
      </w:pP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  <w:t>(1.20% Maximum Annual Fee)</w:t>
      </w:r>
    </w:p>
    <w:p w14:paraId="3E6A11D0" w14:textId="77777777" w:rsidR="00BC37DD" w:rsidRPr="00591E16" w:rsidRDefault="00BC37DD" w:rsidP="00BC37DD">
      <w:pPr>
        <w:pStyle w:val="NoSpacing"/>
        <w:rPr>
          <w:rFonts w:ascii="Times New Roman" w:hAnsi="Times New Roman"/>
        </w:rPr>
      </w:pPr>
    </w:p>
    <w:p w14:paraId="063A1C3A" w14:textId="77777777" w:rsidR="00BC37DD" w:rsidRPr="00591E16" w:rsidRDefault="00BC37DD" w:rsidP="00BC37DD">
      <w:pPr>
        <w:pStyle w:val="NoSpacing"/>
        <w:ind w:left="-630" w:firstLine="630"/>
        <w:rPr>
          <w:rFonts w:ascii="Times New Roman" w:hAnsi="Times New Roman"/>
        </w:rPr>
      </w:pPr>
      <w:r w:rsidRPr="00591E16">
        <w:rPr>
          <w:rFonts w:ascii="Times New Roman" w:hAnsi="Times New Roman"/>
        </w:rPr>
        <w:t>Farallon Real Estate Partners III</w:t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  <w:t>1.5% (reduced by 15% of</w:t>
      </w:r>
      <w:r w:rsidRPr="00591E16">
        <w:rPr>
          <w:rFonts w:ascii="Times New Roman" w:hAnsi="Times New Roman"/>
        </w:rPr>
        <w:tab/>
        <w:t>20% (6% hurdle rate)</w:t>
      </w:r>
    </w:p>
    <w:p w14:paraId="7E59915E" w14:textId="77777777" w:rsidR="00BC37DD" w:rsidRPr="00591E16" w:rsidRDefault="00BC37DD" w:rsidP="00BC37DD">
      <w:pPr>
        <w:pStyle w:val="NoSpacing"/>
        <w:ind w:left="-630"/>
        <w:rPr>
          <w:rFonts w:ascii="Times New Roman" w:hAnsi="Times New Roman"/>
        </w:rPr>
      </w:pP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  <w:t>commitments for reserve)</w:t>
      </w:r>
      <w:r w:rsidRPr="00591E16">
        <w:rPr>
          <w:rFonts w:ascii="Times New Roman" w:hAnsi="Times New Roman"/>
        </w:rPr>
        <w:tab/>
      </w:r>
    </w:p>
    <w:p w14:paraId="4D2ABB1C" w14:textId="77777777" w:rsidR="00BC37DD" w:rsidRDefault="00BC37DD" w:rsidP="00BC37DD">
      <w:pPr>
        <w:rPr>
          <w:rStyle w:val="Hyperlink"/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</w:p>
    <w:p w14:paraId="6003639D" w14:textId="77777777" w:rsidR="00BC37DD" w:rsidRDefault="00BC37DD" w:rsidP="00BC37DD">
      <w:pPr>
        <w:pStyle w:val="NoSpacing"/>
        <w:ind w:left="-63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</w:p>
    <w:p w14:paraId="21C32BBE" w14:textId="77777777" w:rsidR="00BC37DD" w:rsidRDefault="00BC37DD" w:rsidP="00BC37DD">
      <w:pPr>
        <w:pStyle w:val="NoSpacing"/>
        <w:ind w:left="-630"/>
        <w:rPr>
          <w:rFonts w:ascii="Times New Roman" w:hAnsi="Times New Roman"/>
        </w:rPr>
      </w:pPr>
    </w:p>
    <w:p w14:paraId="29D4F3E7" w14:textId="77777777" w:rsidR="00BC37DD" w:rsidRPr="00591E16" w:rsidRDefault="00BC37DD" w:rsidP="007E0481">
      <w:pPr>
        <w:pStyle w:val="Heading1"/>
      </w:pPr>
      <w:r>
        <w:t xml:space="preserve">  </w:t>
      </w:r>
      <w:r>
        <w:tab/>
      </w:r>
      <w:r w:rsidRPr="00591E16">
        <w:t>University of Illinois System</w:t>
      </w:r>
    </w:p>
    <w:p w14:paraId="699DA91A" w14:textId="77777777" w:rsidR="00BC37DD" w:rsidRPr="00591E16" w:rsidRDefault="00BC37DD" w:rsidP="007E0481">
      <w:pPr>
        <w:pStyle w:val="Heading1"/>
      </w:pPr>
      <w:r w:rsidRPr="00591E16">
        <w:t>Investment Fee Schedule – Alternative Investments</w:t>
      </w:r>
    </w:p>
    <w:p w14:paraId="46ABD7F4" w14:textId="77777777" w:rsidR="00BC37DD" w:rsidRDefault="00BC37DD" w:rsidP="007E0481">
      <w:pPr>
        <w:pStyle w:val="Heading1"/>
      </w:pPr>
    </w:p>
    <w:p w14:paraId="498887E1" w14:textId="77777777" w:rsidR="00BC37DD" w:rsidRDefault="00BC37DD" w:rsidP="00BC37DD">
      <w:pPr>
        <w:pStyle w:val="NoSpacing"/>
        <w:rPr>
          <w:rFonts w:ascii="Times New Roman" w:hAnsi="Times New Roman"/>
          <w:b/>
        </w:rPr>
      </w:pPr>
      <w:r w:rsidRPr="00591E16">
        <w:rPr>
          <w:rFonts w:ascii="Times New Roman" w:hAnsi="Times New Roman"/>
          <w:b/>
        </w:rPr>
        <w:t>Firm</w:t>
      </w:r>
      <w:r w:rsidRPr="00591E16">
        <w:rPr>
          <w:rFonts w:ascii="Times New Roman" w:hAnsi="Times New Roman"/>
          <w:b/>
        </w:rPr>
        <w:tab/>
      </w:r>
      <w:r w:rsidRPr="00591E16">
        <w:rPr>
          <w:rFonts w:ascii="Times New Roman" w:hAnsi="Times New Roman"/>
          <w:b/>
        </w:rPr>
        <w:tab/>
      </w:r>
      <w:r w:rsidRPr="00591E16">
        <w:rPr>
          <w:rFonts w:ascii="Times New Roman" w:hAnsi="Times New Roman"/>
          <w:b/>
        </w:rPr>
        <w:tab/>
      </w:r>
      <w:r w:rsidRPr="00591E16">
        <w:rPr>
          <w:rFonts w:ascii="Times New Roman" w:hAnsi="Times New Roman"/>
          <w:b/>
        </w:rPr>
        <w:tab/>
      </w:r>
      <w:r w:rsidRPr="00591E16">
        <w:rPr>
          <w:rFonts w:ascii="Times New Roman" w:hAnsi="Times New Roman"/>
          <w:b/>
        </w:rPr>
        <w:tab/>
      </w:r>
      <w:r w:rsidRPr="00591E16">
        <w:rPr>
          <w:rFonts w:ascii="Times New Roman" w:hAnsi="Times New Roman"/>
          <w:b/>
        </w:rPr>
        <w:tab/>
      </w:r>
      <w:r w:rsidRPr="00591E16">
        <w:rPr>
          <w:rFonts w:ascii="Times New Roman" w:hAnsi="Times New Roman"/>
          <w:b/>
        </w:rPr>
        <w:tab/>
        <w:t>Terms</w:t>
      </w:r>
      <w:r w:rsidRPr="00591E16">
        <w:rPr>
          <w:rFonts w:ascii="Times New Roman" w:hAnsi="Times New Roman"/>
          <w:b/>
        </w:rPr>
        <w:tab/>
      </w:r>
      <w:r w:rsidRPr="00591E16">
        <w:rPr>
          <w:rFonts w:ascii="Times New Roman" w:hAnsi="Times New Roman"/>
          <w:b/>
        </w:rPr>
        <w:tab/>
      </w:r>
    </w:p>
    <w:p w14:paraId="15D18D38" w14:textId="77777777" w:rsidR="00BC37DD" w:rsidRDefault="00BC37DD" w:rsidP="00BC37DD">
      <w:pPr>
        <w:pStyle w:val="NoSpacing"/>
        <w:rPr>
          <w:rFonts w:ascii="Times New Roman" w:hAnsi="Times New Roman"/>
          <w:u w:val="single"/>
        </w:rPr>
      </w:pPr>
    </w:p>
    <w:p w14:paraId="1AA133A2" w14:textId="342838E2" w:rsidR="00BC37DD" w:rsidRPr="00591E16" w:rsidRDefault="00BC37DD" w:rsidP="00BC37DD">
      <w:pPr>
        <w:pStyle w:val="NoSpacing"/>
        <w:rPr>
          <w:rFonts w:ascii="Times New Roman" w:hAnsi="Times New Roman"/>
        </w:rPr>
      </w:pPr>
      <w:r w:rsidRPr="00591E16">
        <w:rPr>
          <w:rFonts w:ascii="Times New Roman" w:hAnsi="Times New Roman"/>
          <w:u w:val="single"/>
        </w:rPr>
        <w:t xml:space="preserve">Real </w:t>
      </w:r>
      <w:r>
        <w:rPr>
          <w:rFonts w:ascii="Times New Roman" w:hAnsi="Times New Roman"/>
          <w:u w:val="single"/>
        </w:rPr>
        <w:t>Assets (continued)</w:t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591E16">
        <w:rPr>
          <w:rFonts w:ascii="Times New Roman" w:hAnsi="Times New Roman"/>
          <w:u w:val="single"/>
        </w:rPr>
        <w:t>Management Fee</w:t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  <w:u w:val="single"/>
        </w:rPr>
        <w:t>Carried Interest</w:t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</w:r>
    </w:p>
    <w:p w14:paraId="35469EB3" w14:textId="77777777" w:rsidR="00BC37DD" w:rsidRDefault="00BC37DD" w:rsidP="00BC37DD">
      <w:pPr>
        <w:pStyle w:val="NoSpacing"/>
        <w:rPr>
          <w:rFonts w:ascii="Times New Roman" w:hAnsi="Times New Roman"/>
          <w:b/>
        </w:rPr>
      </w:pPr>
    </w:p>
    <w:p w14:paraId="028AE4A1" w14:textId="7D67DDB4" w:rsidR="005B5CEA" w:rsidRDefault="005B5CEA" w:rsidP="005B5CEA">
      <w:pPr>
        <w:pStyle w:val="NoSpacing"/>
        <w:ind w:left="-63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 xml:space="preserve">Farallon Real Estate </w:t>
      </w:r>
      <w:r w:rsidR="003E53A6">
        <w:rPr>
          <w:rFonts w:ascii="Times New Roman" w:hAnsi="Times New Roman"/>
        </w:rPr>
        <w:t>Partners</w:t>
      </w:r>
      <w:r>
        <w:rPr>
          <w:rFonts w:ascii="Times New Roman" w:hAnsi="Times New Roman"/>
        </w:rPr>
        <w:t xml:space="preserve"> IV</w:t>
      </w:r>
      <w:r>
        <w:rPr>
          <w:rFonts w:ascii="Times New Roman" w:hAnsi="Times New Roman"/>
        </w:rPr>
        <w:tab/>
      </w:r>
      <w:r w:rsidR="003E53A6">
        <w:rPr>
          <w:rFonts w:ascii="Times New Roman" w:hAnsi="Times New Roman"/>
        </w:rPr>
        <w:tab/>
      </w:r>
      <w:r w:rsidR="003E53A6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1.5% reduced by 15% of </w:t>
      </w:r>
      <w:r>
        <w:rPr>
          <w:rFonts w:ascii="Times New Roman" w:hAnsi="Times New Roman"/>
        </w:rPr>
        <w:tab/>
        <w:t>20% (6% hurdle rate)</w:t>
      </w:r>
    </w:p>
    <w:p w14:paraId="11415D2D" w14:textId="398DBCA7" w:rsidR="005B5CEA" w:rsidRDefault="005B5CEA" w:rsidP="005B5CEA">
      <w:pPr>
        <w:pStyle w:val="NoSpacing"/>
        <w:ind w:left="-63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commitments for reserve</w:t>
      </w:r>
    </w:p>
    <w:p w14:paraId="146D716F" w14:textId="77777777" w:rsidR="005B5CEA" w:rsidRDefault="00BC37DD" w:rsidP="00BC37DD">
      <w:pPr>
        <w:pStyle w:val="NoSpacing"/>
        <w:ind w:left="-63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</w:p>
    <w:p w14:paraId="1910779C" w14:textId="4860E046" w:rsidR="005B5CEA" w:rsidRDefault="005B5CEA" w:rsidP="00BC37DD">
      <w:pPr>
        <w:pStyle w:val="NoSpacing"/>
        <w:ind w:left="-630"/>
        <w:rPr>
          <w:rFonts w:ascii="Times New Roman" w:hAnsi="Times New Roman"/>
        </w:rPr>
      </w:pPr>
    </w:p>
    <w:p w14:paraId="7B58F3AA" w14:textId="71B1ADAE" w:rsidR="00BC37DD" w:rsidRPr="003207A5" w:rsidRDefault="005B5CEA" w:rsidP="00BC37DD">
      <w:pPr>
        <w:pStyle w:val="NoSpacing"/>
        <w:ind w:left="-63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 w:rsidR="00BC37DD">
        <w:rPr>
          <w:rFonts w:ascii="Times New Roman" w:hAnsi="Times New Roman"/>
        </w:rPr>
        <w:t>S</w:t>
      </w:r>
      <w:r w:rsidR="00BC37DD" w:rsidRPr="003207A5">
        <w:rPr>
          <w:rFonts w:ascii="Times New Roman" w:hAnsi="Times New Roman"/>
        </w:rPr>
        <w:t>ingerman Real Estate Opportunity Fund IV</w:t>
      </w:r>
      <w:r w:rsidR="00BC37DD" w:rsidRPr="003207A5">
        <w:rPr>
          <w:rFonts w:ascii="Times New Roman" w:hAnsi="Times New Roman"/>
        </w:rPr>
        <w:tab/>
      </w:r>
      <w:r w:rsidR="00BC37DD" w:rsidRPr="003207A5">
        <w:rPr>
          <w:rFonts w:ascii="Times New Roman" w:hAnsi="Times New Roman"/>
        </w:rPr>
        <w:tab/>
        <w:t>1.5% on commitments during</w:t>
      </w:r>
      <w:r w:rsidR="00BC37DD" w:rsidRPr="003207A5">
        <w:rPr>
          <w:rFonts w:ascii="Times New Roman" w:hAnsi="Times New Roman"/>
        </w:rPr>
        <w:tab/>
        <w:t>20% (8% hurdle rate)</w:t>
      </w:r>
    </w:p>
    <w:p w14:paraId="1E88C070" w14:textId="77777777" w:rsidR="00BC37DD" w:rsidRPr="003207A5" w:rsidRDefault="00BC37DD" w:rsidP="00BC37DD">
      <w:pPr>
        <w:pStyle w:val="NoSpacing"/>
        <w:ind w:left="-630"/>
        <w:rPr>
          <w:rFonts w:ascii="Times New Roman" w:hAnsi="Times New Roman"/>
        </w:rPr>
      </w:pPr>
      <w:r w:rsidRPr="003207A5">
        <w:rPr>
          <w:rFonts w:ascii="Times New Roman" w:hAnsi="Times New Roman"/>
        </w:rPr>
        <w:tab/>
      </w:r>
      <w:r w:rsidRPr="003207A5">
        <w:rPr>
          <w:rFonts w:ascii="Times New Roman" w:hAnsi="Times New Roman"/>
        </w:rPr>
        <w:tab/>
      </w:r>
      <w:r w:rsidRPr="003207A5">
        <w:rPr>
          <w:rFonts w:ascii="Times New Roman" w:hAnsi="Times New Roman"/>
        </w:rPr>
        <w:tab/>
      </w:r>
      <w:r w:rsidRPr="003207A5">
        <w:rPr>
          <w:rFonts w:ascii="Times New Roman" w:hAnsi="Times New Roman"/>
        </w:rPr>
        <w:tab/>
      </w:r>
      <w:r w:rsidRPr="003207A5">
        <w:rPr>
          <w:rFonts w:ascii="Times New Roman" w:hAnsi="Times New Roman"/>
        </w:rPr>
        <w:tab/>
      </w:r>
      <w:r w:rsidRPr="003207A5">
        <w:rPr>
          <w:rFonts w:ascii="Times New Roman" w:hAnsi="Times New Roman"/>
        </w:rPr>
        <w:tab/>
      </w:r>
      <w:r w:rsidRPr="003207A5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3207A5">
        <w:rPr>
          <w:rFonts w:ascii="Times New Roman" w:hAnsi="Times New Roman"/>
        </w:rPr>
        <w:t xml:space="preserve">investment period; 1.5% on </w:t>
      </w:r>
    </w:p>
    <w:p w14:paraId="55C9B309" w14:textId="77777777" w:rsidR="00BC37DD" w:rsidRDefault="00BC37DD" w:rsidP="00BC37DD">
      <w:pPr>
        <w:pStyle w:val="NoSpacing"/>
        <w:ind w:left="-630"/>
        <w:rPr>
          <w:rFonts w:ascii="Times New Roman" w:hAnsi="Times New Roman"/>
        </w:rPr>
      </w:pPr>
      <w:r w:rsidRPr="003207A5">
        <w:rPr>
          <w:rFonts w:ascii="Times New Roman" w:hAnsi="Times New Roman"/>
        </w:rPr>
        <w:tab/>
      </w:r>
      <w:r w:rsidRPr="003207A5">
        <w:rPr>
          <w:rFonts w:ascii="Times New Roman" w:hAnsi="Times New Roman"/>
        </w:rPr>
        <w:tab/>
      </w:r>
      <w:r w:rsidRPr="003207A5">
        <w:rPr>
          <w:rFonts w:ascii="Times New Roman" w:hAnsi="Times New Roman"/>
        </w:rPr>
        <w:tab/>
      </w:r>
      <w:r w:rsidRPr="003207A5">
        <w:rPr>
          <w:rFonts w:ascii="Times New Roman" w:hAnsi="Times New Roman"/>
        </w:rPr>
        <w:tab/>
      </w:r>
      <w:r w:rsidRPr="003207A5">
        <w:rPr>
          <w:rFonts w:ascii="Times New Roman" w:hAnsi="Times New Roman"/>
        </w:rPr>
        <w:tab/>
      </w:r>
      <w:r w:rsidRPr="003207A5">
        <w:rPr>
          <w:rFonts w:ascii="Times New Roman" w:hAnsi="Times New Roman"/>
        </w:rPr>
        <w:tab/>
      </w:r>
      <w:r w:rsidRPr="003207A5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3207A5">
        <w:rPr>
          <w:rFonts w:ascii="Times New Roman" w:hAnsi="Times New Roman"/>
        </w:rPr>
        <w:t>unreturned contributions</w:t>
      </w:r>
      <w:r>
        <w:rPr>
          <w:rFonts w:ascii="Times New Roman" w:hAnsi="Times New Roman"/>
        </w:rPr>
        <w:t xml:space="preserve"> </w:t>
      </w:r>
    </w:p>
    <w:p w14:paraId="7F4B4FF1" w14:textId="63E364E2" w:rsidR="00BC37DD" w:rsidRDefault="00BC37DD" w:rsidP="00BC37DD">
      <w:pPr>
        <w:pStyle w:val="NoSpacing"/>
        <w:ind w:left="-63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3207A5">
        <w:rPr>
          <w:rFonts w:ascii="Times New Roman" w:hAnsi="Times New Roman"/>
        </w:rPr>
        <w:t>thereafter</w:t>
      </w:r>
    </w:p>
    <w:p w14:paraId="0746C6CB" w14:textId="77777777" w:rsidR="00BC37DD" w:rsidRDefault="00BC37DD" w:rsidP="00BC37DD">
      <w:pPr>
        <w:pStyle w:val="NoSpacing"/>
        <w:rPr>
          <w:rFonts w:ascii="Times New Roman" w:hAnsi="Times New Roman"/>
        </w:rPr>
      </w:pPr>
    </w:p>
    <w:p w14:paraId="4144FF23" w14:textId="77777777" w:rsidR="00BC37DD" w:rsidRPr="00591E16" w:rsidRDefault="00BC37DD" w:rsidP="00BC37DD">
      <w:pPr>
        <w:pStyle w:val="NoSpacing"/>
        <w:rPr>
          <w:rFonts w:ascii="Times New Roman" w:hAnsi="Times New Roman"/>
        </w:rPr>
      </w:pPr>
      <w:r w:rsidRPr="00591E16">
        <w:rPr>
          <w:rFonts w:ascii="Times New Roman" w:hAnsi="Times New Roman"/>
        </w:rPr>
        <w:t>Homestead Capital USA Farmland Fund III, L.P.</w:t>
      </w:r>
      <w:r w:rsidRPr="00591E16">
        <w:rPr>
          <w:rFonts w:ascii="Times New Roman" w:hAnsi="Times New Roman"/>
        </w:rPr>
        <w:tab/>
        <w:t>1.5%</w:t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</w:r>
      <w:r w:rsidRPr="00591E16">
        <w:rPr>
          <w:rFonts w:ascii="Times New Roman" w:hAnsi="Times New Roman"/>
        </w:rPr>
        <w:tab/>
        <w:t>15% (6% hurdle rate)</w:t>
      </w:r>
    </w:p>
    <w:p w14:paraId="0EFCADB2" w14:textId="77777777" w:rsidR="00BC37DD" w:rsidRDefault="00BC37DD" w:rsidP="00BC37DD">
      <w:pPr>
        <w:rPr>
          <w:rStyle w:val="Hyperlink"/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</w:p>
    <w:p w14:paraId="0EA04030" w14:textId="77777777" w:rsidR="00BC37DD" w:rsidRPr="00D85430" w:rsidRDefault="00BC37DD" w:rsidP="00BC37DD">
      <w:pPr>
        <w:pStyle w:val="NoSpacing"/>
        <w:rPr>
          <w:rStyle w:val="Hyperlink"/>
          <w:rFonts w:ascii="Times New Roman" w:hAnsi="Times New Roman"/>
          <w:color w:val="auto"/>
          <w:u w:val="none"/>
        </w:rPr>
      </w:pPr>
      <w:r w:rsidRPr="003207A5">
        <w:rPr>
          <w:rFonts w:ascii="Times New Roman" w:hAnsi="Times New Roman"/>
        </w:rPr>
        <w:t>Tembo Capital Mining Fund III</w:t>
      </w:r>
      <w:r w:rsidRPr="003207A5">
        <w:rPr>
          <w:rFonts w:ascii="Times New Roman" w:hAnsi="Times New Roman"/>
        </w:rPr>
        <w:tab/>
      </w:r>
      <w:r w:rsidRPr="003207A5">
        <w:rPr>
          <w:rFonts w:ascii="Times New Roman" w:hAnsi="Times New Roman"/>
        </w:rPr>
        <w:tab/>
      </w:r>
      <w:r w:rsidRPr="003207A5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3207A5">
        <w:rPr>
          <w:rFonts w:ascii="Times New Roman" w:hAnsi="Times New Roman"/>
        </w:rPr>
        <w:t>2.0%</w:t>
      </w:r>
      <w:r w:rsidRPr="003207A5">
        <w:rPr>
          <w:rFonts w:ascii="Times New Roman" w:hAnsi="Times New Roman"/>
        </w:rPr>
        <w:tab/>
      </w:r>
      <w:r w:rsidRPr="003207A5">
        <w:rPr>
          <w:rFonts w:ascii="Times New Roman" w:hAnsi="Times New Roman"/>
        </w:rPr>
        <w:tab/>
      </w:r>
      <w:r w:rsidRPr="003207A5">
        <w:rPr>
          <w:rFonts w:ascii="Times New Roman" w:hAnsi="Times New Roman"/>
        </w:rPr>
        <w:tab/>
      </w:r>
      <w:r w:rsidRPr="003207A5">
        <w:rPr>
          <w:rFonts w:ascii="Times New Roman" w:hAnsi="Times New Roman"/>
        </w:rPr>
        <w:tab/>
        <w:t>15% (8% hurdle rate)</w:t>
      </w:r>
    </w:p>
    <w:p w14:paraId="05B99597" w14:textId="5F13B01B" w:rsidR="00591E16" w:rsidRDefault="00591E16">
      <w:pP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</w:p>
    <w:sectPr w:rsidR="00591E16" w:rsidSect="008B1F2C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080" w:right="864" w:bottom="1080" w:left="86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045C20" w14:textId="77777777" w:rsidR="00F1714F" w:rsidRDefault="00F1714F" w:rsidP="00E461D5">
      <w:pPr>
        <w:spacing w:after="0" w:line="240" w:lineRule="auto"/>
      </w:pPr>
      <w:r>
        <w:separator/>
      </w:r>
    </w:p>
  </w:endnote>
  <w:endnote w:type="continuationSeparator" w:id="0">
    <w:p w14:paraId="6655B6D1" w14:textId="77777777" w:rsidR="00F1714F" w:rsidRDefault="00F1714F" w:rsidP="00E46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C4DC11" w14:textId="77777777" w:rsidR="00A55F14" w:rsidRDefault="00A55F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710650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C2938A" w14:textId="0FC84988" w:rsidR="00DA1613" w:rsidRDefault="00DA1613" w:rsidP="006248EC">
        <w:pPr>
          <w:pStyle w:val="Footer"/>
          <w:jc w:val="right"/>
        </w:pPr>
        <w:r>
          <w:ptab w:relativeTo="indent" w:alignment="center" w:leader="none"/>
        </w:r>
        <w:r>
          <w:ptab w:relativeTo="indent" w:alignment="right" w:leader="none"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77F9">
          <w:rPr>
            <w:noProof/>
          </w:rPr>
          <w:t>17</w:t>
        </w:r>
        <w:r>
          <w:rPr>
            <w:noProof/>
          </w:rPr>
          <w:fldChar w:fldCharType="end"/>
        </w:r>
        <w:r>
          <w:rPr>
            <w:noProof/>
          </w:rPr>
          <w:t xml:space="preserve"> </w:t>
        </w:r>
      </w:p>
    </w:sdtContent>
  </w:sdt>
  <w:p w14:paraId="4BA2D9B1" w14:textId="77777777" w:rsidR="00DA1613" w:rsidRDefault="00DA1613" w:rsidP="008132C6">
    <w:pPr>
      <w:pStyle w:val="Footer"/>
      <w:jc w:val="center"/>
    </w:pPr>
    <w:r>
      <w:rPr>
        <w:noProof/>
      </w:rPr>
      <w:drawing>
        <wp:inline distT="0" distB="0" distL="0" distR="0" wp14:anchorId="7131CC17" wp14:editId="60FFF81D">
          <wp:extent cx="3178175" cy="365125"/>
          <wp:effectExtent l="0" t="0" r="3175" b="0"/>
          <wp:docPr id="27" name="Picture 6" descr="University of Illinois System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Picture 6" descr="University of Illinois System Logo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8175" cy="3651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67319A" w14:textId="4886033C" w:rsidR="00DA1613" w:rsidRDefault="00DA1613">
    <w:pPr>
      <w:pStyle w:val="Footer"/>
      <w:jc w:val="center"/>
    </w:pPr>
  </w:p>
  <w:p w14:paraId="6E28C8AB" w14:textId="274F4E5E" w:rsidR="00DA1613" w:rsidRDefault="00DA1613" w:rsidP="003D18B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8E01E2" w14:textId="77777777" w:rsidR="00F1714F" w:rsidRDefault="00F1714F" w:rsidP="00E461D5">
      <w:pPr>
        <w:spacing w:after="0" w:line="240" w:lineRule="auto"/>
      </w:pPr>
      <w:r>
        <w:separator/>
      </w:r>
    </w:p>
  </w:footnote>
  <w:footnote w:type="continuationSeparator" w:id="0">
    <w:p w14:paraId="666F6922" w14:textId="77777777" w:rsidR="00F1714F" w:rsidRDefault="00F1714F" w:rsidP="00E461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6F1F6" w14:textId="77777777" w:rsidR="00A55F14" w:rsidRDefault="00A55F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D8602B" w14:textId="77777777" w:rsidR="00A55F14" w:rsidRDefault="00A55F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0BB0CE" w14:textId="77777777" w:rsidR="00A55F14" w:rsidRPr="00A55F14" w:rsidRDefault="00A55F14" w:rsidP="00A55F14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overflowPunct w:val="0"/>
      <w:autoSpaceDE w:val="0"/>
      <w:autoSpaceDN w:val="0"/>
      <w:adjustRightInd w:val="0"/>
      <w:spacing w:after="0" w:line="276" w:lineRule="auto"/>
      <w:ind w:right="5040"/>
      <w:rPr>
        <w:rFonts w:ascii="Times New Roman" w:eastAsia="Times New Roman" w:hAnsi="Times New Roman" w:cs="Times New Roman"/>
        <w:color w:val="2F5597"/>
        <w:sz w:val="26"/>
        <w:szCs w:val="20"/>
      </w:rPr>
    </w:pPr>
    <w:bookmarkStart w:id="0" w:name="_Hlk77839959"/>
    <w:bookmarkStart w:id="1" w:name="_Hlk93577479"/>
    <w:r w:rsidRPr="00A55F14">
      <w:rPr>
        <w:rFonts w:ascii="Times New Roman" w:eastAsia="Times New Roman" w:hAnsi="Times New Roman" w:cs="Times New Roman"/>
        <w:color w:val="2F5597"/>
        <w:sz w:val="26"/>
        <w:szCs w:val="20"/>
      </w:rPr>
      <w:t>Reported to the Board of Trustees</w:t>
    </w:r>
  </w:p>
  <w:bookmarkEnd w:id="0"/>
  <w:bookmarkEnd w:id="1"/>
  <w:p w14:paraId="168AD27D" w14:textId="1F0423A4" w:rsidR="00A55F14" w:rsidRPr="00A55F14" w:rsidRDefault="002837A2" w:rsidP="00A55F14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overflowPunct w:val="0"/>
      <w:autoSpaceDN w:val="0"/>
      <w:adjustRightInd w:val="0"/>
      <w:spacing w:after="0" w:line="240" w:lineRule="auto"/>
      <w:ind w:right="5040"/>
      <w:rPr>
        <w:rFonts w:ascii="Times New Roman" w:eastAsia="Times New Roman" w:hAnsi="Times New Roman" w:cs="Times New Roman"/>
        <w:color w:val="2F5597"/>
        <w:sz w:val="26"/>
        <w:szCs w:val="20"/>
      </w:rPr>
    </w:pPr>
    <w:r>
      <w:rPr>
        <w:rFonts w:ascii="Times New Roman" w:eastAsia="Times New Roman" w:hAnsi="Times New Roman" w:cs="Times New Roman"/>
        <w:color w:val="2F5597"/>
        <w:sz w:val="26"/>
        <w:szCs w:val="20"/>
      </w:rPr>
      <w:t>September 19</w:t>
    </w:r>
    <w:r w:rsidR="00A55F14" w:rsidRPr="00A55F14">
      <w:rPr>
        <w:rFonts w:ascii="Times New Roman" w:eastAsia="Times New Roman" w:hAnsi="Times New Roman" w:cs="Times New Roman"/>
        <w:color w:val="2F5597"/>
        <w:sz w:val="26"/>
        <w:szCs w:val="20"/>
      </w:rPr>
      <w:t>,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3330E"/>
    <w:multiLevelType w:val="hybridMultilevel"/>
    <w:tmpl w:val="6A827738"/>
    <w:lvl w:ilvl="0" w:tplc="65106DA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025FE"/>
    <w:multiLevelType w:val="hybridMultilevel"/>
    <w:tmpl w:val="CE1CB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B30B6"/>
    <w:multiLevelType w:val="hybridMultilevel"/>
    <w:tmpl w:val="1B248B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A0B18"/>
    <w:multiLevelType w:val="hybridMultilevel"/>
    <w:tmpl w:val="7090C06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144C3"/>
    <w:multiLevelType w:val="hybridMultilevel"/>
    <w:tmpl w:val="815AD5F4"/>
    <w:lvl w:ilvl="0" w:tplc="0409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5" w15:restartNumberingAfterBreak="0">
    <w:nsid w:val="1CE94BE1"/>
    <w:multiLevelType w:val="hybridMultilevel"/>
    <w:tmpl w:val="5CD23A56"/>
    <w:lvl w:ilvl="0" w:tplc="65106DA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F7549"/>
    <w:multiLevelType w:val="hybridMultilevel"/>
    <w:tmpl w:val="2CD2F6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C6A40"/>
    <w:multiLevelType w:val="hybridMultilevel"/>
    <w:tmpl w:val="4AA85D3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2944DDF"/>
    <w:multiLevelType w:val="hybridMultilevel"/>
    <w:tmpl w:val="2AE01D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7C3F26"/>
    <w:multiLevelType w:val="hybridMultilevel"/>
    <w:tmpl w:val="26A4A7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E27386F"/>
    <w:multiLevelType w:val="hybridMultilevel"/>
    <w:tmpl w:val="B34269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B84219"/>
    <w:multiLevelType w:val="hybridMultilevel"/>
    <w:tmpl w:val="6F0CA3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4214E3"/>
    <w:multiLevelType w:val="hybridMultilevel"/>
    <w:tmpl w:val="3A9CD4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506AA4"/>
    <w:multiLevelType w:val="hybridMultilevel"/>
    <w:tmpl w:val="D1CAC8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7D5EEA"/>
    <w:multiLevelType w:val="hybridMultilevel"/>
    <w:tmpl w:val="BF7EF2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94753F"/>
    <w:multiLevelType w:val="hybridMultilevel"/>
    <w:tmpl w:val="BFC0ACF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55223B47"/>
    <w:multiLevelType w:val="hybridMultilevel"/>
    <w:tmpl w:val="467084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AB54BD"/>
    <w:multiLevelType w:val="hybridMultilevel"/>
    <w:tmpl w:val="3BD00C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DA7310"/>
    <w:multiLevelType w:val="hybridMultilevel"/>
    <w:tmpl w:val="68EA3A9C"/>
    <w:lvl w:ilvl="0" w:tplc="06A403E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85579F"/>
    <w:multiLevelType w:val="hybridMultilevel"/>
    <w:tmpl w:val="84E4B4C2"/>
    <w:lvl w:ilvl="0" w:tplc="1890C58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9A412CA"/>
    <w:multiLevelType w:val="hybridMultilevel"/>
    <w:tmpl w:val="A5E8207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9B5010"/>
    <w:multiLevelType w:val="hybridMultilevel"/>
    <w:tmpl w:val="CAFCDECA"/>
    <w:lvl w:ilvl="0" w:tplc="4874E07E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47F76A0"/>
    <w:multiLevelType w:val="hybridMultilevel"/>
    <w:tmpl w:val="C172E7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702D98"/>
    <w:multiLevelType w:val="hybridMultilevel"/>
    <w:tmpl w:val="FD0E9C5A"/>
    <w:lvl w:ilvl="0" w:tplc="AFCEF8DA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42217072">
    <w:abstractNumId w:val="0"/>
  </w:num>
  <w:num w:numId="2" w16cid:durableId="1079207311">
    <w:abstractNumId w:val="5"/>
  </w:num>
  <w:num w:numId="3" w16cid:durableId="1948002566">
    <w:abstractNumId w:val="4"/>
  </w:num>
  <w:num w:numId="4" w16cid:durableId="1807774947">
    <w:abstractNumId w:val="23"/>
  </w:num>
  <w:num w:numId="5" w16cid:durableId="1943025509">
    <w:abstractNumId w:val="13"/>
  </w:num>
  <w:num w:numId="6" w16cid:durableId="535317964">
    <w:abstractNumId w:val="15"/>
  </w:num>
  <w:num w:numId="7" w16cid:durableId="1408576693">
    <w:abstractNumId w:val="9"/>
  </w:num>
  <w:num w:numId="8" w16cid:durableId="1457332748">
    <w:abstractNumId w:val="10"/>
  </w:num>
  <w:num w:numId="9" w16cid:durableId="435059762">
    <w:abstractNumId w:val="22"/>
  </w:num>
  <w:num w:numId="10" w16cid:durableId="537737464">
    <w:abstractNumId w:val="3"/>
  </w:num>
  <w:num w:numId="11" w16cid:durableId="911239857">
    <w:abstractNumId w:val="1"/>
  </w:num>
  <w:num w:numId="12" w16cid:durableId="697895589">
    <w:abstractNumId w:val="19"/>
  </w:num>
  <w:num w:numId="13" w16cid:durableId="1856185885">
    <w:abstractNumId w:val="11"/>
  </w:num>
  <w:num w:numId="14" w16cid:durableId="275218392">
    <w:abstractNumId w:val="14"/>
  </w:num>
  <w:num w:numId="15" w16cid:durableId="394669648">
    <w:abstractNumId w:val="17"/>
  </w:num>
  <w:num w:numId="16" w16cid:durableId="924458573">
    <w:abstractNumId w:val="6"/>
  </w:num>
  <w:num w:numId="17" w16cid:durableId="112094521">
    <w:abstractNumId w:val="20"/>
  </w:num>
  <w:num w:numId="18" w16cid:durableId="951134391">
    <w:abstractNumId w:val="18"/>
  </w:num>
  <w:num w:numId="19" w16cid:durableId="518928044">
    <w:abstractNumId w:val="2"/>
  </w:num>
  <w:num w:numId="20" w16cid:durableId="374887730">
    <w:abstractNumId w:val="21"/>
  </w:num>
  <w:num w:numId="21" w16cid:durableId="697895558">
    <w:abstractNumId w:val="12"/>
  </w:num>
  <w:num w:numId="22" w16cid:durableId="645818534">
    <w:abstractNumId w:val="16"/>
  </w:num>
  <w:num w:numId="23" w16cid:durableId="789855237">
    <w:abstractNumId w:val="8"/>
  </w:num>
  <w:num w:numId="24" w16cid:durableId="1027439502">
    <w:abstractNumId w:val="7"/>
  </w:num>
  <w:num w:numId="25" w16cid:durableId="21326742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FE6"/>
    <w:rsid w:val="00003676"/>
    <w:rsid w:val="00004929"/>
    <w:rsid w:val="00007210"/>
    <w:rsid w:val="000147BD"/>
    <w:rsid w:val="000149AE"/>
    <w:rsid w:val="00015A18"/>
    <w:rsid w:val="00015C23"/>
    <w:rsid w:val="00024D67"/>
    <w:rsid w:val="00025A47"/>
    <w:rsid w:val="00025E49"/>
    <w:rsid w:val="0003021F"/>
    <w:rsid w:val="0003477A"/>
    <w:rsid w:val="00041089"/>
    <w:rsid w:val="00042761"/>
    <w:rsid w:val="000431B2"/>
    <w:rsid w:val="00044B67"/>
    <w:rsid w:val="000470E9"/>
    <w:rsid w:val="00053230"/>
    <w:rsid w:val="000562F9"/>
    <w:rsid w:val="00060FB1"/>
    <w:rsid w:val="00061713"/>
    <w:rsid w:val="00061A44"/>
    <w:rsid w:val="00065B5C"/>
    <w:rsid w:val="00065CC2"/>
    <w:rsid w:val="00065E08"/>
    <w:rsid w:val="00076D8B"/>
    <w:rsid w:val="00082AFF"/>
    <w:rsid w:val="00083CB5"/>
    <w:rsid w:val="00087735"/>
    <w:rsid w:val="00092415"/>
    <w:rsid w:val="000927B6"/>
    <w:rsid w:val="0009417B"/>
    <w:rsid w:val="000A0B0C"/>
    <w:rsid w:val="000A1FAA"/>
    <w:rsid w:val="000A295C"/>
    <w:rsid w:val="000A3C09"/>
    <w:rsid w:val="000A3FCE"/>
    <w:rsid w:val="000A48BC"/>
    <w:rsid w:val="000A50BE"/>
    <w:rsid w:val="000B05F2"/>
    <w:rsid w:val="000B24B6"/>
    <w:rsid w:val="000B5DC7"/>
    <w:rsid w:val="000C2213"/>
    <w:rsid w:val="000C41E5"/>
    <w:rsid w:val="000D0E26"/>
    <w:rsid w:val="000D4FA3"/>
    <w:rsid w:val="000E0F96"/>
    <w:rsid w:val="000E1CBF"/>
    <w:rsid w:val="000E37B1"/>
    <w:rsid w:val="000E56CE"/>
    <w:rsid w:val="000F2A36"/>
    <w:rsid w:val="000F6994"/>
    <w:rsid w:val="00100C72"/>
    <w:rsid w:val="0010727A"/>
    <w:rsid w:val="00107347"/>
    <w:rsid w:val="00107521"/>
    <w:rsid w:val="00113A2D"/>
    <w:rsid w:val="001151AD"/>
    <w:rsid w:val="001158AE"/>
    <w:rsid w:val="00117367"/>
    <w:rsid w:val="0012134C"/>
    <w:rsid w:val="00121FD3"/>
    <w:rsid w:val="00122D74"/>
    <w:rsid w:val="0013035C"/>
    <w:rsid w:val="00130A9B"/>
    <w:rsid w:val="00131DEF"/>
    <w:rsid w:val="00133710"/>
    <w:rsid w:val="001360F5"/>
    <w:rsid w:val="00137A47"/>
    <w:rsid w:val="001409F3"/>
    <w:rsid w:val="00144AB0"/>
    <w:rsid w:val="00151527"/>
    <w:rsid w:val="001557AC"/>
    <w:rsid w:val="00157577"/>
    <w:rsid w:val="00160787"/>
    <w:rsid w:val="00161714"/>
    <w:rsid w:val="0016179F"/>
    <w:rsid w:val="001633EB"/>
    <w:rsid w:val="001645DB"/>
    <w:rsid w:val="001676F6"/>
    <w:rsid w:val="00171A1C"/>
    <w:rsid w:val="001742C3"/>
    <w:rsid w:val="00175AF7"/>
    <w:rsid w:val="001779EF"/>
    <w:rsid w:val="00182480"/>
    <w:rsid w:val="00186967"/>
    <w:rsid w:val="00195557"/>
    <w:rsid w:val="00195648"/>
    <w:rsid w:val="0019709E"/>
    <w:rsid w:val="00197538"/>
    <w:rsid w:val="001A0030"/>
    <w:rsid w:val="001A391A"/>
    <w:rsid w:val="001B49BF"/>
    <w:rsid w:val="001C4314"/>
    <w:rsid w:val="001C4547"/>
    <w:rsid w:val="001C4BBB"/>
    <w:rsid w:val="001D0B3F"/>
    <w:rsid w:val="001D268D"/>
    <w:rsid w:val="001D2C17"/>
    <w:rsid w:val="001D751D"/>
    <w:rsid w:val="001D7BC9"/>
    <w:rsid w:val="001D7C85"/>
    <w:rsid w:val="001E7740"/>
    <w:rsid w:val="001F2C2D"/>
    <w:rsid w:val="001F3283"/>
    <w:rsid w:val="001F3F6D"/>
    <w:rsid w:val="001F73DF"/>
    <w:rsid w:val="0020185A"/>
    <w:rsid w:val="002112A5"/>
    <w:rsid w:val="002130E5"/>
    <w:rsid w:val="00216524"/>
    <w:rsid w:val="0022073E"/>
    <w:rsid w:val="00221628"/>
    <w:rsid w:val="00222DC5"/>
    <w:rsid w:val="00224D3D"/>
    <w:rsid w:val="00230833"/>
    <w:rsid w:val="002338DB"/>
    <w:rsid w:val="0023756E"/>
    <w:rsid w:val="00242C7E"/>
    <w:rsid w:val="00243F52"/>
    <w:rsid w:val="00244541"/>
    <w:rsid w:val="00251B8B"/>
    <w:rsid w:val="002531AC"/>
    <w:rsid w:val="00254639"/>
    <w:rsid w:val="00254DC5"/>
    <w:rsid w:val="0025621B"/>
    <w:rsid w:val="00256A52"/>
    <w:rsid w:val="00257026"/>
    <w:rsid w:val="00261ED0"/>
    <w:rsid w:val="002626D3"/>
    <w:rsid w:val="00263FAB"/>
    <w:rsid w:val="0027151B"/>
    <w:rsid w:val="00274F5D"/>
    <w:rsid w:val="00275970"/>
    <w:rsid w:val="00276187"/>
    <w:rsid w:val="002837A2"/>
    <w:rsid w:val="002867BA"/>
    <w:rsid w:val="00286A78"/>
    <w:rsid w:val="00290082"/>
    <w:rsid w:val="00294D2F"/>
    <w:rsid w:val="00296296"/>
    <w:rsid w:val="00296A4A"/>
    <w:rsid w:val="002A2409"/>
    <w:rsid w:val="002A2C1E"/>
    <w:rsid w:val="002A4BBD"/>
    <w:rsid w:val="002A4FA7"/>
    <w:rsid w:val="002A7CF6"/>
    <w:rsid w:val="002B1B90"/>
    <w:rsid w:val="002B2068"/>
    <w:rsid w:val="002B58F2"/>
    <w:rsid w:val="002C097C"/>
    <w:rsid w:val="002C0A92"/>
    <w:rsid w:val="002C3769"/>
    <w:rsid w:val="002C48FC"/>
    <w:rsid w:val="002C5CD9"/>
    <w:rsid w:val="002C6602"/>
    <w:rsid w:val="002C6DA5"/>
    <w:rsid w:val="002F0F20"/>
    <w:rsid w:val="002F275B"/>
    <w:rsid w:val="002F2CD9"/>
    <w:rsid w:val="002F32E1"/>
    <w:rsid w:val="002F3944"/>
    <w:rsid w:val="002F6445"/>
    <w:rsid w:val="002F6B6E"/>
    <w:rsid w:val="003014AD"/>
    <w:rsid w:val="00303E95"/>
    <w:rsid w:val="0030664D"/>
    <w:rsid w:val="00307B62"/>
    <w:rsid w:val="003114AA"/>
    <w:rsid w:val="00311975"/>
    <w:rsid w:val="00314526"/>
    <w:rsid w:val="003153D7"/>
    <w:rsid w:val="00315A94"/>
    <w:rsid w:val="0031608A"/>
    <w:rsid w:val="00316BB9"/>
    <w:rsid w:val="00322FDC"/>
    <w:rsid w:val="0033183F"/>
    <w:rsid w:val="00332BF6"/>
    <w:rsid w:val="00336402"/>
    <w:rsid w:val="0033793D"/>
    <w:rsid w:val="00337EEF"/>
    <w:rsid w:val="00341A39"/>
    <w:rsid w:val="00341BBC"/>
    <w:rsid w:val="0034262A"/>
    <w:rsid w:val="00342F64"/>
    <w:rsid w:val="003460C3"/>
    <w:rsid w:val="003476E2"/>
    <w:rsid w:val="003502AE"/>
    <w:rsid w:val="00351B73"/>
    <w:rsid w:val="003554A7"/>
    <w:rsid w:val="00360D69"/>
    <w:rsid w:val="00362DE6"/>
    <w:rsid w:val="003707AC"/>
    <w:rsid w:val="00370E2C"/>
    <w:rsid w:val="00371960"/>
    <w:rsid w:val="003741D2"/>
    <w:rsid w:val="003743F3"/>
    <w:rsid w:val="00375199"/>
    <w:rsid w:val="00375255"/>
    <w:rsid w:val="00376814"/>
    <w:rsid w:val="003769B9"/>
    <w:rsid w:val="003803C8"/>
    <w:rsid w:val="0038344D"/>
    <w:rsid w:val="003857E4"/>
    <w:rsid w:val="00386277"/>
    <w:rsid w:val="003904AA"/>
    <w:rsid w:val="003918CD"/>
    <w:rsid w:val="00393251"/>
    <w:rsid w:val="003938E4"/>
    <w:rsid w:val="003A2BD5"/>
    <w:rsid w:val="003A36DB"/>
    <w:rsid w:val="003A4B10"/>
    <w:rsid w:val="003A534A"/>
    <w:rsid w:val="003A572D"/>
    <w:rsid w:val="003B0B84"/>
    <w:rsid w:val="003B2815"/>
    <w:rsid w:val="003B3DF9"/>
    <w:rsid w:val="003B40D1"/>
    <w:rsid w:val="003B4B3F"/>
    <w:rsid w:val="003B4EA7"/>
    <w:rsid w:val="003C06BF"/>
    <w:rsid w:val="003C40D9"/>
    <w:rsid w:val="003C49C4"/>
    <w:rsid w:val="003C5AD3"/>
    <w:rsid w:val="003D18BC"/>
    <w:rsid w:val="003D3062"/>
    <w:rsid w:val="003D43E5"/>
    <w:rsid w:val="003D6A8B"/>
    <w:rsid w:val="003D7EE7"/>
    <w:rsid w:val="003E1E61"/>
    <w:rsid w:val="003E53A6"/>
    <w:rsid w:val="003E6CD5"/>
    <w:rsid w:val="00403E69"/>
    <w:rsid w:val="00404B66"/>
    <w:rsid w:val="00405F0A"/>
    <w:rsid w:val="00410600"/>
    <w:rsid w:val="004154B4"/>
    <w:rsid w:val="0041638C"/>
    <w:rsid w:val="004307B4"/>
    <w:rsid w:val="00433E9A"/>
    <w:rsid w:val="00436737"/>
    <w:rsid w:val="004371BA"/>
    <w:rsid w:val="00440B4F"/>
    <w:rsid w:val="00440ED7"/>
    <w:rsid w:val="004420D2"/>
    <w:rsid w:val="0044264E"/>
    <w:rsid w:val="00444992"/>
    <w:rsid w:val="004479A3"/>
    <w:rsid w:val="00447A57"/>
    <w:rsid w:val="0045240F"/>
    <w:rsid w:val="00453019"/>
    <w:rsid w:val="00460E4D"/>
    <w:rsid w:val="004621BC"/>
    <w:rsid w:val="0046237A"/>
    <w:rsid w:val="0046305B"/>
    <w:rsid w:val="00463653"/>
    <w:rsid w:val="00465C01"/>
    <w:rsid w:val="004663AB"/>
    <w:rsid w:val="004672B1"/>
    <w:rsid w:val="00470300"/>
    <w:rsid w:val="00470B2F"/>
    <w:rsid w:val="004711B2"/>
    <w:rsid w:val="00474036"/>
    <w:rsid w:val="004742E8"/>
    <w:rsid w:val="00474FEB"/>
    <w:rsid w:val="00475C60"/>
    <w:rsid w:val="00483123"/>
    <w:rsid w:val="004838A8"/>
    <w:rsid w:val="00485D0C"/>
    <w:rsid w:val="00486CFF"/>
    <w:rsid w:val="00490825"/>
    <w:rsid w:val="00490EED"/>
    <w:rsid w:val="0049289C"/>
    <w:rsid w:val="00494317"/>
    <w:rsid w:val="00495577"/>
    <w:rsid w:val="00497B3E"/>
    <w:rsid w:val="004A1959"/>
    <w:rsid w:val="004A40CA"/>
    <w:rsid w:val="004A4A94"/>
    <w:rsid w:val="004B04E3"/>
    <w:rsid w:val="004B0A0D"/>
    <w:rsid w:val="004C04C6"/>
    <w:rsid w:val="004C0A87"/>
    <w:rsid w:val="004C111B"/>
    <w:rsid w:val="004C2AC4"/>
    <w:rsid w:val="004C414F"/>
    <w:rsid w:val="004D20F5"/>
    <w:rsid w:val="004D403D"/>
    <w:rsid w:val="004D5927"/>
    <w:rsid w:val="004D62E8"/>
    <w:rsid w:val="004E3DEC"/>
    <w:rsid w:val="004E473B"/>
    <w:rsid w:val="004E5816"/>
    <w:rsid w:val="004F35DD"/>
    <w:rsid w:val="0050048F"/>
    <w:rsid w:val="00500719"/>
    <w:rsid w:val="00501248"/>
    <w:rsid w:val="00502C94"/>
    <w:rsid w:val="0051114B"/>
    <w:rsid w:val="005113A9"/>
    <w:rsid w:val="0051146E"/>
    <w:rsid w:val="00514379"/>
    <w:rsid w:val="00514814"/>
    <w:rsid w:val="00516080"/>
    <w:rsid w:val="00517B1D"/>
    <w:rsid w:val="00520B61"/>
    <w:rsid w:val="005251CC"/>
    <w:rsid w:val="00525B92"/>
    <w:rsid w:val="00525C5A"/>
    <w:rsid w:val="00526989"/>
    <w:rsid w:val="005336B7"/>
    <w:rsid w:val="00536860"/>
    <w:rsid w:val="00537DC3"/>
    <w:rsid w:val="00540F1B"/>
    <w:rsid w:val="005442CA"/>
    <w:rsid w:val="00545C8D"/>
    <w:rsid w:val="00556C49"/>
    <w:rsid w:val="00560785"/>
    <w:rsid w:val="00562BCC"/>
    <w:rsid w:val="00563D3D"/>
    <w:rsid w:val="00566DE8"/>
    <w:rsid w:val="005717DA"/>
    <w:rsid w:val="00574D9C"/>
    <w:rsid w:val="00576730"/>
    <w:rsid w:val="005801DE"/>
    <w:rsid w:val="00581381"/>
    <w:rsid w:val="00583249"/>
    <w:rsid w:val="005834F9"/>
    <w:rsid w:val="00586759"/>
    <w:rsid w:val="00590F6F"/>
    <w:rsid w:val="00591E16"/>
    <w:rsid w:val="00593434"/>
    <w:rsid w:val="00594CFA"/>
    <w:rsid w:val="00597733"/>
    <w:rsid w:val="005A197E"/>
    <w:rsid w:val="005A209F"/>
    <w:rsid w:val="005A4913"/>
    <w:rsid w:val="005A7A7B"/>
    <w:rsid w:val="005B5CEA"/>
    <w:rsid w:val="005B6A70"/>
    <w:rsid w:val="005C1F2F"/>
    <w:rsid w:val="005C2AAF"/>
    <w:rsid w:val="005C4872"/>
    <w:rsid w:val="005C6270"/>
    <w:rsid w:val="005C6E99"/>
    <w:rsid w:val="005D1290"/>
    <w:rsid w:val="005D1FB5"/>
    <w:rsid w:val="005E3BD2"/>
    <w:rsid w:val="005E426B"/>
    <w:rsid w:val="005E56CC"/>
    <w:rsid w:val="005F0BF9"/>
    <w:rsid w:val="005F2DCF"/>
    <w:rsid w:val="005F684D"/>
    <w:rsid w:val="0060066C"/>
    <w:rsid w:val="0060292A"/>
    <w:rsid w:val="00603CAC"/>
    <w:rsid w:val="00606DF2"/>
    <w:rsid w:val="00607F64"/>
    <w:rsid w:val="006136AC"/>
    <w:rsid w:val="00616602"/>
    <w:rsid w:val="00620C81"/>
    <w:rsid w:val="00621A03"/>
    <w:rsid w:val="0062329C"/>
    <w:rsid w:val="006248EC"/>
    <w:rsid w:val="006329F5"/>
    <w:rsid w:val="00633081"/>
    <w:rsid w:val="0063405D"/>
    <w:rsid w:val="00635B63"/>
    <w:rsid w:val="00643D26"/>
    <w:rsid w:val="00647DAF"/>
    <w:rsid w:val="006505E1"/>
    <w:rsid w:val="006521C8"/>
    <w:rsid w:val="006527F3"/>
    <w:rsid w:val="00652C86"/>
    <w:rsid w:val="0065442E"/>
    <w:rsid w:val="0065474B"/>
    <w:rsid w:val="00656226"/>
    <w:rsid w:val="00656844"/>
    <w:rsid w:val="00657EB2"/>
    <w:rsid w:val="00660227"/>
    <w:rsid w:val="0066269D"/>
    <w:rsid w:val="00663B36"/>
    <w:rsid w:val="00664256"/>
    <w:rsid w:val="00667E6E"/>
    <w:rsid w:val="00673E9D"/>
    <w:rsid w:val="006742F8"/>
    <w:rsid w:val="00674C25"/>
    <w:rsid w:val="00675B50"/>
    <w:rsid w:val="00680CC9"/>
    <w:rsid w:val="00681B03"/>
    <w:rsid w:val="0068575C"/>
    <w:rsid w:val="00686478"/>
    <w:rsid w:val="00687B43"/>
    <w:rsid w:val="00691DB0"/>
    <w:rsid w:val="00695B04"/>
    <w:rsid w:val="0069661B"/>
    <w:rsid w:val="006A0E52"/>
    <w:rsid w:val="006A22FB"/>
    <w:rsid w:val="006A26F8"/>
    <w:rsid w:val="006A403F"/>
    <w:rsid w:val="006B0FF3"/>
    <w:rsid w:val="006B25F0"/>
    <w:rsid w:val="006B6807"/>
    <w:rsid w:val="006B7B1B"/>
    <w:rsid w:val="006C1F91"/>
    <w:rsid w:val="006C3873"/>
    <w:rsid w:val="006C3DDA"/>
    <w:rsid w:val="006C4493"/>
    <w:rsid w:val="006C5062"/>
    <w:rsid w:val="006C5331"/>
    <w:rsid w:val="006C6765"/>
    <w:rsid w:val="006D0702"/>
    <w:rsid w:val="006D3A07"/>
    <w:rsid w:val="006D3D08"/>
    <w:rsid w:val="006D55EB"/>
    <w:rsid w:val="006D7A90"/>
    <w:rsid w:val="006E5261"/>
    <w:rsid w:val="006E7811"/>
    <w:rsid w:val="006F4B1E"/>
    <w:rsid w:val="0070008A"/>
    <w:rsid w:val="00700430"/>
    <w:rsid w:val="00701379"/>
    <w:rsid w:val="00701AAB"/>
    <w:rsid w:val="00706B36"/>
    <w:rsid w:val="00714CE6"/>
    <w:rsid w:val="00715B10"/>
    <w:rsid w:val="00720174"/>
    <w:rsid w:val="0072037E"/>
    <w:rsid w:val="00721D8D"/>
    <w:rsid w:val="00722284"/>
    <w:rsid w:val="00723844"/>
    <w:rsid w:val="0072605E"/>
    <w:rsid w:val="00726128"/>
    <w:rsid w:val="00730199"/>
    <w:rsid w:val="007346A1"/>
    <w:rsid w:val="00735236"/>
    <w:rsid w:val="00744182"/>
    <w:rsid w:val="00747A30"/>
    <w:rsid w:val="00754C07"/>
    <w:rsid w:val="00754C47"/>
    <w:rsid w:val="0075579A"/>
    <w:rsid w:val="00762F2F"/>
    <w:rsid w:val="007669D7"/>
    <w:rsid w:val="00766A64"/>
    <w:rsid w:val="00770C56"/>
    <w:rsid w:val="0078154C"/>
    <w:rsid w:val="0078169E"/>
    <w:rsid w:val="007850CC"/>
    <w:rsid w:val="00785C28"/>
    <w:rsid w:val="007942E6"/>
    <w:rsid w:val="00795CC9"/>
    <w:rsid w:val="00796AB9"/>
    <w:rsid w:val="007978C7"/>
    <w:rsid w:val="007A054A"/>
    <w:rsid w:val="007A2841"/>
    <w:rsid w:val="007A7DDE"/>
    <w:rsid w:val="007B41F1"/>
    <w:rsid w:val="007B4942"/>
    <w:rsid w:val="007C2F57"/>
    <w:rsid w:val="007D144B"/>
    <w:rsid w:val="007D1C3B"/>
    <w:rsid w:val="007D3475"/>
    <w:rsid w:val="007E0481"/>
    <w:rsid w:val="007E1DC6"/>
    <w:rsid w:val="007E34A6"/>
    <w:rsid w:val="007E4EDE"/>
    <w:rsid w:val="007E5089"/>
    <w:rsid w:val="007E560F"/>
    <w:rsid w:val="007F0E35"/>
    <w:rsid w:val="007F125C"/>
    <w:rsid w:val="007F50E9"/>
    <w:rsid w:val="007F5CD0"/>
    <w:rsid w:val="007F72F8"/>
    <w:rsid w:val="007F7476"/>
    <w:rsid w:val="007F7CBE"/>
    <w:rsid w:val="008013AD"/>
    <w:rsid w:val="008024AF"/>
    <w:rsid w:val="008041A5"/>
    <w:rsid w:val="008132C6"/>
    <w:rsid w:val="00813494"/>
    <w:rsid w:val="0081428B"/>
    <w:rsid w:val="008171B1"/>
    <w:rsid w:val="00822E2A"/>
    <w:rsid w:val="008302F7"/>
    <w:rsid w:val="008305E1"/>
    <w:rsid w:val="00831F88"/>
    <w:rsid w:val="00834304"/>
    <w:rsid w:val="00834C7C"/>
    <w:rsid w:val="00834E84"/>
    <w:rsid w:val="0083539C"/>
    <w:rsid w:val="00836A9E"/>
    <w:rsid w:val="00842302"/>
    <w:rsid w:val="00842ECC"/>
    <w:rsid w:val="00851E0C"/>
    <w:rsid w:val="00856F38"/>
    <w:rsid w:val="008573B1"/>
    <w:rsid w:val="0086024A"/>
    <w:rsid w:val="00861B0F"/>
    <w:rsid w:val="00863A0E"/>
    <w:rsid w:val="00863F2E"/>
    <w:rsid w:val="00865A66"/>
    <w:rsid w:val="00866FE2"/>
    <w:rsid w:val="00875FE6"/>
    <w:rsid w:val="008807AF"/>
    <w:rsid w:val="00881020"/>
    <w:rsid w:val="008817D5"/>
    <w:rsid w:val="00885B11"/>
    <w:rsid w:val="008939DE"/>
    <w:rsid w:val="008943C3"/>
    <w:rsid w:val="00895399"/>
    <w:rsid w:val="00895E37"/>
    <w:rsid w:val="008A25EC"/>
    <w:rsid w:val="008A3C96"/>
    <w:rsid w:val="008A3D46"/>
    <w:rsid w:val="008B0048"/>
    <w:rsid w:val="008B1F2C"/>
    <w:rsid w:val="008C102D"/>
    <w:rsid w:val="008C57CB"/>
    <w:rsid w:val="008C788E"/>
    <w:rsid w:val="008D3210"/>
    <w:rsid w:val="008D4AFA"/>
    <w:rsid w:val="008D4B55"/>
    <w:rsid w:val="008D66D1"/>
    <w:rsid w:val="008E1A03"/>
    <w:rsid w:val="008E2796"/>
    <w:rsid w:val="008E3BF3"/>
    <w:rsid w:val="008E3F25"/>
    <w:rsid w:val="008E432C"/>
    <w:rsid w:val="008E5CF6"/>
    <w:rsid w:val="008E6B27"/>
    <w:rsid w:val="008E6DC0"/>
    <w:rsid w:val="008F0513"/>
    <w:rsid w:val="008F6493"/>
    <w:rsid w:val="008F6A57"/>
    <w:rsid w:val="0090325E"/>
    <w:rsid w:val="00903DF4"/>
    <w:rsid w:val="00907C62"/>
    <w:rsid w:val="009116C1"/>
    <w:rsid w:val="009131BA"/>
    <w:rsid w:val="009152AB"/>
    <w:rsid w:val="009155DE"/>
    <w:rsid w:val="00915CE8"/>
    <w:rsid w:val="00917273"/>
    <w:rsid w:val="00917772"/>
    <w:rsid w:val="009216DC"/>
    <w:rsid w:val="00925665"/>
    <w:rsid w:val="0092657E"/>
    <w:rsid w:val="00927B37"/>
    <w:rsid w:val="00934BC7"/>
    <w:rsid w:val="009415CC"/>
    <w:rsid w:val="00945DEC"/>
    <w:rsid w:val="00947907"/>
    <w:rsid w:val="00950F34"/>
    <w:rsid w:val="00951A23"/>
    <w:rsid w:val="00952311"/>
    <w:rsid w:val="00954BA6"/>
    <w:rsid w:val="0095581D"/>
    <w:rsid w:val="009565BB"/>
    <w:rsid w:val="00957E8A"/>
    <w:rsid w:val="0096064C"/>
    <w:rsid w:val="00962EF0"/>
    <w:rsid w:val="0096407B"/>
    <w:rsid w:val="00964F7E"/>
    <w:rsid w:val="00966280"/>
    <w:rsid w:val="0097272A"/>
    <w:rsid w:val="00972975"/>
    <w:rsid w:val="0097449E"/>
    <w:rsid w:val="00974920"/>
    <w:rsid w:val="00976EEF"/>
    <w:rsid w:val="00982624"/>
    <w:rsid w:val="00984ADD"/>
    <w:rsid w:val="00986199"/>
    <w:rsid w:val="00990379"/>
    <w:rsid w:val="00991080"/>
    <w:rsid w:val="00991C94"/>
    <w:rsid w:val="009978D2"/>
    <w:rsid w:val="009A108F"/>
    <w:rsid w:val="009A50C2"/>
    <w:rsid w:val="009C22D3"/>
    <w:rsid w:val="009C238B"/>
    <w:rsid w:val="009C69BA"/>
    <w:rsid w:val="009D361A"/>
    <w:rsid w:val="009D6672"/>
    <w:rsid w:val="009D769B"/>
    <w:rsid w:val="009E2B48"/>
    <w:rsid w:val="009E31AD"/>
    <w:rsid w:val="009E342A"/>
    <w:rsid w:val="009E34AA"/>
    <w:rsid w:val="009E3F82"/>
    <w:rsid w:val="009E6275"/>
    <w:rsid w:val="009F11D8"/>
    <w:rsid w:val="009F1B46"/>
    <w:rsid w:val="009F27F6"/>
    <w:rsid w:val="009F39D2"/>
    <w:rsid w:val="00A121BD"/>
    <w:rsid w:val="00A1406B"/>
    <w:rsid w:val="00A14BA9"/>
    <w:rsid w:val="00A151AC"/>
    <w:rsid w:val="00A21063"/>
    <w:rsid w:val="00A22315"/>
    <w:rsid w:val="00A25151"/>
    <w:rsid w:val="00A25BD2"/>
    <w:rsid w:val="00A25FED"/>
    <w:rsid w:val="00A312F4"/>
    <w:rsid w:val="00A323BF"/>
    <w:rsid w:val="00A32948"/>
    <w:rsid w:val="00A33260"/>
    <w:rsid w:val="00A35960"/>
    <w:rsid w:val="00A40689"/>
    <w:rsid w:val="00A407AF"/>
    <w:rsid w:val="00A40CD9"/>
    <w:rsid w:val="00A4223D"/>
    <w:rsid w:val="00A45967"/>
    <w:rsid w:val="00A45A7B"/>
    <w:rsid w:val="00A47992"/>
    <w:rsid w:val="00A47F5A"/>
    <w:rsid w:val="00A51A75"/>
    <w:rsid w:val="00A55F14"/>
    <w:rsid w:val="00A60FBD"/>
    <w:rsid w:val="00A61701"/>
    <w:rsid w:val="00A640E6"/>
    <w:rsid w:val="00A64170"/>
    <w:rsid w:val="00A6454E"/>
    <w:rsid w:val="00A67550"/>
    <w:rsid w:val="00A67D59"/>
    <w:rsid w:val="00A75066"/>
    <w:rsid w:val="00A83D4E"/>
    <w:rsid w:val="00A85D14"/>
    <w:rsid w:val="00A907B9"/>
    <w:rsid w:val="00A96E09"/>
    <w:rsid w:val="00A97232"/>
    <w:rsid w:val="00AA3F59"/>
    <w:rsid w:val="00AA7C66"/>
    <w:rsid w:val="00AA7CC4"/>
    <w:rsid w:val="00AB1AC4"/>
    <w:rsid w:val="00AB42D0"/>
    <w:rsid w:val="00AB4477"/>
    <w:rsid w:val="00AC50BD"/>
    <w:rsid w:val="00AC51E0"/>
    <w:rsid w:val="00AC7C48"/>
    <w:rsid w:val="00AD02DE"/>
    <w:rsid w:val="00AD2B83"/>
    <w:rsid w:val="00AD5175"/>
    <w:rsid w:val="00AD671E"/>
    <w:rsid w:val="00AE264F"/>
    <w:rsid w:val="00AF0C22"/>
    <w:rsid w:val="00AF0DD0"/>
    <w:rsid w:val="00AF13E9"/>
    <w:rsid w:val="00AF3984"/>
    <w:rsid w:val="00B051D5"/>
    <w:rsid w:val="00B065AB"/>
    <w:rsid w:val="00B075E5"/>
    <w:rsid w:val="00B100D0"/>
    <w:rsid w:val="00B1247E"/>
    <w:rsid w:val="00B12FE2"/>
    <w:rsid w:val="00B14825"/>
    <w:rsid w:val="00B16B0D"/>
    <w:rsid w:val="00B17533"/>
    <w:rsid w:val="00B30D0D"/>
    <w:rsid w:val="00B31A90"/>
    <w:rsid w:val="00B31B5B"/>
    <w:rsid w:val="00B43424"/>
    <w:rsid w:val="00B435E6"/>
    <w:rsid w:val="00B46232"/>
    <w:rsid w:val="00B47798"/>
    <w:rsid w:val="00B50214"/>
    <w:rsid w:val="00B52922"/>
    <w:rsid w:val="00B539F7"/>
    <w:rsid w:val="00B53BA3"/>
    <w:rsid w:val="00B54390"/>
    <w:rsid w:val="00B578E6"/>
    <w:rsid w:val="00B646F0"/>
    <w:rsid w:val="00B659FA"/>
    <w:rsid w:val="00B663FF"/>
    <w:rsid w:val="00B66773"/>
    <w:rsid w:val="00B74A3C"/>
    <w:rsid w:val="00B76234"/>
    <w:rsid w:val="00B7624A"/>
    <w:rsid w:val="00B767B2"/>
    <w:rsid w:val="00B80881"/>
    <w:rsid w:val="00B82335"/>
    <w:rsid w:val="00B84039"/>
    <w:rsid w:val="00B84DB8"/>
    <w:rsid w:val="00B8531A"/>
    <w:rsid w:val="00B859DB"/>
    <w:rsid w:val="00BA108B"/>
    <w:rsid w:val="00BA5EAD"/>
    <w:rsid w:val="00BB08CA"/>
    <w:rsid w:val="00BB4347"/>
    <w:rsid w:val="00BC3017"/>
    <w:rsid w:val="00BC37DD"/>
    <w:rsid w:val="00BC3B47"/>
    <w:rsid w:val="00BC56A7"/>
    <w:rsid w:val="00BC6185"/>
    <w:rsid w:val="00BD2E45"/>
    <w:rsid w:val="00BD3958"/>
    <w:rsid w:val="00BE3A80"/>
    <w:rsid w:val="00BE3BFB"/>
    <w:rsid w:val="00BE5644"/>
    <w:rsid w:val="00BE6010"/>
    <w:rsid w:val="00BF2529"/>
    <w:rsid w:val="00BF3059"/>
    <w:rsid w:val="00BF343C"/>
    <w:rsid w:val="00BF5824"/>
    <w:rsid w:val="00BF7115"/>
    <w:rsid w:val="00C0143D"/>
    <w:rsid w:val="00C037CC"/>
    <w:rsid w:val="00C0558D"/>
    <w:rsid w:val="00C06767"/>
    <w:rsid w:val="00C076CF"/>
    <w:rsid w:val="00C0798A"/>
    <w:rsid w:val="00C119EB"/>
    <w:rsid w:val="00C15F97"/>
    <w:rsid w:val="00C16351"/>
    <w:rsid w:val="00C2045E"/>
    <w:rsid w:val="00C20CE0"/>
    <w:rsid w:val="00C23A83"/>
    <w:rsid w:val="00C246E8"/>
    <w:rsid w:val="00C259F8"/>
    <w:rsid w:val="00C278C5"/>
    <w:rsid w:val="00C34EE2"/>
    <w:rsid w:val="00C35665"/>
    <w:rsid w:val="00C37569"/>
    <w:rsid w:val="00C4081D"/>
    <w:rsid w:val="00C409D2"/>
    <w:rsid w:val="00C41A2D"/>
    <w:rsid w:val="00C456BB"/>
    <w:rsid w:val="00C45BF9"/>
    <w:rsid w:val="00C51922"/>
    <w:rsid w:val="00C51BCB"/>
    <w:rsid w:val="00C63C34"/>
    <w:rsid w:val="00C6716C"/>
    <w:rsid w:val="00C72EEC"/>
    <w:rsid w:val="00C756AB"/>
    <w:rsid w:val="00C771FF"/>
    <w:rsid w:val="00C84FE5"/>
    <w:rsid w:val="00C87286"/>
    <w:rsid w:val="00C905FF"/>
    <w:rsid w:val="00C941BE"/>
    <w:rsid w:val="00C96869"/>
    <w:rsid w:val="00C96B5A"/>
    <w:rsid w:val="00C97E2C"/>
    <w:rsid w:val="00CA1322"/>
    <w:rsid w:val="00CA18DE"/>
    <w:rsid w:val="00CB14FD"/>
    <w:rsid w:val="00CB1D7F"/>
    <w:rsid w:val="00CB1F4A"/>
    <w:rsid w:val="00CB3AA6"/>
    <w:rsid w:val="00CB3DEC"/>
    <w:rsid w:val="00CB7E3D"/>
    <w:rsid w:val="00CC3F0F"/>
    <w:rsid w:val="00CC4F1A"/>
    <w:rsid w:val="00CC61BC"/>
    <w:rsid w:val="00CD1D9B"/>
    <w:rsid w:val="00CD2343"/>
    <w:rsid w:val="00CD2547"/>
    <w:rsid w:val="00CD2CDD"/>
    <w:rsid w:val="00CD336D"/>
    <w:rsid w:val="00CD3C44"/>
    <w:rsid w:val="00CD46B9"/>
    <w:rsid w:val="00CD4AA6"/>
    <w:rsid w:val="00CD7DFA"/>
    <w:rsid w:val="00CE2B1D"/>
    <w:rsid w:val="00CE2B33"/>
    <w:rsid w:val="00CE33CA"/>
    <w:rsid w:val="00CF454D"/>
    <w:rsid w:val="00CF479F"/>
    <w:rsid w:val="00CF7228"/>
    <w:rsid w:val="00D00788"/>
    <w:rsid w:val="00D0282A"/>
    <w:rsid w:val="00D04ED0"/>
    <w:rsid w:val="00D0515A"/>
    <w:rsid w:val="00D05FDF"/>
    <w:rsid w:val="00D063D2"/>
    <w:rsid w:val="00D10F2B"/>
    <w:rsid w:val="00D12632"/>
    <w:rsid w:val="00D1427F"/>
    <w:rsid w:val="00D14E7A"/>
    <w:rsid w:val="00D17CCC"/>
    <w:rsid w:val="00D2269C"/>
    <w:rsid w:val="00D24897"/>
    <w:rsid w:val="00D25174"/>
    <w:rsid w:val="00D36565"/>
    <w:rsid w:val="00D3710E"/>
    <w:rsid w:val="00D375D1"/>
    <w:rsid w:val="00D46554"/>
    <w:rsid w:val="00D510BF"/>
    <w:rsid w:val="00D518B1"/>
    <w:rsid w:val="00D51C7B"/>
    <w:rsid w:val="00D5709B"/>
    <w:rsid w:val="00D57636"/>
    <w:rsid w:val="00D579CD"/>
    <w:rsid w:val="00D616D5"/>
    <w:rsid w:val="00D64B0C"/>
    <w:rsid w:val="00D65DDA"/>
    <w:rsid w:val="00D663EA"/>
    <w:rsid w:val="00D67769"/>
    <w:rsid w:val="00D7058A"/>
    <w:rsid w:val="00D716A8"/>
    <w:rsid w:val="00D75110"/>
    <w:rsid w:val="00D752B8"/>
    <w:rsid w:val="00D77366"/>
    <w:rsid w:val="00D775A8"/>
    <w:rsid w:val="00D8065F"/>
    <w:rsid w:val="00D816CE"/>
    <w:rsid w:val="00D831B2"/>
    <w:rsid w:val="00D83437"/>
    <w:rsid w:val="00D84095"/>
    <w:rsid w:val="00D87E03"/>
    <w:rsid w:val="00D93D7A"/>
    <w:rsid w:val="00D94F54"/>
    <w:rsid w:val="00D9723A"/>
    <w:rsid w:val="00D97EFD"/>
    <w:rsid w:val="00DA0724"/>
    <w:rsid w:val="00DA1402"/>
    <w:rsid w:val="00DA1613"/>
    <w:rsid w:val="00DA1C16"/>
    <w:rsid w:val="00DA2724"/>
    <w:rsid w:val="00DB2471"/>
    <w:rsid w:val="00DB30AF"/>
    <w:rsid w:val="00DB3F89"/>
    <w:rsid w:val="00DB4037"/>
    <w:rsid w:val="00DB5B98"/>
    <w:rsid w:val="00DB766B"/>
    <w:rsid w:val="00DC1AE3"/>
    <w:rsid w:val="00DC2301"/>
    <w:rsid w:val="00DC416B"/>
    <w:rsid w:val="00DD198E"/>
    <w:rsid w:val="00DD3080"/>
    <w:rsid w:val="00DD3F6E"/>
    <w:rsid w:val="00DD548B"/>
    <w:rsid w:val="00DE3768"/>
    <w:rsid w:val="00DE5B9E"/>
    <w:rsid w:val="00DE6364"/>
    <w:rsid w:val="00DE6D4C"/>
    <w:rsid w:val="00DE7AEF"/>
    <w:rsid w:val="00DF1782"/>
    <w:rsid w:val="00DF1B65"/>
    <w:rsid w:val="00DF1F46"/>
    <w:rsid w:val="00DF2355"/>
    <w:rsid w:val="00DF3F59"/>
    <w:rsid w:val="00E04838"/>
    <w:rsid w:val="00E06ABB"/>
    <w:rsid w:val="00E1022B"/>
    <w:rsid w:val="00E10CD1"/>
    <w:rsid w:val="00E12422"/>
    <w:rsid w:val="00E13DB8"/>
    <w:rsid w:val="00E170C9"/>
    <w:rsid w:val="00E22096"/>
    <w:rsid w:val="00E22A15"/>
    <w:rsid w:val="00E307A7"/>
    <w:rsid w:val="00E30884"/>
    <w:rsid w:val="00E34CD3"/>
    <w:rsid w:val="00E353E5"/>
    <w:rsid w:val="00E3792C"/>
    <w:rsid w:val="00E44981"/>
    <w:rsid w:val="00E45F92"/>
    <w:rsid w:val="00E461D5"/>
    <w:rsid w:val="00E50E9B"/>
    <w:rsid w:val="00E51CA7"/>
    <w:rsid w:val="00E52CB4"/>
    <w:rsid w:val="00E57397"/>
    <w:rsid w:val="00E65389"/>
    <w:rsid w:val="00E71C12"/>
    <w:rsid w:val="00E72F84"/>
    <w:rsid w:val="00E75484"/>
    <w:rsid w:val="00E76451"/>
    <w:rsid w:val="00E76FAF"/>
    <w:rsid w:val="00E80082"/>
    <w:rsid w:val="00E82A29"/>
    <w:rsid w:val="00E84D90"/>
    <w:rsid w:val="00E91C7F"/>
    <w:rsid w:val="00E9483F"/>
    <w:rsid w:val="00EA0983"/>
    <w:rsid w:val="00EA1F0E"/>
    <w:rsid w:val="00EA7699"/>
    <w:rsid w:val="00EB42B4"/>
    <w:rsid w:val="00EB4E4A"/>
    <w:rsid w:val="00EC11FE"/>
    <w:rsid w:val="00EC4A3F"/>
    <w:rsid w:val="00EC78D8"/>
    <w:rsid w:val="00ED09BA"/>
    <w:rsid w:val="00ED11BB"/>
    <w:rsid w:val="00ED1E6D"/>
    <w:rsid w:val="00ED20A2"/>
    <w:rsid w:val="00ED49F1"/>
    <w:rsid w:val="00ED7348"/>
    <w:rsid w:val="00EE1CB4"/>
    <w:rsid w:val="00EE5B44"/>
    <w:rsid w:val="00EE5F9E"/>
    <w:rsid w:val="00EE7076"/>
    <w:rsid w:val="00EF1815"/>
    <w:rsid w:val="00EF3078"/>
    <w:rsid w:val="00EF3AC4"/>
    <w:rsid w:val="00F0151D"/>
    <w:rsid w:val="00F027B6"/>
    <w:rsid w:val="00F02D77"/>
    <w:rsid w:val="00F04B1F"/>
    <w:rsid w:val="00F07B9E"/>
    <w:rsid w:val="00F15056"/>
    <w:rsid w:val="00F15774"/>
    <w:rsid w:val="00F1714F"/>
    <w:rsid w:val="00F179FB"/>
    <w:rsid w:val="00F20B94"/>
    <w:rsid w:val="00F22508"/>
    <w:rsid w:val="00F41052"/>
    <w:rsid w:val="00F41115"/>
    <w:rsid w:val="00F411F8"/>
    <w:rsid w:val="00F436FD"/>
    <w:rsid w:val="00F44187"/>
    <w:rsid w:val="00F4463D"/>
    <w:rsid w:val="00F44F00"/>
    <w:rsid w:val="00F45F9E"/>
    <w:rsid w:val="00F47234"/>
    <w:rsid w:val="00F5377A"/>
    <w:rsid w:val="00F5378F"/>
    <w:rsid w:val="00F651A2"/>
    <w:rsid w:val="00F65311"/>
    <w:rsid w:val="00F67198"/>
    <w:rsid w:val="00F701FA"/>
    <w:rsid w:val="00F7069E"/>
    <w:rsid w:val="00F70824"/>
    <w:rsid w:val="00F71320"/>
    <w:rsid w:val="00F74E9E"/>
    <w:rsid w:val="00F836C1"/>
    <w:rsid w:val="00F86120"/>
    <w:rsid w:val="00F87908"/>
    <w:rsid w:val="00F87C9B"/>
    <w:rsid w:val="00F940B8"/>
    <w:rsid w:val="00F94443"/>
    <w:rsid w:val="00F94B09"/>
    <w:rsid w:val="00F96C7B"/>
    <w:rsid w:val="00F96DAB"/>
    <w:rsid w:val="00FA26DE"/>
    <w:rsid w:val="00FA36FB"/>
    <w:rsid w:val="00FA46B8"/>
    <w:rsid w:val="00FA584E"/>
    <w:rsid w:val="00FA662F"/>
    <w:rsid w:val="00FB4A5D"/>
    <w:rsid w:val="00FB58B8"/>
    <w:rsid w:val="00FB673B"/>
    <w:rsid w:val="00FC492B"/>
    <w:rsid w:val="00FC624C"/>
    <w:rsid w:val="00FD60C1"/>
    <w:rsid w:val="00FD76C0"/>
    <w:rsid w:val="00FE540F"/>
    <w:rsid w:val="00FE77F9"/>
    <w:rsid w:val="00FE7DC0"/>
    <w:rsid w:val="00FF12AE"/>
    <w:rsid w:val="00FF2015"/>
    <w:rsid w:val="00FF64D0"/>
    <w:rsid w:val="00FF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154856"/>
  <w15:docId w15:val="{7512DB8E-D275-46D8-A537-428FA3748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er"/>
    <w:next w:val="Normal"/>
    <w:link w:val="Heading1Char"/>
    <w:uiPriority w:val="9"/>
    <w:qFormat/>
    <w:rsid w:val="007E0481"/>
    <w:pPr>
      <w:outlineLvl w:val="0"/>
    </w:pPr>
    <w:rPr>
      <w:rFonts w:ascii="Times New Roman" w:hAnsi="Times New Roman" w:cs="Times New Roman"/>
      <w:b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3D4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83D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61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61D5"/>
  </w:style>
  <w:style w:type="paragraph" w:styleId="Footer">
    <w:name w:val="footer"/>
    <w:basedOn w:val="Normal"/>
    <w:link w:val="FooterChar"/>
    <w:uiPriority w:val="99"/>
    <w:unhideWhenUsed/>
    <w:qFormat/>
    <w:rsid w:val="00E461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61D5"/>
  </w:style>
  <w:style w:type="paragraph" w:styleId="BalloonText">
    <w:name w:val="Balloon Text"/>
    <w:basedOn w:val="Normal"/>
    <w:link w:val="BalloonTextChar"/>
    <w:uiPriority w:val="99"/>
    <w:semiHidden/>
    <w:unhideWhenUsed/>
    <w:rsid w:val="007C2F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F5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713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13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13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13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1320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154B4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A25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0367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E0481"/>
    <w:rPr>
      <w:rFonts w:ascii="Times New Roman" w:hAnsi="Times New Roman" w:cs="Times New Roman"/>
      <w:b/>
      <w:sz w:val="40"/>
      <w:szCs w:val="40"/>
    </w:rPr>
  </w:style>
  <w:style w:type="paragraph" w:styleId="NoSpacing">
    <w:name w:val="No Spacing"/>
    <w:uiPriority w:val="1"/>
    <w:qFormat/>
    <w:rsid w:val="00770C5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37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3.xm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chart" Target="charts/chart6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hart" Target="charts/chart5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4/relationships/chartEx" Target="charts/chartEx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hart" Target="charts/chart4.xml"/><Relationship Id="rId23" Type="http://schemas.openxmlformats.org/officeDocument/2006/relationships/footer" Target="footer3.xml"/><Relationship Id="rId10" Type="http://schemas.openxmlformats.org/officeDocument/2006/relationships/chart" Target="charts/chart2.xm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image" Target="media/image3.png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ui.uillinois.edu\obfs\files\Treasury\Investments\Administration\Source%20Data\Source%20Data_6.30.20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adminfile1\obfs_treasury\Investments\Administration\Source%20Data\Source%20Data_6.30.20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oleObject" Target="file:///\\ui.uillinois.edu\obfs\files\Treasury\Investments\Administration\Source%20Data\Source%20Data_6.30.20.xlsx" TargetMode="Externa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\\adminfile1\obfs_treasury\Investments\Administration\Source%20Data\Source%20Data_6.30.20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\\ui.uillinois.edu\obfs\files\Treasury\Investments\Administration\Source%20Data\Source%20Data_3.31.22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Ex1.xml.rels><?xml version="1.0" encoding="UTF-8" standalone="yes"?>
<Relationships xmlns="http://schemas.openxmlformats.org/package/2006/relationships"><Relationship Id="rId3" Type="http://schemas.microsoft.com/office/2011/relationships/chartColorStyle" Target="colors3.xml"/><Relationship Id="rId2" Type="http://schemas.microsoft.com/office/2011/relationships/chartStyle" Target="style3.xml"/><Relationship Id="rId1" Type="http://schemas.openxmlformats.org/officeDocument/2006/relationships/oleObject" Target="file:///\\ui.uillinois.edu\obfs\files\Treasury\Investments\Administration\Source%20Data\Source%20Data_6.30.20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4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Lato" panose="020F0502020204030203" pitchFamily="34" charset="0"/>
                <a:ea typeface="Lato" panose="020F0502020204030203" pitchFamily="34" charset="0"/>
                <a:cs typeface="Lato" panose="020F0502020204030203" pitchFamily="34" charset="0"/>
              </a:defRPr>
            </a:pPr>
            <a:r>
              <a:rPr lang="en-US" sz="1200" b="1">
                <a:latin typeface="Times New Roman" panose="02020603050405020304" pitchFamily="18" charset="0"/>
                <a:cs typeface="Times New Roman" panose="02020603050405020304" pitchFamily="18" charset="0"/>
              </a:rPr>
              <a:t>System</a:t>
            </a:r>
            <a:r>
              <a:rPr lang="en-US" sz="12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Financial Assets</a:t>
            </a:r>
          </a:p>
          <a:p>
            <a:pPr>
              <a:defRPr/>
            </a:pPr>
            <a:r>
              <a:rPr lang="en-US" sz="11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$4.90 Billion</a:t>
            </a:r>
            <a:endParaRPr lang="en-US" sz="11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0185841466550739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4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Lato" panose="020F0502020204030203" pitchFamily="34" charset="0"/>
              <a:ea typeface="Lato" panose="020F0502020204030203" pitchFamily="34" charset="0"/>
              <a:cs typeface="Lato" panose="020F0502020204030203" pitchFamily="34" charset="0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spPr>
            <a:ln w="6350"/>
          </c:spPr>
          <c:dPt>
            <c:idx val="0"/>
            <c:bubble3D val="0"/>
            <c:spPr>
              <a:solidFill>
                <a:srgbClr val="002060"/>
              </a:solidFill>
              <a:ln w="9525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C91D-4543-8A0D-5DC9DE9C5F28}"/>
              </c:ext>
            </c:extLst>
          </c:dPt>
          <c:dPt>
            <c:idx val="1"/>
            <c:bubble3D val="0"/>
            <c:spPr>
              <a:solidFill>
                <a:srgbClr val="7030A0"/>
              </a:solidFill>
              <a:ln w="63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C91D-4543-8A0D-5DC9DE9C5F28}"/>
              </c:ext>
            </c:extLst>
          </c:dPt>
          <c:dPt>
            <c:idx val="2"/>
            <c:bubble3D val="0"/>
            <c:spPr>
              <a:solidFill>
                <a:srgbClr val="0070C0"/>
              </a:solidFill>
              <a:ln w="63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C91D-4543-8A0D-5DC9DE9C5F28}"/>
              </c:ext>
            </c:extLst>
          </c:dPt>
          <c:dPt>
            <c:idx val="3"/>
            <c:bubble3D val="0"/>
            <c:spPr>
              <a:solidFill>
                <a:schemeClr val="accent4">
                  <a:lumMod val="75000"/>
                </a:schemeClr>
              </a:solidFill>
              <a:ln w="63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C91D-4543-8A0D-5DC9DE9C5F28}"/>
              </c:ext>
            </c:extLst>
          </c:dPt>
          <c:dLbls>
            <c:dLbl>
              <c:idx val="0"/>
              <c:layout>
                <c:manualLayout>
                  <c:x val="-4.4910299898360297E-2"/>
                  <c:y val="1.9639912345862515E-2"/>
                </c:manualLayout>
              </c:layout>
              <c:tx>
                <c:rich>
                  <a:bodyPr/>
                  <a:lstStyle/>
                  <a:p>
                    <a:fld id="{85E662DB-6451-4200-82E4-361A8839E6DA}" type="CATEGORYNAME">
                      <a:rPr lang="en-US" smtClean="0"/>
                      <a:pPr/>
                      <a:t>[CATEGORY NAME]</a:t>
                    </a:fld>
                    <a:endParaRPr lang="en-US" baseline="0" dirty="0"/>
                  </a:p>
                  <a:p>
                    <a:r>
                      <a:rPr lang="en-US" baseline="0" dirty="0"/>
                      <a:t> </a:t>
                    </a:r>
                    <a:fld id="{FC05E0BE-8FF4-41D1-8E78-42BB700ABECD}" type="PERCENTAGE">
                      <a:rPr lang="en-US" baseline="0"/>
                      <a:pPr/>
                      <a:t>[PERCENTAGE]</a:t>
                    </a:fld>
                    <a:endParaRPr lang="en-US" baseline="0" dirty="0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6949912103606244"/>
                      <c:h val="0.23505607697605804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C91D-4543-8A0D-5DC9DE9C5F28}"/>
                </c:ext>
              </c:extLst>
            </c:dLbl>
            <c:dLbl>
              <c:idx val="1"/>
              <c:layout>
                <c:manualLayout>
                  <c:x val="2.9394937607915651E-2"/>
                  <c:y val="3.1555303818154717E-2"/>
                </c:manualLayout>
              </c:layout>
              <c:tx>
                <c:rich>
                  <a:bodyPr/>
                  <a:lstStyle/>
                  <a:p>
                    <a:fld id="{EA1B003A-3928-4AE4-84D2-08AF68F0AF08}" type="CATEGORYNAME">
                      <a:rPr lang="en-US" smtClean="0"/>
                      <a:pPr/>
                      <a:t>[CATEGORY NAME]</a:t>
                    </a:fld>
                    <a:endParaRPr lang="en-US" baseline="0"/>
                  </a:p>
                  <a:p>
                    <a:fld id="{A31EDD7D-0EF2-436A-A2DE-9E033481F3C0}" type="PERCENTAGE">
                      <a:rPr lang="en-US" baseline="0" smtClean="0"/>
                      <a:pPr/>
                      <a:t>[PERCENTAGE]</a:t>
                    </a:fld>
                    <a:endParaRPr lang="en-US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7710806037213032"/>
                      <c:h val="0.23505607697605804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C91D-4543-8A0D-5DC9DE9C5F28}"/>
                </c:ext>
              </c:extLst>
            </c:dLbl>
            <c:dLbl>
              <c:idx val="2"/>
              <c:layout>
                <c:manualLayout>
                  <c:x val="3.2276606948237224E-2"/>
                  <c:y val="0.13155418957064324"/>
                </c:manualLayout>
              </c:layout>
              <c:tx>
                <c:rich>
                  <a:bodyPr/>
                  <a:lstStyle/>
                  <a:p>
                    <a:fld id="{76E79644-7807-4F34-9C73-2E044763CE39}" type="CATEGORYNAME">
                      <a:rPr lang="en-US" smtClean="0"/>
                      <a:pPr/>
                      <a:t>[CATEGORY NAME]</a:t>
                    </a:fld>
                    <a:endParaRPr lang="en-US" baseline="0" dirty="0"/>
                  </a:p>
                  <a:p>
                    <a:r>
                      <a:rPr lang="en-US" baseline="0" dirty="0"/>
                      <a:t> </a:t>
                    </a:r>
                    <a:fld id="{B57E0C9B-DE9C-482A-BB90-79464399A7EC}" type="PERCENTAGE">
                      <a:rPr lang="en-US" baseline="0"/>
                      <a:pPr/>
                      <a:t>[PERCENTAGE]</a:t>
                    </a:fld>
                    <a:endParaRPr lang="en-US" baseline="0" dirty="0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32238211682035695"/>
                      <c:h val="0.23505607697605804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C91D-4543-8A0D-5DC9DE9C5F28}"/>
                </c:ext>
              </c:extLst>
            </c:dLbl>
            <c:dLbl>
              <c:idx val="3"/>
              <c:layout>
                <c:manualLayout>
                  <c:x val="6.6874027993779159E-2"/>
                  <c:y val="4.716981132075472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7163297045101087"/>
                      <c:h val="0.176886792452830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7-C91D-4543-8A0D-5DC9DE9C5F2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bg2">
                        <a:lumMod val="25000"/>
                      </a:schemeClr>
                    </a:solidFill>
                    <a:latin typeface="Times New Roman" panose="02020603050405020304" pitchFamily="18" charset="0"/>
                    <a:ea typeface="Lato" panose="020F0502020204030203" pitchFamily="34" charset="0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eparator>
</c:separator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Operating Pool</c:v>
                </c:pt>
                <c:pt idx="1">
                  <c:v>Permanent Core</c:v>
                </c:pt>
                <c:pt idx="2">
                  <c:v>Endowment Funds</c:v>
                </c:pt>
                <c:pt idx="3">
                  <c:v>Endowment Farms</c:v>
                </c:pt>
              </c:strCache>
            </c:strRef>
          </c:cat>
          <c:val>
            <c:numRef>
              <c:f>Sheet1!$B$2:$B$5</c:f>
              <c:numCache>
                <c:formatCode>"$"#,##0.0_);[Red]\("$"#,##0.0\)</c:formatCode>
                <c:ptCount val="4"/>
                <c:pt idx="0">
                  <c:v>3662.7</c:v>
                </c:pt>
                <c:pt idx="1">
                  <c:v>606.4</c:v>
                </c:pt>
                <c:pt idx="2">
                  <c:v>514.20000000000005</c:v>
                </c:pt>
                <c:pt idx="3">
                  <c:v>112.8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C91D-4543-8A0D-5DC9DE9C5F28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Column2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A-C91D-4543-8A0D-5DC9DE9C5F2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C-C91D-4543-8A0D-5DC9DE9C5F2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E-C91D-4543-8A0D-5DC9DE9C5F2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0-C91D-4543-8A0D-5DC9DE9C5F28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Lato" panose="020F0502020204030203" pitchFamily="34" charset="0"/>
                    <a:ea typeface="Lato" panose="020F0502020204030203" pitchFamily="34" charset="0"/>
                    <a:cs typeface="Lato" panose="020F0502020204030203" pitchFamily="34" charset="0"/>
                  </a:defRPr>
                </a:pPr>
                <a:endParaRPr lang="en-US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Operating Pool</c:v>
                </c:pt>
                <c:pt idx="1">
                  <c:v>Permanent Core</c:v>
                </c:pt>
                <c:pt idx="2">
                  <c:v>Endowment Funds</c:v>
                </c:pt>
                <c:pt idx="3">
                  <c:v>Endowment Farms</c:v>
                </c:pt>
              </c:strCache>
            </c:strRef>
          </c:cat>
          <c:val>
            <c:numRef>
              <c:f>Sheet1!$C$2:$C$5</c:f>
              <c:numCache>
                <c:formatCode>0.0%</c:formatCode>
                <c:ptCount val="4"/>
                <c:pt idx="0">
                  <c:v>0.74808521067788658</c:v>
                </c:pt>
                <c:pt idx="1">
                  <c:v>0.12385367945916138</c:v>
                </c:pt>
                <c:pt idx="2">
                  <c:v>0.10502236473928231</c:v>
                </c:pt>
                <c:pt idx="3">
                  <c:v>2.3038745123669862E-2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1-C91D-4543-8A0D-5DC9DE9C5F28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0"/>
        </c:dLbls>
        <c:firstSliceAng val="34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200">
          <a:latin typeface="Lato" panose="020F0502020204030203" pitchFamily="34" charset="0"/>
          <a:ea typeface="Lato" panose="020F0502020204030203" pitchFamily="34" charset="0"/>
          <a:cs typeface="Lato" panose="020F0502020204030203" pitchFamily="34" charset="0"/>
        </a:defRPr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n-US" sz="1200" b="1"/>
              <a:t>Endowment Pool Sources of Funding</a:t>
            </a:r>
          </a:p>
          <a:p>
            <a:pPr>
              <a:defRPr sz="1200"/>
            </a:pPr>
            <a:r>
              <a:rPr lang="en-US" sz="1100"/>
              <a:t>$1.12 Billion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"/>
          <c:y val="0.18431685622630503"/>
          <c:w val="0.98611111111111116"/>
          <c:h val="0.75914406532516765"/>
        </c:manualLayout>
      </c:layout>
      <c:ofPieChart>
        <c:ofPieType val="bar"/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7F45-4568-950F-37BC724E5DC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F45-4568-950F-37BC724E5DC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7F45-4568-950F-37BC724E5DC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7F45-4568-950F-37BC724E5DC1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7F45-4568-950F-37BC724E5DC1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7F45-4568-950F-37BC724E5DC1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7F45-4568-950F-37BC724E5DC1}"/>
              </c:ext>
            </c:extLst>
          </c:dPt>
          <c:dLbls>
            <c:dLbl>
              <c:idx val="0"/>
              <c:layout>
                <c:manualLayout>
                  <c:x val="0.17104541932258469"/>
                  <c:y val="7.4110527850676847E-4"/>
                </c:manualLayout>
              </c:layout>
              <c:tx>
                <c:rich>
                  <a:bodyPr rot="0" spcFirstLastPara="1" vertOverflow="ellipsis" vert="horz" wrap="square" anchor="ctr" anchorCtr="1"/>
                  <a:lstStyle/>
                  <a:p>
                    <a:pPr>
                      <a:defRPr sz="1000" b="0" i="0" u="none" strike="noStrike" kern="1200" baseline="0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fld id="{CDCA958A-5632-4557-A0D4-55F939F0AC71}" type="CATEGORYNAME">
                      <a:rPr lang="en-US" sz="1000">
                        <a:solidFill>
                          <a:schemeClr val="bg1"/>
                        </a:solidFill>
                      </a:rPr>
                      <a:pPr>
                        <a:defRPr sz="1000"/>
                      </a:pPr>
                      <a:t>[CATEGORY NAME]</a:t>
                    </a:fld>
                    <a:r>
                      <a:rPr lang="en-US" sz="1000" baseline="0">
                        <a:solidFill>
                          <a:schemeClr val="bg1"/>
                        </a:solidFill>
                      </a:rPr>
                      <a:t>
</a:t>
                    </a:r>
                    <a:fld id="{6CCBCC26-5F66-40C1-AEF9-C5FA0120C577}" type="PERCENTAGE">
                      <a:rPr lang="en-US" sz="1000" baseline="0">
                        <a:solidFill>
                          <a:schemeClr val="bg1"/>
                        </a:solidFill>
                      </a:rPr>
                      <a:pPr>
                        <a:defRPr sz="1000"/>
                      </a:pPr>
                      <a:t>[PERCENTAGE]</a:t>
                    </a:fld>
                    <a:endParaRPr lang="en-US" sz="1000" baseline="0">
                      <a:solidFill>
                        <a:schemeClr val="bg1"/>
                      </a:solidFill>
                    </a:endParaRP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000" b="0" i="0" u="none" strike="noStrike" kern="1200" baseline="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7F45-4568-950F-37BC724E5DC1}"/>
                </c:ext>
              </c:extLst>
            </c:dLbl>
            <c:dLbl>
              <c:idx val="1"/>
              <c:layout>
                <c:manualLayout>
                  <c:x val="1.1904511936007998E-3"/>
                  <c:y val="-1.8518518518518476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0"/>
                <a:lstStyle/>
                <a:p>
                  <a:pPr algn="l">
                    <a:defRPr sz="900" b="0" i="0" u="none" strike="noStrike" kern="1200" baseline="0">
                      <a:solidFill>
                        <a:schemeClr val="accent2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F45-4568-950F-37BC724E5DC1}"/>
                </c:ext>
              </c:extLst>
            </c:dLbl>
            <c:dLbl>
              <c:idx val="2"/>
              <c:layout>
                <c:manualLayout>
                  <c:x val="0"/>
                  <c:y val="-6.4814814814814811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0"/>
                <a:lstStyle/>
                <a:p>
                  <a:pPr algn="l">
                    <a:defRPr sz="900" b="0" i="0" u="none" strike="noStrike" kern="1200" baseline="0">
                      <a:solidFill>
                        <a:schemeClr val="bg1">
                          <a:lumMod val="50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F45-4568-950F-37BC724E5DC1}"/>
                </c:ext>
              </c:extLst>
            </c:dLbl>
            <c:dLbl>
              <c:idx val="3"/>
              <c:layout>
                <c:manualLayout>
                  <c:x val="-7.8110236220472443E-4"/>
                  <c:y val="-2.7777960046660836E-2"/>
                </c:manualLayout>
              </c:layout>
              <c:tx>
                <c:rich>
                  <a:bodyPr rot="0" spcFirstLastPara="1" vertOverflow="ellipsis" vert="horz" wrap="square" anchor="ctr" anchorCtr="0"/>
                  <a:lstStyle/>
                  <a:p>
                    <a:pPr algn="l">
                      <a:defRPr sz="900" b="0" i="0" u="none" strike="noStrike" kern="1200" baseline="0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fld id="{DA54200D-224F-481F-8AAC-F94B13366023}" type="CATEGORYNAME">
                      <a:rPr lang="en-US">
                        <a:solidFill>
                          <a:schemeClr val="accent4"/>
                        </a:solidFill>
                      </a:rPr>
                      <a:pPr algn="l">
                        <a:defRPr/>
                      </a:pPr>
                      <a:t>[CATEGORY NAME]</a:t>
                    </a:fld>
                    <a:r>
                      <a:rPr lang="en-US" baseline="0">
                        <a:solidFill>
                          <a:schemeClr val="accent4"/>
                        </a:solidFill>
                      </a:rPr>
                      <a:t>
</a:t>
                    </a:r>
                    <a:fld id="{017782D2-A550-4FFA-A5AB-6AF25117FF6D}" type="PERCENTAGE">
                      <a:rPr lang="en-US" baseline="0">
                        <a:solidFill>
                          <a:schemeClr val="accent4"/>
                        </a:solidFill>
                      </a:rPr>
                      <a:pPr algn="l">
                        <a:defRPr/>
                      </a:pPr>
                      <a:t>[PERCENTAGE]</a:t>
                    </a:fld>
                    <a:endParaRPr lang="en-US" baseline="0">
                      <a:solidFill>
                        <a:schemeClr val="accent4"/>
                      </a:solidFill>
                    </a:endParaRP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0"/>
                <a:lstStyle/>
                <a:p>
                  <a:pPr algn="l">
                    <a:defRPr sz="900" b="0" i="0" u="none" strike="noStrike" kern="1200" baseline="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608403324584427"/>
                      <c:h val="0.15756962671332747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7F45-4568-950F-37BC724E5DC1}"/>
                </c:ext>
              </c:extLst>
            </c:dLbl>
            <c:dLbl>
              <c:idx val="4"/>
              <c:layout>
                <c:manualLayout>
                  <c:x val="0"/>
                  <c:y val="3.7037037037037035E-2"/>
                </c:manualLayout>
              </c:layout>
              <c:tx>
                <c:rich>
                  <a:bodyPr rot="0" spcFirstLastPara="1" vertOverflow="ellipsis" vert="horz" wrap="square" anchor="ctr" anchorCtr="0"/>
                  <a:lstStyle/>
                  <a:p>
                    <a:pPr algn="l">
                      <a:defRPr sz="900" b="0" i="0" u="none" strike="noStrike" kern="1200" baseline="0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fld id="{36FE842C-6BF7-462C-9EC9-215E5F497A83}" type="CATEGORYNAME">
                      <a:rPr lang="en-US">
                        <a:solidFill>
                          <a:schemeClr val="accent1">
                            <a:lumMod val="75000"/>
                          </a:schemeClr>
                        </a:solidFill>
                      </a:rPr>
                      <a:pPr algn="l">
                        <a:defRPr/>
                      </a:pPr>
                      <a:t>[CATEGORY NAME]</a:t>
                    </a:fld>
                    <a:r>
                      <a:rPr lang="en-US" baseline="0">
                        <a:solidFill>
                          <a:schemeClr val="accent1">
                            <a:lumMod val="75000"/>
                          </a:schemeClr>
                        </a:solidFill>
                      </a:rPr>
                      <a:t>
</a:t>
                    </a:r>
                    <a:fld id="{1D853DE0-8ABB-4377-8D40-F12ECFD95AA3}" type="PERCENTAGE">
                      <a:rPr lang="en-US" baseline="0">
                        <a:solidFill>
                          <a:schemeClr val="accent1">
                            <a:lumMod val="75000"/>
                          </a:schemeClr>
                        </a:solidFill>
                      </a:rPr>
                      <a:pPr algn="l">
                        <a:defRPr/>
                      </a:pPr>
                      <a:t>[PERCENTAGE]</a:t>
                    </a:fld>
                    <a:endParaRPr lang="en-US" baseline="0">
                      <a:solidFill>
                        <a:schemeClr val="accent1">
                          <a:lumMod val="75000"/>
                        </a:schemeClr>
                      </a:solidFill>
                    </a:endParaRP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0"/>
                <a:lstStyle/>
                <a:p>
                  <a:pPr algn="l">
                    <a:defRPr sz="900" b="0" i="0" u="none" strike="noStrike" kern="1200" baseline="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7F45-4568-950F-37BC724E5DC1}"/>
                </c:ext>
              </c:extLst>
            </c:dLbl>
            <c:dLbl>
              <c:idx val="5"/>
              <c:layout>
                <c:manualLayout>
                  <c:x val="-3.9675040619931824E-4"/>
                  <c:y val="9.2592592592592421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0"/>
                <a:lstStyle/>
                <a:p>
                  <a:pPr algn="l">
                    <a:defRPr sz="900" b="0" i="0" u="none" strike="noStrike" kern="1200" baseline="0">
                      <a:solidFill>
                        <a:schemeClr val="accent6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7F45-4568-950F-37BC724E5DC1}"/>
                </c:ext>
              </c:extLst>
            </c:dLbl>
            <c:dLbl>
              <c:idx val="6"/>
              <c:layout>
                <c:manualLayout>
                  <c:x val="-0.25838940132483446"/>
                  <c:y val="-1.6081583552055992E-3"/>
                </c:manualLayout>
              </c:layout>
              <c:tx>
                <c:rich>
                  <a:bodyPr rot="0" spcFirstLastPara="1" vertOverflow="ellipsis" vert="horz" wrap="square" anchor="ctr" anchorCtr="1"/>
                  <a:lstStyle/>
                  <a:p>
                    <a:pPr>
                      <a:defRPr sz="1000" b="0" i="0" u="none" strike="noStrike" kern="1200" baseline="0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r>
                      <a:rPr lang="en-US" sz="1000">
                        <a:solidFill>
                          <a:schemeClr val="bg1"/>
                        </a:solidFill>
                      </a:rPr>
                      <a:t>Endowment Funds
</a:t>
                    </a:r>
                    <a:fld id="{B36992E0-ADFD-4AD6-8003-E32A6971CCC7}" type="PERCENTAGE">
                      <a:rPr lang="en-US" sz="1000">
                        <a:solidFill>
                          <a:schemeClr val="bg1"/>
                        </a:solidFill>
                      </a:rPr>
                      <a:pPr>
                        <a:defRPr sz="1000"/>
                      </a:pPr>
                      <a:t>[PERCENTAGE]</a:t>
                    </a:fld>
                    <a:endParaRPr lang="en-US" sz="1000">
                      <a:solidFill>
                        <a:schemeClr val="bg1"/>
                      </a:solidFill>
                    </a:endParaRP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000" b="0" i="0" u="none" strike="noStrike" kern="1200" baseline="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7359733158355209"/>
                      <c:h val="0.15756962671332747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D-7F45-4568-950F-37BC724E5DC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bestFit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'Total Endowment Fund'!$A$14:$A$19</c:f>
              <c:strCache>
                <c:ptCount val="6"/>
                <c:pt idx="0">
                  <c:v>Permament Core</c:v>
                </c:pt>
                <c:pt idx="1">
                  <c:v>Gifts</c:v>
                </c:pt>
                <c:pt idx="2">
                  <c:v>Royalties</c:v>
                </c:pt>
                <c:pt idx="3">
                  <c:v>Self-Insurance Reserves</c:v>
                </c:pt>
                <c:pt idx="4">
                  <c:v>Farm-Related</c:v>
                </c:pt>
                <c:pt idx="5">
                  <c:v>Other</c:v>
                </c:pt>
              </c:strCache>
            </c:strRef>
          </c:cat>
          <c:val>
            <c:numRef>
              <c:f>'Total Endowment Fund'!$B$14:$B$19</c:f>
              <c:numCache>
                <c:formatCode>0%</c:formatCode>
                <c:ptCount val="6"/>
                <c:pt idx="0">
                  <c:v>0.5456706802991681</c:v>
                </c:pt>
                <c:pt idx="1">
                  <c:v>0.24949045818454532</c:v>
                </c:pt>
                <c:pt idx="2">
                  <c:v>7.6540546817883345E-2</c:v>
                </c:pt>
                <c:pt idx="3">
                  <c:v>6.6486661922856127E-2</c:v>
                </c:pt>
                <c:pt idx="4">
                  <c:v>3.1365177071488545E-2</c:v>
                </c:pt>
                <c:pt idx="5">
                  <c:v>3.3036999617873014E-2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7F45-4568-950F-37BC724E5DC1}"/>
            </c:ext>
          </c:extLst>
        </c:ser>
        <c:dLbls>
          <c:dLblPos val="bestFit"/>
          <c:showLegendKey val="0"/>
          <c:showVal val="0"/>
          <c:showCatName val="1"/>
          <c:showSerName val="0"/>
          <c:showPercent val="1"/>
          <c:showBubbleSize val="0"/>
          <c:showLeaderLines val="0"/>
        </c:dLbls>
        <c:gapWidth val="100"/>
        <c:splitType val="pos"/>
        <c:splitPos val="5"/>
        <c:secondPieSize val="75"/>
        <c:serLines>
          <c:spPr>
            <a:ln w="9525" cap="flat" cmpd="sng" algn="ctr">
              <a:solidFill>
                <a:schemeClr val="tx1">
                  <a:lumMod val="35000"/>
                  <a:lumOff val="65000"/>
                </a:schemeClr>
              </a:solidFill>
              <a:round/>
            </a:ln>
            <a:effectLst/>
          </c:spPr>
        </c:serLines>
      </c:of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en-US" sz="1200" b="1">
                <a:latin typeface="Times New Roman" panose="02020603050405020304" pitchFamily="18" charset="0"/>
                <a:cs typeface="Times New Roman" panose="02020603050405020304" pitchFamily="18" charset="0"/>
              </a:rPr>
              <a:t>Endowment Pool by Asset Category Policy Ranges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n-US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'Endowment Pool Asset Allocation'!$B$25</c:f>
              <c:strCache>
                <c:ptCount val="1"/>
                <c:pt idx="0">
                  <c:v>Bottom End of Range</c:v>
                </c:pt>
              </c:strCache>
            </c:strRef>
          </c:tx>
          <c:spPr>
            <a:noFill/>
            <a:ln>
              <a:noFill/>
            </a:ln>
            <a:effectLst/>
          </c:spPr>
          <c:invertIfNegative val="0"/>
          <c:cat>
            <c:strRef>
              <c:f>'Endowment Pool Asset Allocation'!$A$26:$A$30</c:f>
              <c:strCache>
                <c:ptCount val="5"/>
                <c:pt idx="0">
                  <c:v>Global Equity</c:v>
                </c:pt>
                <c:pt idx="1">
                  <c:v>Global Fixed Income</c:v>
                </c:pt>
                <c:pt idx="2">
                  <c:v>Real Assets</c:v>
                </c:pt>
                <c:pt idx="3">
                  <c:v>Diversifying Strategies</c:v>
                </c:pt>
                <c:pt idx="4">
                  <c:v>Cash</c:v>
                </c:pt>
              </c:strCache>
            </c:strRef>
          </c:cat>
          <c:val>
            <c:numRef>
              <c:f>'Endowment Pool Asset Allocation'!$B$26:$B$30</c:f>
              <c:numCache>
                <c:formatCode>0%</c:formatCode>
                <c:ptCount val="5"/>
                <c:pt idx="0">
                  <c:v>0.48</c:v>
                </c:pt>
                <c:pt idx="1">
                  <c:v>0.15</c:v>
                </c:pt>
                <c:pt idx="2">
                  <c:v>0.09</c:v>
                </c:pt>
                <c:pt idx="3">
                  <c:v>0.03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07D-489E-B9CB-FB30B521AF8C}"/>
            </c:ext>
          </c:extLst>
        </c:ser>
        <c:ser>
          <c:idx val="1"/>
          <c:order val="1"/>
          <c:tx>
            <c:strRef>
              <c:f>'Endowment Pool Asset Allocation'!$C$25</c:f>
              <c:strCache>
                <c:ptCount val="1"/>
                <c:pt idx="0">
                  <c:v>Policy Allocation Range</c:v>
                </c:pt>
              </c:strCache>
            </c:strRef>
          </c:tx>
          <c:spPr>
            <a:solidFill>
              <a:schemeClr val="accent1">
                <a:lumMod val="50000"/>
              </a:schemeClr>
            </a:solidFill>
            <a:ln>
              <a:noFill/>
            </a:ln>
            <a:effectLst/>
          </c:spPr>
          <c:invertIfNegative val="0"/>
          <c:cat>
            <c:strRef>
              <c:f>'Endowment Pool Asset Allocation'!$A$26:$A$30</c:f>
              <c:strCache>
                <c:ptCount val="5"/>
                <c:pt idx="0">
                  <c:v>Global Equity</c:v>
                </c:pt>
                <c:pt idx="1">
                  <c:v>Global Fixed Income</c:v>
                </c:pt>
                <c:pt idx="2">
                  <c:v>Real Assets</c:v>
                </c:pt>
                <c:pt idx="3">
                  <c:v>Diversifying Strategies</c:v>
                </c:pt>
                <c:pt idx="4">
                  <c:v>Cash</c:v>
                </c:pt>
              </c:strCache>
            </c:strRef>
          </c:cat>
          <c:val>
            <c:numRef>
              <c:f>'Endowment Pool Asset Allocation'!$C$26:$C$30</c:f>
              <c:numCache>
                <c:formatCode>0%</c:formatCode>
                <c:ptCount val="5"/>
                <c:pt idx="0">
                  <c:v>0.2</c:v>
                </c:pt>
                <c:pt idx="1">
                  <c:v>0.1</c:v>
                </c:pt>
                <c:pt idx="2">
                  <c:v>0.1</c:v>
                </c:pt>
                <c:pt idx="3">
                  <c:v>0.1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07D-489E-B9CB-FB30B521AF8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100"/>
        <c:axId val="497568912"/>
        <c:axId val="497564976"/>
      </c:barChart>
      <c:scatterChart>
        <c:scatterStyle val="lineMarker"/>
        <c:varyColors val="0"/>
        <c:ser>
          <c:idx val="2"/>
          <c:order val="2"/>
          <c:tx>
            <c:strRef>
              <c:f>'Endowment Pool Asset Allocation'!$E$25</c:f>
              <c:strCache>
                <c:ptCount val="1"/>
                <c:pt idx="0">
                  <c:v>Actual Allocation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2.656042496679949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07D-489E-B9CB-FB30B521AF8C}"/>
                </c:ext>
              </c:extLst>
            </c:dLbl>
            <c:dLbl>
              <c:idx val="1"/>
              <c:layout>
                <c:manualLayout>
                  <c:x val="1.859229747675967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07D-489E-B9CB-FB30B521AF8C}"/>
                </c:ext>
              </c:extLst>
            </c:dLbl>
            <c:dLbl>
              <c:idx val="2"/>
              <c:layout>
                <c:manualLayout>
                  <c:x val="1.8592297476759532E-2"/>
                  <c:y val="-4.343105320304097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07D-489E-B9CB-FB30B521AF8C}"/>
                </c:ext>
              </c:extLst>
            </c:dLbl>
            <c:dLbl>
              <c:idx val="3"/>
              <c:layout>
                <c:manualLayout>
                  <c:x val="1.8592297476759629E-2"/>
                  <c:y val="-4.343105320303937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07D-489E-B9CB-FB30B521AF8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yVal>
            <c:numRef>
              <c:f>'Endowment Pool Asset Allocation'!$E$26:$E$30</c:f>
              <c:numCache>
                <c:formatCode>0%</c:formatCode>
                <c:ptCount val="5"/>
                <c:pt idx="0">
                  <c:v>0.57999999999999996</c:v>
                </c:pt>
                <c:pt idx="1">
                  <c:v>0.21</c:v>
                </c:pt>
                <c:pt idx="2">
                  <c:v>0.13</c:v>
                </c:pt>
                <c:pt idx="3">
                  <c:v>0.08</c:v>
                </c:pt>
                <c:pt idx="4">
                  <c:v>0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6-507D-489E-B9CB-FB30B521AF8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97572848"/>
        <c:axId val="497562024"/>
      </c:scatterChart>
      <c:catAx>
        <c:axId val="4975689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497564976"/>
        <c:crosses val="autoZero"/>
        <c:auto val="1"/>
        <c:lblAlgn val="ctr"/>
        <c:lblOffset val="100"/>
        <c:noMultiLvlLbl val="0"/>
      </c:catAx>
      <c:valAx>
        <c:axId val="4975649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497568912"/>
        <c:crosses val="autoZero"/>
        <c:crossBetween val="between"/>
      </c:valAx>
      <c:valAx>
        <c:axId val="497562024"/>
        <c:scaling>
          <c:orientation val="minMax"/>
        </c:scaling>
        <c:delete val="1"/>
        <c:axPos val="r"/>
        <c:numFmt formatCode="0%" sourceLinked="1"/>
        <c:majorTickMark val="out"/>
        <c:minorTickMark val="none"/>
        <c:tickLblPos val="nextTo"/>
        <c:crossAx val="497572848"/>
        <c:crosses val="max"/>
        <c:crossBetween val="midCat"/>
      </c:valAx>
      <c:valAx>
        <c:axId val="497572848"/>
        <c:scaling>
          <c:orientation val="minMax"/>
        </c:scaling>
        <c:delete val="1"/>
        <c:axPos val="t"/>
        <c:numFmt formatCode="General" sourceLinked="1"/>
        <c:majorTickMark val="out"/>
        <c:minorTickMark val="none"/>
        <c:tickLblPos val="nextTo"/>
        <c:crossAx val="497562024"/>
        <c:crosses val="max"/>
        <c:crossBetween val="midCat"/>
      </c:valAx>
      <c:spPr>
        <a:noFill/>
        <a:ln>
          <a:noFill/>
        </a:ln>
        <a:effectLst/>
      </c:spPr>
    </c:plotArea>
    <c:legend>
      <c:legendPos val="b"/>
      <c:legendEntry>
        <c:idx val="0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900">
          <a:latin typeface="Arial" panose="020B0604020202020204" pitchFamily="34" charset="0"/>
          <a:cs typeface="Arial" panose="020B0604020202020204" pitchFamily="34" charset="0"/>
        </a:defRPr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n-US" sz="1200" b="1">
                <a:latin typeface="Times New Roman" panose="02020603050405020304" pitchFamily="18" charset="0"/>
                <a:cs typeface="Times New Roman" panose="02020603050405020304" pitchFamily="18" charset="0"/>
              </a:rPr>
              <a:t>Endowment Pool Historical Performance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'Endowment Pool'!$B$2</c:f>
              <c:strCache>
                <c:ptCount val="1"/>
                <c:pt idx="0">
                  <c:v>Pool</c:v>
                </c:pt>
              </c:strCache>
            </c:strRef>
          </c:tx>
          <c:spPr>
            <a:solidFill>
              <a:srgbClr val="5B9BD5">
                <a:lumMod val="50000"/>
              </a:srgbClr>
            </a:solidFill>
            <a:ln>
              <a:noFill/>
            </a:ln>
            <a:effectLst/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'Endowment Pool'!$A$3:$A$10</c:f>
              <c:strCache>
                <c:ptCount val="4"/>
                <c:pt idx="0">
                  <c:v>1 Year</c:v>
                </c:pt>
                <c:pt idx="1">
                  <c:v>3 Years</c:v>
                </c:pt>
                <c:pt idx="2">
                  <c:v>5 Years</c:v>
                </c:pt>
                <c:pt idx="3">
                  <c:v>10 Years</c:v>
                </c:pt>
              </c:strCache>
              <c:extLst/>
            </c:strRef>
          </c:cat>
          <c:val>
            <c:numRef>
              <c:f>'Endowment Pool'!$B$3:$B$10</c:f>
              <c:numCache>
                <c:formatCode>0.0</c:formatCode>
                <c:ptCount val="4"/>
                <c:pt idx="0">
                  <c:v>9.4</c:v>
                </c:pt>
                <c:pt idx="1">
                  <c:v>3.3</c:v>
                </c:pt>
                <c:pt idx="2" formatCode="General">
                  <c:v>7.3</c:v>
                </c:pt>
                <c:pt idx="3" formatCode="General">
                  <c:v>6.3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0-0A8E-4C7E-8195-0109E4B6B29B}"/>
            </c:ext>
          </c:extLst>
        </c:ser>
        <c:ser>
          <c:idx val="1"/>
          <c:order val="1"/>
          <c:tx>
            <c:strRef>
              <c:f>'Endowment Pool'!$C$2</c:f>
              <c:strCache>
                <c:ptCount val="1"/>
                <c:pt idx="0">
                  <c:v>Benchmark</c:v>
                </c:pt>
              </c:strCache>
            </c:strRef>
          </c:tx>
          <c:spPr>
            <a:solidFill>
              <a:sysClr val="window" lastClr="FFFFFF">
                <a:lumMod val="50000"/>
              </a:sysClr>
            </a:solidFill>
            <a:ln>
              <a:noFill/>
            </a:ln>
            <a:effectLst/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'Endowment Pool'!$A$3:$A$10</c:f>
              <c:strCache>
                <c:ptCount val="4"/>
                <c:pt idx="0">
                  <c:v>1 Year</c:v>
                </c:pt>
                <c:pt idx="1">
                  <c:v>3 Years</c:v>
                </c:pt>
                <c:pt idx="2">
                  <c:v>5 Years</c:v>
                </c:pt>
                <c:pt idx="3">
                  <c:v>10 Years</c:v>
                </c:pt>
              </c:strCache>
              <c:extLst/>
            </c:strRef>
          </c:cat>
          <c:val>
            <c:numRef>
              <c:f>'Endowment Pool'!$C$3:$C$10</c:f>
              <c:numCache>
                <c:formatCode>0.0</c:formatCode>
                <c:ptCount val="4"/>
                <c:pt idx="0">
                  <c:v>9.1999999999999993</c:v>
                </c:pt>
                <c:pt idx="1">
                  <c:v>3.5</c:v>
                </c:pt>
                <c:pt idx="2">
                  <c:v>7.9</c:v>
                </c:pt>
                <c:pt idx="3">
                  <c:v>6.8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1-0A8E-4C7E-8195-0109E4B6B29B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973546392"/>
        <c:axId val="973546784"/>
      </c:barChart>
      <c:catAx>
        <c:axId val="9735463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973546784"/>
        <c:crosses val="autoZero"/>
        <c:auto val="1"/>
        <c:lblAlgn val="ctr"/>
        <c:lblOffset val="100"/>
        <c:noMultiLvlLbl val="0"/>
      </c:catAx>
      <c:valAx>
        <c:axId val="973546784"/>
        <c:scaling>
          <c:orientation val="minMax"/>
          <c:max val="1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 sz="100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Return (%)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973546392"/>
        <c:crosses val="autoZero"/>
        <c:crossBetween val="between"/>
        <c:majorUnit val="2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 sz="1050">
          <a:latin typeface="Arial" panose="020B0604020202020204" pitchFamily="34" charset="0"/>
          <a:cs typeface="Arial" panose="020B0604020202020204" pitchFamily="34" charset="0"/>
        </a:defRPr>
      </a:pPr>
      <a:endParaRPr lang="en-US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en-US" b="1">
                <a:latin typeface="Times New Roman" panose="02020603050405020304" pitchFamily="18" charset="0"/>
                <a:cs typeface="Times New Roman" panose="02020603050405020304" pitchFamily="18" charset="0"/>
              </a:rPr>
              <a:t>Operating Pool by Liquidity Layer Policy Ranges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n-US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'Operating Pool'!$B$33</c:f>
              <c:strCache>
                <c:ptCount val="1"/>
                <c:pt idx="0">
                  <c:v>Column1</c:v>
                </c:pt>
              </c:strCache>
            </c:strRef>
          </c:tx>
          <c:spPr>
            <a:noFill/>
            <a:ln>
              <a:noFill/>
            </a:ln>
            <a:effectLst/>
          </c:spPr>
          <c:invertIfNegative val="0"/>
          <c:cat>
            <c:strRef>
              <c:f>'Operating Pool'!$A$34:$A$37</c:f>
              <c:strCache>
                <c:ptCount val="4"/>
                <c:pt idx="0">
                  <c:v>Primary Liquidity
(0-1 Year)</c:v>
                </c:pt>
                <c:pt idx="1">
                  <c:v>Liquid Core
(1-3 Years)</c:v>
                </c:pt>
                <c:pt idx="2">
                  <c:v>Core
(3-5 Years)</c:v>
                </c:pt>
                <c:pt idx="3">
                  <c:v>Permanent Core
(5+ Years)</c:v>
                </c:pt>
              </c:strCache>
            </c:strRef>
          </c:cat>
          <c:val>
            <c:numRef>
              <c:f>'Operating Pool'!$B$34:$B$37</c:f>
              <c:numCache>
                <c:formatCode>_(* #,##0_);_(* \(#,##0\);_(* "-"??_);_(@_)</c:formatCode>
                <c:ptCount val="4"/>
                <c:pt idx="0">
                  <c:v>30</c:v>
                </c:pt>
                <c:pt idx="1">
                  <c:v>10</c:v>
                </c:pt>
                <c:pt idx="2">
                  <c:v>10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757-4C08-B57E-C69F7244DDCD}"/>
            </c:ext>
          </c:extLst>
        </c:ser>
        <c:ser>
          <c:idx val="1"/>
          <c:order val="1"/>
          <c:tx>
            <c:strRef>
              <c:f>'Operating Pool'!$C$33</c:f>
              <c:strCache>
                <c:ptCount val="1"/>
                <c:pt idx="0">
                  <c:v>Policy Range</c:v>
                </c:pt>
              </c:strCache>
            </c:strRef>
          </c:tx>
          <c:spPr>
            <a:solidFill>
              <a:schemeClr val="accent1">
                <a:lumMod val="50000"/>
              </a:schemeClr>
            </a:solidFill>
            <a:ln>
              <a:noFill/>
            </a:ln>
            <a:effectLst/>
          </c:spPr>
          <c:invertIfNegative val="0"/>
          <c:cat>
            <c:strRef>
              <c:f>'Operating Pool'!$A$34:$A$37</c:f>
              <c:strCache>
                <c:ptCount val="4"/>
                <c:pt idx="0">
                  <c:v>Primary Liquidity
(0-1 Year)</c:v>
                </c:pt>
                <c:pt idx="1">
                  <c:v>Liquid Core
(1-3 Years)</c:v>
                </c:pt>
                <c:pt idx="2">
                  <c:v>Core
(3-5 Years)</c:v>
                </c:pt>
                <c:pt idx="3">
                  <c:v>Permanent Core
(5+ Years)</c:v>
                </c:pt>
              </c:strCache>
            </c:strRef>
          </c:cat>
          <c:val>
            <c:numRef>
              <c:f>'Operating Pool'!$C$34:$C$37</c:f>
              <c:numCache>
                <c:formatCode>_(* #,##0_);_(* \(#,##0\);_(* "-"??_);_(@_)</c:formatCode>
                <c:ptCount val="4"/>
                <c:pt idx="0">
                  <c:v>75</c:v>
                </c:pt>
                <c:pt idx="1">
                  <c:v>40</c:v>
                </c:pt>
                <c:pt idx="2">
                  <c:v>40</c:v>
                </c:pt>
                <c:pt idx="3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757-4C08-B57E-C69F7244DDC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100"/>
        <c:axId val="567088432"/>
        <c:axId val="567088824"/>
      </c:barChart>
      <c:scatterChart>
        <c:scatterStyle val="lineMarker"/>
        <c:varyColors val="0"/>
        <c:ser>
          <c:idx val="2"/>
          <c:order val="2"/>
          <c:tx>
            <c:strRef>
              <c:f>'Operating Pool'!$D$33</c:f>
              <c:strCache>
                <c:ptCount val="1"/>
                <c:pt idx="0">
                  <c:v>Actual Allocation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bg1"/>
              </a:solidFill>
              <a:ln w="9525">
                <a:solidFill>
                  <a:schemeClr val="accent3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3.5692679975801569E-2"/>
                  <c:y val="-6.022408963585439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B1E-426B-9A10-E109EBA71150}"/>
                </c:ext>
              </c:extLst>
            </c:dLbl>
            <c:dLbl>
              <c:idx val="1"/>
              <c:layout>
                <c:manualLayout>
                  <c:x val="-3.5692679975801569E-2"/>
                  <c:y val="-6.022408963585434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55E-4FBC-B165-A0DB897743ED}"/>
                </c:ext>
              </c:extLst>
            </c:dLbl>
            <c:dLbl>
              <c:idx val="2"/>
              <c:layout>
                <c:manualLayout>
                  <c:x val="-4.0532365396249243E-2"/>
                  <c:y val="-6.582633053221288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44D-4CCB-A85A-C7DBBFCA3C44}"/>
                </c:ext>
              </c:extLst>
            </c:dLbl>
            <c:dLbl>
              <c:idx val="3"/>
              <c:layout>
                <c:manualLayout>
                  <c:x val="-3.8112522686025593E-2"/>
                  <c:y val="-5.1820728291316627E-2"/>
                </c:manualLayout>
              </c:layout>
              <c:tx>
                <c:rich>
                  <a:bodyPr/>
                  <a:lstStyle/>
                  <a:p>
                    <a:fld id="{FA6B8FFC-7B9E-4EEF-9C89-2D7D58219BC5}" type="YVALUE">
                      <a:rPr lang="en-US"/>
                      <a:pPr/>
                      <a:t>[Y VALUE]</a:t>
                    </a:fld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4767090139140951E-2"/>
                      <c:h val="4.2016806722689079E-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B757-4C08-B57E-C69F7244DDC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bg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xVal>
            <c:strRef>
              <c:f>'Operating Pool'!$A$34:$A$37</c:f>
              <c:strCache>
                <c:ptCount val="4"/>
                <c:pt idx="0">
                  <c:v>Primary Liquidity
(0-1 Year)</c:v>
                </c:pt>
                <c:pt idx="1">
                  <c:v>Liquid Core
(1-3 Years)</c:v>
                </c:pt>
                <c:pt idx="2">
                  <c:v>Core
(3-5 Years)</c:v>
                </c:pt>
                <c:pt idx="3">
                  <c:v>Permanent Core
(5+ Years)</c:v>
                </c:pt>
              </c:strCache>
            </c:strRef>
          </c:xVal>
          <c:yVal>
            <c:numRef>
              <c:f>'Operating Pool'!$D$34:$D$37</c:f>
              <c:numCache>
                <c:formatCode>_(* #,##0_);_(* \(#,##0\);_(* "-"??_);_(@_)</c:formatCode>
                <c:ptCount val="4"/>
                <c:pt idx="0">
                  <c:v>48</c:v>
                </c:pt>
                <c:pt idx="1">
                  <c:v>20</c:v>
                </c:pt>
                <c:pt idx="2">
                  <c:v>18</c:v>
                </c:pt>
                <c:pt idx="3">
                  <c:v>14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3-B757-4C08-B57E-C69F7244DDC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67088432"/>
        <c:axId val="567088824"/>
      </c:scatterChart>
      <c:catAx>
        <c:axId val="5670884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567088824"/>
        <c:crosses val="autoZero"/>
        <c:auto val="1"/>
        <c:lblAlgn val="ctr"/>
        <c:lblOffset val="100"/>
        <c:noMultiLvlLbl val="0"/>
      </c:catAx>
      <c:valAx>
        <c:axId val="567088824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 sz="100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Percent of Total Pool (%)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_(* #,##0_);_(* \(#,##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5670884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 sz="1000">
          <a:latin typeface="Arial" panose="020B0604020202020204" pitchFamily="34" charset="0"/>
          <a:cs typeface="Arial" panose="020B0604020202020204" pitchFamily="34" charset="0"/>
        </a:defRPr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n-US" sz="1200" b="1"/>
              <a:t>Operating Pool Historical Performance</a:t>
            </a:r>
          </a:p>
          <a:p>
            <a:pPr>
              <a:defRPr sz="1200"/>
            </a:pPr>
            <a:r>
              <a:rPr lang="en-US" sz="1200"/>
              <a:t>Total Pool: $3.66 Billion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'Operating Pool'!$A$3</c:f>
              <c:strCache>
                <c:ptCount val="1"/>
                <c:pt idx="0">
                  <c:v>Pool</c:v>
                </c:pt>
              </c:strCache>
            </c:strRef>
          </c:tx>
          <c:spPr>
            <a:solidFill>
              <a:schemeClr val="accent1">
                <a:lumMod val="50000"/>
              </a:schemeClr>
            </a:solidFill>
            <a:ln>
              <a:noFill/>
            </a:ln>
            <a:effectLst/>
          </c:spPr>
          <c:invertIfNegative val="0"/>
          <c:dLbls>
            <c:numFmt formatCode="#,##0.0_);\(#,##0.0\)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'Operating Pool'!$C$2:$G$2</c:f>
              <c:strCache>
                <c:ptCount val="4"/>
                <c:pt idx="0">
                  <c:v>1 Year</c:v>
                </c:pt>
                <c:pt idx="1">
                  <c:v>3 Years</c:v>
                </c:pt>
                <c:pt idx="2">
                  <c:v>5 Years</c:v>
                </c:pt>
                <c:pt idx="3">
                  <c:v>10 Years </c:v>
                </c:pt>
              </c:strCache>
            </c:strRef>
          </c:cat>
          <c:val>
            <c:numRef>
              <c:f>'Operating Pool'!$C$3:$G$3</c:f>
              <c:numCache>
                <c:formatCode>_(* #,##0.0_);_(* \(#,##0.0\);_(* "-"??_);_(@_)</c:formatCode>
                <c:ptCount val="4"/>
                <c:pt idx="0">
                  <c:v>5.3</c:v>
                </c:pt>
                <c:pt idx="1">
                  <c:v>1.89</c:v>
                </c:pt>
                <c:pt idx="2">
                  <c:v>1.98</c:v>
                </c:pt>
                <c:pt idx="3">
                  <c:v>1.7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76E-45AE-A9B5-22264248DA02}"/>
            </c:ext>
          </c:extLst>
        </c:ser>
        <c:ser>
          <c:idx val="1"/>
          <c:order val="1"/>
          <c:tx>
            <c:strRef>
              <c:f>'Operating Pool'!$A$4</c:f>
              <c:strCache>
                <c:ptCount val="1"/>
                <c:pt idx="0">
                  <c:v>Benchmark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1.5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62E2-4FE2-B7EE-815C214BF2BD}"/>
                </c:ext>
              </c:extLst>
            </c:dLbl>
            <c:dLbl>
              <c:idx val="3"/>
              <c:layout>
                <c:manualLayout>
                  <c:x val="8.3333333333333332E-3"/>
                  <c:y val="9.259259259259281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76E-45AE-A9B5-22264248DA0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'Operating Pool'!$C$2:$G$2</c:f>
              <c:strCache>
                <c:ptCount val="4"/>
                <c:pt idx="0">
                  <c:v>1 Year</c:v>
                </c:pt>
                <c:pt idx="1">
                  <c:v>3 Years</c:v>
                </c:pt>
                <c:pt idx="2">
                  <c:v>5 Years</c:v>
                </c:pt>
                <c:pt idx="3">
                  <c:v>10 Years </c:v>
                </c:pt>
              </c:strCache>
            </c:strRef>
          </c:cat>
          <c:val>
            <c:numRef>
              <c:f>'Operating Pool'!$C$4:$G$4</c:f>
              <c:numCache>
                <c:formatCode>_(* #,##0.0_);_(* \(#,##0.0\);_(* "-"??_);_(@_)</c:formatCode>
                <c:ptCount val="4"/>
                <c:pt idx="0">
                  <c:v>4.9000000000000004</c:v>
                </c:pt>
                <c:pt idx="1">
                  <c:v>1.53</c:v>
                </c:pt>
                <c:pt idx="2">
                  <c:v>1.7</c:v>
                </c:pt>
                <c:pt idx="3">
                  <c:v>1.53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76E-45AE-A9B5-22264248DA0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30017720"/>
        <c:axId val="630018048"/>
      </c:barChart>
      <c:catAx>
        <c:axId val="6300177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630018048"/>
        <c:crosses val="autoZero"/>
        <c:auto val="1"/>
        <c:lblAlgn val="ctr"/>
        <c:lblOffset val="100"/>
        <c:noMultiLvlLbl val="0"/>
      </c:catAx>
      <c:valAx>
        <c:axId val="6300180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/>
                  <a:t>Return (%)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_(* #,##0.0_);_(* \(#,##0.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6300177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bg1">
          <a:lumMod val="50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Ex1.xml><?xml version="1.0" encoding="utf-8"?>
<cx:chartSpace xmlns:a="http://schemas.openxmlformats.org/drawingml/2006/main" xmlns:r="http://schemas.openxmlformats.org/officeDocument/2006/relationships" xmlns:cx="http://schemas.microsoft.com/office/drawing/2014/chartex">
  <cx:chartData>
    <cx:externalData r:id="rId1" cx:autoUpdate="0"/>
    <cx:data id="0">
      <cx:strDim type="cat">
        <cx:f>'New EP AA'!$A$2:$B$9</cx:f>
        <cx:lvl ptCount="8">
          <cx:pt idx="0">U.S. Equity</cx:pt>
          <cx:pt idx="1">Non-U.S. Equity</cx:pt>
          <cx:pt idx="2">Private Equity</cx:pt>
          <cx:pt idx="3">Global Fixed Income </cx:pt>
          <cx:pt idx="4">Real Estate</cx:pt>
          <cx:pt idx="5">Farmland </cx:pt>
          <cx:pt idx="6">Diversifying Strategies</cx:pt>
          <cx:pt idx="7">Cash</cx:pt>
        </cx:lvl>
        <cx:lvl ptCount="8">
          <cx:pt idx="0">Global Equity</cx:pt>
          <cx:pt idx="1">Global Equity</cx:pt>
          <cx:pt idx="2">Global Equity</cx:pt>
          <cx:pt idx="3">Global Fixed Income</cx:pt>
          <cx:pt idx="4">Real Assets</cx:pt>
          <cx:pt idx="5">Real Assets</cx:pt>
          <cx:pt idx="6">Diversifying Strategies</cx:pt>
          <cx:pt idx="7">Cash</cx:pt>
        </cx:lvl>
      </cx:strDim>
      <cx:numDim type="size">
        <cx:f>'New EP AA'!$C$2:$C$9</cx:f>
        <cx:lvl ptCount="8" formatCode="0%">
          <cx:pt idx="0">0.25</cx:pt>
          <cx:pt idx="1">0.23000000000000001</cx:pt>
          <cx:pt idx="2">0.10000000000000001</cx:pt>
          <cx:pt idx="3">0.20999999999999999</cx:pt>
          <cx:pt idx="4">0.059999999999999998</cx:pt>
          <cx:pt idx="5">0.070000000000000007</cx:pt>
          <cx:pt idx="6">0.080000000000000002</cx:pt>
          <cx:pt idx="7">0</cx:pt>
        </cx:lvl>
      </cx:numDim>
    </cx:data>
  </cx:chartData>
  <cx:chart>
    <cx:title pos="t" align="ctr" overlay="0">
      <cx:tx>
        <cx:rich>
          <a:bodyPr spcFirstLastPara="1" vertOverflow="ellipsis" horzOverflow="overflow" wrap="square" lIns="0" tIns="0" rIns="0" bIns="0" anchor="ctr" anchorCtr="1"/>
          <a:lstStyle/>
          <a:p>
            <a:pPr algn="ctr" rtl="0">
              <a:defRPr sz="1200">
                <a:latin typeface="Times New Roman" panose="02020603050405020304" pitchFamily="18" charset="0"/>
                <a:ea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en-US" sz="12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Endowment Pool Asset Allocation</a:t>
            </a:r>
          </a:p>
          <a:p>
            <a:pPr algn="ctr" rtl="0">
              <a:defRPr sz="1200">
                <a:latin typeface="Times New Roman" panose="02020603050405020304" pitchFamily="18" charset="0"/>
                <a:ea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en-US" sz="11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$1.12 Billion</a:t>
            </a:r>
          </a:p>
        </cx:rich>
      </cx:tx>
    </cx:title>
    <cx:plotArea>
      <cx:plotAreaRegion>
        <cx:series layoutId="sunburst" uniqueId="{7D2BD11E-D44D-4566-B879-EF7A1978F55A}">
          <cx:dataPt idx="0">
            <cx:spPr>
              <a:solidFill>
                <a:srgbClr val="4472C4">
                  <a:lumMod val="50000"/>
                </a:srgbClr>
              </a:solidFill>
            </cx:spPr>
          </cx:dataPt>
          <cx:dataPt idx="4">
            <cx:spPr>
              <a:solidFill>
                <a:srgbClr val="ED7D31">
                  <a:lumMod val="75000"/>
                </a:srgbClr>
              </a:solidFill>
            </cx:spPr>
          </cx:dataPt>
          <cx:dataPt idx="6">
            <cx:spPr>
              <a:solidFill>
                <a:sysClr val="window" lastClr="FFFFFF">
                  <a:lumMod val="65000"/>
                </a:sysClr>
              </a:solidFill>
            </cx:spPr>
          </cx:dataPt>
          <cx:dataPt idx="9">
            <cx:spPr>
              <a:solidFill>
                <a:srgbClr val="FFC000"/>
              </a:solidFill>
            </cx:spPr>
          </cx:dataPt>
          <cx:dataPt idx="11">
            <cx:spPr>
              <a:solidFill>
                <a:srgbClr val="5B9BD5">
                  <a:lumMod val="75000"/>
                </a:srgbClr>
              </a:solidFill>
            </cx:spPr>
          </cx:dataPt>
          <cx:dataId val="0"/>
        </cx:series>
      </cx:plotAreaRegion>
    </cx:plotArea>
  </cx:chart>
  <cx:clrMapOvr bg1="lt1" tx1="dk1" bg2="lt2" tx2="dk2" accent1="accent1" accent2="accent2" accent3="accent3" accent4="accent4" accent5="accent5" accent6="accent6" hlink="hlink" folHlink="folHlink"/>
</cx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33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50000"/>
            <a:lumOff val="50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4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38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850" kern="1200"/>
    <cs:bodyPr wrap="square" lIns="38100" tIns="19050" rIns="38100" bIns="19050" anchor="ctr">
      <a:spAutoFit/>
    </cs:bodyPr>
  </cs:dataLabel>
  <cs:dataLabelCallout>
    <cs:lnRef idx="0"/>
    <cs:fillRef idx="0"/>
    <cs:effectRef idx="0"/>
    <cs:fontRef idx="minor">
      <a:schemeClr val="tx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defRPr sz="900"/>
  </cs:dataTable>
  <cs:downBar>
    <cs:lnRef idx="0"/>
    <cs:fillRef idx="0"/>
    <cs:effectRef idx="0"/>
    <cs:fontRef idx="minor">
      <a:schemeClr val="tx1"/>
    </cs:fontRef>
    <cs:spPr>
      <a:solidFill>
        <a:schemeClr val="dk1"/>
      </a:solidFill>
    </cs:spPr>
  </cs:downBar>
  <cs:dropLine>
    <cs:lnRef idx="0"/>
    <cs:fillRef idx="0"/>
    <cs:effectRef idx="0"/>
    <cs:fontRef idx="minor">
      <a:schemeClr val="tx1"/>
    </cs:fontRef>
  </cs:dropLine>
  <cs:errorBar>
    <cs:lnRef idx="0"/>
    <cs:fillRef idx="0"/>
    <cs:effectRef idx="0"/>
    <cs:fontRef idx="minor">
      <a:schemeClr val="tx1"/>
    </cs:fontRef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  <a:lumOff val="10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</cs:hiLoLine>
  <cs:leaderLine>
    <cs:lnRef idx="0"/>
    <cs:fillRef idx="0"/>
    <cs:effectRef idx="0"/>
    <cs:fontRef idx="minor">
      <a:schemeClr val="tx1"/>
    </cs:fontRef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/>
  </cs:seriesAxis>
  <cs:seriesLine>
    <cs:lnRef idx="0"/>
    <cs:fillRef idx="0"/>
    <cs:effectRef idx="0"/>
    <cs:fontRef idx="minor">
      <a:schemeClr val="tx1"/>
    </cs:fontRef>
    <cs:spPr>
      <a:ln w="9525" cap="flat">
        <a:solidFill>
          <a:srgbClr val="D9D9D9"/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  <cs:bodyPr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/>
  </cs:valueAxis>
  <cs:wall>
    <cs:lnRef idx="0"/>
    <cs:fillRef idx="0"/>
    <cs:effectRef idx="0"/>
    <cs:fontRef idx="minor">
      <a:schemeClr val="tx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93F27-7734-4A65-AD91-98B0FE9B4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18</Pages>
  <Words>3125</Words>
  <Characters>17819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20903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Newman, Peter</dc:creator>
  <cp:keywords/>
  <dc:description/>
  <cp:lastModifiedBy>Williams, Aubrie</cp:lastModifiedBy>
  <cp:revision>9</cp:revision>
  <cp:lastPrinted>2024-08-22T16:23:00Z</cp:lastPrinted>
  <dcterms:created xsi:type="dcterms:W3CDTF">2024-08-22T22:45:00Z</dcterms:created>
  <dcterms:modified xsi:type="dcterms:W3CDTF">2024-10-24T19:35:00Z</dcterms:modified>
</cp:coreProperties>
</file>