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ACB" w14:textId="77777777" w:rsidR="00BA511E" w:rsidRPr="00BA511E" w:rsidRDefault="00BA511E" w:rsidP="00BA5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BA511E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1D35AC2" w14:textId="77777777" w:rsidR="00BA511E" w:rsidRPr="00BA511E" w:rsidRDefault="00BA511E" w:rsidP="00BA5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  <w:sz w:val="24"/>
          <w:szCs w:val="24"/>
        </w:rPr>
      </w:pPr>
      <w:r w:rsidRPr="00BA511E">
        <w:rPr>
          <w:color w:val="FF0000"/>
          <w:sz w:val="24"/>
          <w:szCs w:val="24"/>
        </w:rPr>
        <w:t>September 21, 2023</w:t>
      </w:r>
    </w:p>
    <w:p w14:paraId="3B61BB43" w14:textId="026A6242" w:rsidR="009B6A47" w:rsidRPr="007032CF" w:rsidRDefault="00D10A8E" w:rsidP="0097648F">
      <w:pPr>
        <w:jc w:val="right"/>
      </w:pPr>
      <w:r>
        <w:rPr>
          <w:b/>
          <w:sz w:val="60"/>
        </w:rPr>
        <w:t>09</w:t>
      </w:r>
    </w:p>
    <w:p w14:paraId="4E602A0A" w14:textId="77777777" w:rsidR="006C4699" w:rsidRPr="006C4699" w:rsidRDefault="009B6A47" w:rsidP="009B6A47">
      <w:pPr>
        <w:pStyle w:val="bdheading2"/>
        <w:rPr>
          <w:szCs w:val="26"/>
        </w:rPr>
      </w:pPr>
      <w:r w:rsidRPr="006C4699">
        <w:rPr>
          <w:szCs w:val="26"/>
        </w:rPr>
        <w:tab/>
      </w:r>
    </w:p>
    <w:p w14:paraId="719AC545" w14:textId="77777777" w:rsidR="006C4699" w:rsidRPr="006C4699" w:rsidRDefault="006C4699" w:rsidP="009B6A47">
      <w:pPr>
        <w:pStyle w:val="bdheading2"/>
        <w:rPr>
          <w:szCs w:val="26"/>
        </w:rPr>
      </w:pPr>
    </w:p>
    <w:p w14:paraId="2F59D354" w14:textId="5B28E43E" w:rsidR="009B6A47" w:rsidRPr="006C4699" w:rsidRDefault="006C4699" w:rsidP="009B6A47">
      <w:pPr>
        <w:pStyle w:val="bdheading2"/>
        <w:rPr>
          <w:szCs w:val="26"/>
        </w:rPr>
      </w:pPr>
      <w:r w:rsidRPr="006C4699">
        <w:rPr>
          <w:szCs w:val="26"/>
        </w:rPr>
        <w:tab/>
      </w:r>
      <w:r w:rsidR="009B6A47" w:rsidRPr="006C4699">
        <w:rPr>
          <w:szCs w:val="26"/>
        </w:rPr>
        <w:t>Board Meeting</w:t>
      </w:r>
    </w:p>
    <w:p w14:paraId="240D1D20" w14:textId="77777777" w:rsidR="009B6A47" w:rsidRPr="006C4699" w:rsidRDefault="009B6A47" w:rsidP="009B6A47">
      <w:pPr>
        <w:pStyle w:val="bdheading2"/>
        <w:rPr>
          <w:szCs w:val="26"/>
        </w:rPr>
      </w:pPr>
      <w:r w:rsidRPr="006C4699">
        <w:rPr>
          <w:szCs w:val="26"/>
        </w:rPr>
        <w:tab/>
      </w:r>
      <w:r w:rsidR="004D2261" w:rsidRPr="006C4699">
        <w:rPr>
          <w:szCs w:val="26"/>
        </w:rPr>
        <w:t>September 21, 2023</w:t>
      </w:r>
    </w:p>
    <w:p w14:paraId="262325C6" w14:textId="77777777" w:rsidR="009B6A47" w:rsidRPr="006C4699" w:rsidRDefault="009B6A47" w:rsidP="009B6A47">
      <w:pPr>
        <w:pStyle w:val="bdheading2"/>
        <w:rPr>
          <w:szCs w:val="26"/>
        </w:rPr>
      </w:pPr>
    </w:p>
    <w:p w14:paraId="2D6CEBE8" w14:textId="77777777" w:rsidR="00E35BE4" w:rsidRPr="006C4699" w:rsidRDefault="00E35BE4" w:rsidP="009B6A47">
      <w:pPr>
        <w:jc w:val="center"/>
        <w:rPr>
          <w:szCs w:val="26"/>
        </w:rPr>
      </w:pPr>
    </w:p>
    <w:p w14:paraId="46A2E7FE" w14:textId="77777777" w:rsidR="009B6A47" w:rsidRPr="006C4699" w:rsidRDefault="009B6A47" w:rsidP="009B6A47">
      <w:pPr>
        <w:jc w:val="center"/>
        <w:rPr>
          <w:szCs w:val="26"/>
        </w:rPr>
      </w:pPr>
      <w:r w:rsidRPr="006C4699">
        <w:rPr>
          <w:szCs w:val="26"/>
        </w:rPr>
        <w:t>ROLL CALL</w:t>
      </w:r>
    </w:p>
    <w:p w14:paraId="72AAC467" w14:textId="77777777" w:rsidR="009B6A47" w:rsidRPr="006C4699" w:rsidRDefault="009B6A47" w:rsidP="009B6A47">
      <w:pPr>
        <w:jc w:val="center"/>
        <w:rPr>
          <w:szCs w:val="26"/>
        </w:rPr>
      </w:pPr>
    </w:p>
    <w:p w14:paraId="35A4D733" w14:textId="77777777" w:rsidR="005056C3" w:rsidRDefault="00533443" w:rsidP="00E1213B">
      <w:pPr>
        <w:jc w:val="center"/>
        <w:rPr>
          <w:szCs w:val="26"/>
        </w:rPr>
      </w:pPr>
      <w:r w:rsidRPr="006C4699">
        <w:rPr>
          <w:szCs w:val="26"/>
        </w:rPr>
        <w:t xml:space="preserve">APPROVE </w:t>
      </w:r>
      <w:r w:rsidR="007D4DDF" w:rsidRPr="006C4699">
        <w:rPr>
          <w:szCs w:val="26"/>
        </w:rPr>
        <w:t>CONSTRUCTION MANAGER</w:t>
      </w:r>
      <w:r w:rsidRPr="006C4699">
        <w:rPr>
          <w:szCs w:val="26"/>
        </w:rPr>
        <w:t xml:space="preserve"> CONTRACT </w:t>
      </w:r>
      <w:r w:rsidR="00DB7110" w:rsidRPr="006C4699">
        <w:rPr>
          <w:szCs w:val="26"/>
        </w:rPr>
        <w:t>FOR</w:t>
      </w:r>
      <w:r w:rsidR="00E1213B" w:rsidRPr="006C4699">
        <w:rPr>
          <w:szCs w:val="26"/>
        </w:rPr>
        <w:t xml:space="preserve"> </w:t>
      </w:r>
    </w:p>
    <w:p w14:paraId="1C3D880D" w14:textId="21758CBC" w:rsidR="00E1213B" w:rsidRPr="006C4699" w:rsidRDefault="00170BAF" w:rsidP="00E1213B">
      <w:pPr>
        <w:jc w:val="center"/>
        <w:rPr>
          <w:szCs w:val="26"/>
        </w:rPr>
      </w:pPr>
      <w:r w:rsidRPr="006C4699">
        <w:rPr>
          <w:szCs w:val="26"/>
        </w:rPr>
        <w:t>RENOVATE TAFT HALL</w:t>
      </w:r>
      <w:r w:rsidR="00E1213B" w:rsidRPr="006C4699">
        <w:rPr>
          <w:szCs w:val="26"/>
        </w:rPr>
        <w:t>, CHICAGO</w:t>
      </w:r>
    </w:p>
    <w:p w14:paraId="7F990C19" w14:textId="77777777" w:rsidR="00E1213B" w:rsidRPr="006C4699" w:rsidRDefault="00E1213B" w:rsidP="00E1213B">
      <w:pPr>
        <w:jc w:val="center"/>
        <w:rPr>
          <w:szCs w:val="26"/>
        </w:rPr>
      </w:pPr>
    </w:p>
    <w:p w14:paraId="2D720FD2" w14:textId="77777777" w:rsidR="00E1213B" w:rsidRPr="006C4699" w:rsidRDefault="00E1213B" w:rsidP="00E1213B">
      <w:pPr>
        <w:jc w:val="center"/>
        <w:rPr>
          <w:szCs w:val="26"/>
        </w:rPr>
      </w:pPr>
    </w:p>
    <w:p w14:paraId="0BD5C522" w14:textId="19122E67" w:rsidR="00E1213B" w:rsidRPr="006C4699" w:rsidRDefault="00E1213B" w:rsidP="00E1213B">
      <w:pPr>
        <w:pStyle w:val="bdstyle1"/>
        <w:rPr>
          <w:szCs w:val="26"/>
        </w:rPr>
      </w:pPr>
      <w:r w:rsidRPr="006C4699">
        <w:rPr>
          <w:b/>
          <w:bCs/>
          <w:szCs w:val="26"/>
        </w:rPr>
        <w:t xml:space="preserve">Action: </w:t>
      </w:r>
      <w:r w:rsidRPr="006C4699">
        <w:rPr>
          <w:b/>
          <w:bCs/>
          <w:szCs w:val="26"/>
        </w:rPr>
        <w:tab/>
      </w:r>
      <w:r w:rsidRPr="006C4699">
        <w:rPr>
          <w:szCs w:val="26"/>
        </w:rPr>
        <w:t xml:space="preserve">Approve </w:t>
      </w:r>
      <w:r w:rsidR="007D4DDF" w:rsidRPr="006C4699">
        <w:rPr>
          <w:szCs w:val="26"/>
        </w:rPr>
        <w:t>Construction Manager</w:t>
      </w:r>
      <w:r w:rsidR="00533443" w:rsidRPr="006C4699">
        <w:rPr>
          <w:szCs w:val="26"/>
        </w:rPr>
        <w:t xml:space="preserve"> Contract </w:t>
      </w:r>
      <w:r w:rsidRPr="006C4699">
        <w:rPr>
          <w:szCs w:val="26"/>
        </w:rPr>
        <w:t xml:space="preserve">for </w:t>
      </w:r>
      <w:r w:rsidR="00170BAF" w:rsidRPr="006C4699">
        <w:rPr>
          <w:szCs w:val="26"/>
        </w:rPr>
        <w:t>Renovate Taft Hall</w:t>
      </w:r>
    </w:p>
    <w:p w14:paraId="22F854AA" w14:textId="77777777" w:rsidR="00E1213B" w:rsidRPr="006C4699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2BD4B0C9" w14:textId="77777777" w:rsidR="00E1213B" w:rsidRPr="006C4699" w:rsidRDefault="00E1213B" w:rsidP="00E1213B">
      <w:pPr>
        <w:pStyle w:val="bdstyle1"/>
        <w:rPr>
          <w:strike/>
          <w:szCs w:val="26"/>
        </w:rPr>
      </w:pPr>
      <w:r w:rsidRPr="006C4699">
        <w:rPr>
          <w:b/>
          <w:bCs/>
          <w:szCs w:val="26"/>
        </w:rPr>
        <w:t xml:space="preserve">Funding: </w:t>
      </w:r>
      <w:r w:rsidRPr="006C4699">
        <w:rPr>
          <w:b/>
          <w:bCs/>
          <w:szCs w:val="26"/>
        </w:rPr>
        <w:tab/>
      </w:r>
      <w:r w:rsidR="001B3479" w:rsidRPr="006C4699">
        <w:rPr>
          <w:bCs/>
          <w:szCs w:val="26"/>
        </w:rPr>
        <w:t>Academic Facilities Maintenance Fund Assessment</w:t>
      </w:r>
    </w:p>
    <w:p w14:paraId="198EDD3F" w14:textId="77777777" w:rsidR="00E1213B" w:rsidRPr="006C4699" w:rsidRDefault="00E1213B" w:rsidP="006C4699">
      <w:pPr>
        <w:pStyle w:val="bdstyle2"/>
        <w:spacing w:line="240" w:lineRule="auto"/>
        <w:rPr>
          <w:szCs w:val="26"/>
        </w:rPr>
      </w:pPr>
    </w:p>
    <w:p w14:paraId="18CA85A4" w14:textId="77777777" w:rsidR="00170BAF" w:rsidRPr="006C4699" w:rsidRDefault="00170BAF" w:rsidP="006C4699">
      <w:pPr>
        <w:overflowPunct/>
        <w:textAlignment w:val="auto"/>
        <w:rPr>
          <w:rFonts w:ascii="Arial" w:hAnsi="Arial" w:cs="Arial"/>
          <w:color w:val="000000"/>
          <w:szCs w:val="26"/>
        </w:rPr>
      </w:pPr>
    </w:p>
    <w:p w14:paraId="3A031878" w14:textId="43743DAF" w:rsidR="00E1213B" w:rsidRPr="006C4699" w:rsidRDefault="00E1213B" w:rsidP="00695E2E">
      <w:pPr>
        <w:spacing w:line="480" w:lineRule="auto"/>
        <w:ind w:firstLine="1440"/>
        <w:rPr>
          <w:bCs/>
          <w:szCs w:val="26"/>
        </w:rPr>
      </w:pPr>
      <w:r w:rsidRPr="006C4699">
        <w:rPr>
          <w:bCs/>
          <w:szCs w:val="26"/>
        </w:rPr>
        <w:t xml:space="preserve">In </w:t>
      </w:r>
      <w:r w:rsidR="001B3479" w:rsidRPr="006C4699">
        <w:rPr>
          <w:bCs/>
          <w:szCs w:val="26"/>
        </w:rPr>
        <w:t>February 2022,</w:t>
      </w:r>
      <w:r w:rsidRPr="006C4699">
        <w:rPr>
          <w:bCs/>
          <w:szCs w:val="26"/>
        </w:rPr>
        <w:t xml:space="preserve"> the </w:t>
      </w:r>
      <w:r w:rsidR="00695E2E">
        <w:rPr>
          <w:bCs/>
          <w:szCs w:val="26"/>
        </w:rPr>
        <w:t>U</w:t>
      </w:r>
      <w:r w:rsidR="001B3479" w:rsidRPr="006C4699">
        <w:rPr>
          <w:bCs/>
          <w:szCs w:val="26"/>
        </w:rPr>
        <w:t>niversity</w:t>
      </w:r>
      <w:r w:rsidR="00695E2E">
        <w:rPr>
          <w:bCs/>
          <w:szCs w:val="26"/>
        </w:rPr>
        <w:t xml:space="preserve"> of Illinois Chicago</w:t>
      </w:r>
      <w:r w:rsidR="001B3479" w:rsidRPr="006C4699">
        <w:rPr>
          <w:bCs/>
          <w:szCs w:val="26"/>
        </w:rPr>
        <w:t xml:space="preserve"> </w:t>
      </w:r>
      <w:r w:rsidRPr="006C4699">
        <w:rPr>
          <w:bCs/>
          <w:szCs w:val="26"/>
        </w:rPr>
        <w:t xml:space="preserve">approved the </w:t>
      </w:r>
      <w:r w:rsidR="001B3479" w:rsidRPr="006C4699">
        <w:rPr>
          <w:bCs/>
          <w:szCs w:val="26"/>
        </w:rPr>
        <w:t>Renovate Taft Hall project</w:t>
      </w:r>
      <w:r w:rsidR="00BE616B">
        <w:rPr>
          <w:bCs/>
          <w:szCs w:val="26"/>
        </w:rPr>
        <w:t xml:space="preserve"> with a preliminary budget of </w:t>
      </w:r>
      <w:r w:rsidR="00BE616B" w:rsidRPr="006C4699">
        <w:rPr>
          <w:bCs/>
          <w:szCs w:val="26"/>
        </w:rPr>
        <w:t>$4,048,900</w:t>
      </w:r>
      <w:r w:rsidR="00BE616B">
        <w:rPr>
          <w:bCs/>
          <w:szCs w:val="26"/>
        </w:rPr>
        <w:t xml:space="preserve">. </w:t>
      </w:r>
      <w:r w:rsidR="00BE616B" w:rsidRPr="006C4699">
        <w:rPr>
          <w:bCs/>
          <w:szCs w:val="26"/>
        </w:rPr>
        <w:t xml:space="preserve">In July 2023, the </w:t>
      </w:r>
      <w:r w:rsidR="00BE616B">
        <w:rPr>
          <w:bCs/>
          <w:szCs w:val="26"/>
        </w:rPr>
        <w:t>u</w:t>
      </w:r>
      <w:r w:rsidR="00BE616B" w:rsidRPr="006C4699">
        <w:rPr>
          <w:bCs/>
          <w:szCs w:val="26"/>
        </w:rPr>
        <w:t xml:space="preserve">niversity approved a budget increase of $942,900 to fund </w:t>
      </w:r>
      <w:r w:rsidR="00566616">
        <w:rPr>
          <w:bCs/>
          <w:szCs w:val="26"/>
        </w:rPr>
        <w:t xml:space="preserve">all </w:t>
      </w:r>
      <w:r w:rsidR="00BE616B" w:rsidRPr="006C4699">
        <w:rPr>
          <w:bCs/>
          <w:szCs w:val="26"/>
        </w:rPr>
        <w:t xml:space="preserve">expected </w:t>
      </w:r>
      <w:r w:rsidR="00566616">
        <w:rPr>
          <w:bCs/>
          <w:szCs w:val="26"/>
        </w:rPr>
        <w:t xml:space="preserve">professional services and </w:t>
      </w:r>
      <w:r w:rsidR="00BE616B" w:rsidRPr="006C4699">
        <w:rPr>
          <w:bCs/>
          <w:szCs w:val="26"/>
        </w:rPr>
        <w:t xml:space="preserve">construction manager costs, bringing the </w:t>
      </w:r>
      <w:r w:rsidR="00BE616B">
        <w:rPr>
          <w:bCs/>
          <w:szCs w:val="26"/>
        </w:rPr>
        <w:t>professional services</w:t>
      </w:r>
      <w:r w:rsidR="00BE616B" w:rsidRPr="006C4699">
        <w:rPr>
          <w:bCs/>
          <w:szCs w:val="26"/>
        </w:rPr>
        <w:t xml:space="preserve"> project budget to $4,991,800. </w:t>
      </w:r>
      <w:r w:rsidR="00BE616B">
        <w:rPr>
          <w:bCs/>
          <w:szCs w:val="26"/>
        </w:rPr>
        <w:t>Th</w:t>
      </w:r>
      <w:r w:rsidR="000C7CF1">
        <w:rPr>
          <w:bCs/>
          <w:szCs w:val="26"/>
        </w:rPr>
        <w:t>is</w:t>
      </w:r>
      <w:r w:rsidR="00BE616B">
        <w:rPr>
          <w:bCs/>
          <w:szCs w:val="26"/>
        </w:rPr>
        <w:t xml:space="preserve"> approved budget will</w:t>
      </w:r>
      <w:r w:rsidR="00A61650">
        <w:rPr>
          <w:bCs/>
          <w:szCs w:val="26"/>
        </w:rPr>
        <w:t xml:space="preserve"> cover professional</w:t>
      </w:r>
      <w:r w:rsidR="00BE616B">
        <w:rPr>
          <w:bCs/>
          <w:szCs w:val="26"/>
        </w:rPr>
        <w:t xml:space="preserve">, architectural, </w:t>
      </w:r>
      <w:r w:rsidR="00A61650">
        <w:rPr>
          <w:bCs/>
          <w:szCs w:val="26"/>
        </w:rPr>
        <w:t xml:space="preserve">and construction </w:t>
      </w:r>
      <w:r w:rsidR="00BE616B">
        <w:rPr>
          <w:bCs/>
          <w:szCs w:val="26"/>
        </w:rPr>
        <w:t>management services</w:t>
      </w:r>
      <w:r w:rsidR="00A61650">
        <w:rPr>
          <w:bCs/>
          <w:szCs w:val="26"/>
        </w:rPr>
        <w:t xml:space="preserve"> to complete </w:t>
      </w:r>
      <w:r w:rsidR="00BE616B">
        <w:rPr>
          <w:bCs/>
          <w:szCs w:val="26"/>
        </w:rPr>
        <w:t xml:space="preserve">the project’s </w:t>
      </w:r>
      <w:r w:rsidR="00A61650">
        <w:rPr>
          <w:bCs/>
          <w:szCs w:val="26"/>
        </w:rPr>
        <w:t xml:space="preserve">design and </w:t>
      </w:r>
      <w:r w:rsidR="00BE616B">
        <w:rPr>
          <w:bCs/>
          <w:szCs w:val="26"/>
        </w:rPr>
        <w:t>provide a fully informed estimate of</w:t>
      </w:r>
      <w:r w:rsidR="00A61650">
        <w:rPr>
          <w:bCs/>
          <w:szCs w:val="26"/>
        </w:rPr>
        <w:t xml:space="preserve"> construction cost</w:t>
      </w:r>
      <w:r w:rsidR="00BE616B">
        <w:rPr>
          <w:bCs/>
          <w:szCs w:val="26"/>
        </w:rPr>
        <w:t>s</w:t>
      </w:r>
      <w:r w:rsidRPr="006C4699">
        <w:rPr>
          <w:bCs/>
          <w:szCs w:val="26"/>
        </w:rPr>
        <w:t>.</w:t>
      </w:r>
      <w:r w:rsidR="006C4699">
        <w:rPr>
          <w:bCs/>
          <w:szCs w:val="26"/>
        </w:rPr>
        <w:t xml:space="preserve"> </w:t>
      </w:r>
      <w:r w:rsidR="00A61650">
        <w:rPr>
          <w:bCs/>
          <w:szCs w:val="26"/>
        </w:rPr>
        <w:t xml:space="preserve">A </w:t>
      </w:r>
      <w:r w:rsidR="00BE616B">
        <w:rPr>
          <w:bCs/>
          <w:szCs w:val="26"/>
        </w:rPr>
        <w:t>comprehensive</w:t>
      </w:r>
      <w:r w:rsidR="00A61650">
        <w:rPr>
          <w:bCs/>
          <w:szCs w:val="26"/>
        </w:rPr>
        <w:t xml:space="preserve"> project budget will be presented to the Board </w:t>
      </w:r>
      <w:r w:rsidR="00695E2E">
        <w:rPr>
          <w:bCs/>
          <w:szCs w:val="26"/>
        </w:rPr>
        <w:t>of Trustees when</w:t>
      </w:r>
      <w:r w:rsidR="00A61650">
        <w:rPr>
          <w:bCs/>
          <w:szCs w:val="26"/>
        </w:rPr>
        <w:t xml:space="preserve"> established. </w:t>
      </w:r>
      <w:r w:rsidRPr="006C4699">
        <w:rPr>
          <w:bCs/>
          <w:szCs w:val="26"/>
        </w:rPr>
        <w:t xml:space="preserve">The project </w:t>
      </w:r>
      <w:r w:rsidR="00566616">
        <w:rPr>
          <w:bCs/>
          <w:szCs w:val="26"/>
        </w:rPr>
        <w:t xml:space="preserve">plan includes </w:t>
      </w:r>
      <w:r w:rsidR="0095431D" w:rsidRPr="006C4699">
        <w:rPr>
          <w:bCs/>
          <w:szCs w:val="26"/>
        </w:rPr>
        <w:t xml:space="preserve">renovating the entirety of Taft Hall, including all interior spaces and exterior components, the façade/envelope, and the </w:t>
      </w:r>
      <w:r w:rsidR="009541B5" w:rsidRPr="006C4699">
        <w:rPr>
          <w:bCs/>
          <w:szCs w:val="26"/>
        </w:rPr>
        <w:t>roof.</w:t>
      </w:r>
      <w:r w:rsidR="006C4699">
        <w:rPr>
          <w:bCs/>
          <w:szCs w:val="26"/>
        </w:rPr>
        <w:t xml:space="preserve"> </w:t>
      </w:r>
      <w:r w:rsidR="009541B5" w:rsidRPr="006C4699">
        <w:rPr>
          <w:bCs/>
          <w:szCs w:val="26"/>
        </w:rPr>
        <w:t>It will also include a comprehensive remodeling of all building components and systems, including</w:t>
      </w:r>
      <w:r w:rsidR="000C7CF1">
        <w:rPr>
          <w:bCs/>
          <w:szCs w:val="26"/>
        </w:rPr>
        <w:t>,</w:t>
      </w:r>
      <w:r w:rsidR="009541B5" w:rsidRPr="006C4699">
        <w:rPr>
          <w:bCs/>
          <w:szCs w:val="26"/>
        </w:rPr>
        <w:t xml:space="preserve"> but not limited to</w:t>
      </w:r>
      <w:r w:rsidR="000C7CF1">
        <w:rPr>
          <w:bCs/>
          <w:szCs w:val="26"/>
        </w:rPr>
        <w:t>,</w:t>
      </w:r>
      <w:r w:rsidR="009541B5" w:rsidRPr="006C4699">
        <w:rPr>
          <w:bCs/>
          <w:szCs w:val="26"/>
        </w:rPr>
        <w:t xml:space="preserve"> architectural, HVAC, electrical, AV</w:t>
      </w:r>
      <w:r w:rsidR="005056C3">
        <w:rPr>
          <w:bCs/>
          <w:szCs w:val="26"/>
        </w:rPr>
        <w:t>-</w:t>
      </w:r>
      <w:r w:rsidR="009541B5" w:rsidRPr="006C4699">
        <w:rPr>
          <w:bCs/>
          <w:szCs w:val="26"/>
        </w:rPr>
        <w:t xml:space="preserve"> and IT-related infrastructure, plumbing</w:t>
      </w:r>
      <w:r w:rsidR="007D08C8" w:rsidRPr="006C4699">
        <w:rPr>
          <w:bCs/>
          <w:szCs w:val="26"/>
        </w:rPr>
        <w:t>,</w:t>
      </w:r>
      <w:r w:rsidR="009541B5" w:rsidRPr="006C4699">
        <w:rPr>
          <w:bCs/>
          <w:szCs w:val="26"/>
        </w:rPr>
        <w:t xml:space="preserve"> and life safety.</w:t>
      </w:r>
      <w:r w:rsidR="006C4699">
        <w:rPr>
          <w:bCs/>
          <w:szCs w:val="26"/>
        </w:rPr>
        <w:t xml:space="preserve"> </w:t>
      </w:r>
      <w:r w:rsidR="009541B5" w:rsidRPr="006C4699">
        <w:rPr>
          <w:bCs/>
          <w:szCs w:val="26"/>
        </w:rPr>
        <w:t xml:space="preserve">This project will also seek </w:t>
      </w:r>
      <w:r w:rsidR="0095431D" w:rsidRPr="006C4699">
        <w:rPr>
          <w:bCs/>
          <w:szCs w:val="26"/>
        </w:rPr>
        <w:t xml:space="preserve">to remove </w:t>
      </w:r>
      <w:r w:rsidR="009541B5" w:rsidRPr="006C4699">
        <w:rPr>
          <w:bCs/>
          <w:szCs w:val="26"/>
        </w:rPr>
        <w:t>and replace the existing exterior wall system.</w:t>
      </w:r>
      <w:r w:rsidR="006C4699">
        <w:rPr>
          <w:bCs/>
          <w:szCs w:val="26"/>
        </w:rPr>
        <w:t xml:space="preserve"> </w:t>
      </w:r>
      <w:r w:rsidR="007D08C8" w:rsidRPr="006C4699">
        <w:rPr>
          <w:bCs/>
          <w:szCs w:val="26"/>
        </w:rPr>
        <w:t xml:space="preserve">Renovating Taft Hall will </w:t>
      </w:r>
      <w:r w:rsidRPr="006C4699">
        <w:rPr>
          <w:bCs/>
          <w:szCs w:val="26"/>
        </w:rPr>
        <w:t xml:space="preserve">provide </w:t>
      </w:r>
      <w:r w:rsidR="00283EC2" w:rsidRPr="006C4699">
        <w:rPr>
          <w:bCs/>
          <w:szCs w:val="26"/>
        </w:rPr>
        <w:t xml:space="preserve">the </w:t>
      </w:r>
      <w:r w:rsidR="00A65142">
        <w:rPr>
          <w:bCs/>
          <w:szCs w:val="26"/>
        </w:rPr>
        <w:t>u</w:t>
      </w:r>
      <w:r w:rsidR="00283EC2" w:rsidRPr="006C4699">
        <w:rPr>
          <w:bCs/>
          <w:szCs w:val="26"/>
        </w:rPr>
        <w:t xml:space="preserve">niversity </w:t>
      </w:r>
      <w:r w:rsidR="00283EC2" w:rsidRPr="006C4699">
        <w:rPr>
          <w:bCs/>
          <w:szCs w:val="26"/>
        </w:rPr>
        <w:lastRenderedPageBreak/>
        <w:t>with contemporary</w:t>
      </w:r>
      <w:r w:rsidR="007D08C8" w:rsidRPr="006C4699">
        <w:rPr>
          <w:bCs/>
          <w:szCs w:val="26"/>
        </w:rPr>
        <w:t xml:space="preserve">, functional </w:t>
      </w:r>
      <w:r w:rsidR="00283EC2" w:rsidRPr="006C4699">
        <w:rPr>
          <w:bCs/>
          <w:szCs w:val="26"/>
        </w:rPr>
        <w:t>learning spaces that support active learning</w:t>
      </w:r>
      <w:r w:rsidR="007D08C8" w:rsidRPr="006C4699">
        <w:rPr>
          <w:bCs/>
          <w:szCs w:val="26"/>
        </w:rPr>
        <w:t xml:space="preserve"> and </w:t>
      </w:r>
      <w:r w:rsidR="00283EC2" w:rsidRPr="006C4699">
        <w:rPr>
          <w:bCs/>
          <w:szCs w:val="26"/>
        </w:rPr>
        <w:t>are flexible for hybrid learning</w:t>
      </w:r>
      <w:r w:rsidR="007D08C8" w:rsidRPr="006C4699">
        <w:rPr>
          <w:bCs/>
          <w:szCs w:val="26"/>
        </w:rPr>
        <w:t>.</w:t>
      </w:r>
      <w:r w:rsidR="006C4699">
        <w:rPr>
          <w:bCs/>
          <w:szCs w:val="26"/>
        </w:rPr>
        <w:t xml:space="preserve"> </w:t>
      </w:r>
      <w:r w:rsidR="007D08C8" w:rsidRPr="006C4699">
        <w:rPr>
          <w:bCs/>
          <w:szCs w:val="26"/>
        </w:rPr>
        <w:t xml:space="preserve">This project will achieve a minimum of LEED Gold </w:t>
      </w:r>
      <w:r w:rsidR="005056C3">
        <w:rPr>
          <w:bCs/>
          <w:szCs w:val="26"/>
        </w:rPr>
        <w:t>c</w:t>
      </w:r>
      <w:r w:rsidR="007D08C8" w:rsidRPr="006C4699">
        <w:rPr>
          <w:bCs/>
          <w:szCs w:val="26"/>
        </w:rPr>
        <w:t>ertification.</w:t>
      </w:r>
      <w:r w:rsidR="006C4699">
        <w:rPr>
          <w:bCs/>
          <w:szCs w:val="26"/>
        </w:rPr>
        <w:t xml:space="preserve"> </w:t>
      </w:r>
    </w:p>
    <w:p w14:paraId="23CE881D" w14:textId="666525A2" w:rsidR="00D5104D" w:rsidRPr="006C4699" w:rsidRDefault="00465767" w:rsidP="004D2261">
      <w:pPr>
        <w:pStyle w:val="bdstyle2"/>
        <w:rPr>
          <w:szCs w:val="26"/>
        </w:rPr>
      </w:pPr>
      <w:r w:rsidRPr="006C4699">
        <w:rPr>
          <w:szCs w:val="26"/>
        </w:rPr>
        <w:t xml:space="preserve">In </w:t>
      </w:r>
      <w:r w:rsidR="002D3E6C" w:rsidRPr="006C4699">
        <w:rPr>
          <w:szCs w:val="26"/>
        </w:rPr>
        <w:t>May 2023</w:t>
      </w:r>
      <w:r w:rsidRPr="006C4699">
        <w:rPr>
          <w:szCs w:val="26"/>
        </w:rPr>
        <w:t>, the</w:t>
      </w:r>
      <w:r w:rsidR="004D2261" w:rsidRPr="006C4699">
        <w:rPr>
          <w:szCs w:val="26"/>
        </w:rPr>
        <w:t xml:space="preserve"> Board of Trustees approved the award of a professional services contract to Gensler Architecture, Design &amp; Planning, P.C. of Chicago, IL</w:t>
      </w:r>
      <w:r w:rsidR="0095431D" w:rsidRPr="006C4699">
        <w:rPr>
          <w:szCs w:val="26"/>
        </w:rPr>
        <w:t>,</w:t>
      </w:r>
      <w:r w:rsidR="004D2261" w:rsidRPr="006C4699">
        <w:rPr>
          <w:szCs w:val="26"/>
        </w:rPr>
        <w:t xml:space="preserve"> for the professional services required for this project.</w:t>
      </w:r>
      <w:r w:rsidR="006C4699">
        <w:rPr>
          <w:szCs w:val="26"/>
        </w:rPr>
        <w:t xml:space="preserve"> </w:t>
      </w:r>
    </w:p>
    <w:p w14:paraId="4548962E" w14:textId="77D0C57B" w:rsidR="004D2261" w:rsidRPr="006C4699" w:rsidRDefault="00C06366" w:rsidP="004D2261">
      <w:pPr>
        <w:pStyle w:val="bdstyle2"/>
        <w:rPr>
          <w:szCs w:val="26"/>
        </w:rPr>
      </w:pPr>
      <w:r w:rsidRPr="006C4699">
        <w:rPr>
          <w:szCs w:val="26"/>
        </w:rPr>
        <w:t>For</w:t>
      </w:r>
      <w:r w:rsidR="004D2261" w:rsidRPr="006C4699">
        <w:rPr>
          <w:szCs w:val="26"/>
        </w:rPr>
        <w:t xml:space="preserve"> the project to proceed, it is necessary to employ a construction manager</w:t>
      </w:r>
      <w:r w:rsidR="00566616">
        <w:rPr>
          <w:szCs w:val="26"/>
        </w:rPr>
        <w:t xml:space="preserve"> to coordinate the execution of</w:t>
      </w:r>
      <w:r w:rsidR="004D2261" w:rsidRPr="006C4699">
        <w:rPr>
          <w:szCs w:val="26"/>
        </w:rPr>
        <w:t xml:space="preserve"> design development, construction documents, bidding, and construction phases. The selection of the construction manager for this project was in accordance with the requirements and provisions of the Illinois Procurement Code</w:t>
      </w:r>
      <w:r w:rsidR="005056C3">
        <w:rPr>
          <w:szCs w:val="26"/>
        </w:rPr>
        <w:t>.</w:t>
      </w:r>
      <w:r w:rsidR="004D2261" w:rsidRPr="006C4699">
        <w:rPr>
          <w:rStyle w:val="FootnoteReference"/>
          <w:szCs w:val="26"/>
        </w:rPr>
        <w:footnoteReference w:id="1"/>
      </w:r>
    </w:p>
    <w:p w14:paraId="0CB62DCB" w14:textId="6FF3BD2A" w:rsidR="007C25AB" w:rsidRPr="006C4699" w:rsidRDefault="00D5104D" w:rsidP="007C25AB">
      <w:pPr>
        <w:pStyle w:val="bdstyle2"/>
        <w:rPr>
          <w:szCs w:val="26"/>
        </w:rPr>
      </w:pPr>
      <w:r w:rsidRPr="006C4699">
        <w:rPr>
          <w:szCs w:val="26"/>
        </w:rPr>
        <w:t xml:space="preserve">Accordingly, the </w:t>
      </w:r>
      <w:r w:rsidR="00A65142">
        <w:rPr>
          <w:szCs w:val="26"/>
        </w:rPr>
        <w:t>c</w:t>
      </w:r>
      <w:r w:rsidRPr="006C4699">
        <w:rPr>
          <w:szCs w:val="26"/>
        </w:rPr>
        <w:t>hancellor</w:t>
      </w:r>
      <w:r w:rsidR="00533443" w:rsidRPr="006C4699">
        <w:rPr>
          <w:szCs w:val="26"/>
        </w:rPr>
        <w:t>, University of Illinois</w:t>
      </w:r>
      <w:r w:rsidRPr="006C4699">
        <w:rPr>
          <w:szCs w:val="26"/>
        </w:rPr>
        <w:t xml:space="preserve"> </w:t>
      </w:r>
      <w:r w:rsidR="00595BA3" w:rsidRPr="006C4699">
        <w:rPr>
          <w:szCs w:val="26"/>
        </w:rPr>
        <w:t>Chicago</w:t>
      </w:r>
      <w:r w:rsidR="00533443" w:rsidRPr="006C4699">
        <w:rPr>
          <w:szCs w:val="26"/>
        </w:rPr>
        <w:t xml:space="preserve">, and </w:t>
      </w:r>
      <w:r w:rsidR="00A65142">
        <w:rPr>
          <w:szCs w:val="26"/>
        </w:rPr>
        <w:t>v</w:t>
      </w:r>
      <w:r w:rsidR="00533443" w:rsidRPr="006C4699">
        <w:rPr>
          <w:szCs w:val="26"/>
        </w:rPr>
        <w:t xml:space="preserve">ice </w:t>
      </w:r>
      <w:r w:rsidR="00A65142">
        <w:rPr>
          <w:szCs w:val="26"/>
        </w:rPr>
        <w:t>p</w:t>
      </w:r>
      <w:r w:rsidR="00533443" w:rsidRPr="006C4699">
        <w:rPr>
          <w:szCs w:val="26"/>
        </w:rPr>
        <w:t>resident, University of Illinois</w:t>
      </w:r>
      <w:r w:rsidRPr="006C4699">
        <w:rPr>
          <w:szCs w:val="26"/>
        </w:rPr>
        <w:t xml:space="preserve"> </w:t>
      </w:r>
      <w:r w:rsidR="000C0954" w:rsidRPr="006C4699">
        <w:rPr>
          <w:szCs w:val="26"/>
        </w:rPr>
        <w:t>System</w:t>
      </w:r>
      <w:r w:rsidR="00C06366" w:rsidRPr="006C4699">
        <w:rPr>
          <w:szCs w:val="26"/>
        </w:rPr>
        <w:t>,</w:t>
      </w:r>
      <w:r w:rsidR="000C0954" w:rsidRPr="006C4699">
        <w:rPr>
          <w:szCs w:val="26"/>
        </w:rPr>
        <w:t xml:space="preserve"> </w:t>
      </w:r>
      <w:r w:rsidRPr="006C4699">
        <w:rPr>
          <w:szCs w:val="26"/>
        </w:rPr>
        <w:t>with the concurrence of the appropriate administrative officers</w:t>
      </w:r>
      <w:r w:rsidR="00C06366" w:rsidRPr="006C4699">
        <w:rPr>
          <w:szCs w:val="26"/>
        </w:rPr>
        <w:t>,</w:t>
      </w:r>
      <w:r w:rsidRPr="006C4699">
        <w:rPr>
          <w:szCs w:val="26"/>
        </w:rPr>
        <w:t xml:space="preserve"> </w:t>
      </w:r>
      <w:r w:rsidR="007D4DDF" w:rsidRPr="006C4699">
        <w:rPr>
          <w:szCs w:val="26"/>
        </w:rPr>
        <w:t>recommend</w:t>
      </w:r>
      <w:r w:rsidR="005056C3">
        <w:rPr>
          <w:szCs w:val="26"/>
        </w:rPr>
        <w:t>s</w:t>
      </w:r>
      <w:r w:rsidR="007D4DDF" w:rsidRPr="006C4699">
        <w:rPr>
          <w:szCs w:val="26"/>
        </w:rPr>
        <w:t xml:space="preserve"> Berglund</w:t>
      </w:r>
      <w:r w:rsidR="007C25AB" w:rsidRPr="006C4699">
        <w:rPr>
          <w:szCs w:val="26"/>
        </w:rPr>
        <w:t xml:space="preserve"> Construction Company</w:t>
      </w:r>
      <w:r w:rsidR="004D2261" w:rsidRPr="006C4699">
        <w:rPr>
          <w:szCs w:val="26"/>
        </w:rPr>
        <w:t xml:space="preserve"> of </w:t>
      </w:r>
      <w:r w:rsidR="007C25AB" w:rsidRPr="006C4699">
        <w:rPr>
          <w:szCs w:val="26"/>
        </w:rPr>
        <w:t>Chicago, IL, be employed for the construction management services required for the project</w:t>
      </w:r>
      <w:r w:rsidR="007D4DDF" w:rsidRPr="006C4699">
        <w:rPr>
          <w:szCs w:val="26"/>
        </w:rPr>
        <w:t>.</w:t>
      </w:r>
      <w:r w:rsidR="007C25AB" w:rsidRPr="006C4699">
        <w:rPr>
          <w:szCs w:val="26"/>
        </w:rPr>
        <w:t xml:space="preserve"> </w:t>
      </w:r>
      <w:r w:rsidR="007D4DDF" w:rsidRPr="006C4699">
        <w:rPr>
          <w:szCs w:val="26"/>
        </w:rPr>
        <w:t>The firm’s fee for this project will not exceed a fee of $1,992,731.52, including reimbursable expenses</w:t>
      </w:r>
      <w:r w:rsidR="00566616">
        <w:rPr>
          <w:szCs w:val="26"/>
        </w:rPr>
        <w:t xml:space="preserve">, and is included in the currently approved </w:t>
      </w:r>
      <w:r w:rsidR="00566616" w:rsidRPr="006C4699">
        <w:rPr>
          <w:bCs/>
          <w:szCs w:val="26"/>
        </w:rPr>
        <w:t>$4,991,800</w:t>
      </w:r>
      <w:r w:rsidR="00566616">
        <w:rPr>
          <w:bCs/>
          <w:szCs w:val="26"/>
        </w:rPr>
        <w:t xml:space="preserve"> </w:t>
      </w:r>
      <w:r w:rsidR="00566616">
        <w:rPr>
          <w:szCs w:val="26"/>
        </w:rPr>
        <w:t>budget</w:t>
      </w:r>
      <w:r w:rsidR="007D4DDF" w:rsidRPr="006C4699">
        <w:rPr>
          <w:szCs w:val="26"/>
        </w:rPr>
        <w:t xml:space="preserve">. The contract is broken down as follows: </w:t>
      </w:r>
      <w:r w:rsidR="004D2261" w:rsidRPr="006C4699">
        <w:rPr>
          <w:szCs w:val="26"/>
        </w:rPr>
        <w:t>the</w:t>
      </w:r>
      <w:r w:rsidR="007D4DDF" w:rsidRPr="006C4699">
        <w:rPr>
          <w:szCs w:val="26"/>
        </w:rPr>
        <w:t xml:space="preserve"> firm’s fixed fee will be</w:t>
      </w:r>
      <w:r w:rsidR="007C25AB" w:rsidRPr="006C4699">
        <w:rPr>
          <w:szCs w:val="26"/>
        </w:rPr>
        <w:t xml:space="preserve"> $</w:t>
      </w:r>
      <w:r w:rsidR="007D4DDF" w:rsidRPr="006C4699">
        <w:rPr>
          <w:szCs w:val="26"/>
        </w:rPr>
        <w:t xml:space="preserve">780,505.00; </w:t>
      </w:r>
      <w:r w:rsidR="007C25AB" w:rsidRPr="006C4699">
        <w:rPr>
          <w:szCs w:val="26"/>
        </w:rPr>
        <w:t xml:space="preserve">staff cost on an hourly basis with the </w:t>
      </w:r>
      <w:r w:rsidR="007D4DDF" w:rsidRPr="006C4699">
        <w:rPr>
          <w:szCs w:val="26"/>
        </w:rPr>
        <w:t xml:space="preserve">estimated </w:t>
      </w:r>
      <w:r w:rsidR="007C25AB" w:rsidRPr="006C4699">
        <w:rPr>
          <w:szCs w:val="26"/>
        </w:rPr>
        <w:t>total not to exceed $</w:t>
      </w:r>
      <w:r w:rsidR="007D4DDF" w:rsidRPr="006C4699">
        <w:rPr>
          <w:szCs w:val="26"/>
        </w:rPr>
        <w:t>1,007,977.02; and for authorized</w:t>
      </w:r>
      <w:r w:rsidR="007C25AB" w:rsidRPr="006C4699">
        <w:rPr>
          <w:szCs w:val="26"/>
        </w:rPr>
        <w:t xml:space="preserve"> reimbursable expenses estimated </w:t>
      </w:r>
      <w:r w:rsidR="007D4DDF" w:rsidRPr="006C4699">
        <w:rPr>
          <w:szCs w:val="26"/>
        </w:rPr>
        <w:t>at</w:t>
      </w:r>
      <w:r w:rsidR="007C25AB" w:rsidRPr="006C4699">
        <w:rPr>
          <w:szCs w:val="26"/>
        </w:rPr>
        <w:t xml:space="preserve"> $</w:t>
      </w:r>
      <w:r w:rsidR="007D4DDF" w:rsidRPr="006C4699">
        <w:rPr>
          <w:szCs w:val="26"/>
        </w:rPr>
        <w:t>204,249.50</w:t>
      </w:r>
      <w:r w:rsidR="007C25AB" w:rsidRPr="006C4699">
        <w:rPr>
          <w:szCs w:val="26"/>
        </w:rPr>
        <w:t>.</w:t>
      </w:r>
    </w:p>
    <w:p w14:paraId="4407785F" w14:textId="1DB5FAB7" w:rsidR="00287376" w:rsidRPr="006C4699" w:rsidRDefault="00287376" w:rsidP="007C25AB">
      <w:pPr>
        <w:pStyle w:val="bdstyle2"/>
        <w:rPr>
          <w:szCs w:val="26"/>
        </w:rPr>
      </w:pPr>
      <w:r w:rsidRPr="006C4699">
        <w:rPr>
          <w:szCs w:val="26"/>
        </w:rPr>
        <w:lastRenderedPageBreak/>
        <w:t xml:space="preserve">The </w:t>
      </w:r>
      <w:r w:rsidR="001D053A" w:rsidRPr="006C4699">
        <w:rPr>
          <w:szCs w:val="26"/>
        </w:rPr>
        <w:t>B</w:t>
      </w:r>
      <w:r w:rsidRPr="006C4699">
        <w:rPr>
          <w:szCs w:val="26"/>
        </w:rPr>
        <w:t xml:space="preserve">oard action recommended in this item complies in all material respects with applicable State and federal laws, University of Illinois </w:t>
      </w:r>
      <w:r w:rsidRPr="006C4699">
        <w:rPr>
          <w:i/>
          <w:szCs w:val="26"/>
        </w:rPr>
        <w:t>Statutes</w:t>
      </w:r>
      <w:r w:rsidRPr="006C4699">
        <w:rPr>
          <w:szCs w:val="26"/>
        </w:rPr>
        <w:t xml:space="preserve">, </w:t>
      </w:r>
      <w:r w:rsidRPr="006C4699">
        <w:rPr>
          <w:i/>
          <w:szCs w:val="26"/>
        </w:rPr>
        <w:t>The General Rules Concerning University Organization and Procedure</w:t>
      </w:r>
      <w:r w:rsidRPr="006C4699">
        <w:rPr>
          <w:szCs w:val="26"/>
        </w:rPr>
        <w:t>, and Board of Trustees policies and directives.</w:t>
      </w:r>
    </w:p>
    <w:p w14:paraId="6DA1B41E" w14:textId="77777777" w:rsidR="0005376C" w:rsidRPr="006C4699" w:rsidRDefault="00287376" w:rsidP="00287376">
      <w:pPr>
        <w:pStyle w:val="bdstyle2"/>
        <w:rPr>
          <w:szCs w:val="26"/>
        </w:rPr>
      </w:pPr>
      <w:r w:rsidRPr="006C4699">
        <w:rPr>
          <w:szCs w:val="26"/>
        </w:rPr>
        <w:t>Funds for this project are available from</w:t>
      </w:r>
      <w:r w:rsidR="00C87469" w:rsidRPr="006C4699">
        <w:rPr>
          <w:szCs w:val="26"/>
        </w:rPr>
        <w:t xml:space="preserve"> </w:t>
      </w:r>
      <w:r w:rsidR="008711F9" w:rsidRPr="006C4699">
        <w:rPr>
          <w:szCs w:val="26"/>
        </w:rPr>
        <w:t xml:space="preserve">the </w:t>
      </w:r>
      <w:r w:rsidR="009541B5" w:rsidRPr="006C4699">
        <w:rPr>
          <w:szCs w:val="26"/>
        </w:rPr>
        <w:t>Academic Facilities Maintenance Fund Assessment funds.</w:t>
      </w:r>
    </w:p>
    <w:p w14:paraId="6F87DA68" w14:textId="06DAC036" w:rsidR="00821435" w:rsidRPr="006C4699" w:rsidRDefault="000C0954" w:rsidP="00287376">
      <w:pPr>
        <w:pStyle w:val="bdstyle2"/>
        <w:rPr>
          <w:szCs w:val="26"/>
        </w:rPr>
      </w:pPr>
      <w:r w:rsidRPr="006C4699">
        <w:rPr>
          <w:szCs w:val="26"/>
        </w:rPr>
        <w:t xml:space="preserve">The </w:t>
      </w:r>
      <w:r w:rsidR="000D28A8">
        <w:rPr>
          <w:szCs w:val="26"/>
        </w:rPr>
        <w:t>p</w:t>
      </w:r>
      <w:r w:rsidRPr="006C4699">
        <w:rPr>
          <w:szCs w:val="26"/>
        </w:rPr>
        <w:t>resident of the University of Illinois System concurs.</w:t>
      </w:r>
    </w:p>
    <w:p w14:paraId="49D2BD32" w14:textId="77777777" w:rsidR="00821435" w:rsidRDefault="00821435" w:rsidP="00287376">
      <w:pPr>
        <w:pStyle w:val="bdstyle2"/>
        <w:sectPr w:rsidR="00821435" w:rsidSect="006C4699">
          <w:headerReference w:type="default" r:id="rId11"/>
          <w:type w:val="continuous"/>
          <w:pgSz w:w="12240" w:h="15840" w:code="1"/>
          <w:pgMar w:top="720" w:right="1440" w:bottom="720" w:left="1440" w:header="720" w:footer="720" w:gutter="0"/>
          <w:paperSrc w:first="15" w:other="15"/>
          <w:cols w:space="720"/>
          <w:titlePg/>
          <w:docGrid w:linePitch="354"/>
        </w:sectPr>
      </w:pPr>
    </w:p>
    <w:tbl>
      <w:tblPr>
        <w:tblW w:w="5413" w:type="pct"/>
        <w:tblLayout w:type="fixed"/>
        <w:tblLook w:val="04A0" w:firstRow="1" w:lastRow="0" w:firstColumn="1" w:lastColumn="0" w:noHBand="0" w:noVBand="1"/>
      </w:tblPr>
      <w:tblGrid>
        <w:gridCol w:w="1802"/>
        <w:gridCol w:w="2497"/>
        <w:gridCol w:w="1749"/>
        <w:gridCol w:w="1044"/>
        <w:gridCol w:w="284"/>
        <w:gridCol w:w="1313"/>
        <w:gridCol w:w="1497"/>
        <w:gridCol w:w="1802"/>
        <w:gridCol w:w="1802"/>
        <w:gridCol w:w="1799"/>
      </w:tblGrid>
      <w:tr w:rsidR="00821435" w:rsidRPr="002849A3" w14:paraId="1034D44F" w14:textId="77777777" w:rsidTr="00E556EE">
        <w:trPr>
          <w:trHeight w:val="345"/>
        </w:trPr>
        <w:tc>
          <w:tcPr>
            <w:tcW w:w="22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F2EB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lastRenderedPageBreak/>
              <w:t>Table 1: Diverse Vendor Participation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ED5A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5037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2281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5E25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C84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  <w:tr w:rsidR="00821435" w:rsidRPr="002849A3" w14:paraId="1475FDF2" w14:textId="77777777" w:rsidTr="00E556EE">
        <w:trPr>
          <w:gridAfter w:val="1"/>
          <w:wAfter w:w="581" w:type="pct"/>
          <w:trHeight w:val="1005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C193F2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Awarded Consultant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557C0F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Contract Value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8540CA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Diversity?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134A3F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Contract Value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140398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% of Work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DA943F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Classification</w:t>
            </w:r>
          </w:p>
        </w:tc>
      </w:tr>
      <w:tr w:rsidR="00821435" w:rsidRPr="002849A3" w14:paraId="5DB9E3C7" w14:textId="77777777" w:rsidTr="00E556EE">
        <w:trPr>
          <w:gridAfter w:val="1"/>
          <w:wAfter w:w="581" w:type="pct"/>
          <w:trHeight w:val="33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E437" w14:textId="77777777" w:rsidR="00821435" w:rsidRPr="002849A3" w:rsidRDefault="00E556EE" w:rsidP="007E733B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Berglund Construction Company</w:t>
            </w:r>
            <w:r w:rsidR="00821435" w:rsidRPr="00C91161">
              <w:rPr>
                <w:szCs w:val="26"/>
              </w:rPr>
              <w:t>, Chicago, IL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768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</w:t>
            </w:r>
            <w:r w:rsidR="00E556EE">
              <w:rPr>
                <w:color w:val="000000"/>
                <w:szCs w:val="26"/>
              </w:rPr>
              <w:t>1,992,73</w:t>
            </w:r>
            <w:r w:rsidR="00F300CD">
              <w:rPr>
                <w:color w:val="000000"/>
                <w:szCs w:val="26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A7D0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N/A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B7E5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A43B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55AF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39DA3AE0" w14:textId="77777777" w:rsidTr="00E556EE">
        <w:trPr>
          <w:gridAfter w:val="1"/>
          <w:wAfter w:w="581" w:type="pct"/>
          <w:trHeight w:val="33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34E4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E261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44A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BB52" w14:textId="461DDE95" w:rsidR="00821435" w:rsidRPr="002849A3" w:rsidRDefault="006C4699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</w:t>
            </w:r>
            <w:r w:rsidR="00821435" w:rsidRPr="002849A3">
              <w:rPr>
                <w:color w:val="000000"/>
                <w:szCs w:val="26"/>
              </w:rPr>
              <w:t>$</w:t>
            </w:r>
            <w:r w:rsidR="00E556EE">
              <w:rPr>
                <w:color w:val="000000"/>
                <w:szCs w:val="26"/>
              </w:rPr>
              <w:t>599,667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24E7" w14:textId="77777777" w:rsidR="00821435" w:rsidRPr="002849A3" w:rsidRDefault="00E556EE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323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WBE</w:t>
            </w:r>
          </w:p>
        </w:tc>
      </w:tr>
      <w:tr w:rsidR="00821435" w:rsidRPr="002849A3" w14:paraId="0F7F1748" w14:textId="77777777" w:rsidTr="00E556EE">
        <w:trPr>
          <w:gridAfter w:val="1"/>
          <w:wAfter w:w="581" w:type="pct"/>
          <w:trHeight w:val="33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6FF5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AF8B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16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1CA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E556EE">
              <w:rPr>
                <w:color w:val="000000"/>
                <w:szCs w:val="26"/>
              </w:rPr>
              <w:t>62,85</w:t>
            </w:r>
            <w:r w:rsidR="00F300CD">
              <w:rPr>
                <w:color w:val="000000"/>
                <w:szCs w:val="2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14A" w14:textId="77777777" w:rsidR="00821435" w:rsidRPr="002849A3" w:rsidRDefault="00E556EE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27B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VBE</w:t>
            </w:r>
          </w:p>
        </w:tc>
      </w:tr>
      <w:tr w:rsidR="00821435" w:rsidRPr="002849A3" w14:paraId="4218D819" w14:textId="77777777" w:rsidTr="00E556EE">
        <w:trPr>
          <w:gridAfter w:val="1"/>
          <w:wAfter w:w="581" w:type="pct"/>
          <w:trHeight w:val="345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C88" w14:textId="77777777" w:rsidR="00821435" w:rsidRPr="002849A3" w:rsidRDefault="009A1E59" w:rsidP="007E733B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Construction Manager</w:t>
            </w:r>
            <w:r w:rsidR="00821435" w:rsidRPr="002849A3">
              <w:rPr>
                <w:color w:val="000000"/>
                <w:szCs w:val="26"/>
              </w:rPr>
              <w:t xml:space="preserve"> Total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09CD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062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14F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</w:t>
            </w:r>
            <w:r w:rsidR="00E556EE">
              <w:rPr>
                <w:color w:val="000000"/>
                <w:szCs w:val="26"/>
              </w:rPr>
              <w:t>662,518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826" w14:textId="77777777" w:rsidR="00821435" w:rsidRPr="002849A3" w:rsidRDefault="0040636C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21E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357AAE46" w14:textId="77777777" w:rsidTr="00E556EE">
        <w:trPr>
          <w:trHeight w:val="345"/>
        </w:trPr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10B2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5FCB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47F" w14:textId="77777777" w:rsidR="00821435" w:rsidRPr="002849A3" w:rsidRDefault="00821435" w:rsidP="007E733B">
            <w:pPr>
              <w:jc w:val="right"/>
              <w:rPr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FF9A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8D56" w14:textId="77777777" w:rsidR="00821435" w:rsidRPr="002849A3" w:rsidRDefault="00821435" w:rsidP="007E733B">
            <w:pPr>
              <w:jc w:val="center"/>
              <w:rPr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6A3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8B8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</w:tbl>
    <w:p w14:paraId="3E7C8EB1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tbl>
      <w:tblPr>
        <w:tblW w:w="4163" w:type="pct"/>
        <w:tblLayout w:type="fixed"/>
        <w:tblLook w:val="04A0" w:firstRow="1" w:lastRow="0" w:firstColumn="1" w:lastColumn="0" w:noHBand="0" w:noVBand="1"/>
      </w:tblPr>
      <w:tblGrid>
        <w:gridCol w:w="4269"/>
        <w:gridCol w:w="3099"/>
        <w:gridCol w:w="2833"/>
        <w:gridCol w:w="1772"/>
      </w:tblGrid>
      <w:tr w:rsidR="00C91161" w:rsidRPr="00C91161" w14:paraId="17E6611C" w14:textId="77777777" w:rsidTr="0040636C">
        <w:trPr>
          <w:trHeight w:val="375"/>
        </w:trPr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F48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Awarded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4F9" w14:textId="77777777" w:rsidR="00821435" w:rsidRPr="002849A3" w:rsidRDefault="00821435" w:rsidP="00C91161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0636C">
              <w:rPr>
                <w:color w:val="000000"/>
                <w:szCs w:val="26"/>
              </w:rPr>
              <w:t>1,992,73</w:t>
            </w:r>
            <w:r w:rsidR="00F300CD">
              <w:rPr>
                <w:color w:val="000000"/>
                <w:szCs w:val="26"/>
              </w:rPr>
              <w:t>2</w:t>
            </w:r>
            <w:r w:rsidRPr="002849A3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D9CD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A630B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</w:tr>
      <w:tr w:rsidR="00C91161" w:rsidRPr="00C91161" w14:paraId="25AA5849" w14:textId="77777777" w:rsidTr="0040636C">
        <w:trPr>
          <w:trHeight w:val="375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6EB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WBE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FB9C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5B6D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0636C">
              <w:rPr>
                <w:color w:val="000000"/>
                <w:szCs w:val="26"/>
              </w:rPr>
              <w:t>599,667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E3093" w14:textId="77777777" w:rsidR="00821435" w:rsidRPr="002849A3" w:rsidRDefault="0040636C" w:rsidP="002849A3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</w:tr>
      <w:tr w:rsidR="00C91161" w:rsidRPr="00C91161" w14:paraId="6206FBD9" w14:textId="77777777" w:rsidTr="0040636C">
        <w:trPr>
          <w:trHeight w:val="375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BD1E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VBE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DE25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5F1EC4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0636C">
              <w:rPr>
                <w:color w:val="000000"/>
                <w:szCs w:val="26"/>
              </w:rPr>
              <w:t>62,85</w:t>
            </w:r>
            <w:r w:rsidR="00F300CD">
              <w:rPr>
                <w:color w:val="000000"/>
                <w:szCs w:val="26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BF947" w14:textId="77777777" w:rsidR="00821435" w:rsidRPr="002849A3" w:rsidRDefault="0040636C" w:rsidP="002849A3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</w:tr>
      <w:tr w:rsidR="00C91161" w:rsidRPr="00C91161" w14:paraId="1A796137" w14:textId="77777777" w:rsidTr="0040636C">
        <w:trPr>
          <w:trHeight w:val="375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2C4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Diversity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485D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9BE57D" w14:textId="77777777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0636C">
              <w:rPr>
                <w:color w:val="000000"/>
                <w:szCs w:val="26"/>
              </w:rPr>
              <w:t>662,518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FADBE" w14:textId="77777777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3</w:t>
            </w:r>
            <w:r w:rsidR="0040636C">
              <w:rPr>
                <w:color w:val="000000"/>
                <w:szCs w:val="26"/>
              </w:rPr>
              <w:t>3</w:t>
            </w:r>
            <w:r w:rsidRPr="002849A3">
              <w:rPr>
                <w:color w:val="000000"/>
                <w:szCs w:val="26"/>
              </w:rPr>
              <w:t>%</w:t>
            </w:r>
          </w:p>
        </w:tc>
      </w:tr>
    </w:tbl>
    <w:p w14:paraId="3D9332F4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p w14:paraId="5316886A" w14:textId="77777777" w:rsidR="00821435" w:rsidRPr="00287376" w:rsidRDefault="00821435" w:rsidP="00287376">
      <w:pPr>
        <w:pStyle w:val="bdstyle2"/>
      </w:pPr>
    </w:p>
    <w:sectPr w:rsidR="00821435" w:rsidRPr="00287376" w:rsidSect="007E733B">
      <w:pgSz w:w="15840" w:h="12240" w:orient="landscape" w:code="1"/>
      <w:pgMar w:top="1440" w:right="720" w:bottom="1440" w:left="720" w:header="72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5C31" w14:textId="77777777" w:rsidR="0020016D" w:rsidRDefault="0020016D">
      <w:r>
        <w:separator/>
      </w:r>
    </w:p>
  </w:endnote>
  <w:endnote w:type="continuationSeparator" w:id="0">
    <w:p w14:paraId="03102C1C" w14:textId="77777777" w:rsidR="0020016D" w:rsidRDefault="0020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5E49" w14:textId="77777777" w:rsidR="0020016D" w:rsidRDefault="0020016D">
      <w:r>
        <w:separator/>
      </w:r>
    </w:p>
  </w:footnote>
  <w:footnote w:type="continuationSeparator" w:id="0">
    <w:p w14:paraId="5DFB0665" w14:textId="77777777" w:rsidR="0020016D" w:rsidRDefault="0020016D">
      <w:r>
        <w:continuationSeparator/>
      </w:r>
    </w:p>
  </w:footnote>
  <w:footnote w:id="1">
    <w:p w14:paraId="4E93F85F" w14:textId="695FF673" w:rsidR="004D2261" w:rsidRDefault="004D2261">
      <w:pPr>
        <w:pStyle w:val="FootnoteText"/>
      </w:pPr>
      <w:r>
        <w:rPr>
          <w:rStyle w:val="FootnoteReference"/>
        </w:rPr>
        <w:footnoteRef/>
      </w:r>
      <w:r>
        <w:t xml:space="preserve"> A selection committee consisting of </w:t>
      </w:r>
      <w:r w:rsidR="00DC4B82">
        <w:t>William Bradford</w:t>
      </w:r>
      <w:r>
        <w:t xml:space="preserve"> (</w:t>
      </w:r>
      <w:r w:rsidR="00DC4B82">
        <w:t>UIC Planning, Sustainability, and Project Management (PSPM)</w:t>
      </w:r>
      <w:r>
        <w:t xml:space="preserve">), </w:t>
      </w:r>
      <w:r w:rsidR="00DC4B82">
        <w:t>Kevin Sheehan (PSPM), Sandeep Kulkarni (PSPM)</w:t>
      </w:r>
      <w:r>
        <w:t xml:space="preserve">, </w:t>
      </w:r>
      <w:r w:rsidR="00DC4B82">
        <w:t>Eric Luchetta-Stendel (PSPM), Jonathan Fair (PSPM)</w:t>
      </w:r>
      <w:r>
        <w:t xml:space="preserve">, </w:t>
      </w:r>
      <w:r w:rsidR="00DC4B82">
        <w:t xml:space="preserve">Sandra Yoo (University of Illinois System Office </w:t>
      </w:r>
      <w:r w:rsidR="00315672">
        <w:t>of</w:t>
      </w:r>
      <w:r w:rsidR="00DC4B82">
        <w:t xml:space="preserve"> Capital Programs, Real Estate and Utility Services), and Dale Morrison (UIC Office of Procurement Diversity) </w:t>
      </w:r>
      <w:r>
        <w:t xml:space="preserve">interviewed the following firms: Gilbane Building Company, Chicago, IL; </w:t>
      </w:r>
      <w:r w:rsidR="00DC4B82">
        <w:t>Core Construction Services of Illinois, Peoria, IL; STV Construction, Inc</w:t>
      </w:r>
      <w:r w:rsidR="005056C3">
        <w:t>.</w:t>
      </w:r>
      <w:r w:rsidR="00DC4B82">
        <w:t>, Chicago, IL; and Berglund Construction Company, Chicago, IL.</w:t>
      </w:r>
      <w:r>
        <w:t xml:space="preserve"> The committee recommends </w:t>
      </w:r>
      <w:r w:rsidR="00DC4B82">
        <w:t>Berglund</w:t>
      </w:r>
      <w:r>
        <w:t xml:space="preserve"> Construction Company, 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604F" w14:textId="77777777" w:rsidR="006C4699" w:rsidRDefault="006C46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0C3AC2" w14:textId="77777777" w:rsidR="006C4699" w:rsidRDefault="006C4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6470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yNzc2srQ0NjW1NDNW0lEKTi0uzszPAykwrAUAahDnOiwAAAA="/>
  </w:docVars>
  <w:rsids>
    <w:rsidRoot w:val="00B327B4"/>
    <w:rsid w:val="0001226A"/>
    <w:rsid w:val="00032098"/>
    <w:rsid w:val="00033D56"/>
    <w:rsid w:val="00035908"/>
    <w:rsid w:val="00051091"/>
    <w:rsid w:val="0005376C"/>
    <w:rsid w:val="00064C48"/>
    <w:rsid w:val="0006501B"/>
    <w:rsid w:val="00083935"/>
    <w:rsid w:val="000A0F6D"/>
    <w:rsid w:val="000B3951"/>
    <w:rsid w:val="000B7C42"/>
    <w:rsid w:val="000C00B1"/>
    <w:rsid w:val="000C0954"/>
    <w:rsid w:val="000C3EB4"/>
    <w:rsid w:val="000C7CF1"/>
    <w:rsid w:val="000D28A8"/>
    <w:rsid w:val="000E2019"/>
    <w:rsid w:val="000F7CA3"/>
    <w:rsid w:val="00113C63"/>
    <w:rsid w:val="00121520"/>
    <w:rsid w:val="00121A5C"/>
    <w:rsid w:val="0013095A"/>
    <w:rsid w:val="00133743"/>
    <w:rsid w:val="00137562"/>
    <w:rsid w:val="00151D40"/>
    <w:rsid w:val="001555EF"/>
    <w:rsid w:val="00161389"/>
    <w:rsid w:val="00170BAF"/>
    <w:rsid w:val="00174D59"/>
    <w:rsid w:val="00182B0D"/>
    <w:rsid w:val="00186240"/>
    <w:rsid w:val="00186378"/>
    <w:rsid w:val="00187732"/>
    <w:rsid w:val="00191CD7"/>
    <w:rsid w:val="001B140F"/>
    <w:rsid w:val="001B3479"/>
    <w:rsid w:val="001C2436"/>
    <w:rsid w:val="001C4349"/>
    <w:rsid w:val="001D053A"/>
    <w:rsid w:val="001D1E2E"/>
    <w:rsid w:val="001E1C5F"/>
    <w:rsid w:val="001F74A7"/>
    <w:rsid w:val="0020016D"/>
    <w:rsid w:val="00202C09"/>
    <w:rsid w:val="00203DA3"/>
    <w:rsid w:val="00204221"/>
    <w:rsid w:val="00206273"/>
    <w:rsid w:val="0021286B"/>
    <w:rsid w:val="00214BE2"/>
    <w:rsid w:val="00217344"/>
    <w:rsid w:val="00221C46"/>
    <w:rsid w:val="00222C9A"/>
    <w:rsid w:val="002335D9"/>
    <w:rsid w:val="00242C57"/>
    <w:rsid w:val="00247CB9"/>
    <w:rsid w:val="00250B05"/>
    <w:rsid w:val="00264F1A"/>
    <w:rsid w:val="00275AEF"/>
    <w:rsid w:val="00283EC2"/>
    <w:rsid w:val="002849A3"/>
    <w:rsid w:val="00287376"/>
    <w:rsid w:val="0029619D"/>
    <w:rsid w:val="002B07D6"/>
    <w:rsid w:val="002B432D"/>
    <w:rsid w:val="002C0DE9"/>
    <w:rsid w:val="002D3E6C"/>
    <w:rsid w:val="002E6F49"/>
    <w:rsid w:val="002F7619"/>
    <w:rsid w:val="0030531B"/>
    <w:rsid w:val="003055A9"/>
    <w:rsid w:val="00305D9E"/>
    <w:rsid w:val="00310AF7"/>
    <w:rsid w:val="00315672"/>
    <w:rsid w:val="003162AD"/>
    <w:rsid w:val="00316B90"/>
    <w:rsid w:val="00345F0C"/>
    <w:rsid w:val="00370A7F"/>
    <w:rsid w:val="00375450"/>
    <w:rsid w:val="0039552C"/>
    <w:rsid w:val="003A5324"/>
    <w:rsid w:val="003B28D0"/>
    <w:rsid w:val="003B2FAF"/>
    <w:rsid w:val="003C4BBE"/>
    <w:rsid w:val="003C79C1"/>
    <w:rsid w:val="003D36DA"/>
    <w:rsid w:val="003D4A7A"/>
    <w:rsid w:val="003E0120"/>
    <w:rsid w:val="003E51C0"/>
    <w:rsid w:val="003E51DD"/>
    <w:rsid w:val="0040117C"/>
    <w:rsid w:val="00402D14"/>
    <w:rsid w:val="00404E1E"/>
    <w:rsid w:val="0040636C"/>
    <w:rsid w:val="00420E19"/>
    <w:rsid w:val="00437FB3"/>
    <w:rsid w:val="004432D1"/>
    <w:rsid w:val="004643C7"/>
    <w:rsid w:val="00465767"/>
    <w:rsid w:val="0048738B"/>
    <w:rsid w:val="00487EFD"/>
    <w:rsid w:val="004B092A"/>
    <w:rsid w:val="004B157E"/>
    <w:rsid w:val="004B2411"/>
    <w:rsid w:val="004B6D99"/>
    <w:rsid w:val="004C55BF"/>
    <w:rsid w:val="004C5EC5"/>
    <w:rsid w:val="004D0AAF"/>
    <w:rsid w:val="004D2261"/>
    <w:rsid w:val="004D423A"/>
    <w:rsid w:val="004D70D6"/>
    <w:rsid w:val="004E588F"/>
    <w:rsid w:val="004F0C4B"/>
    <w:rsid w:val="004F7A15"/>
    <w:rsid w:val="005056C3"/>
    <w:rsid w:val="00506E91"/>
    <w:rsid w:val="00510CDC"/>
    <w:rsid w:val="0051224A"/>
    <w:rsid w:val="005152A7"/>
    <w:rsid w:val="0051678F"/>
    <w:rsid w:val="00522310"/>
    <w:rsid w:val="00526C84"/>
    <w:rsid w:val="00533443"/>
    <w:rsid w:val="00535D28"/>
    <w:rsid w:val="00536CA1"/>
    <w:rsid w:val="0054048B"/>
    <w:rsid w:val="005542A1"/>
    <w:rsid w:val="00554774"/>
    <w:rsid w:val="0056378F"/>
    <w:rsid w:val="00566616"/>
    <w:rsid w:val="00595BA3"/>
    <w:rsid w:val="005C0EF5"/>
    <w:rsid w:val="005C0FD1"/>
    <w:rsid w:val="005C31E7"/>
    <w:rsid w:val="005C4CDC"/>
    <w:rsid w:val="005D1BE0"/>
    <w:rsid w:val="005D221A"/>
    <w:rsid w:val="005D4844"/>
    <w:rsid w:val="005E3EBD"/>
    <w:rsid w:val="005E60C5"/>
    <w:rsid w:val="005E7315"/>
    <w:rsid w:val="005E79CC"/>
    <w:rsid w:val="00607F01"/>
    <w:rsid w:val="00610D30"/>
    <w:rsid w:val="0061566E"/>
    <w:rsid w:val="00640FFA"/>
    <w:rsid w:val="0064524B"/>
    <w:rsid w:val="006629DE"/>
    <w:rsid w:val="00662A5C"/>
    <w:rsid w:val="006632AA"/>
    <w:rsid w:val="006670BD"/>
    <w:rsid w:val="00667C97"/>
    <w:rsid w:val="0067137C"/>
    <w:rsid w:val="00681D0E"/>
    <w:rsid w:val="00695E2E"/>
    <w:rsid w:val="006A1C13"/>
    <w:rsid w:val="006A3344"/>
    <w:rsid w:val="006B1B0D"/>
    <w:rsid w:val="006B4E00"/>
    <w:rsid w:val="006C0F48"/>
    <w:rsid w:val="006C4699"/>
    <w:rsid w:val="006D5D18"/>
    <w:rsid w:val="006E2605"/>
    <w:rsid w:val="006F1223"/>
    <w:rsid w:val="007032CF"/>
    <w:rsid w:val="007151BF"/>
    <w:rsid w:val="00730B09"/>
    <w:rsid w:val="007527FB"/>
    <w:rsid w:val="00767F57"/>
    <w:rsid w:val="00767FA1"/>
    <w:rsid w:val="00790CB9"/>
    <w:rsid w:val="0079348B"/>
    <w:rsid w:val="007A5B21"/>
    <w:rsid w:val="007B1D6A"/>
    <w:rsid w:val="007B7B5D"/>
    <w:rsid w:val="007C25AB"/>
    <w:rsid w:val="007C5BDC"/>
    <w:rsid w:val="007D08C8"/>
    <w:rsid w:val="007D4DDF"/>
    <w:rsid w:val="007E0EED"/>
    <w:rsid w:val="007E733B"/>
    <w:rsid w:val="00806E1F"/>
    <w:rsid w:val="00816D8D"/>
    <w:rsid w:val="00821435"/>
    <w:rsid w:val="008428C3"/>
    <w:rsid w:val="00847CA6"/>
    <w:rsid w:val="008530A2"/>
    <w:rsid w:val="0085457E"/>
    <w:rsid w:val="008552F6"/>
    <w:rsid w:val="00860331"/>
    <w:rsid w:val="00870053"/>
    <w:rsid w:val="008711F9"/>
    <w:rsid w:val="00873CB4"/>
    <w:rsid w:val="00877A4A"/>
    <w:rsid w:val="00885D26"/>
    <w:rsid w:val="00887E84"/>
    <w:rsid w:val="008A7820"/>
    <w:rsid w:val="008B7865"/>
    <w:rsid w:val="008C31B9"/>
    <w:rsid w:val="008C5DE2"/>
    <w:rsid w:val="008D7977"/>
    <w:rsid w:val="008F5501"/>
    <w:rsid w:val="00902D92"/>
    <w:rsid w:val="009142FA"/>
    <w:rsid w:val="00914EBC"/>
    <w:rsid w:val="009172BE"/>
    <w:rsid w:val="00923F3C"/>
    <w:rsid w:val="00924FAA"/>
    <w:rsid w:val="00925C5F"/>
    <w:rsid w:val="00934462"/>
    <w:rsid w:val="009541B5"/>
    <w:rsid w:val="0095431D"/>
    <w:rsid w:val="00955272"/>
    <w:rsid w:val="00971AD2"/>
    <w:rsid w:val="009745E1"/>
    <w:rsid w:val="0097648F"/>
    <w:rsid w:val="0099201D"/>
    <w:rsid w:val="009977B9"/>
    <w:rsid w:val="009A1E59"/>
    <w:rsid w:val="009B0614"/>
    <w:rsid w:val="009B1566"/>
    <w:rsid w:val="009B59F7"/>
    <w:rsid w:val="009B6A47"/>
    <w:rsid w:val="009B7E1C"/>
    <w:rsid w:val="009C262A"/>
    <w:rsid w:val="009D7650"/>
    <w:rsid w:val="009E1958"/>
    <w:rsid w:val="00A04E10"/>
    <w:rsid w:val="00A17ABE"/>
    <w:rsid w:val="00A33953"/>
    <w:rsid w:val="00A41966"/>
    <w:rsid w:val="00A45B3F"/>
    <w:rsid w:val="00A45BB3"/>
    <w:rsid w:val="00A52CE1"/>
    <w:rsid w:val="00A579CE"/>
    <w:rsid w:val="00A61650"/>
    <w:rsid w:val="00A65142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2CEE"/>
    <w:rsid w:val="00AD3E02"/>
    <w:rsid w:val="00AD6388"/>
    <w:rsid w:val="00AE53CC"/>
    <w:rsid w:val="00AE53E4"/>
    <w:rsid w:val="00B0205F"/>
    <w:rsid w:val="00B1019A"/>
    <w:rsid w:val="00B13FD4"/>
    <w:rsid w:val="00B17965"/>
    <w:rsid w:val="00B20696"/>
    <w:rsid w:val="00B221DF"/>
    <w:rsid w:val="00B24ACE"/>
    <w:rsid w:val="00B25372"/>
    <w:rsid w:val="00B25FEE"/>
    <w:rsid w:val="00B31DDF"/>
    <w:rsid w:val="00B327B4"/>
    <w:rsid w:val="00B508F4"/>
    <w:rsid w:val="00B536F9"/>
    <w:rsid w:val="00B54019"/>
    <w:rsid w:val="00B55EF7"/>
    <w:rsid w:val="00B654CC"/>
    <w:rsid w:val="00B70D1C"/>
    <w:rsid w:val="00B8050F"/>
    <w:rsid w:val="00B97F35"/>
    <w:rsid w:val="00BA4219"/>
    <w:rsid w:val="00BA511E"/>
    <w:rsid w:val="00BC5BEC"/>
    <w:rsid w:val="00BD5835"/>
    <w:rsid w:val="00BE616B"/>
    <w:rsid w:val="00BF2DB7"/>
    <w:rsid w:val="00C06104"/>
    <w:rsid w:val="00C06366"/>
    <w:rsid w:val="00C14F7C"/>
    <w:rsid w:val="00C2004A"/>
    <w:rsid w:val="00C40CC3"/>
    <w:rsid w:val="00C51BBB"/>
    <w:rsid w:val="00C648FD"/>
    <w:rsid w:val="00C6519A"/>
    <w:rsid w:val="00C76408"/>
    <w:rsid w:val="00C80575"/>
    <w:rsid w:val="00C80A5C"/>
    <w:rsid w:val="00C8442C"/>
    <w:rsid w:val="00C87469"/>
    <w:rsid w:val="00C91161"/>
    <w:rsid w:val="00C94A15"/>
    <w:rsid w:val="00CC6EA8"/>
    <w:rsid w:val="00CE6C2B"/>
    <w:rsid w:val="00CF4AA4"/>
    <w:rsid w:val="00D10220"/>
    <w:rsid w:val="00D10A8E"/>
    <w:rsid w:val="00D266E2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91F70"/>
    <w:rsid w:val="00D96CA7"/>
    <w:rsid w:val="00DB0D27"/>
    <w:rsid w:val="00DB1134"/>
    <w:rsid w:val="00DB7110"/>
    <w:rsid w:val="00DC0736"/>
    <w:rsid w:val="00DC4B82"/>
    <w:rsid w:val="00DC60B5"/>
    <w:rsid w:val="00DD10B6"/>
    <w:rsid w:val="00DD1A2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56EE"/>
    <w:rsid w:val="00E602FF"/>
    <w:rsid w:val="00E662B0"/>
    <w:rsid w:val="00E82D0C"/>
    <w:rsid w:val="00E90269"/>
    <w:rsid w:val="00E9161B"/>
    <w:rsid w:val="00EA661A"/>
    <w:rsid w:val="00EB57B1"/>
    <w:rsid w:val="00ED3437"/>
    <w:rsid w:val="00ED45F0"/>
    <w:rsid w:val="00EE08E8"/>
    <w:rsid w:val="00EF4DDF"/>
    <w:rsid w:val="00F040EC"/>
    <w:rsid w:val="00F050E4"/>
    <w:rsid w:val="00F07D36"/>
    <w:rsid w:val="00F11A32"/>
    <w:rsid w:val="00F165BC"/>
    <w:rsid w:val="00F275B7"/>
    <w:rsid w:val="00F300CD"/>
    <w:rsid w:val="00F34BA5"/>
    <w:rsid w:val="00F3669E"/>
    <w:rsid w:val="00F46104"/>
    <w:rsid w:val="00F71C42"/>
    <w:rsid w:val="00FD3C65"/>
    <w:rsid w:val="00FD3EF0"/>
    <w:rsid w:val="00FD631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B2A7F"/>
  <w15:chartTrackingRefBased/>
  <w15:docId w15:val="{1BBF064F-A70E-4B2A-9F76-CF7007A7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8df4b5-255f-4530-aa47-c026b0329b7a">
      <UserInfo>
        <DisplayName>Wilson, Mike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7" ma:contentTypeDescription="Create a new document." ma:contentTypeScope="" ma:versionID="5d019269d09213e6d3aab8a94b54955d">
  <xsd:schema xmlns:xsd="http://www.w3.org/2001/XMLSchema" xmlns:xs="http://www.w3.org/2001/XMLSchema" xmlns:p="http://schemas.microsoft.com/office/2006/metadata/properties" xmlns:ns2="656b2e89-7ba0-4ae3-9c69-589402680fac" xmlns:ns3="348df4b5-255f-4530-aa47-c026b0329b7a" targetNamespace="http://schemas.microsoft.com/office/2006/metadata/properties" ma:root="true" ma:fieldsID="0eef7635a704581b0a0120bd4fe86c04" ns2:_="" ns3:_="">
    <xsd:import namespace="656b2e89-7ba0-4ae3-9c69-589402680fac"/>
    <xsd:import namespace="348df4b5-255f-4530-aa47-c026b032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f4b5-255f-4530-aa47-c026b032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69249-F3B2-4FFA-8205-933FF31E039C}">
  <ds:schemaRefs>
    <ds:schemaRef ds:uri="http://schemas.microsoft.com/office/2006/metadata/properties"/>
    <ds:schemaRef ds:uri="http://schemas.microsoft.com/office/infopath/2007/PartnerControls"/>
    <ds:schemaRef ds:uri="348df4b5-255f-4530-aa47-c026b0329b7a"/>
  </ds:schemaRefs>
</ds:datastoreItem>
</file>

<file path=customXml/itemProps3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3D2AA-21B1-47FB-888A-1C7CA9AE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348df4b5-255f-4530-aa47-c026b032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6</cp:revision>
  <cp:lastPrinted>2023-09-13T13:59:00Z</cp:lastPrinted>
  <dcterms:created xsi:type="dcterms:W3CDTF">2023-09-13T14:19:00Z</dcterms:created>
  <dcterms:modified xsi:type="dcterms:W3CDTF">2023-09-21T17:19:00Z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0x0101007BAEA1B5F1A97E4584059F469CAEFA19</vt:lpwstr>
  </property>
  <property fmtid="{D5CDD505-2E9C-101B-9397-08002B2CF9AE}" pid="3" name="GrammarlyDocumentId">
    <vt:lpwstr>8a1393a7cac3a2588c33f31168a99fde16300f9a76b16981ca4fde042932fcaa</vt:lpwstr>
  </property>
</Properties>
</file>