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965B" w14:textId="77777777" w:rsidR="00A34D5C" w:rsidRPr="00A34D5C" w:rsidRDefault="00A34D5C" w:rsidP="00A34D5C">
      <w:pPr>
        <w:pBdr>
          <w:top w:val="single" w:sz="4" w:space="1" w:color="auto"/>
          <w:left w:val="single" w:sz="4" w:space="4" w:color="auto"/>
          <w:bottom w:val="single" w:sz="4" w:space="1" w:color="auto"/>
          <w:right w:val="single" w:sz="4" w:space="0" w:color="auto"/>
        </w:pBdr>
        <w:overflowPunct w:val="0"/>
        <w:autoSpaceDE w:val="0"/>
        <w:autoSpaceDN w:val="0"/>
        <w:adjustRightInd w:val="0"/>
        <w:spacing w:after="0" w:line="276" w:lineRule="auto"/>
        <w:ind w:right="5760"/>
        <w:rPr>
          <w:rFonts w:ascii="Times New Roman" w:eastAsia="Times New Roman" w:hAnsi="Times New Roman" w:cs="Times New Roman"/>
          <w:color w:val="2F5597"/>
          <w:sz w:val="26"/>
          <w:szCs w:val="20"/>
        </w:rPr>
      </w:pPr>
      <w:bookmarkStart w:id="0" w:name="_Hlk77839959"/>
      <w:bookmarkStart w:id="1" w:name="_Hlk93577479"/>
      <w:r w:rsidRPr="00A34D5C">
        <w:rPr>
          <w:rFonts w:ascii="Times New Roman" w:eastAsia="Times New Roman" w:hAnsi="Times New Roman" w:cs="Times New Roman"/>
          <w:color w:val="2F5597"/>
          <w:sz w:val="26"/>
          <w:szCs w:val="20"/>
        </w:rPr>
        <w:t>Reported to the Board of Trustees</w:t>
      </w:r>
    </w:p>
    <w:bookmarkEnd w:id="0"/>
    <w:bookmarkEnd w:id="1"/>
    <w:p w14:paraId="19D4CE51" w14:textId="662B2692" w:rsidR="00A34D5C" w:rsidRPr="00A34D5C" w:rsidRDefault="00A34D5C" w:rsidP="00A34D5C">
      <w:pPr>
        <w:pBdr>
          <w:top w:val="single" w:sz="4" w:space="1" w:color="auto"/>
          <w:left w:val="single" w:sz="4" w:space="4" w:color="auto"/>
          <w:bottom w:val="single" w:sz="4" w:space="1" w:color="auto"/>
          <w:right w:val="single" w:sz="4" w:space="0" w:color="auto"/>
        </w:pBdr>
        <w:overflowPunct w:val="0"/>
        <w:autoSpaceDE w:val="0"/>
        <w:autoSpaceDN w:val="0"/>
        <w:adjustRightInd w:val="0"/>
        <w:spacing w:after="0" w:line="240" w:lineRule="auto"/>
        <w:ind w:right="5760"/>
        <w:rPr>
          <w:rFonts w:ascii="Times New Roman" w:eastAsia="Times New Roman" w:hAnsi="Times New Roman" w:cs="Times New Roman"/>
          <w:color w:val="2F5597"/>
          <w:sz w:val="26"/>
          <w:szCs w:val="20"/>
        </w:rPr>
      </w:pPr>
      <w:r>
        <w:rPr>
          <w:rFonts w:ascii="Times New Roman" w:eastAsia="Times New Roman" w:hAnsi="Times New Roman" w:cs="Times New Roman"/>
          <w:color w:val="2F5597"/>
          <w:sz w:val="26"/>
          <w:szCs w:val="20"/>
        </w:rPr>
        <w:t>September 21</w:t>
      </w:r>
      <w:r w:rsidRPr="00A34D5C">
        <w:rPr>
          <w:rFonts w:ascii="Times New Roman" w:eastAsia="Times New Roman" w:hAnsi="Times New Roman" w:cs="Times New Roman"/>
          <w:color w:val="2F5597"/>
          <w:sz w:val="26"/>
          <w:szCs w:val="20"/>
        </w:rPr>
        <w:t>, 2023</w:t>
      </w:r>
    </w:p>
    <w:p w14:paraId="281C4A20" w14:textId="13FBC82E" w:rsidR="00F45F9E" w:rsidRDefault="00A34D5C" w:rsidP="00A34D5C">
      <w:pPr>
        <w:rPr>
          <w:rFonts w:ascii="Times New Roman" w:hAnsi="Times New Roman" w:cs="Times New Roman"/>
          <w:b/>
          <w:sz w:val="24"/>
          <w:szCs w:val="24"/>
        </w:rPr>
      </w:pPr>
      <w:r w:rsidRPr="00A34D5C">
        <w:rPr>
          <w:rFonts w:ascii="Times New Roman" w:eastAsia="Times New Roman" w:hAnsi="Times New Roman" w:cs="Times New Roman"/>
          <w:sz w:val="26"/>
          <w:szCs w:val="20"/>
        </w:rPr>
        <w:tab/>
      </w:r>
    </w:p>
    <w:p w14:paraId="49C7BB9D" w14:textId="4EB33033" w:rsidR="00F45F9E" w:rsidRDefault="00F45F9E">
      <w:pPr>
        <w:rPr>
          <w:rFonts w:ascii="Times New Roman" w:hAnsi="Times New Roman" w:cs="Times New Roman"/>
          <w:b/>
          <w:sz w:val="24"/>
          <w:szCs w:val="24"/>
        </w:rPr>
      </w:pPr>
    </w:p>
    <w:p w14:paraId="4B4CEAC5" w14:textId="6EDE50CE" w:rsidR="00F45F9E" w:rsidRDefault="00F45F9E">
      <w:pPr>
        <w:rPr>
          <w:rFonts w:ascii="Times New Roman" w:hAnsi="Times New Roman" w:cs="Times New Roman"/>
          <w:b/>
          <w:sz w:val="24"/>
          <w:szCs w:val="24"/>
        </w:rPr>
      </w:pPr>
    </w:p>
    <w:p w14:paraId="61CEE73E" w14:textId="57645F61" w:rsidR="00F45F9E" w:rsidRDefault="00F45F9E">
      <w:pPr>
        <w:rPr>
          <w:rFonts w:ascii="Times New Roman" w:hAnsi="Times New Roman" w:cs="Times New Roman"/>
          <w:b/>
          <w:sz w:val="24"/>
          <w:szCs w:val="24"/>
        </w:rPr>
      </w:pPr>
    </w:p>
    <w:p w14:paraId="40ABE720" w14:textId="0CE5ADF9" w:rsidR="00F45F9E" w:rsidRDefault="00F45F9E">
      <w:pPr>
        <w:rPr>
          <w:rFonts w:ascii="Times New Roman" w:hAnsi="Times New Roman" w:cs="Times New Roman"/>
          <w:b/>
          <w:sz w:val="24"/>
          <w:szCs w:val="24"/>
        </w:rPr>
      </w:pPr>
    </w:p>
    <w:p w14:paraId="624FE82C" w14:textId="495A607A" w:rsidR="00F45F9E" w:rsidRDefault="00F45F9E">
      <w:pPr>
        <w:rPr>
          <w:rFonts w:ascii="Times New Roman" w:hAnsi="Times New Roman" w:cs="Times New Roman"/>
          <w:b/>
          <w:sz w:val="24"/>
          <w:szCs w:val="24"/>
        </w:rPr>
      </w:pPr>
    </w:p>
    <w:p w14:paraId="2B340469" w14:textId="69CDE5F1" w:rsidR="00F45F9E" w:rsidRDefault="00F45F9E">
      <w:pPr>
        <w:rPr>
          <w:rFonts w:ascii="Times New Roman" w:hAnsi="Times New Roman" w:cs="Times New Roman"/>
          <w:b/>
          <w:sz w:val="24"/>
          <w:szCs w:val="24"/>
        </w:rPr>
      </w:pPr>
    </w:p>
    <w:p w14:paraId="1AFB34C1" w14:textId="61E723E2" w:rsidR="00F45F9E" w:rsidRDefault="00F45F9E">
      <w:pPr>
        <w:rPr>
          <w:rFonts w:ascii="Times New Roman" w:hAnsi="Times New Roman" w:cs="Times New Roman"/>
          <w:b/>
          <w:sz w:val="24"/>
          <w:szCs w:val="24"/>
        </w:rPr>
      </w:pPr>
      <w:r w:rsidRPr="00F45F9E">
        <w:rPr>
          <w:rFonts w:ascii="Times New Roman" w:hAnsi="Times New Roman" w:cs="Times New Roman"/>
          <w:b/>
          <w:noProof/>
          <w:sz w:val="24"/>
          <w:szCs w:val="24"/>
        </w:rPr>
        <w:drawing>
          <wp:inline distT="0" distB="0" distL="0" distR="0" wp14:anchorId="7B588EDB" wp14:editId="534D2C1D">
            <wp:extent cx="6400800" cy="735965"/>
            <wp:effectExtent l="0" t="0" r="0" b="6985"/>
            <wp:docPr id="11268" name="Picture 6" descr="University of Illinoi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6" descr="University of Illinois System"/>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735965"/>
                    </a:xfrm>
                    <a:prstGeom prst="rect">
                      <a:avLst/>
                    </a:prstGeom>
                    <a:noFill/>
                    <a:ln>
                      <a:noFill/>
                    </a:ln>
                  </pic:spPr>
                </pic:pic>
              </a:graphicData>
            </a:graphic>
          </wp:inline>
        </w:drawing>
      </w:r>
    </w:p>
    <w:p w14:paraId="4AD0E931" w14:textId="4C8944F6" w:rsidR="00F45F9E" w:rsidRPr="00F45F9E" w:rsidRDefault="00F45F9E" w:rsidP="00F45F9E">
      <w:pPr>
        <w:pStyle w:val="Header"/>
        <w:rPr>
          <w:rFonts w:ascii="Times New Roman" w:hAnsi="Times New Roman" w:cs="Times New Roman"/>
          <w:b/>
          <w:sz w:val="40"/>
          <w:szCs w:val="40"/>
        </w:rPr>
      </w:pPr>
      <w:r w:rsidRPr="00F45F9E">
        <w:rPr>
          <w:rFonts w:ascii="Times New Roman" w:hAnsi="Times New Roman" w:cs="Times New Roman"/>
          <w:b/>
          <w:sz w:val="40"/>
          <w:szCs w:val="40"/>
        </w:rPr>
        <w:t>Office of Investments Annual Report</w:t>
      </w:r>
    </w:p>
    <w:p w14:paraId="124CF8E1" w14:textId="6114E3F0" w:rsidR="00F45F9E" w:rsidRPr="00917772" w:rsidRDefault="00AD671E" w:rsidP="00F45F9E">
      <w:pPr>
        <w:pStyle w:val="Header"/>
        <w:rPr>
          <w:rFonts w:ascii="Times New Roman" w:hAnsi="Times New Roman" w:cs="Times New Roman"/>
          <w:b/>
          <w:sz w:val="32"/>
          <w:szCs w:val="32"/>
        </w:rPr>
      </w:pPr>
      <w:r>
        <w:rPr>
          <w:rFonts w:ascii="Times New Roman" w:hAnsi="Times New Roman" w:cs="Times New Roman"/>
          <w:b/>
          <w:sz w:val="32"/>
          <w:szCs w:val="32"/>
        </w:rPr>
        <w:t xml:space="preserve">Fiscal </w:t>
      </w:r>
      <w:r w:rsidR="003476E2">
        <w:rPr>
          <w:rFonts w:ascii="Times New Roman" w:hAnsi="Times New Roman" w:cs="Times New Roman"/>
          <w:b/>
          <w:sz w:val="32"/>
          <w:szCs w:val="32"/>
        </w:rPr>
        <w:t>Year Ending</w:t>
      </w:r>
      <w:r w:rsidR="00F45F9E">
        <w:rPr>
          <w:rFonts w:ascii="Times New Roman" w:hAnsi="Times New Roman" w:cs="Times New Roman"/>
          <w:b/>
          <w:sz w:val="32"/>
          <w:szCs w:val="32"/>
        </w:rPr>
        <w:t xml:space="preserve"> </w:t>
      </w:r>
      <w:r w:rsidR="000B05F2">
        <w:rPr>
          <w:rFonts w:ascii="Times New Roman" w:hAnsi="Times New Roman" w:cs="Times New Roman"/>
          <w:b/>
          <w:sz w:val="32"/>
          <w:szCs w:val="32"/>
        </w:rPr>
        <w:t>June 30, 202</w:t>
      </w:r>
      <w:r w:rsidR="00E307A7">
        <w:rPr>
          <w:rFonts w:ascii="Times New Roman" w:hAnsi="Times New Roman" w:cs="Times New Roman"/>
          <w:b/>
          <w:sz w:val="32"/>
          <w:szCs w:val="32"/>
        </w:rPr>
        <w:t>3</w:t>
      </w:r>
    </w:p>
    <w:p w14:paraId="0A9E6D52" w14:textId="77777777" w:rsidR="00F45F9E" w:rsidRDefault="00F45F9E">
      <w:pPr>
        <w:rPr>
          <w:rFonts w:ascii="Times New Roman" w:hAnsi="Times New Roman" w:cs="Times New Roman"/>
          <w:b/>
          <w:sz w:val="24"/>
          <w:szCs w:val="24"/>
        </w:rPr>
      </w:pPr>
    </w:p>
    <w:p w14:paraId="20D02C1A" w14:textId="77777777" w:rsidR="00F45F9E" w:rsidRDefault="00F45F9E">
      <w:pPr>
        <w:rPr>
          <w:rFonts w:ascii="Times New Roman" w:hAnsi="Times New Roman" w:cs="Times New Roman"/>
          <w:b/>
          <w:sz w:val="24"/>
          <w:szCs w:val="24"/>
        </w:rPr>
      </w:pPr>
      <w:r>
        <w:rPr>
          <w:rFonts w:ascii="Times New Roman" w:hAnsi="Times New Roman" w:cs="Times New Roman"/>
          <w:b/>
          <w:sz w:val="24"/>
          <w:szCs w:val="24"/>
        </w:rPr>
        <w:br w:type="page"/>
      </w:r>
    </w:p>
    <w:p w14:paraId="625FF595" w14:textId="7290B56A" w:rsidR="001676F6" w:rsidRPr="00517B1D" w:rsidRDefault="001676F6" w:rsidP="001676F6">
      <w:pPr>
        <w:jc w:val="center"/>
        <w:rPr>
          <w:rFonts w:ascii="Times New Roman" w:hAnsi="Times New Roman" w:cs="Times New Roman"/>
          <w:b/>
          <w:sz w:val="32"/>
          <w:szCs w:val="32"/>
        </w:rPr>
      </w:pPr>
      <w:r w:rsidRPr="00517B1D">
        <w:rPr>
          <w:rFonts w:ascii="Times New Roman" w:hAnsi="Times New Roman" w:cs="Times New Roman"/>
          <w:b/>
          <w:sz w:val="32"/>
          <w:szCs w:val="32"/>
        </w:rPr>
        <w:lastRenderedPageBreak/>
        <w:t>Table of Contents</w:t>
      </w:r>
    </w:p>
    <w:p w14:paraId="348C9207" w14:textId="0172FD0E" w:rsidR="001676F6" w:rsidRDefault="001676F6" w:rsidP="001676F6">
      <w:pPr>
        <w:jc w:val="center"/>
        <w:rPr>
          <w:rFonts w:ascii="Times New Roman" w:hAnsi="Times New Roman" w:cs="Times New Roman"/>
          <w:b/>
          <w:sz w:val="24"/>
          <w:szCs w:val="24"/>
        </w:rPr>
      </w:pPr>
    </w:p>
    <w:p w14:paraId="3362B1AB" w14:textId="1D740D52" w:rsidR="001676F6" w:rsidRDefault="001676F6" w:rsidP="00621A03">
      <w:pPr>
        <w:ind w:left="720"/>
        <w:rPr>
          <w:rFonts w:ascii="Times New Roman" w:hAnsi="Times New Roman" w:cs="Times New Roman"/>
          <w:sz w:val="24"/>
          <w:szCs w:val="24"/>
        </w:rPr>
      </w:pPr>
      <w:r>
        <w:rPr>
          <w:rFonts w:ascii="Times New Roman" w:hAnsi="Times New Roman" w:cs="Times New Roman"/>
          <w:sz w:val="24"/>
          <w:szCs w:val="24"/>
        </w:rPr>
        <w:t>Introduction………………………………………………………………</w:t>
      </w:r>
      <w:proofErr w:type="gramStart"/>
      <w:r>
        <w:rPr>
          <w:rFonts w:ascii="Times New Roman" w:hAnsi="Times New Roman" w:cs="Times New Roman"/>
          <w:sz w:val="24"/>
          <w:szCs w:val="24"/>
        </w:rPr>
        <w:t>…</w:t>
      </w:r>
      <w:r w:rsidR="00342F64">
        <w:rPr>
          <w:rFonts w:ascii="Times New Roman" w:hAnsi="Times New Roman" w:cs="Times New Roman"/>
          <w:sz w:val="24"/>
          <w:szCs w:val="24"/>
        </w:rPr>
        <w:t>..</w:t>
      </w:r>
      <w:proofErr w:type="gramEnd"/>
      <w:r>
        <w:rPr>
          <w:rFonts w:ascii="Times New Roman" w:hAnsi="Times New Roman" w:cs="Times New Roman"/>
          <w:sz w:val="24"/>
          <w:szCs w:val="24"/>
        </w:rPr>
        <w:t>……3</w:t>
      </w:r>
    </w:p>
    <w:p w14:paraId="02A3ECD3" w14:textId="1260BA3D" w:rsidR="001676F6" w:rsidRDefault="001676F6" w:rsidP="00621A03">
      <w:pPr>
        <w:ind w:left="720"/>
        <w:rPr>
          <w:rFonts w:ascii="Times New Roman" w:hAnsi="Times New Roman" w:cs="Times New Roman"/>
          <w:sz w:val="24"/>
          <w:szCs w:val="24"/>
        </w:rPr>
      </w:pPr>
    </w:p>
    <w:p w14:paraId="23D5801E" w14:textId="064F6EFE" w:rsidR="001676F6" w:rsidRDefault="00785C28" w:rsidP="00621A03">
      <w:pPr>
        <w:ind w:left="720"/>
        <w:rPr>
          <w:rFonts w:ascii="Times New Roman" w:hAnsi="Times New Roman" w:cs="Times New Roman"/>
          <w:sz w:val="24"/>
          <w:szCs w:val="24"/>
        </w:rPr>
      </w:pPr>
      <w:r>
        <w:rPr>
          <w:rFonts w:ascii="Times New Roman" w:hAnsi="Times New Roman" w:cs="Times New Roman"/>
          <w:sz w:val="24"/>
          <w:szCs w:val="24"/>
        </w:rPr>
        <w:t>Financial</w:t>
      </w:r>
      <w:r w:rsidR="00962EF0">
        <w:rPr>
          <w:rFonts w:ascii="Times New Roman" w:hAnsi="Times New Roman" w:cs="Times New Roman"/>
          <w:sz w:val="24"/>
          <w:szCs w:val="24"/>
        </w:rPr>
        <w:t xml:space="preserve"> Asset Overview…………………………</w:t>
      </w:r>
      <w:proofErr w:type="gramStart"/>
      <w:r w:rsidR="00962EF0">
        <w:rPr>
          <w:rFonts w:ascii="Times New Roman" w:hAnsi="Times New Roman" w:cs="Times New Roman"/>
          <w:sz w:val="24"/>
          <w:szCs w:val="24"/>
        </w:rPr>
        <w:t>…</w:t>
      </w:r>
      <w:r w:rsidR="00342F64">
        <w:rPr>
          <w:rFonts w:ascii="Times New Roman" w:hAnsi="Times New Roman" w:cs="Times New Roman"/>
          <w:sz w:val="24"/>
          <w:szCs w:val="24"/>
        </w:rPr>
        <w:t>..</w:t>
      </w:r>
      <w:proofErr w:type="gramEnd"/>
      <w:r w:rsidR="00962EF0">
        <w:rPr>
          <w:rFonts w:ascii="Times New Roman" w:hAnsi="Times New Roman" w:cs="Times New Roman"/>
          <w:sz w:val="24"/>
          <w:szCs w:val="24"/>
        </w:rPr>
        <w:t>………………</w:t>
      </w:r>
      <w:r w:rsidR="0023756E">
        <w:rPr>
          <w:rFonts w:ascii="Times New Roman" w:hAnsi="Times New Roman" w:cs="Times New Roman"/>
          <w:sz w:val="24"/>
          <w:szCs w:val="24"/>
        </w:rPr>
        <w:t>...</w:t>
      </w:r>
      <w:r w:rsidR="002C3769">
        <w:rPr>
          <w:rFonts w:ascii="Times New Roman" w:hAnsi="Times New Roman" w:cs="Times New Roman"/>
          <w:sz w:val="24"/>
          <w:szCs w:val="24"/>
        </w:rPr>
        <w:t>…………4</w:t>
      </w:r>
    </w:p>
    <w:p w14:paraId="7993B592" w14:textId="5B4CF5EA" w:rsidR="00962EF0" w:rsidRDefault="00962EF0" w:rsidP="00621A03">
      <w:pPr>
        <w:ind w:left="720"/>
        <w:rPr>
          <w:rFonts w:ascii="Times New Roman" w:hAnsi="Times New Roman" w:cs="Times New Roman"/>
          <w:sz w:val="24"/>
          <w:szCs w:val="24"/>
        </w:rPr>
      </w:pPr>
    </w:p>
    <w:p w14:paraId="3282E734" w14:textId="381BD296" w:rsidR="00962EF0" w:rsidRDefault="00962EF0" w:rsidP="00621A03">
      <w:pPr>
        <w:ind w:left="720"/>
        <w:rPr>
          <w:rFonts w:ascii="Times New Roman" w:hAnsi="Times New Roman" w:cs="Times New Roman"/>
          <w:sz w:val="24"/>
          <w:szCs w:val="24"/>
        </w:rPr>
      </w:pPr>
      <w:r>
        <w:rPr>
          <w:rFonts w:ascii="Times New Roman" w:hAnsi="Times New Roman" w:cs="Times New Roman"/>
          <w:sz w:val="24"/>
          <w:szCs w:val="24"/>
        </w:rPr>
        <w:t xml:space="preserve">Endowment </w:t>
      </w:r>
      <w:r w:rsidR="00342F64">
        <w:rPr>
          <w:rFonts w:ascii="Times New Roman" w:hAnsi="Times New Roman" w:cs="Times New Roman"/>
          <w:sz w:val="24"/>
          <w:szCs w:val="24"/>
        </w:rPr>
        <w:t>Pool</w:t>
      </w:r>
      <w:proofErr w:type="gramStart"/>
      <w:r w:rsidR="00342F64">
        <w:rPr>
          <w:rFonts w:ascii="Times New Roman" w:hAnsi="Times New Roman" w:cs="Times New Roman"/>
          <w:sz w:val="24"/>
          <w:szCs w:val="24"/>
        </w:rPr>
        <w:t>..</w:t>
      </w:r>
      <w:r w:rsidR="003554A7">
        <w:rPr>
          <w:rFonts w:ascii="Times New Roman" w:hAnsi="Times New Roman" w:cs="Times New Roman"/>
          <w:sz w:val="24"/>
          <w:szCs w:val="24"/>
        </w:rPr>
        <w:t>...</w:t>
      </w:r>
      <w:proofErr w:type="gramEnd"/>
      <w:r w:rsidR="00CE2B33">
        <w:rPr>
          <w:rFonts w:ascii="Times New Roman" w:hAnsi="Times New Roman" w:cs="Times New Roman"/>
          <w:sz w:val="24"/>
          <w:szCs w:val="24"/>
        </w:rPr>
        <w:t>…………....</w:t>
      </w:r>
      <w:r>
        <w:rPr>
          <w:rFonts w:ascii="Times New Roman" w:hAnsi="Times New Roman" w:cs="Times New Roman"/>
          <w:sz w:val="24"/>
          <w:szCs w:val="24"/>
        </w:rPr>
        <w:t>…………………………………………</w:t>
      </w:r>
      <w:r w:rsidR="008E3F25">
        <w:rPr>
          <w:rFonts w:ascii="Times New Roman" w:hAnsi="Times New Roman" w:cs="Times New Roman"/>
          <w:sz w:val="24"/>
          <w:szCs w:val="24"/>
        </w:rPr>
        <w:t>.</w:t>
      </w:r>
      <w:r>
        <w:rPr>
          <w:rFonts w:ascii="Times New Roman" w:hAnsi="Times New Roman" w:cs="Times New Roman"/>
          <w:sz w:val="24"/>
          <w:szCs w:val="24"/>
        </w:rPr>
        <w:t>…</w:t>
      </w:r>
      <w:r w:rsidR="006248EC">
        <w:rPr>
          <w:rFonts w:ascii="Times New Roman" w:hAnsi="Times New Roman" w:cs="Times New Roman"/>
          <w:sz w:val="24"/>
          <w:szCs w:val="24"/>
        </w:rPr>
        <w:t>.</w:t>
      </w:r>
      <w:r w:rsidR="002C3769">
        <w:rPr>
          <w:rFonts w:ascii="Times New Roman" w:hAnsi="Times New Roman" w:cs="Times New Roman"/>
          <w:sz w:val="24"/>
          <w:szCs w:val="24"/>
        </w:rPr>
        <w:t>……5</w:t>
      </w:r>
    </w:p>
    <w:p w14:paraId="4B4644D5" w14:textId="4477D5FF" w:rsidR="00CE2B33" w:rsidRDefault="00CE2B33" w:rsidP="00621A03">
      <w:pPr>
        <w:ind w:left="720"/>
        <w:rPr>
          <w:rFonts w:ascii="Times New Roman" w:hAnsi="Times New Roman" w:cs="Times New Roman"/>
          <w:sz w:val="24"/>
          <w:szCs w:val="24"/>
        </w:rPr>
      </w:pPr>
      <w:r>
        <w:rPr>
          <w:rFonts w:ascii="Times New Roman" w:hAnsi="Times New Roman" w:cs="Times New Roman"/>
          <w:sz w:val="24"/>
          <w:szCs w:val="24"/>
        </w:rPr>
        <w:tab/>
      </w:r>
      <w:r w:rsidR="008E3F25">
        <w:rPr>
          <w:rFonts w:ascii="Times New Roman" w:hAnsi="Times New Roman" w:cs="Times New Roman"/>
          <w:sz w:val="24"/>
          <w:szCs w:val="24"/>
        </w:rPr>
        <w:t>Asset Allocation</w:t>
      </w:r>
      <w:r>
        <w:rPr>
          <w:rFonts w:ascii="Times New Roman" w:hAnsi="Times New Roman" w:cs="Times New Roman"/>
          <w:sz w:val="24"/>
          <w:szCs w:val="24"/>
        </w:rPr>
        <w:t>………………………………………………</w:t>
      </w:r>
      <w:proofErr w:type="gramStart"/>
      <w:r>
        <w:rPr>
          <w:rFonts w:ascii="Times New Roman" w:hAnsi="Times New Roman" w:cs="Times New Roman"/>
          <w:sz w:val="24"/>
          <w:szCs w:val="24"/>
        </w:rPr>
        <w:t>…</w:t>
      </w:r>
      <w:r w:rsidR="006248EC">
        <w:rPr>
          <w:rFonts w:ascii="Times New Roman" w:hAnsi="Times New Roman" w:cs="Times New Roman"/>
          <w:sz w:val="24"/>
          <w:szCs w:val="24"/>
        </w:rPr>
        <w:t>..</w:t>
      </w:r>
      <w:proofErr w:type="gramEnd"/>
      <w:r w:rsidR="002C3769">
        <w:rPr>
          <w:rFonts w:ascii="Times New Roman" w:hAnsi="Times New Roman" w:cs="Times New Roman"/>
          <w:sz w:val="24"/>
          <w:szCs w:val="24"/>
        </w:rPr>
        <w:t>………..6</w:t>
      </w:r>
    </w:p>
    <w:p w14:paraId="77F34718" w14:textId="3F87DA1A" w:rsidR="00CE2B33" w:rsidRDefault="008E3F25" w:rsidP="00621A03">
      <w:pPr>
        <w:ind w:left="720" w:firstLine="720"/>
        <w:rPr>
          <w:rFonts w:ascii="Times New Roman" w:hAnsi="Times New Roman" w:cs="Times New Roman"/>
          <w:sz w:val="24"/>
          <w:szCs w:val="24"/>
        </w:rPr>
      </w:pPr>
      <w:r>
        <w:rPr>
          <w:rFonts w:ascii="Times New Roman" w:hAnsi="Times New Roman" w:cs="Times New Roman"/>
          <w:sz w:val="24"/>
          <w:szCs w:val="24"/>
        </w:rPr>
        <w:t>Spending Policy.</w:t>
      </w:r>
      <w:r w:rsidR="00CE2B33">
        <w:rPr>
          <w:rFonts w:ascii="Times New Roman" w:hAnsi="Times New Roman" w:cs="Times New Roman"/>
          <w:sz w:val="24"/>
          <w:szCs w:val="24"/>
        </w:rPr>
        <w:t>…………………………………………………</w:t>
      </w:r>
      <w:r w:rsidR="0023756E">
        <w:rPr>
          <w:rFonts w:ascii="Times New Roman" w:hAnsi="Times New Roman" w:cs="Times New Roman"/>
          <w:sz w:val="24"/>
          <w:szCs w:val="24"/>
        </w:rPr>
        <w:t>...</w:t>
      </w:r>
      <w:r w:rsidR="006248EC">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r w:rsidR="002C3769">
        <w:rPr>
          <w:rFonts w:ascii="Times New Roman" w:hAnsi="Times New Roman" w:cs="Times New Roman"/>
          <w:sz w:val="24"/>
          <w:szCs w:val="24"/>
        </w:rPr>
        <w:t>..</w:t>
      </w:r>
      <w:proofErr w:type="gramEnd"/>
      <w:r w:rsidR="002C3769">
        <w:rPr>
          <w:rFonts w:ascii="Times New Roman" w:hAnsi="Times New Roman" w:cs="Times New Roman"/>
          <w:sz w:val="24"/>
          <w:szCs w:val="24"/>
        </w:rPr>
        <w:t>7</w:t>
      </w:r>
    </w:p>
    <w:p w14:paraId="013A08C7" w14:textId="16F42B5B" w:rsidR="00CE2B33" w:rsidRDefault="00CE2B33" w:rsidP="00621A03">
      <w:pPr>
        <w:ind w:left="720"/>
        <w:rPr>
          <w:rFonts w:ascii="Times New Roman" w:hAnsi="Times New Roman" w:cs="Times New Roman"/>
          <w:sz w:val="24"/>
          <w:szCs w:val="24"/>
        </w:rPr>
      </w:pPr>
      <w:r>
        <w:rPr>
          <w:rFonts w:ascii="Times New Roman" w:hAnsi="Times New Roman" w:cs="Times New Roman"/>
          <w:sz w:val="24"/>
          <w:szCs w:val="24"/>
        </w:rPr>
        <w:tab/>
        <w:t xml:space="preserve">Performance </w:t>
      </w:r>
      <w:r w:rsidR="006248EC">
        <w:rPr>
          <w:rFonts w:ascii="Times New Roman" w:hAnsi="Times New Roman" w:cs="Times New Roman"/>
          <w:sz w:val="24"/>
          <w:szCs w:val="24"/>
        </w:rPr>
        <w:t>Measurement……………………………………………...</w:t>
      </w:r>
      <w:r w:rsidR="002C3769">
        <w:rPr>
          <w:rFonts w:ascii="Times New Roman" w:hAnsi="Times New Roman" w:cs="Times New Roman"/>
          <w:sz w:val="24"/>
          <w:szCs w:val="24"/>
        </w:rPr>
        <w:t>….7</w:t>
      </w:r>
    </w:p>
    <w:p w14:paraId="442831C1" w14:textId="6B7334F4" w:rsidR="00CE2B33" w:rsidRDefault="00CE2B33" w:rsidP="00621A03">
      <w:pPr>
        <w:ind w:left="720"/>
        <w:rPr>
          <w:rFonts w:ascii="Times New Roman" w:hAnsi="Times New Roman" w:cs="Times New Roman"/>
          <w:sz w:val="24"/>
          <w:szCs w:val="24"/>
        </w:rPr>
      </w:pPr>
    </w:p>
    <w:p w14:paraId="3DC36DE0" w14:textId="61BF4FE7" w:rsidR="00CE2B33" w:rsidRDefault="00CE2B33" w:rsidP="00621A03">
      <w:pPr>
        <w:ind w:left="720"/>
        <w:rPr>
          <w:rFonts w:ascii="Times New Roman" w:hAnsi="Times New Roman" w:cs="Times New Roman"/>
          <w:sz w:val="24"/>
          <w:szCs w:val="24"/>
        </w:rPr>
      </w:pPr>
      <w:r>
        <w:rPr>
          <w:rFonts w:ascii="Times New Roman" w:hAnsi="Times New Roman" w:cs="Times New Roman"/>
          <w:sz w:val="24"/>
          <w:szCs w:val="24"/>
        </w:rPr>
        <w:t xml:space="preserve">Operating </w:t>
      </w:r>
      <w:r w:rsidR="006248EC">
        <w:rPr>
          <w:rFonts w:ascii="Times New Roman" w:hAnsi="Times New Roman" w:cs="Times New Roman"/>
          <w:sz w:val="24"/>
          <w:szCs w:val="24"/>
        </w:rPr>
        <w:t>Pool………………………………………………………………...</w:t>
      </w:r>
      <w:r w:rsidR="00CB1F4A">
        <w:rPr>
          <w:rFonts w:ascii="Times New Roman" w:hAnsi="Times New Roman" w:cs="Times New Roman"/>
          <w:sz w:val="24"/>
          <w:szCs w:val="24"/>
        </w:rPr>
        <w:t>..</w:t>
      </w:r>
      <w:r w:rsidR="008E3F25">
        <w:rPr>
          <w:rFonts w:ascii="Times New Roman" w:hAnsi="Times New Roman" w:cs="Times New Roman"/>
          <w:sz w:val="24"/>
          <w:szCs w:val="24"/>
        </w:rPr>
        <w:t>.</w:t>
      </w:r>
      <w:r w:rsidR="002C3769">
        <w:rPr>
          <w:rFonts w:ascii="Times New Roman" w:hAnsi="Times New Roman" w:cs="Times New Roman"/>
          <w:sz w:val="24"/>
          <w:szCs w:val="24"/>
        </w:rPr>
        <w:t>…10</w:t>
      </w:r>
    </w:p>
    <w:p w14:paraId="0F3EFCE7" w14:textId="11CDB124" w:rsidR="00CE2B33" w:rsidRDefault="00CE2B33" w:rsidP="00621A03">
      <w:pPr>
        <w:ind w:left="720"/>
        <w:rPr>
          <w:rFonts w:ascii="Times New Roman" w:hAnsi="Times New Roman" w:cs="Times New Roman"/>
          <w:sz w:val="24"/>
          <w:szCs w:val="24"/>
        </w:rPr>
      </w:pPr>
      <w:r>
        <w:rPr>
          <w:rFonts w:ascii="Times New Roman" w:hAnsi="Times New Roman" w:cs="Times New Roman"/>
          <w:sz w:val="24"/>
          <w:szCs w:val="24"/>
        </w:rPr>
        <w:tab/>
        <w:t xml:space="preserve">Asset </w:t>
      </w:r>
      <w:r w:rsidR="006248EC">
        <w:rPr>
          <w:rFonts w:ascii="Times New Roman" w:hAnsi="Times New Roman" w:cs="Times New Roman"/>
          <w:sz w:val="24"/>
          <w:szCs w:val="24"/>
        </w:rPr>
        <w:t>Allocation…………………………………………………</w:t>
      </w:r>
      <w:r w:rsidR="005834F9">
        <w:rPr>
          <w:rFonts w:ascii="Times New Roman" w:hAnsi="Times New Roman" w:cs="Times New Roman"/>
          <w:sz w:val="24"/>
          <w:szCs w:val="24"/>
        </w:rPr>
        <w:t>.</w:t>
      </w:r>
      <w:r w:rsidR="006248EC">
        <w:rPr>
          <w:rFonts w:ascii="Times New Roman" w:hAnsi="Times New Roman" w:cs="Times New Roman"/>
          <w:sz w:val="24"/>
          <w:szCs w:val="24"/>
        </w:rPr>
        <w:t>…..</w:t>
      </w:r>
      <w:r w:rsidR="005834F9">
        <w:rPr>
          <w:rFonts w:ascii="Times New Roman" w:hAnsi="Times New Roman" w:cs="Times New Roman"/>
          <w:sz w:val="24"/>
          <w:szCs w:val="24"/>
        </w:rPr>
        <w:t>..</w:t>
      </w:r>
      <w:r w:rsidR="008E3F25">
        <w:rPr>
          <w:rFonts w:ascii="Times New Roman" w:hAnsi="Times New Roman" w:cs="Times New Roman"/>
          <w:sz w:val="24"/>
          <w:szCs w:val="24"/>
        </w:rPr>
        <w:t>.</w:t>
      </w:r>
      <w:r w:rsidR="005834F9">
        <w:rPr>
          <w:rFonts w:ascii="Times New Roman" w:hAnsi="Times New Roman" w:cs="Times New Roman"/>
          <w:sz w:val="24"/>
          <w:szCs w:val="24"/>
        </w:rPr>
        <w:t>.....</w:t>
      </w:r>
      <w:r w:rsidR="00CB1F4A">
        <w:rPr>
          <w:rFonts w:ascii="Times New Roman" w:hAnsi="Times New Roman" w:cs="Times New Roman"/>
          <w:sz w:val="24"/>
          <w:szCs w:val="24"/>
        </w:rPr>
        <w:t>.</w:t>
      </w:r>
      <w:r w:rsidR="002C3769">
        <w:rPr>
          <w:rFonts w:ascii="Times New Roman" w:hAnsi="Times New Roman" w:cs="Times New Roman"/>
          <w:sz w:val="24"/>
          <w:szCs w:val="24"/>
        </w:rPr>
        <w:t>10</w:t>
      </w:r>
    </w:p>
    <w:p w14:paraId="3F4E5C57" w14:textId="7E38B958" w:rsidR="00CE2B33" w:rsidRDefault="00CE2B33" w:rsidP="00621A03">
      <w:pPr>
        <w:ind w:left="720"/>
        <w:rPr>
          <w:rFonts w:ascii="Times New Roman" w:hAnsi="Times New Roman" w:cs="Times New Roman"/>
          <w:sz w:val="24"/>
          <w:szCs w:val="24"/>
        </w:rPr>
      </w:pPr>
      <w:r>
        <w:rPr>
          <w:rFonts w:ascii="Times New Roman" w:hAnsi="Times New Roman" w:cs="Times New Roman"/>
          <w:sz w:val="24"/>
          <w:szCs w:val="24"/>
        </w:rPr>
        <w:tab/>
        <w:t>Performance Measurement……………………………</w:t>
      </w:r>
      <w:r w:rsidR="0023756E">
        <w:rPr>
          <w:rFonts w:ascii="Times New Roman" w:hAnsi="Times New Roman" w:cs="Times New Roman"/>
          <w:sz w:val="24"/>
          <w:szCs w:val="24"/>
        </w:rPr>
        <w:t>...</w:t>
      </w:r>
      <w:r w:rsidR="006248EC">
        <w:rPr>
          <w:rFonts w:ascii="Times New Roman" w:hAnsi="Times New Roman" w:cs="Times New Roman"/>
          <w:sz w:val="24"/>
          <w:szCs w:val="24"/>
        </w:rPr>
        <w:t>………</w:t>
      </w:r>
      <w:r w:rsidR="005834F9">
        <w:rPr>
          <w:rFonts w:ascii="Times New Roman" w:hAnsi="Times New Roman" w:cs="Times New Roman"/>
          <w:sz w:val="24"/>
          <w:szCs w:val="24"/>
        </w:rPr>
        <w:t>.</w:t>
      </w:r>
      <w:r w:rsidR="006248EC">
        <w:rPr>
          <w:rFonts w:ascii="Times New Roman" w:hAnsi="Times New Roman" w:cs="Times New Roman"/>
          <w:sz w:val="24"/>
          <w:szCs w:val="24"/>
        </w:rPr>
        <w:t>……</w:t>
      </w:r>
      <w:r w:rsidR="008E3F25">
        <w:rPr>
          <w:rFonts w:ascii="Times New Roman" w:hAnsi="Times New Roman" w:cs="Times New Roman"/>
          <w:sz w:val="24"/>
          <w:szCs w:val="24"/>
        </w:rPr>
        <w:t>.</w:t>
      </w:r>
      <w:r w:rsidR="006248EC">
        <w:rPr>
          <w:rFonts w:ascii="Times New Roman" w:hAnsi="Times New Roman" w:cs="Times New Roman"/>
          <w:sz w:val="24"/>
          <w:szCs w:val="24"/>
        </w:rPr>
        <w:t>..</w:t>
      </w:r>
      <w:r w:rsidR="00CB1F4A">
        <w:rPr>
          <w:rFonts w:ascii="Times New Roman" w:hAnsi="Times New Roman" w:cs="Times New Roman"/>
          <w:sz w:val="24"/>
          <w:szCs w:val="24"/>
        </w:rPr>
        <w:t>..</w:t>
      </w:r>
      <w:r w:rsidR="002C3769">
        <w:rPr>
          <w:rFonts w:ascii="Times New Roman" w:hAnsi="Times New Roman" w:cs="Times New Roman"/>
          <w:sz w:val="24"/>
          <w:szCs w:val="24"/>
        </w:rPr>
        <w:t>...11</w:t>
      </w:r>
    </w:p>
    <w:p w14:paraId="1DADCFBF" w14:textId="7B74C700" w:rsidR="00CE2B33" w:rsidRDefault="00CE2B33" w:rsidP="00621A03">
      <w:pPr>
        <w:ind w:left="720"/>
        <w:rPr>
          <w:rFonts w:ascii="Times New Roman" w:hAnsi="Times New Roman" w:cs="Times New Roman"/>
          <w:sz w:val="24"/>
          <w:szCs w:val="24"/>
        </w:rPr>
      </w:pPr>
      <w:r>
        <w:rPr>
          <w:rFonts w:ascii="Times New Roman" w:hAnsi="Times New Roman" w:cs="Times New Roman"/>
          <w:sz w:val="24"/>
          <w:szCs w:val="24"/>
        </w:rPr>
        <w:tab/>
      </w:r>
    </w:p>
    <w:p w14:paraId="4A0352B2" w14:textId="4E77AC4A" w:rsidR="00CE2B33" w:rsidRDefault="00386277" w:rsidP="00621A03">
      <w:pPr>
        <w:ind w:left="720"/>
        <w:rPr>
          <w:rFonts w:ascii="Times New Roman" w:hAnsi="Times New Roman" w:cs="Times New Roman"/>
          <w:sz w:val="24"/>
          <w:szCs w:val="24"/>
        </w:rPr>
      </w:pPr>
      <w:r>
        <w:rPr>
          <w:rFonts w:ascii="Times New Roman" w:hAnsi="Times New Roman" w:cs="Times New Roman"/>
          <w:sz w:val="24"/>
          <w:szCs w:val="24"/>
        </w:rPr>
        <w:t>Financial Impact…...</w:t>
      </w:r>
      <w:r w:rsidR="00CB1F4A">
        <w:rPr>
          <w:rFonts w:ascii="Times New Roman" w:hAnsi="Times New Roman" w:cs="Times New Roman"/>
          <w:sz w:val="24"/>
          <w:szCs w:val="24"/>
        </w:rPr>
        <w:t>……………………………………………</w:t>
      </w:r>
      <w:r w:rsidR="006248EC">
        <w:rPr>
          <w:rFonts w:ascii="Times New Roman" w:hAnsi="Times New Roman" w:cs="Times New Roman"/>
          <w:sz w:val="24"/>
          <w:szCs w:val="24"/>
        </w:rPr>
        <w:t>………</w:t>
      </w:r>
      <w:r w:rsidR="005834F9">
        <w:rPr>
          <w:rFonts w:ascii="Times New Roman" w:hAnsi="Times New Roman" w:cs="Times New Roman"/>
          <w:sz w:val="24"/>
          <w:szCs w:val="24"/>
        </w:rPr>
        <w:t>.</w:t>
      </w:r>
      <w:r w:rsidR="006248EC">
        <w:rPr>
          <w:rFonts w:ascii="Times New Roman" w:hAnsi="Times New Roman" w:cs="Times New Roman"/>
          <w:sz w:val="24"/>
          <w:szCs w:val="24"/>
        </w:rPr>
        <w:t>...</w:t>
      </w:r>
      <w:r w:rsidR="0023756E">
        <w:rPr>
          <w:rFonts w:ascii="Times New Roman" w:hAnsi="Times New Roman" w:cs="Times New Roman"/>
          <w:sz w:val="24"/>
          <w:szCs w:val="24"/>
        </w:rPr>
        <w:t>..</w:t>
      </w:r>
      <w:r w:rsidR="00CB1F4A">
        <w:rPr>
          <w:rFonts w:ascii="Times New Roman" w:hAnsi="Times New Roman" w:cs="Times New Roman"/>
          <w:sz w:val="24"/>
          <w:szCs w:val="24"/>
        </w:rPr>
        <w:t>..</w:t>
      </w:r>
      <w:r w:rsidR="002C3769">
        <w:rPr>
          <w:rFonts w:ascii="Times New Roman" w:hAnsi="Times New Roman" w:cs="Times New Roman"/>
          <w:sz w:val="24"/>
          <w:szCs w:val="24"/>
        </w:rPr>
        <w:t>.</w:t>
      </w:r>
      <w:r w:rsidR="008E3F25">
        <w:rPr>
          <w:rFonts w:ascii="Times New Roman" w:hAnsi="Times New Roman" w:cs="Times New Roman"/>
          <w:sz w:val="24"/>
          <w:szCs w:val="24"/>
        </w:rPr>
        <w:t>.</w:t>
      </w:r>
      <w:r w:rsidR="0023756E">
        <w:rPr>
          <w:rFonts w:ascii="Times New Roman" w:hAnsi="Times New Roman" w:cs="Times New Roman"/>
          <w:sz w:val="24"/>
          <w:szCs w:val="24"/>
        </w:rPr>
        <w:t>...</w:t>
      </w:r>
      <w:r w:rsidR="002C3769">
        <w:rPr>
          <w:rFonts w:ascii="Times New Roman" w:hAnsi="Times New Roman" w:cs="Times New Roman"/>
          <w:sz w:val="24"/>
          <w:szCs w:val="24"/>
        </w:rPr>
        <w:t>…12</w:t>
      </w:r>
    </w:p>
    <w:p w14:paraId="789984AD" w14:textId="1F127D4B" w:rsidR="00CE2B33" w:rsidRDefault="0023756E" w:rsidP="00621A03">
      <w:pPr>
        <w:ind w:left="720"/>
        <w:rPr>
          <w:rFonts w:ascii="Times New Roman" w:hAnsi="Times New Roman" w:cs="Times New Roman"/>
          <w:sz w:val="24"/>
          <w:szCs w:val="24"/>
        </w:rPr>
      </w:pPr>
      <w:r>
        <w:rPr>
          <w:rFonts w:ascii="Times New Roman" w:hAnsi="Times New Roman" w:cs="Times New Roman"/>
          <w:sz w:val="24"/>
          <w:szCs w:val="24"/>
        </w:rPr>
        <w:tab/>
        <w:t>Income Dis</w:t>
      </w:r>
      <w:r w:rsidR="00CB1F4A">
        <w:rPr>
          <w:rFonts w:ascii="Times New Roman" w:hAnsi="Times New Roman" w:cs="Times New Roman"/>
          <w:sz w:val="24"/>
          <w:szCs w:val="24"/>
        </w:rPr>
        <w:t>tribution…………………………………………</w:t>
      </w:r>
      <w:r w:rsidR="005834F9">
        <w:rPr>
          <w:rFonts w:ascii="Times New Roman" w:hAnsi="Times New Roman" w:cs="Times New Roman"/>
          <w:sz w:val="24"/>
          <w:szCs w:val="24"/>
        </w:rPr>
        <w:t>.</w:t>
      </w:r>
      <w:r w:rsidR="00CB1F4A">
        <w:rPr>
          <w:rFonts w:ascii="Times New Roman" w:hAnsi="Times New Roman" w:cs="Times New Roman"/>
          <w:sz w:val="24"/>
          <w:szCs w:val="24"/>
        </w:rPr>
        <w:t>………...</w:t>
      </w:r>
      <w:r w:rsidR="006248EC">
        <w:rPr>
          <w:rFonts w:ascii="Times New Roman" w:hAnsi="Times New Roman" w:cs="Times New Roman"/>
          <w:sz w:val="24"/>
          <w:szCs w:val="24"/>
        </w:rPr>
        <w:t>.</w:t>
      </w:r>
      <w:r w:rsidR="008E3F25">
        <w:rPr>
          <w:rFonts w:ascii="Times New Roman" w:hAnsi="Times New Roman" w:cs="Times New Roman"/>
          <w:sz w:val="24"/>
          <w:szCs w:val="24"/>
        </w:rPr>
        <w:t>.</w:t>
      </w:r>
      <w:r w:rsidR="006248EC">
        <w:rPr>
          <w:rFonts w:ascii="Times New Roman" w:hAnsi="Times New Roman" w:cs="Times New Roman"/>
          <w:sz w:val="24"/>
          <w:szCs w:val="24"/>
        </w:rPr>
        <w:t>.</w:t>
      </w:r>
      <w:r w:rsidR="002C3769">
        <w:rPr>
          <w:rFonts w:ascii="Times New Roman" w:hAnsi="Times New Roman" w:cs="Times New Roman"/>
          <w:sz w:val="24"/>
          <w:szCs w:val="24"/>
        </w:rPr>
        <w:t>…12</w:t>
      </w:r>
    </w:p>
    <w:p w14:paraId="1BF25D42" w14:textId="0840C2E8" w:rsidR="0023756E" w:rsidRDefault="0023756E" w:rsidP="00621A03">
      <w:pPr>
        <w:ind w:left="720"/>
        <w:rPr>
          <w:rFonts w:ascii="Times New Roman" w:hAnsi="Times New Roman" w:cs="Times New Roman"/>
          <w:sz w:val="24"/>
          <w:szCs w:val="24"/>
        </w:rPr>
      </w:pPr>
      <w:r>
        <w:rPr>
          <w:rFonts w:ascii="Times New Roman" w:hAnsi="Times New Roman" w:cs="Times New Roman"/>
          <w:sz w:val="24"/>
          <w:szCs w:val="24"/>
        </w:rPr>
        <w:t xml:space="preserve">            </w:t>
      </w:r>
      <w:r w:rsidR="008E2796">
        <w:rPr>
          <w:rFonts w:ascii="Times New Roman" w:hAnsi="Times New Roman" w:cs="Times New Roman"/>
          <w:sz w:val="24"/>
          <w:szCs w:val="24"/>
        </w:rPr>
        <w:t xml:space="preserve">Program </w:t>
      </w:r>
      <w:proofErr w:type="gramStart"/>
      <w:r>
        <w:rPr>
          <w:rFonts w:ascii="Times New Roman" w:hAnsi="Times New Roman" w:cs="Times New Roman"/>
          <w:sz w:val="24"/>
          <w:szCs w:val="24"/>
        </w:rPr>
        <w:t>Co</w:t>
      </w:r>
      <w:r w:rsidR="006248EC">
        <w:rPr>
          <w:rFonts w:ascii="Times New Roman" w:hAnsi="Times New Roman" w:cs="Times New Roman"/>
          <w:sz w:val="24"/>
          <w:szCs w:val="24"/>
        </w:rPr>
        <w:t>sts</w:t>
      </w:r>
      <w:r w:rsidR="008E2796">
        <w:rPr>
          <w:rFonts w:ascii="Times New Roman" w:hAnsi="Times New Roman" w:cs="Times New Roman"/>
          <w:sz w:val="24"/>
          <w:szCs w:val="24"/>
        </w:rPr>
        <w:t>..</w:t>
      </w:r>
      <w:proofErr w:type="gramEnd"/>
      <w:r w:rsidR="006248EC">
        <w:rPr>
          <w:rFonts w:ascii="Times New Roman" w:hAnsi="Times New Roman" w:cs="Times New Roman"/>
          <w:sz w:val="24"/>
          <w:szCs w:val="24"/>
        </w:rPr>
        <w:t>……………………………………</w:t>
      </w:r>
      <w:r w:rsidR="005834F9">
        <w:rPr>
          <w:rFonts w:ascii="Times New Roman" w:hAnsi="Times New Roman" w:cs="Times New Roman"/>
          <w:sz w:val="24"/>
          <w:szCs w:val="24"/>
        </w:rPr>
        <w:t>.</w:t>
      </w:r>
      <w:r w:rsidR="006248EC">
        <w:rPr>
          <w:rFonts w:ascii="Times New Roman" w:hAnsi="Times New Roman" w:cs="Times New Roman"/>
          <w:sz w:val="24"/>
          <w:szCs w:val="24"/>
        </w:rPr>
        <w:t>……………………</w:t>
      </w:r>
      <w:r w:rsidR="008E3F25">
        <w:rPr>
          <w:rFonts w:ascii="Times New Roman" w:hAnsi="Times New Roman" w:cs="Times New Roman"/>
          <w:sz w:val="24"/>
          <w:szCs w:val="24"/>
        </w:rPr>
        <w:t>….</w:t>
      </w:r>
      <w:r w:rsidR="002C3769">
        <w:rPr>
          <w:rFonts w:ascii="Times New Roman" w:hAnsi="Times New Roman" w:cs="Times New Roman"/>
          <w:sz w:val="24"/>
          <w:szCs w:val="24"/>
        </w:rPr>
        <w:t>12</w:t>
      </w:r>
    </w:p>
    <w:p w14:paraId="78B6180B" w14:textId="77777777" w:rsidR="0023756E" w:rsidRDefault="0023756E" w:rsidP="00621A03">
      <w:pPr>
        <w:ind w:left="720"/>
        <w:rPr>
          <w:rFonts w:ascii="Times New Roman" w:hAnsi="Times New Roman" w:cs="Times New Roman"/>
          <w:sz w:val="24"/>
          <w:szCs w:val="24"/>
        </w:rPr>
      </w:pPr>
    </w:p>
    <w:p w14:paraId="568A839F" w14:textId="38BEBB56" w:rsidR="00966280" w:rsidRDefault="00770C56" w:rsidP="00621A03">
      <w:pPr>
        <w:ind w:left="720"/>
        <w:rPr>
          <w:rFonts w:ascii="Times New Roman" w:hAnsi="Times New Roman" w:cs="Times New Roman"/>
          <w:sz w:val="24"/>
          <w:szCs w:val="24"/>
        </w:rPr>
      </w:pPr>
      <w:r>
        <w:rPr>
          <w:rFonts w:ascii="Times New Roman" w:hAnsi="Times New Roman" w:cs="Times New Roman"/>
          <w:sz w:val="24"/>
          <w:szCs w:val="24"/>
        </w:rPr>
        <w:t>Appendix</w:t>
      </w:r>
      <w:r w:rsidR="009A108F">
        <w:rPr>
          <w:rFonts w:ascii="Times New Roman" w:hAnsi="Times New Roman" w:cs="Times New Roman"/>
          <w:sz w:val="24"/>
          <w:szCs w:val="24"/>
        </w:rPr>
        <w:t xml:space="preserve"> </w:t>
      </w:r>
      <w:r w:rsidR="00663B36">
        <w:rPr>
          <w:rFonts w:ascii="Times New Roman" w:hAnsi="Times New Roman" w:cs="Times New Roman"/>
          <w:sz w:val="24"/>
          <w:szCs w:val="24"/>
        </w:rPr>
        <w:t xml:space="preserve">A </w:t>
      </w:r>
      <w:r w:rsidR="009A108F">
        <w:rPr>
          <w:rFonts w:ascii="Times New Roman" w:hAnsi="Times New Roman" w:cs="Times New Roman"/>
          <w:sz w:val="24"/>
          <w:szCs w:val="24"/>
        </w:rPr>
        <w:t xml:space="preserve">– </w:t>
      </w:r>
      <w:r w:rsidR="006248EC">
        <w:rPr>
          <w:rFonts w:ascii="Times New Roman" w:hAnsi="Times New Roman" w:cs="Times New Roman"/>
          <w:sz w:val="24"/>
          <w:szCs w:val="24"/>
        </w:rPr>
        <w:t xml:space="preserve">Investment </w:t>
      </w:r>
      <w:r w:rsidR="00F5377A">
        <w:rPr>
          <w:rFonts w:ascii="Times New Roman" w:hAnsi="Times New Roman" w:cs="Times New Roman"/>
          <w:sz w:val="24"/>
          <w:szCs w:val="24"/>
        </w:rPr>
        <w:t xml:space="preserve">Fee </w:t>
      </w:r>
      <w:r w:rsidR="006248EC">
        <w:rPr>
          <w:rFonts w:ascii="Times New Roman" w:hAnsi="Times New Roman" w:cs="Times New Roman"/>
          <w:sz w:val="24"/>
          <w:szCs w:val="24"/>
        </w:rPr>
        <w:t>Schedule</w:t>
      </w:r>
      <w:r w:rsidR="00F5377A">
        <w:rPr>
          <w:rFonts w:ascii="Times New Roman" w:hAnsi="Times New Roman" w:cs="Times New Roman"/>
          <w:sz w:val="24"/>
          <w:szCs w:val="24"/>
        </w:rPr>
        <w:t>……………</w:t>
      </w:r>
      <w:r>
        <w:rPr>
          <w:rFonts w:ascii="Times New Roman" w:hAnsi="Times New Roman" w:cs="Times New Roman"/>
          <w:sz w:val="24"/>
          <w:szCs w:val="24"/>
        </w:rPr>
        <w:t>...</w:t>
      </w:r>
      <w:r w:rsidR="00F5377A">
        <w:rPr>
          <w:rFonts w:ascii="Times New Roman" w:hAnsi="Times New Roman" w:cs="Times New Roman"/>
          <w:sz w:val="24"/>
          <w:szCs w:val="24"/>
        </w:rPr>
        <w:t>…</w:t>
      </w:r>
      <w:proofErr w:type="gramStart"/>
      <w:r w:rsidR="00CB1F4A">
        <w:rPr>
          <w:rFonts w:ascii="Times New Roman" w:hAnsi="Times New Roman" w:cs="Times New Roman"/>
          <w:sz w:val="24"/>
          <w:szCs w:val="24"/>
        </w:rPr>
        <w:t>…</w:t>
      </w:r>
      <w:r w:rsidR="006248EC">
        <w:rPr>
          <w:rFonts w:ascii="Times New Roman" w:hAnsi="Times New Roman" w:cs="Times New Roman"/>
          <w:sz w:val="24"/>
          <w:szCs w:val="24"/>
        </w:rPr>
        <w:t>..</w:t>
      </w:r>
      <w:proofErr w:type="gramEnd"/>
      <w:r w:rsidR="00CB1F4A">
        <w:rPr>
          <w:rFonts w:ascii="Times New Roman" w:hAnsi="Times New Roman" w:cs="Times New Roman"/>
          <w:sz w:val="24"/>
          <w:szCs w:val="24"/>
        </w:rPr>
        <w:t>……</w:t>
      </w:r>
      <w:r w:rsidR="00F44187">
        <w:rPr>
          <w:rFonts w:ascii="Times New Roman" w:hAnsi="Times New Roman" w:cs="Times New Roman"/>
          <w:sz w:val="24"/>
          <w:szCs w:val="24"/>
        </w:rPr>
        <w:t>.</w:t>
      </w:r>
      <w:r w:rsidR="00CB1F4A">
        <w:rPr>
          <w:rFonts w:ascii="Times New Roman" w:hAnsi="Times New Roman" w:cs="Times New Roman"/>
          <w:sz w:val="24"/>
          <w:szCs w:val="24"/>
        </w:rPr>
        <w:t>……</w:t>
      </w:r>
      <w:r w:rsidR="005834F9">
        <w:rPr>
          <w:rFonts w:ascii="Times New Roman" w:hAnsi="Times New Roman" w:cs="Times New Roman"/>
          <w:sz w:val="24"/>
          <w:szCs w:val="24"/>
        </w:rPr>
        <w:t>.</w:t>
      </w:r>
      <w:r w:rsidR="00663B36">
        <w:rPr>
          <w:rFonts w:ascii="Times New Roman" w:hAnsi="Times New Roman" w:cs="Times New Roman"/>
          <w:sz w:val="24"/>
          <w:szCs w:val="24"/>
        </w:rPr>
        <w:t>………</w:t>
      </w:r>
      <w:r w:rsidR="00966280">
        <w:rPr>
          <w:rFonts w:ascii="Times New Roman" w:hAnsi="Times New Roman" w:cs="Times New Roman"/>
          <w:sz w:val="24"/>
          <w:szCs w:val="24"/>
        </w:rPr>
        <w:t>….13</w:t>
      </w:r>
    </w:p>
    <w:p w14:paraId="08259A41" w14:textId="16DCACF2" w:rsidR="00663B36" w:rsidRDefault="00663B36" w:rsidP="00621A03">
      <w:pPr>
        <w:ind w:left="720"/>
        <w:rPr>
          <w:rFonts w:ascii="Times New Roman" w:hAnsi="Times New Roman" w:cs="Times New Roman"/>
          <w:sz w:val="24"/>
          <w:szCs w:val="24"/>
        </w:rPr>
      </w:pPr>
      <w:r>
        <w:rPr>
          <w:rFonts w:ascii="Times New Roman" w:hAnsi="Times New Roman" w:cs="Times New Roman"/>
          <w:sz w:val="24"/>
          <w:szCs w:val="24"/>
        </w:rPr>
        <w:t>Appendix B – FY2</w:t>
      </w:r>
      <w:r w:rsidR="00296A4A">
        <w:rPr>
          <w:rFonts w:ascii="Times New Roman" w:hAnsi="Times New Roman" w:cs="Times New Roman"/>
          <w:sz w:val="24"/>
          <w:szCs w:val="24"/>
        </w:rPr>
        <w:t>1</w:t>
      </w:r>
      <w:r>
        <w:rPr>
          <w:rFonts w:ascii="Times New Roman" w:hAnsi="Times New Roman" w:cs="Times New Roman"/>
          <w:sz w:val="24"/>
          <w:szCs w:val="24"/>
        </w:rPr>
        <w:t xml:space="preserve"> Fee</w:t>
      </w:r>
      <w:r w:rsidR="008807AF">
        <w:rPr>
          <w:rFonts w:ascii="Times New Roman" w:hAnsi="Times New Roman" w:cs="Times New Roman"/>
          <w:sz w:val="24"/>
          <w:szCs w:val="24"/>
        </w:rPr>
        <w:t xml:space="preserve"> Summary……….………………………………Separate attachment</w:t>
      </w:r>
    </w:p>
    <w:p w14:paraId="3D764271" w14:textId="71812400" w:rsidR="00663B36" w:rsidRDefault="00663B36" w:rsidP="00663B36">
      <w:pPr>
        <w:ind w:left="720"/>
        <w:rPr>
          <w:rFonts w:ascii="Times New Roman" w:hAnsi="Times New Roman" w:cs="Times New Roman"/>
          <w:sz w:val="24"/>
          <w:szCs w:val="24"/>
        </w:rPr>
      </w:pPr>
      <w:r>
        <w:rPr>
          <w:rFonts w:ascii="Times New Roman" w:hAnsi="Times New Roman" w:cs="Times New Roman"/>
          <w:sz w:val="24"/>
          <w:szCs w:val="24"/>
        </w:rPr>
        <w:t>Appendix C – FY2</w:t>
      </w:r>
      <w:r w:rsidR="00296A4A">
        <w:rPr>
          <w:rFonts w:ascii="Times New Roman" w:hAnsi="Times New Roman" w:cs="Times New Roman"/>
          <w:sz w:val="24"/>
          <w:szCs w:val="24"/>
        </w:rPr>
        <w:t>1</w:t>
      </w:r>
      <w:r>
        <w:rPr>
          <w:rFonts w:ascii="Times New Roman" w:hAnsi="Times New Roman" w:cs="Times New Roman"/>
          <w:sz w:val="24"/>
          <w:szCs w:val="24"/>
        </w:rPr>
        <w:t xml:space="preserve"> Endowment Transaction Re</w:t>
      </w:r>
      <w:r w:rsidR="00303E95">
        <w:rPr>
          <w:rFonts w:ascii="Times New Roman" w:hAnsi="Times New Roman" w:cs="Times New Roman"/>
          <w:sz w:val="24"/>
          <w:szCs w:val="24"/>
        </w:rPr>
        <w:t>port…………………</w:t>
      </w:r>
      <w:proofErr w:type="gramStart"/>
      <w:r w:rsidR="008807AF">
        <w:rPr>
          <w:rFonts w:ascii="Times New Roman" w:hAnsi="Times New Roman" w:cs="Times New Roman"/>
          <w:sz w:val="24"/>
          <w:szCs w:val="24"/>
        </w:rPr>
        <w:t>....Separate</w:t>
      </w:r>
      <w:proofErr w:type="gramEnd"/>
      <w:r w:rsidR="008807AF">
        <w:rPr>
          <w:rFonts w:ascii="Times New Roman" w:hAnsi="Times New Roman" w:cs="Times New Roman"/>
          <w:sz w:val="24"/>
          <w:szCs w:val="24"/>
        </w:rPr>
        <w:t xml:space="preserve"> attachment</w:t>
      </w:r>
    </w:p>
    <w:p w14:paraId="5829845D" w14:textId="2B9C451C" w:rsidR="00663B36" w:rsidRDefault="00663B36" w:rsidP="00663B36">
      <w:pPr>
        <w:ind w:left="720"/>
        <w:rPr>
          <w:rFonts w:ascii="Times New Roman" w:hAnsi="Times New Roman" w:cs="Times New Roman"/>
          <w:sz w:val="24"/>
          <w:szCs w:val="24"/>
        </w:rPr>
      </w:pPr>
      <w:r>
        <w:rPr>
          <w:rFonts w:ascii="Times New Roman" w:hAnsi="Times New Roman" w:cs="Times New Roman"/>
          <w:sz w:val="24"/>
          <w:szCs w:val="24"/>
        </w:rPr>
        <w:t>Appendix D – FY2</w:t>
      </w:r>
      <w:r w:rsidR="00296A4A">
        <w:rPr>
          <w:rFonts w:ascii="Times New Roman" w:hAnsi="Times New Roman" w:cs="Times New Roman"/>
          <w:sz w:val="24"/>
          <w:szCs w:val="24"/>
        </w:rPr>
        <w:t>1</w:t>
      </w:r>
      <w:r>
        <w:rPr>
          <w:rFonts w:ascii="Times New Roman" w:hAnsi="Times New Roman" w:cs="Times New Roman"/>
          <w:sz w:val="24"/>
          <w:szCs w:val="24"/>
        </w:rPr>
        <w:t xml:space="preserve"> Security </w:t>
      </w:r>
      <w:r w:rsidR="008807AF">
        <w:rPr>
          <w:rFonts w:ascii="Times New Roman" w:hAnsi="Times New Roman" w:cs="Times New Roman"/>
          <w:sz w:val="24"/>
          <w:szCs w:val="24"/>
        </w:rPr>
        <w:t>Listing………………………………….</w:t>
      </w:r>
      <w:proofErr w:type="gramStart"/>
      <w:r w:rsidR="00303E95">
        <w:rPr>
          <w:rFonts w:ascii="Times New Roman" w:hAnsi="Times New Roman" w:cs="Times New Roman"/>
          <w:sz w:val="24"/>
          <w:szCs w:val="24"/>
        </w:rPr>
        <w:t>…</w:t>
      </w:r>
      <w:r w:rsidR="008807AF">
        <w:rPr>
          <w:rFonts w:ascii="Times New Roman" w:hAnsi="Times New Roman" w:cs="Times New Roman"/>
          <w:sz w:val="24"/>
          <w:szCs w:val="24"/>
        </w:rPr>
        <w:t>.Separate</w:t>
      </w:r>
      <w:proofErr w:type="gramEnd"/>
      <w:r w:rsidR="008807AF">
        <w:rPr>
          <w:rFonts w:ascii="Times New Roman" w:hAnsi="Times New Roman" w:cs="Times New Roman"/>
          <w:sz w:val="24"/>
          <w:szCs w:val="24"/>
        </w:rPr>
        <w:t xml:space="preserve"> attachment</w:t>
      </w:r>
    </w:p>
    <w:p w14:paraId="77E3CD91" w14:textId="467822B6" w:rsidR="009152AB" w:rsidRDefault="009152AB" w:rsidP="00861B0F">
      <w:pPr>
        <w:jc w:val="center"/>
        <w:rPr>
          <w:rFonts w:ascii="Times New Roman" w:hAnsi="Times New Roman" w:cs="Times New Roman"/>
          <w:b/>
          <w:sz w:val="24"/>
          <w:szCs w:val="24"/>
        </w:rPr>
      </w:pPr>
    </w:p>
    <w:p w14:paraId="6AC514C0" w14:textId="5B571488" w:rsidR="006248EC" w:rsidRDefault="006248EC" w:rsidP="00861B0F">
      <w:pPr>
        <w:jc w:val="center"/>
        <w:rPr>
          <w:rFonts w:ascii="Times New Roman" w:hAnsi="Times New Roman" w:cs="Times New Roman"/>
          <w:sz w:val="24"/>
          <w:szCs w:val="24"/>
        </w:rPr>
      </w:pPr>
    </w:p>
    <w:p w14:paraId="36BB8E9B" w14:textId="7E62AEEC" w:rsidR="006248EC" w:rsidRDefault="006248EC" w:rsidP="006248EC">
      <w:pPr>
        <w:jc w:val="right"/>
        <w:rPr>
          <w:rFonts w:ascii="Times New Roman" w:hAnsi="Times New Roman" w:cs="Times New Roman"/>
          <w:sz w:val="24"/>
          <w:szCs w:val="24"/>
        </w:rPr>
      </w:pPr>
    </w:p>
    <w:p w14:paraId="2ADD8DF2" w14:textId="45CFFB86" w:rsidR="006248EC" w:rsidRDefault="006248EC" w:rsidP="00861B0F">
      <w:pPr>
        <w:jc w:val="center"/>
        <w:rPr>
          <w:rFonts w:ascii="Times New Roman" w:hAnsi="Times New Roman" w:cs="Times New Roman"/>
          <w:sz w:val="24"/>
          <w:szCs w:val="24"/>
        </w:rPr>
      </w:pPr>
    </w:p>
    <w:p w14:paraId="56F12DA1" w14:textId="77777777" w:rsidR="007B4942" w:rsidRPr="00861B0F" w:rsidRDefault="001676F6" w:rsidP="00861B0F">
      <w:pPr>
        <w:jc w:val="center"/>
        <w:rPr>
          <w:rFonts w:ascii="Times New Roman" w:hAnsi="Times New Roman" w:cs="Times New Roman"/>
          <w:b/>
          <w:sz w:val="32"/>
          <w:szCs w:val="32"/>
        </w:rPr>
      </w:pPr>
      <w:r w:rsidRPr="006248EC">
        <w:rPr>
          <w:rFonts w:ascii="Times New Roman" w:hAnsi="Times New Roman" w:cs="Times New Roman"/>
          <w:sz w:val="24"/>
          <w:szCs w:val="24"/>
        </w:rPr>
        <w:br w:type="page"/>
      </w:r>
      <w:r w:rsidR="0078169E" w:rsidRPr="00861B0F">
        <w:rPr>
          <w:rFonts w:ascii="Times New Roman" w:hAnsi="Times New Roman" w:cs="Times New Roman"/>
          <w:b/>
          <w:sz w:val="32"/>
          <w:szCs w:val="32"/>
        </w:rPr>
        <w:lastRenderedPageBreak/>
        <w:t>Introduction</w:t>
      </w:r>
    </w:p>
    <w:p w14:paraId="788E302E" w14:textId="3A269CED" w:rsidR="00861B0F" w:rsidRPr="00861B0F" w:rsidRDefault="00861B0F" w:rsidP="00861B0F">
      <w:pPr>
        <w:keepNext/>
        <w:framePr w:dropCap="drop" w:lines="3" w:wrap="around" w:vAnchor="text" w:hAnchor="text"/>
        <w:spacing w:after="0" w:line="893" w:lineRule="exact"/>
        <w:textAlignment w:val="baseline"/>
        <w:rPr>
          <w:rFonts w:ascii="Times New Roman" w:hAnsi="Times New Roman" w:cs="Times New Roman"/>
          <w:position w:val="-9"/>
          <w:sz w:val="116"/>
          <w:szCs w:val="24"/>
        </w:rPr>
      </w:pPr>
      <w:r w:rsidRPr="00861B0F">
        <w:rPr>
          <w:rFonts w:ascii="Times New Roman" w:hAnsi="Times New Roman" w:cs="Times New Roman"/>
          <w:position w:val="-9"/>
          <w:sz w:val="116"/>
          <w:szCs w:val="24"/>
        </w:rPr>
        <w:t>W</w:t>
      </w:r>
    </w:p>
    <w:p w14:paraId="3EFA45BD" w14:textId="0BA4DC4C" w:rsidR="008C788E" w:rsidRDefault="004D62E8" w:rsidP="008C788E">
      <w:pPr>
        <w:spacing w:after="360"/>
        <w:rPr>
          <w:rFonts w:ascii="Times New Roman" w:hAnsi="Times New Roman" w:cs="Times New Roman"/>
          <w:sz w:val="24"/>
          <w:szCs w:val="24"/>
        </w:rPr>
      </w:pPr>
      <w:r>
        <w:rPr>
          <w:rFonts w:ascii="Times New Roman" w:hAnsi="Times New Roman" w:cs="Times New Roman"/>
          <w:sz w:val="24"/>
          <w:szCs w:val="24"/>
        </w:rPr>
        <w:t>e are pleased to present the University of Illinois System Office of Investments Annual Report</w:t>
      </w:r>
      <w:r w:rsidR="0078169E">
        <w:rPr>
          <w:rFonts w:ascii="Times New Roman" w:hAnsi="Times New Roman" w:cs="Times New Roman"/>
          <w:sz w:val="24"/>
          <w:szCs w:val="24"/>
        </w:rPr>
        <w:t xml:space="preserve"> for the </w:t>
      </w:r>
      <w:r w:rsidR="000B05F2">
        <w:rPr>
          <w:rFonts w:ascii="Times New Roman" w:hAnsi="Times New Roman" w:cs="Times New Roman"/>
          <w:sz w:val="24"/>
          <w:szCs w:val="24"/>
        </w:rPr>
        <w:t>202</w:t>
      </w:r>
      <w:r w:rsidR="00E307A7">
        <w:rPr>
          <w:rFonts w:ascii="Times New Roman" w:hAnsi="Times New Roman" w:cs="Times New Roman"/>
          <w:sz w:val="24"/>
          <w:szCs w:val="24"/>
        </w:rPr>
        <w:t>3</w:t>
      </w:r>
      <w:r>
        <w:rPr>
          <w:rFonts w:ascii="Times New Roman" w:hAnsi="Times New Roman" w:cs="Times New Roman"/>
          <w:sz w:val="24"/>
          <w:szCs w:val="24"/>
        </w:rPr>
        <w:t xml:space="preserve"> </w:t>
      </w:r>
      <w:r w:rsidR="00AD671E">
        <w:rPr>
          <w:rFonts w:ascii="Times New Roman" w:hAnsi="Times New Roman" w:cs="Times New Roman"/>
          <w:sz w:val="24"/>
          <w:szCs w:val="24"/>
        </w:rPr>
        <w:t>fiscal</w:t>
      </w:r>
      <w:r>
        <w:rPr>
          <w:rFonts w:ascii="Times New Roman" w:hAnsi="Times New Roman" w:cs="Times New Roman"/>
          <w:sz w:val="24"/>
          <w:szCs w:val="24"/>
        </w:rPr>
        <w:t xml:space="preserve"> year.</w:t>
      </w:r>
      <w:r w:rsidR="0078169E">
        <w:rPr>
          <w:rFonts w:ascii="Times New Roman" w:hAnsi="Times New Roman" w:cs="Times New Roman"/>
          <w:sz w:val="24"/>
          <w:szCs w:val="24"/>
        </w:rPr>
        <w:t xml:space="preserve"> </w:t>
      </w:r>
      <w:r w:rsidR="00762F2F">
        <w:rPr>
          <w:rFonts w:ascii="Times New Roman" w:hAnsi="Times New Roman" w:cs="Times New Roman"/>
          <w:sz w:val="24"/>
          <w:szCs w:val="24"/>
        </w:rPr>
        <w:t>All data in</w:t>
      </w:r>
      <w:r w:rsidR="00FB4A5D">
        <w:rPr>
          <w:rFonts w:ascii="Times New Roman" w:hAnsi="Times New Roman" w:cs="Times New Roman"/>
          <w:sz w:val="24"/>
          <w:szCs w:val="24"/>
        </w:rPr>
        <w:t xml:space="preserve"> the report is</w:t>
      </w:r>
      <w:r w:rsidR="000B05F2">
        <w:rPr>
          <w:rFonts w:ascii="Times New Roman" w:hAnsi="Times New Roman" w:cs="Times New Roman"/>
          <w:sz w:val="24"/>
          <w:szCs w:val="24"/>
        </w:rPr>
        <w:t xml:space="preserve"> as of June 30, 202</w:t>
      </w:r>
      <w:r w:rsidR="00E307A7">
        <w:rPr>
          <w:rFonts w:ascii="Times New Roman" w:hAnsi="Times New Roman" w:cs="Times New Roman"/>
          <w:sz w:val="24"/>
          <w:szCs w:val="24"/>
        </w:rPr>
        <w:t>3</w:t>
      </w:r>
      <w:r w:rsidR="00762F2F">
        <w:rPr>
          <w:rFonts w:ascii="Times New Roman" w:hAnsi="Times New Roman" w:cs="Times New Roman"/>
          <w:sz w:val="24"/>
          <w:szCs w:val="24"/>
        </w:rPr>
        <w:t>, unless noted otherwise.</w:t>
      </w:r>
    </w:p>
    <w:p w14:paraId="7F439EED" w14:textId="6A393249" w:rsidR="000B05F2" w:rsidRPr="00FA46B8" w:rsidRDefault="00674C25" w:rsidP="008C788E">
      <w:pPr>
        <w:spacing w:after="360"/>
        <w:rPr>
          <w:rFonts w:ascii="Times New Roman" w:hAnsi="Times New Roman" w:cs="Times New Roman"/>
          <w:sz w:val="24"/>
          <w:szCs w:val="24"/>
        </w:rPr>
      </w:pPr>
      <w:r w:rsidRPr="00674C25">
        <w:rPr>
          <w:rFonts w:ascii="Times New Roman" w:hAnsi="Times New Roman" w:cs="Times New Roman"/>
          <w:sz w:val="24"/>
          <w:szCs w:val="24"/>
        </w:rPr>
        <w:t>Despite a slow start</w:t>
      </w:r>
      <w:r w:rsidR="00CF479F">
        <w:rPr>
          <w:rFonts w:ascii="Times New Roman" w:hAnsi="Times New Roman" w:cs="Times New Roman"/>
          <w:sz w:val="24"/>
          <w:szCs w:val="24"/>
        </w:rPr>
        <w:t xml:space="preserve"> to the year, </w:t>
      </w:r>
      <w:r w:rsidRPr="00674C25">
        <w:rPr>
          <w:rFonts w:ascii="Times New Roman" w:hAnsi="Times New Roman" w:cs="Times New Roman"/>
          <w:sz w:val="24"/>
          <w:szCs w:val="24"/>
        </w:rPr>
        <w:t xml:space="preserve">performance across financial markets was </w:t>
      </w:r>
      <w:r w:rsidR="00C756AB">
        <w:rPr>
          <w:rFonts w:ascii="Times New Roman" w:hAnsi="Times New Roman" w:cs="Times New Roman"/>
          <w:sz w:val="24"/>
          <w:szCs w:val="24"/>
        </w:rPr>
        <w:t>largely</w:t>
      </w:r>
      <w:r w:rsidRPr="00674C25">
        <w:rPr>
          <w:rFonts w:ascii="Times New Roman" w:hAnsi="Times New Roman" w:cs="Times New Roman"/>
          <w:sz w:val="24"/>
          <w:szCs w:val="24"/>
        </w:rPr>
        <w:t xml:space="preserve"> positive – a welcome reprieve from the headwinds faced </w:t>
      </w:r>
      <w:r w:rsidR="00CF479F">
        <w:rPr>
          <w:rFonts w:ascii="Times New Roman" w:hAnsi="Times New Roman" w:cs="Times New Roman"/>
          <w:sz w:val="24"/>
          <w:szCs w:val="24"/>
        </w:rPr>
        <w:t>during fiscal year 2022</w:t>
      </w:r>
      <w:r w:rsidRPr="00674C25">
        <w:rPr>
          <w:rFonts w:ascii="Times New Roman" w:hAnsi="Times New Roman" w:cs="Times New Roman"/>
          <w:sz w:val="24"/>
          <w:szCs w:val="24"/>
        </w:rPr>
        <w:t xml:space="preserve">. </w:t>
      </w:r>
      <w:r w:rsidR="0097272A" w:rsidRPr="00674C25">
        <w:rPr>
          <w:rFonts w:ascii="Times New Roman" w:hAnsi="Times New Roman" w:cs="Times New Roman"/>
          <w:sz w:val="24"/>
          <w:szCs w:val="24"/>
        </w:rPr>
        <w:t xml:space="preserve"> </w:t>
      </w:r>
      <w:r w:rsidR="00CF479F">
        <w:rPr>
          <w:rFonts w:ascii="Times New Roman" w:hAnsi="Times New Roman" w:cs="Times New Roman"/>
          <w:sz w:val="24"/>
          <w:szCs w:val="24"/>
        </w:rPr>
        <w:t xml:space="preserve">The endowment pool gained </w:t>
      </w:r>
      <w:r w:rsidR="00DA1C16">
        <w:rPr>
          <w:rFonts w:ascii="Times New Roman" w:hAnsi="Times New Roman" w:cs="Times New Roman"/>
          <w:sz w:val="24"/>
          <w:szCs w:val="24"/>
        </w:rPr>
        <w:t>6.4</w:t>
      </w:r>
      <w:r w:rsidR="00CF479F">
        <w:rPr>
          <w:rFonts w:ascii="Times New Roman" w:hAnsi="Times New Roman" w:cs="Times New Roman"/>
          <w:sz w:val="24"/>
          <w:szCs w:val="24"/>
        </w:rPr>
        <w:t>% on the year</w:t>
      </w:r>
      <w:r w:rsidR="00CF479F" w:rsidRPr="00DA1C16">
        <w:rPr>
          <w:rFonts w:ascii="Times New Roman" w:hAnsi="Times New Roman" w:cs="Times New Roman"/>
          <w:sz w:val="24"/>
          <w:szCs w:val="24"/>
        </w:rPr>
        <w:t xml:space="preserve">, </w:t>
      </w:r>
      <w:r w:rsidR="00DA1C16" w:rsidRPr="00DA1C16">
        <w:rPr>
          <w:rFonts w:ascii="Times New Roman" w:hAnsi="Times New Roman" w:cs="Times New Roman"/>
          <w:sz w:val="24"/>
          <w:szCs w:val="24"/>
        </w:rPr>
        <w:t>lagging</w:t>
      </w:r>
      <w:r w:rsidR="00CF479F" w:rsidRPr="00DA1C16">
        <w:rPr>
          <w:rFonts w:ascii="Times New Roman" w:hAnsi="Times New Roman" w:cs="Times New Roman"/>
          <w:sz w:val="24"/>
          <w:szCs w:val="24"/>
        </w:rPr>
        <w:t xml:space="preserve"> its </w:t>
      </w:r>
      <w:proofErr w:type="gramStart"/>
      <w:r w:rsidR="00CF479F" w:rsidRPr="00DA1C16">
        <w:rPr>
          <w:rFonts w:ascii="Times New Roman" w:hAnsi="Times New Roman" w:cs="Times New Roman"/>
          <w:sz w:val="24"/>
          <w:szCs w:val="24"/>
        </w:rPr>
        <w:t>benchmark;</w:t>
      </w:r>
      <w:proofErr w:type="gramEnd"/>
      <w:r w:rsidR="00CF479F">
        <w:rPr>
          <w:rFonts w:ascii="Times New Roman" w:hAnsi="Times New Roman" w:cs="Times New Roman"/>
          <w:sz w:val="24"/>
          <w:szCs w:val="24"/>
        </w:rPr>
        <w:t xml:space="preserve"> while the operating pool outpaced its benchmarked with a 2.</w:t>
      </w:r>
      <w:r w:rsidR="00C756AB">
        <w:rPr>
          <w:rFonts w:ascii="Times New Roman" w:hAnsi="Times New Roman" w:cs="Times New Roman"/>
          <w:sz w:val="24"/>
          <w:szCs w:val="24"/>
        </w:rPr>
        <w:t>5</w:t>
      </w:r>
      <w:r w:rsidR="00CF479F">
        <w:rPr>
          <w:rFonts w:ascii="Times New Roman" w:hAnsi="Times New Roman" w:cs="Times New Roman"/>
          <w:sz w:val="24"/>
          <w:szCs w:val="24"/>
        </w:rPr>
        <w:t xml:space="preserve">% return. </w:t>
      </w:r>
      <w:r w:rsidR="00DA1613">
        <w:rPr>
          <w:rFonts w:ascii="Times New Roman" w:hAnsi="Times New Roman" w:cs="Times New Roman"/>
          <w:sz w:val="24"/>
          <w:szCs w:val="24"/>
        </w:rPr>
        <w:t xml:space="preserve">Collectively, the </w:t>
      </w:r>
      <w:r w:rsidR="00FD76C0">
        <w:rPr>
          <w:rFonts w:ascii="Times New Roman" w:hAnsi="Times New Roman" w:cs="Times New Roman"/>
          <w:sz w:val="24"/>
          <w:szCs w:val="24"/>
        </w:rPr>
        <w:t>program</w:t>
      </w:r>
      <w:r w:rsidR="00AA3F59" w:rsidRPr="00FA46B8">
        <w:rPr>
          <w:rFonts w:ascii="Times New Roman" w:hAnsi="Times New Roman" w:cs="Times New Roman"/>
          <w:sz w:val="24"/>
          <w:szCs w:val="24"/>
        </w:rPr>
        <w:t xml:space="preserve"> distributed $</w:t>
      </w:r>
      <w:r w:rsidR="00CF479F">
        <w:rPr>
          <w:rFonts w:ascii="Times New Roman" w:hAnsi="Times New Roman" w:cs="Times New Roman"/>
          <w:sz w:val="24"/>
          <w:szCs w:val="24"/>
        </w:rPr>
        <w:t>124.3</w:t>
      </w:r>
      <w:r w:rsidR="00BC3B47" w:rsidRPr="00FA46B8">
        <w:rPr>
          <w:rFonts w:ascii="Times New Roman" w:hAnsi="Times New Roman" w:cs="Times New Roman"/>
          <w:sz w:val="24"/>
          <w:szCs w:val="24"/>
        </w:rPr>
        <w:t xml:space="preserve"> million in investment </w:t>
      </w:r>
      <w:r w:rsidR="00FD76C0">
        <w:rPr>
          <w:rFonts w:ascii="Times New Roman" w:hAnsi="Times New Roman" w:cs="Times New Roman"/>
          <w:sz w:val="24"/>
          <w:szCs w:val="24"/>
        </w:rPr>
        <w:t xml:space="preserve">and farm </w:t>
      </w:r>
      <w:r w:rsidR="00BC3B47" w:rsidRPr="00FA46B8">
        <w:rPr>
          <w:rFonts w:ascii="Times New Roman" w:hAnsi="Times New Roman" w:cs="Times New Roman"/>
          <w:sz w:val="24"/>
          <w:szCs w:val="24"/>
        </w:rPr>
        <w:t xml:space="preserve">income to the University System. </w:t>
      </w:r>
      <w:r w:rsidR="00CF479F">
        <w:rPr>
          <w:rFonts w:ascii="Times New Roman" w:hAnsi="Times New Roman" w:cs="Times New Roman"/>
          <w:sz w:val="24"/>
          <w:szCs w:val="24"/>
        </w:rPr>
        <w:t xml:space="preserve">Despite </w:t>
      </w:r>
      <w:r w:rsidR="00A47F5A">
        <w:rPr>
          <w:rFonts w:ascii="Times New Roman" w:hAnsi="Times New Roman" w:cs="Times New Roman"/>
          <w:sz w:val="24"/>
          <w:szCs w:val="24"/>
        </w:rPr>
        <w:t>the</w:t>
      </w:r>
      <w:r w:rsidR="00CF479F">
        <w:rPr>
          <w:rFonts w:ascii="Times New Roman" w:hAnsi="Times New Roman" w:cs="Times New Roman"/>
          <w:sz w:val="24"/>
          <w:szCs w:val="24"/>
        </w:rPr>
        <w:t xml:space="preserve"> optimistic tone to end the year, risks remain. Banking system strains, the most aggressive Fed tightening campaign in over four decades, persistent inflationary concerns, and unresolved geopolitical tensions provide </w:t>
      </w:r>
      <w:r w:rsidR="00FB673B">
        <w:rPr>
          <w:rFonts w:ascii="Times New Roman" w:hAnsi="Times New Roman" w:cs="Times New Roman"/>
          <w:sz w:val="24"/>
          <w:szCs w:val="24"/>
        </w:rPr>
        <w:t xml:space="preserve">a </w:t>
      </w:r>
      <w:r w:rsidR="00A47F5A">
        <w:rPr>
          <w:rFonts w:ascii="Times New Roman" w:hAnsi="Times New Roman" w:cs="Times New Roman"/>
          <w:sz w:val="24"/>
          <w:szCs w:val="24"/>
        </w:rPr>
        <w:t>basis</w:t>
      </w:r>
      <w:r w:rsidR="00CF479F">
        <w:rPr>
          <w:rFonts w:ascii="Times New Roman" w:hAnsi="Times New Roman" w:cs="Times New Roman"/>
          <w:sz w:val="24"/>
          <w:szCs w:val="24"/>
        </w:rPr>
        <w:t xml:space="preserve"> for</w:t>
      </w:r>
      <w:r w:rsidR="00A47F5A">
        <w:rPr>
          <w:rFonts w:ascii="Times New Roman" w:hAnsi="Times New Roman" w:cs="Times New Roman"/>
          <w:sz w:val="24"/>
          <w:szCs w:val="24"/>
        </w:rPr>
        <w:t xml:space="preserve"> </w:t>
      </w:r>
      <w:r w:rsidR="00CF479F">
        <w:rPr>
          <w:rFonts w:ascii="Times New Roman" w:hAnsi="Times New Roman" w:cs="Times New Roman"/>
          <w:sz w:val="24"/>
          <w:szCs w:val="24"/>
        </w:rPr>
        <w:t xml:space="preserve">caution. </w:t>
      </w:r>
      <w:r w:rsidR="00C756AB">
        <w:rPr>
          <w:rFonts w:ascii="Times New Roman" w:hAnsi="Times New Roman" w:cs="Times New Roman"/>
          <w:sz w:val="24"/>
          <w:szCs w:val="24"/>
        </w:rPr>
        <w:t>As such, t</w:t>
      </w:r>
      <w:r w:rsidR="00A47F5A">
        <w:rPr>
          <w:rFonts w:ascii="Times New Roman" w:hAnsi="Times New Roman" w:cs="Times New Roman"/>
          <w:sz w:val="24"/>
          <w:szCs w:val="24"/>
        </w:rPr>
        <w:t xml:space="preserve">he pools are </w:t>
      </w:r>
      <w:r w:rsidR="00C756AB">
        <w:rPr>
          <w:rFonts w:ascii="Times New Roman" w:hAnsi="Times New Roman" w:cs="Times New Roman"/>
          <w:sz w:val="24"/>
          <w:szCs w:val="24"/>
        </w:rPr>
        <w:t xml:space="preserve">positioned defensively to </w:t>
      </w:r>
      <w:r w:rsidR="00BF1AEA">
        <w:rPr>
          <w:rFonts w:ascii="Times New Roman" w:hAnsi="Times New Roman" w:cs="Times New Roman"/>
          <w:sz w:val="24"/>
          <w:szCs w:val="24"/>
        </w:rPr>
        <w:t>protect capital and take advantage of potential opportunities</w:t>
      </w:r>
      <w:r w:rsidR="00C756AB">
        <w:rPr>
          <w:rFonts w:ascii="Times New Roman" w:hAnsi="Times New Roman" w:cs="Times New Roman"/>
          <w:sz w:val="24"/>
          <w:szCs w:val="24"/>
        </w:rPr>
        <w:t>.</w:t>
      </w:r>
    </w:p>
    <w:p w14:paraId="1AE9B68F" w14:textId="63358EB3" w:rsidR="00722284" w:rsidRDefault="00182480" w:rsidP="008C788E">
      <w:pPr>
        <w:spacing w:after="360"/>
        <w:rPr>
          <w:rFonts w:ascii="Times New Roman" w:hAnsi="Times New Roman" w:cs="Times New Roman"/>
          <w:sz w:val="24"/>
          <w:szCs w:val="24"/>
        </w:rPr>
      </w:pPr>
      <w:r w:rsidRPr="00FA46B8">
        <w:rPr>
          <w:rFonts w:ascii="Times New Roman" w:hAnsi="Times New Roman" w:cs="Times New Roman"/>
          <w:sz w:val="24"/>
          <w:szCs w:val="24"/>
        </w:rPr>
        <w:t>The</w:t>
      </w:r>
      <w:r w:rsidR="00AA3F59" w:rsidRPr="00FA46B8">
        <w:rPr>
          <w:rFonts w:ascii="Times New Roman" w:hAnsi="Times New Roman" w:cs="Times New Roman"/>
          <w:sz w:val="24"/>
          <w:szCs w:val="24"/>
        </w:rPr>
        <w:t xml:space="preserve"> investment program </w:t>
      </w:r>
      <w:r w:rsidR="007346A1">
        <w:rPr>
          <w:rFonts w:ascii="Times New Roman" w:hAnsi="Times New Roman" w:cs="Times New Roman"/>
          <w:sz w:val="24"/>
          <w:szCs w:val="24"/>
        </w:rPr>
        <w:t>executed</w:t>
      </w:r>
      <w:r w:rsidR="00AA3F59" w:rsidRPr="00FA46B8">
        <w:rPr>
          <w:rFonts w:ascii="Times New Roman" w:hAnsi="Times New Roman" w:cs="Times New Roman"/>
          <w:sz w:val="24"/>
          <w:szCs w:val="24"/>
        </w:rPr>
        <w:t xml:space="preserve"> </w:t>
      </w:r>
      <w:r w:rsidR="00FA46B8">
        <w:rPr>
          <w:rFonts w:ascii="Times New Roman" w:hAnsi="Times New Roman" w:cs="Times New Roman"/>
          <w:sz w:val="24"/>
          <w:szCs w:val="24"/>
        </w:rPr>
        <w:t>several</w:t>
      </w:r>
      <w:r w:rsidR="00AA3F59" w:rsidRPr="00FA46B8">
        <w:rPr>
          <w:rFonts w:ascii="Times New Roman" w:hAnsi="Times New Roman" w:cs="Times New Roman"/>
          <w:sz w:val="24"/>
          <w:szCs w:val="24"/>
        </w:rPr>
        <w:t xml:space="preserve"> </w:t>
      </w:r>
      <w:r w:rsidR="007E4EDE" w:rsidRPr="00FA46B8">
        <w:rPr>
          <w:rFonts w:ascii="Times New Roman" w:hAnsi="Times New Roman" w:cs="Times New Roman"/>
          <w:sz w:val="24"/>
          <w:szCs w:val="24"/>
        </w:rPr>
        <w:t xml:space="preserve">new </w:t>
      </w:r>
      <w:r w:rsidR="00AA3F59" w:rsidRPr="00FA46B8">
        <w:rPr>
          <w:rFonts w:ascii="Times New Roman" w:hAnsi="Times New Roman" w:cs="Times New Roman"/>
          <w:sz w:val="24"/>
          <w:szCs w:val="24"/>
        </w:rPr>
        <w:t>investments</w:t>
      </w:r>
      <w:r w:rsidR="00FA46B8" w:rsidRPr="00FA46B8">
        <w:rPr>
          <w:rFonts w:ascii="Times New Roman" w:hAnsi="Times New Roman" w:cs="Times New Roman"/>
          <w:sz w:val="24"/>
          <w:szCs w:val="24"/>
        </w:rPr>
        <w:t xml:space="preserve"> throughout the year</w:t>
      </w:r>
      <w:r w:rsidR="00AA3F59" w:rsidRPr="00FA46B8">
        <w:rPr>
          <w:rFonts w:ascii="Times New Roman" w:hAnsi="Times New Roman" w:cs="Times New Roman"/>
          <w:sz w:val="24"/>
          <w:szCs w:val="24"/>
        </w:rPr>
        <w:t xml:space="preserve">. </w:t>
      </w:r>
      <w:r w:rsidR="00DA1613">
        <w:rPr>
          <w:rFonts w:ascii="Times New Roman" w:hAnsi="Times New Roman" w:cs="Times New Roman"/>
          <w:sz w:val="24"/>
          <w:szCs w:val="24"/>
        </w:rPr>
        <w:t>In the endowment p</w:t>
      </w:r>
      <w:r w:rsidR="000B05F2">
        <w:rPr>
          <w:rFonts w:ascii="Times New Roman" w:hAnsi="Times New Roman" w:cs="Times New Roman"/>
          <w:sz w:val="24"/>
          <w:szCs w:val="24"/>
        </w:rPr>
        <w:t xml:space="preserve">ool, investments were made in </w:t>
      </w:r>
      <w:r w:rsidR="00A67550">
        <w:rPr>
          <w:rFonts w:ascii="Times New Roman" w:hAnsi="Times New Roman" w:cs="Times New Roman"/>
          <w:sz w:val="24"/>
          <w:szCs w:val="24"/>
        </w:rPr>
        <w:t xml:space="preserve">the following partnerships/funds: </w:t>
      </w:r>
      <w:r w:rsidR="00FB673B">
        <w:rPr>
          <w:rFonts w:ascii="Times New Roman" w:hAnsi="Times New Roman" w:cs="Times New Roman"/>
          <w:sz w:val="24"/>
          <w:szCs w:val="24"/>
        </w:rPr>
        <w:t xml:space="preserve">Sierra </w:t>
      </w:r>
      <w:r w:rsidR="006B6807">
        <w:rPr>
          <w:rFonts w:ascii="Times New Roman" w:hAnsi="Times New Roman" w:cs="Times New Roman"/>
          <w:sz w:val="24"/>
          <w:szCs w:val="24"/>
        </w:rPr>
        <w:t xml:space="preserve">Ventures XIII, LP </w:t>
      </w:r>
      <w:r w:rsidR="00FB673B">
        <w:rPr>
          <w:rFonts w:ascii="Times New Roman" w:hAnsi="Times New Roman" w:cs="Times New Roman"/>
          <w:sz w:val="24"/>
          <w:szCs w:val="24"/>
        </w:rPr>
        <w:t>(global equity)</w:t>
      </w:r>
      <w:r w:rsidR="00C756AB">
        <w:rPr>
          <w:rFonts w:ascii="Times New Roman" w:hAnsi="Times New Roman" w:cs="Times New Roman"/>
          <w:sz w:val="24"/>
          <w:szCs w:val="24"/>
        </w:rPr>
        <w:t>;</w:t>
      </w:r>
      <w:r w:rsidR="00FB673B">
        <w:rPr>
          <w:rFonts w:ascii="Times New Roman" w:hAnsi="Times New Roman" w:cs="Times New Roman"/>
          <w:sz w:val="24"/>
          <w:szCs w:val="24"/>
        </w:rPr>
        <w:t xml:space="preserve"> Pfingsten</w:t>
      </w:r>
      <w:r w:rsidR="005A197E">
        <w:rPr>
          <w:rFonts w:ascii="Times New Roman" w:hAnsi="Times New Roman" w:cs="Times New Roman"/>
          <w:sz w:val="24"/>
          <w:szCs w:val="24"/>
        </w:rPr>
        <w:t xml:space="preserve"> </w:t>
      </w:r>
      <w:r w:rsidR="006B6807">
        <w:rPr>
          <w:rFonts w:ascii="Times New Roman" w:hAnsi="Times New Roman" w:cs="Times New Roman"/>
          <w:sz w:val="24"/>
          <w:szCs w:val="24"/>
        </w:rPr>
        <w:t xml:space="preserve">Fund VI, L.P. </w:t>
      </w:r>
      <w:r w:rsidR="005A197E">
        <w:rPr>
          <w:rFonts w:ascii="Times New Roman" w:hAnsi="Times New Roman" w:cs="Times New Roman"/>
          <w:sz w:val="24"/>
          <w:szCs w:val="24"/>
        </w:rPr>
        <w:t>(global equity)</w:t>
      </w:r>
      <w:r w:rsidR="00C756AB">
        <w:rPr>
          <w:rFonts w:ascii="Times New Roman" w:hAnsi="Times New Roman" w:cs="Times New Roman"/>
          <w:sz w:val="24"/>
          <w:szCs w:val="24"/>
        </w:rPr>
        <w:t>;</w:t>
      </w:r>
      <w:r w:rsidR="005A197E">
        <w:rPr>
          <w:rFonts w:ascii="Times New Roman" w:hAnsi="Times New Roman" w:cs="Times New Roman"/>
          <w:sz w:val="24"/>
          <w:szCs w:val="24"/>
        </w:rPr>
        <w:t xml:space="preserve"> </w:t>
      </w:r>
      <w:r w:rsidR="00FB673B">
        <w:rPr>
          <w:rFonts w:ascii="Times New Roman" w:hAnsi="Times New Roman" w:cs="Times New Roman"/>
          <w:sz w:val="24"/>
          <w:szCs w:val="24"/>
        </w:rPr>
        <w:t xml:space="preserve">BlackRock ESG </w:t>
      </w:r>
      <w:r w:rsidR="006B6807">
        <w:rPr>
          <w:rFonts w:ascii="Times New Roman" w:hAnsi="Times New Roman" w:cs="Times New Roman"/>
          <w:sz w:val="24"/>
          <w:szCs w:val="24"/>
        </w:rPr>
        <w:t>World ex-US Equity</w:t>
      </w:r>
      <w:r w:rsidR="005A197E">
        <w:rPr>
          <w:rFonts w:ascii="Times New Roman" w:hAnsi="Times New Roman" w:cs="Times New Roman"/>
          <w:sz w:val="24"/>
          <w:szCs w:val="24"/>
        </w:rPr>
        <w:t xml:space="preserve"> </w:t>
      </w:r>
      <w:r w:rsidR="00DA1613">
        <w:rPr>
          <w:rFonts w:ascii="Times New Roman" w:hAnsi="Times New Roman" w:cs="Times New Roman"/>
          <w:sz w:val="24"/>
          <w:szCs w:val="24"/>
        </w:rPr>
        <w:t>(g</w:t>
      </w:r>
      <w:r w:rsidR="00A67550">
        <w:rPr>
          <w:rFonts w:ascii="Times New Roman" w:hAnsi="Times New Roman" w:cs="Times New Roman"/>
          <w:sz w:val="24"/>
          <w:szCs w:val="24"/>
        </w:rPr>
        <w:t>l</w:t>
      </w:r>
      <w:r w:rsidR="00DA1613">
        <w:rPr>
          <w:rFonts w:ascii="Times New Roman" w:hAnsi="Times New Roman" w:cs="Times New Roman"/>
          <w:sz w:val="24"/>
          <w:szCs w:val="24"/>
        </w:rPr>
        <w:t>obal e</w:t>
      </w:r>
      <w:r w:rsidR="00A67550">
        <w:rPr>
          <w:rFonts w:ascii="Times New Roman" w:hAnsi="Times New Roman" w:cs="Times New Roman"/>
          <w:sz w:val="24"/>
          <w:szCs w:val="24"/>
        </w:rPr>
        <w:t>quity)</w:t>
      </w:r>
      <w:r w:rsidR="00C756AB">
        <w:rPr>
          <w:rFonts w:ascii="Times New Roman" w:hAnsi="Times New Roman" w:cs="Times New Roman"/>
          <w:sz w:val="24"/>
          <w:szCs w:val="24"/>
        </w:rPr>
        <w:t>;</w:t>
      </w:r>
      <w:r w:rsidR="00A67550">
        <w:rPr>
          <w:rFonts w:ascii="Times New Roman" w:hAnsi="Times New Roman" w:cs="Times New Roman"/>
          <w:sz w:val="24"/>
          <w:szCs w:val="24"/>
        </w:rPr>
        <w:t xml:space="preserve"> </w:t>
      </w:r>
      <w:r w:rsidR="00FB673B">
        <w:rPr>
          <w:rFonts w:ascii="Times New Roman" w:hAnsi="Times New Roman" w:cs="Times New Roman"/>
          <w:sz w:val="24"/>
          <w:szCs w:val="24"/>
        </w:rPr>
        <w:t>BlackRock E</w:t>
      </w:r>
      <w:r w:rsidR="006B6807">
        <w:rPr>
          <w:rFonts w:ascii="Times New Roman" w:hAnsi="Times New Roman" w:cs="Times New Roman"/>
          <w:sz w:val="24"/>
          <w:szCs w:val="24"/>
        </w:rPr>
        <w:t xml:space="preserve">merging </w:t>
      </w:r>
      <w:r w:rsidR="00FB673B">
        <w:rPr>
          <w:rFonts w:ascii="Times New Roman" w:hAnsi="Times New Roman" w:cs="Times New Roman"/>
          <w:sz w:val="24"/>
          <w:szCs w:val="24"/>
        </w:rPr>
        <w:t>M</w:t>
      </w:r>
      <w:r w:rsidR="006B6807">
        <w:rPr>
          <w:rFonts w:ascii="Times New Roman" w:hAnsi="Times New Roman" w:cs="Times New Roman"/>
          <w:sz w:val="24"/>
          <w:szCs w:val="24"/>
        </w:rPr>
        <w:t>arkets</w:t>
      </w:r>
      <w:r w:rsidR="00FB673B">
        <w:rPr>
          <w:rFonts w:ascii="Times New Roman" w:hAnsi="Times New Roman" w:cs="Times New Roman"/>
          <w:sz w:val="24"/>
          <w:szCs w:val="24"/>
        </w:rPr>
        <w:t xml:space="preserve"> Free Fund</w:t>
      </w:r>
      <w:r w:rsidR="005A197E">
        <w:rPr>
          <w:rFonts w:ascii="Times New Roman" w:hAnsi="Times New Roman" w:cs="Times New Roman"/>
          <w:sz w:val="24"/>
          <w:szCs w:val="24"/>
        </w:rPr>
        <w:t xml:space="preserve"> </w:t>
      </w:r>
      <w:r w:rsidR="00A67550">
        <w:rPr>
          <w:rFonts w:ascii="Times New Roman" w:hAnsi="Times New Roman" w:cs="Times New Roman"/>
          <w:sz w:val="24"/>
          <w:szCs w:val="24"/>
        </w:rPr>
        <w:t>(</w:t>
      </w:r>
      <w:r w:rsidR="00DA1613">
        <w:rPr>
          <w:rFonts w:ascii="Times New Roman" w:hAnsi="Times New Roman" w:cs="Times New Roman"/>
          <w:sz w:val="24"/>
          <w:szCs w:val="24"/>
        </w:rPr>
        <w:t xml:space="preserve">global </w:t>
      </w:r>
      <w:r w:rsidR="005A197E">
        <w:rPr>
          <w:rFonts w:ascii="Times New Roman" w:hAnsi="Times New Roman" w:cs="Times New Roman"/>
          <w:sz w:val="24"/>
          <w:szCs w:val="24"/>
        </w:rPr>
        <w:t>equity</w:t>
      </w:r>
      <w:r w:rsidR="00A67550">
        <w:rPr>
          <w:rFonts w:ascii="Times New Roman" w:hAnsi="Times New Roman" w:cs="Times New Roman"/>
          <w:sz w:val="24"/>
          <w:szCs w:val="24"/>
        </w:rPr>
        <w:t>)</w:t>
      </w:r>
      <w:r w:rsidR="00C756AB">
        <w:rPr>
          <w:rFonts w:ascii="Times New Roman" w:hAnsi="Times New Roman" w:cs="Times New Roman"/>
          <w:sz w:val="24"/>
          <w:szCs w:val="24"/>
        </w:rPr>
        <w:t>;</w:t>
      </w:r>
      <w:r w:rsidR="000B05F2">
        <w:rPr>
          <w:rFonts w:ascii="Times New Roman" w:hAnsi="Times New Roman" w:cs="Times New Roman"/>
          <w:sz w:val="24"/>
          <w:szCs w:val="24"/>
        </w:rPr>
        <w:t xml:space="preserve"> </w:t>
      </w:r>
      <w:r w:rsidR="00FB673B">
        <w:rPr>
          <w:rFonts w:ascii="Times New Roman" w:hAnsi="Times New Roman" w:cs="Times New Roman"/>
          <w:sz w:val="24"/>
          <w:szCs w:val="24"/>
        </w:rPr>
        <w:t xml:space="preserve">Palmer Square and Pugh </w:t>
      </w:r>
      <w:r w:rsidR="006B6807">
        <w:rPr>
          <w:rFonts w:ascii="Times New Roman" w:hAnsi="Times New Roman" w:cs="Times New Roman"/>
          <w:sz w:val="24"/>
          <w:szCs w:val="24"/>
        </w:rPr>
        <w:t>Capital</w:t>
      </w:r>
      <w:r w:rsidR="00FB673B">
        <w:rPr>
          <w:rFonts w:ascii="Times New Roman" w:hAnsi="Times New Roman" w:cs="Times New Roman"/>
          <w:sz w:val="24"/>
          <w:szCs w:val="24"/>
        </w:rPr>
        <w:t xml:space="preserve"> via Attuck</w:t>
      </w:r>
      <w:r w:rsidR="00C756AB">
        <w:rPr>
          <w:rFonts w:ascii="Times New Roman" w:hAnsi="Times New Roman" w:cs="Times New Roman"/>
          <w:sz w:val="24"/>
          <w:szCs w:val="24"/>
        </w:rPr>
        <w:t>s</w:t>
      </w:r>
      <w:r w:rsidR="00FB673B">
        <w:rPr>
          <w:rFonts w:ascii="Times New Roman" w:hAnsi="Times New Roman" w:cs="Times New Roman"/>
          <w:sz w:val="24"/>
          <w:szCs w:val="24"/>
        </w:rPr>
        <w:t xml:space="preserve"> Asset Management</w:t>
      </w:r>
      <w:r w:rsidR="003D6A8B">
        <w:rPr>
          <w:rFonts w:ascii="Times New Roman" w:hAnsi="Times New Roman" w:cs="Times New Roman"/>
          <w:sz w:val="24"/>
          <w:szCs w:val="24"/>
        </w:rPr>
        <w:t xml:space="preserve"> (global fixed income)</w:t>
      </w:r>
      <w:r w:rsidR="00C756AB">
        <w:rPr>
          <w:rFonts w:ascii="Times New Roman" w:hAnsi="Times New Roman" w:cs="Times New Roman"/>
          <w:sz w:val="24"/>
          <w:szCs w:val="24"/>
        </w:rPr>
        <w:t>;</w:t>
      </w:r>
      <w:r w:rsidR="003D6A8B">
        <w:rPr>
          <w:rFonts w:ascii="Times New Roman" w:hAnsi="Times New Roman" w:cs="Times New Roman"/>
          <w:sz w:val="24"/>
          <w:szCs w:val="24"/>
        </w:rPr>
        <w:t xml:space="preserve"> </w:t>
      </w:r>
      <w:r w:rsidR="00FB673B">
        <w:rPr>
          <w:rFonts w:ascii="Times New Roman" w:hAnsi="Times New Roman" w:cs="Times New Roman"/>
          <w:sz w:val="24"/>
          <w:szCs w:val="24"/>
        </w:rPr>
        <w:t xml:space="preserve">Oaktree Opportunities </w:t>
      </w:r>
      <w:r w:rsidR="006B6807">
        <w:rPr>
          <w:rFonts w:ascii="Times New Roman" w:hAnsi="Times New Roman" w:cs="Times New Roman"/>
          <w:sz w:val="24"/>
          <w:szCs w:val="24"/>
        </w:rPr>
        <w:t>Fund XII</w:t>
      </w:r>
      <w:r w:rsidR="00FB673B">
        <w:rPr>
          <w:rFonts w:ascii="Times New Roman" w:hAnsi="Times New Roman" w:cs="Times New Roman"/>
          <w:sz w:val="24"/>
          <w:szCs w:val="24"/>
        </w:rPr>
        <w:t xml:space="preserve"> (global fixed income); Artisan High Income Fund (global fixed income)</w:t>
      </w:r>
      <w:r w:rsidR="00DE3768">
        <w:rPr>
          <w:rFonts w:ascii="Times New Roman" w:hAnsi="Times New Roman" w:cs="Times New Roman"/>
          <w:sz w:val="24"/>
          <w:szCs w:val="24"/>
        </w:rPr>
        <w:t>;</w:t>
      </w:r>
      <w:r w:rsidR="00FB673B">
        <w:rPr>
          <w:rFonts w:ascii="Times New Roman" w:hAnsi="Times New Roman" w:cs="Times New Roman"/>
          <w:sz w:val="24"/>
          <w:szCs w:val="24"/>
        </w:rPr>
        <w:t xml:space="preserve"> </w:t>
      </w:r>
      <w:r w:rsidR="006B6807">
        <w:rPr>
          <w:rFonts w:ascii="Times New Roman" w:hAnsi="Times New Roman" w:cs="Times New Roman"/>
          <w:sz w:val="24"/>
          <w:szCs w:val="24"/>
        </w:rPr>
        <w:t>Balyasny</w:t>
      </w:r>
      <w:r w:rsidR="00FD60C1">
        <w:rPr>
          <w:rFonts w:ascii="Times New Roman" w:hAnsi="Times New Roman" w:cs="Times New Roman"/>
          <w:sz w:val="24"/>
          <w:szCs w:val="24"/>
        </w:rPr>
        <w:t xml:space="preserve"> </w:t>
      </w:r>
      <w:r w:rsidR="006B6807">
        <w:rPr>
          <w:rFonts w:ascii="Times New Roman" w:hAnsi="Times New Roman" w:cs="Times New Roman"/>
          <w:sz w:val="24"/>
          <w:szCs w:val="24"/>
        </w:rPr>
        <w:t xml:space="preserve">Atlas Enhanced Fund, Ltd. </w:t>
      </w:r>
      <w:r w:rsidR="00FD60C1">
        <w:rPr>
          <w:rFonts w:ascii="Times New Roman" w:hAnsi="Times New Roman" w:cs="Times New Roman"/>
          <w:sz w:val="24"/>
          <w:szCs w:val="24"/>
        </w:rPr>
        <w:t>(diversifying strategies)</w:t>
      </w:r>
      <w:r w:rsidR="00DE3768">
        <w:rPr>
          <w:rFonts w:ascii="Times New Roman" w:hAnsi="Times New Roman" w:cs="Times New Roman"/>
          <w:sz w:val="24"/>
          <w:szCs w:val="24"/>
        </w:rPr>
        <w:t>;</w:t>
      </w:r>
      <w:r w:rsidR="00FD60C1">
        <w:rPr>
          <w:rFonts w:ascii="Times New Roman" w:hAnsi="Times New Roman" w:cs="Times New Roman"/>
          <w:sz w:val="24"/>
          <w:szCs w:val="24"/>
        </w:rPr>
        <w:t xml:space="preserve"> </w:t>
      </w:r>
      <w:r w:rsidR="003D6A8B">
        <w:rPr>
          <w:rFonts w:ascii="Times New Roman" w:hAnsi="Times New Roman" w:cs="Times New Roman"/>
          <w:sz w:val="24"/>
          <w:szCs w:val="24"/>
        </w:rPr>
        <w:t xml:space="preserve">and </w:t>
      </w:r>
      <w:r w:rsidR="006B6807">
        <w:rPr>
          <w:rFonts w:ascii="Times New Roman" w:hAnsi="Times New Roman" w:cs="Times New Roman"/>
          <w:sz w:val="24"/>
          <w:szCs w:val="24"/>
        </w:rPr>
        <w:t>Farallon</w:t>
      </w:r>
      <w:r w:rsidR="000B05F2">
        <w:rPr>
          <w:rFonts w:ascii="Times New Roman" w:hAnsi="Times New Roman" w:cs="Times New Roman"/>
          <w:sz w:val="24"/>
          <w:szCs w:val="24"/>
        </w:rPr>
        <w:t xml:space="preserve"> </w:t>
      </w:r>
      <w:r w:rsidR="006B6807">
        <w:rPr>
          <w:rFonts w:ascii="Times New Roman" w:hAnsi="Times New Roman" w:cs="Times New Roman"/>
          <w:sz w:val="24"/>
          <w:szCs w:val="24"/>
        </w:rPr>
        <w:t xml:space="preserve">Real Estate Partners IV </w:t>
      </w:r>
      <w:r w:rsidR="00DA1613">
        <w:rPr>
          <w:rFonts w:ascii="Times New Roman" w:hAnsi="Times New Roman" w:cs="Times New Roman"/>
          <w:sz w:val="24"/>
          <w:szCs w:val="24"/>
        </w:rPr>
        <w:t>(</w:t>
      </w:r>
      <w:r w:rsidR="005A197E">
        <w:rPr>
          <w:rFonts w:ascii="Times New Roman" w:hAnsi="Times New Roman" w:cs="Times New Roman"/>
          <w:sz w:val="24"/>
          <w:szCs w:val="24"/>
        </w:rPr>
        <w:t>real asse</w:t>
      </w:r>
      <w:r w:rsidR="005A197E" w:rsidRPr="00C756AB">
        <w:rPr>
          <w:rFonts w:ascii="Times New Roman" w:hAnsi="Times New Roman" w:cs="Times New Roman"/>
          <w:sz w:val="24"/>
          <w:szCs w:val="24"/>
        </w:rPr>
        <w:t>ts</w:t>
      </w:r>
      <w:r w:rsidR="00A67550" w:rsidRPr="00C756AB">
        <w:rPr>
          <w:rFonts w:ascii="Times New Roman" w:hAnsi="Times New Roman" w:cs="Times New Roman"/>
          <w:sz w:val="24"/>
          <w:szCs w:val="24"/>
        </w:rPr>
        <w:t>)</w:t>
      </w:r>
      <w:r w:rsidR="005A197E" w:rsidRPr="00C756AB">
        <w:rPr>
          <w:rFonts w:ascii="Times New Roman" w:hAnsi="Times New Roman" w:cs="Times New Roman"/>
          <w:sz w:val="24"/>
          <w:szCs w:val="24"/>
        </w:rPr>
        <w:t xml:space="preserve">. </w:t>
      </w:r>
      <w:r w:rsidR="006B6807" w:rsidRPr="00C756AB">
        <w:rPr>
          <w:rFonts w:ascii="Times New Roman" w:hAnsi="Times New Roman" w:cs="Times New Roman"/>
          <w:sz w:val="24"/>
          <w:szCs w:val="24"/>
        </w:rPr>
        <w:t xml:space="preserve"> </w:t>
      </w:r>
      <w:r w:rsidR="00C756AB" w:rsidRPr="00C756AB">
        <w:rPr>
          <w:rFonts w:ascii="Times New Roman" w:hAnsi="Times New Roman" w:cs="Times New Roman"/>
          <w:sz w:val="24"/>
          <w:szCs w:val="24"/>
        </w:rPr>
        <w:t xml:space="preserve">In the operating pool, investments were made in Loop Capital, Longfellow Investment Management, and </w:t>
      </w:r>
      <w:proofErr w:type="spellStart"/>
      <w:r w:rsidR="00C756AB" w:rsidRPr="00C756AB">
        <w:rPr>
          <w:rFonts w:ascii="Times New Roman" w:hAnsi="Times New Roman" w:cs="Times New Roman"/>
          <w:sz w:val="24"/>
          <w:szCs w:val="24"/>
        </w:rPr>
        <w:t>Ducenta</w:t>
      </w:r>
      <w:proofErr w:type="spellEnd"/>
      <w:r w:rsidR="00C756AB" w:rsidRPr="00C756AB">
        <w:rPr>
          <w:rFonts w:ascii="Times New Roman" w:hAnsi="Times New Roman" w:cs="Times New Roman"/>
          <w:sz w:val="24"/>
          <w:szCs w:val="24"/>
        </w:rPr>
        <w:t xml:space="preserve"> Squared Asset Management via Attucks Asset Management.  </w:t>
      </w:r>
    </w:p>
    <w:p w14:paraId="28663FBE" w14:textId="1ADEA823" w:rsidR="00785C28" w:rsidRDefault="00635B63" w:rsidP="00AC50BD">
      <w:pPr>
        <w:spacing w:after="360"/>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BEF059B" wp14:editId="2220C6DC">
                <wp:simplePos x="0" y="0"/>
                <wp:positionH relativeFrom="margin">
                  <wp:posOffset>-224790</wp:posOffset>
                </wp:positionH>
                <wp:positionV relativeFrom="paragraph">
                  <wp:posOffset>764540</wp:posOffset>
                </wp:positionV>
                <wp:extent cx="7105650" cy="2698750"/>
                <wp:effectExtent l="0" t="0" r="19050" b="25400"/>
                <wp:wrapNone/>
                <wp:docPr id="2" name="Rectangle 2" descr="Office of Investments Overview&#10;Under the supervision of the CFO, the Office of Investments manages the University System’s operating and endowment assets, including farmland donated to the University. Operating and endowment assets are invested through carefully selected external investment firms, while farmland is managed internally by the Agricultural Property Services department.  &#10;The University of Illinois Board of Trustees (BOT) establishes policies for managing University asset pools. The Investment Policy sets forth asset allocation ranges for the endowment and operating pools.  The Audit, Budget, Finance, and Facilities (ABFF) Committee of the BOT reviews asset allocation and performance and recommends investment policy to the BOT. The BOT has delegated to the CFO management of the University’s assets within the BOT-approved policies. The CFO has charged the Investment Office with the day-to-day management of the investment program.  It is important to note that the assets managed by the Office of Investments are distinct from those managed by the University of Illinois Foundation (UIF). UIF is a university-related organization with an independent board. "/>
                <wp:cNvGraphicFramePr/>
                <a:graphic xmlns:a="http://schemas.openxmlformats.org/drawingml/2006/main">
                  <a:graphicData uri="http://schemas.microsoft.com/office/word/2010/wordprocessingShape">
                    <wps:wsp>
                      <wps:cNvSpPr/>
                      <wps:spPr>
                        <a:xfrm>
                          <a:off x="0" y="0"/>
                          <a:ext cx="7105650" cy="2698750"/>
                        </a:xfrm>
                        <a:prstGeom prst="rect">
                          <a:avLst/>
                        </a:prstGeom>
                        <a:noFill/>
                        <a:ln>
                          <a:solidFill>
                            <a:schemeClr val="bg2">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A6E00" id="Rectangle 2" o:spid="_x0000_s1026" alt="Office of Investments Overview&#10;Under the supervision of the CFO, the Office of Investments manages the University System’s operating and endowment assets, including farmland donated to the University. Operating and endowment assets are invested through carefully selected external investment firms, while farmland is managed internally by the Agricultural Property Services department.  &#10;The University of Illinois Board of Trustees (BOT) establishes policies for managing University asset pools. The Investment Policy sets forth asset allocation ranges for the endowment and operating pools.  The Audit, Budget, Finance, and Facilities (ABFF) Committee of the BOT reviews asset allocation and performance and recommends investment policy to the BOT. The BOT has delegated to the CFO management of the University’s assets within the BOT-approved policies. The CFO has charged the Investment Office with the day-to-day management of the investment program.  It is important to note that the assets managed by the Office of Investments are distinct from those managed by the University of Illinois Foundation (UIF). UIF is a university-related organization with an independent board. " style="position:absolute;margin-left:-17.7pt;margin-top:60.2pt;width:559.5pt;height:2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" filled="f" strokecolor="#747070 [1614]" strokeweight="1pt">
                <w10:wrap anchorx="margin"/>
              </v:rect>
            </w:pict>
          </mc:Fallback>
        </mc:AlternateContent>
      </w:r>
      <w:r w:rsidR="00CB14FD">
        <w:rPr>
          <w:rFonts w:ascii="Times New Roman" w:hAnsi="Times New Roman" w:cs="Times New Roman"/>
          <w:sz w:val="24"/>
          <w:szCs w:val="24"/>
        </w:rPr>
        <w:t xml:space="preserve">Enclosed </w:t>
      </w:r>
      <w:r w:rsidR="00762F2F">
        <w:rPr>
          <w:rFonts w:ascii="Times New Roman" w:hAnsi="Times New Roman" w:cs="Times New Roman"/>
          <w:sz w:val="24"/>
          <w:szCs w:val="24"/>
        </w:rPr>
        <w:t>is an overview of</w:t>
      </w:r>
      <w:r w:rsidR="00925665">
        <w:rPr>
          <w:rFonts w:ascii="Times New Roman" w:hAnsi="Times New Roman" w:cs="Times New Roman"/>
          <w:sz w:val="24"/>
          <w:szCs w:val="24"/>
        </w:rPr>
        <w:t xml:space="preserve"> invested assets</w:t>
      </w:r>
      <w:r w:rsidR="00FB4A5D">
        <w:rPr>
          <w:rFonts w:ascii="Times New Roman" w:hAnsi="Times New Roman" w:cs="Times New Roman"/>
          <w:sz w:val="24"/>
          <w:szCs w:val="24"/>
        </w:rPr>
        <w:t xml:space="preserve"> and</w:t>
      </w:r>
      <w:r w:rsidR="00CB14FD">
        <w:rPr>
          <w:rFonts w:ascii="Times New Roman" w:hAnsi="Times New Roman" w:cs="Times New Roman"/>
          <w:sz w:val="24"/>
          <w:szCs w:val="24"/>
        </w:rPr>
        <w:t xml:space="preserve"> </w:t>
      </w:r>
      <w:r w:rsidR="00934BC7">
        <w:rPr>
          <w:rFonts w:ascii="Times New Roman" w:hAnsi="Times New Roman" w:cs="Times New Roman"/>
          <w:sz w:val="24"/>
          <w:szCs w:val="24"/>
        </w:rPr>
        <w:t>key performance and asset allocation measures</w:t>
      </w:r>
      <w:r w:rsidR="008C788E">
        <w:rPr>
          <w:rFonts w:ascii="Times New Roman" w:hAnsi="Times New Roman" w:cs="Times New Roman"/>
          <w:sz w:val="24"/>
          <w:szCs w:val="24"/>
        </w:rPr>
        <w:t xml:space="preserve"> for </w:t>
      </w:r>
      <w:r w:rsidR="00DA1613">
        <w:rPr>
          <w:rFonts w:ascii="Times New Roman" w:hAnsi="Times New Roman" w:cs="Times New Roman"/>
          <w:sz w:val="24"/>
          <w:szCs w:val="24"/>
        </w:rPr>
        <w:t>the endowment and operating p</w:t>
      </w:r>
      <w:r w:rsidR="00762F2F">
        <w:rPr>
          <w:rFonts w:ascii="Times New Roman" w:hAnsi="Times New Roman" w:cs="Times New Roman"/>
          <w:sz w:val="24"/>
          <w:szCs w:val="24"/>
        </w:rPr>
        <w:t>ools</w:t>
      </w:r>
      <w:r w:rsidR="00AC50BD">
        <w:rPr>
          <w:rFonts w:ascii="Times New Roman" w:hAnsi="Times New Roman" w:cs="Times New Roman"/>
          <w:sz w:val="24"/>
          <w:szCs w:val="24"/>
        </w:rPr>
        <w:t>.</w:t>
      </w:r>
      <w:r w:rsidR="003476E2">
        <w:rPr>
          <w:rFonts w:ascii="Times New Roman" w:hAnsi="Times New Roman" w:cs="Times New Roman"/>
          <w:sz w:val="24"/>
          <w:szCs w:val="24"/>
        </w:rPr>
        <w:t xml:space="preserve"> A fee summary, </w:t>
      </w:r>
      <w:r w:rsidR="003D3062">
        <w:rPr>
          <w:rFonts w:ascii="Times New Roman" w:hAnsi="Times New Roman" w:cs="Times New Roman"/>
          <w:sz w:val="24"/>
          <w:szCs w:val="24"/>
        </w:rPr>
        <w:t>security inventory</w:t>
      </w:r>
      <w:r w:rsidR="00286A78">
        <w:rPr>
          <w:rFonts w:ascii="Times New Roman" w:hAnsi="Times New Roman" w:cs="Times New Roman"/>
          <w:sz w:val="24"/>
          <w:szCs w:val="24"/>
        </w:rPr>
        <w:t>,</w:t>
      </w:r>
      <w:r w:rsidR="008C788E">
        <w:rPr>
          <w:rFonts w:ascii="Times New Roman" w:hAnsi="Times New Roman" w:cs="Times New Roman"/>
          <w:sz w:val="24"/>
          <w:szCs w:val="24"/>
        </w:rPr>
        <w:t xml:space="preserve"> </w:t>
      </w:r>
      <w:r w:rsidR="003476E2">
        <w:rPr>
          <w:rFonts w:ascii="Times New Roman" w:hAnsi="Times New Roman" w:cs="Times New Roman"/>
          <w:sz w:val="24"/>
          <w:szCs w:val="24"/>
        </w:rPr>
        <w:t xml:space="preserve">and transaction report </w:t>
      </w:r>
      <w:r w:rsidR="008C788E">
        <w:rPr>
          <w:rFonts w:ascii="Times New Roman" w:hAnsi="Times New Roman" w:cs="Times New Roman"/>
          <w:sz w:val="24"/>
          <w:szCs w:val="24"/>
        </w:rPr>
        <w:t xml:space="preserve">are included </w:t>
      </w:r>
      <w:r w:rsidR="00AC50BD">
        <w:rPr>
          <w:rFonts w:ascii="Times New Roman" w:hAnsi="Times New Roman" w:cs="Times New Roman"/>
          <w:sz w:val="24"/>
          <w:szCs w:val="24"/>
        </w:rPr>
        <w:t xml:space="preserve">as separate reports in the Board materials. </w:t>
      </w:r>
    </w:p>
    <w:p w14:paraId="1875BA1E" w14:textId="50AF3511" w:rsidR="00BC3B47" w:rsidRDefault="0070008A" w:rsidP="007E4EDE">
      <w:pPr>
        <w:spacing w:after="240"/>
        <w:jc w:val="center"/>
        <w:rPr>
          <w:rFonts w:ascii="Times New Roman" w:hAnsi="Times New Roman" w:cs="Times New Roman"/>
          <w:sz w:val="24"/>
          <w:szCs w:val="24"/>
        </w:rPr>
      </w:pPr>
      <w:r w:rsidRPr="00517B1D">
        <w:rPr>
          <w:rFonts w:ascii="Times New Roman" w:hAnsi="Times New Roman" w:cs="Times New Roman"/>
          <w:b/>
          <w:color w:val="595959" w:themeColor="text1" w:themeTint="A6"/>
        </w:rPr>
        <w:t>Office of Investments Overview</w:t>
      </w:r>
    </w:p>
    <w:p w14:paraId="79521BE6" w14:textId="7FBAE8C3" w:rsidR="001D7C85" w:rsidRPr="00BC3B47" w:rsidRDefault="00053230" w:rsidP="007E4EDE">
      <w:pPr>
        <w:spacing w:after="240"/>
        <w:rPr>
          <w:rFonts w:ascii="Times New Roman" w:hAnsi="Times New Roman" w:cs="Times New Roman"/>
          <w:sz w:val="24"/>
          <w:szCs w:val="24"/>
        </w:rPr>
      </w:pPr>
      <w:r w:rsidRPr="00517B1D">
        <w:rPr>
          <w:rFonts w:ascii="Times New Roman" w:hAnsi="Times New Roman" w:cs="Times New Roman"/>
          <w:color w:val="595959" w:themeColor="text1" w:themeTint="A6"/>
        </w:rPr>
        <w:t xml:space="preserve">Under </w:t>
      </w:r>
      <w:r w:rsidR="00BC0956">
        <w:rPr>
          <w:rFonts w:ascii="Times New Roman" w:hAnsi="Times New Roman" w:cs="Times New Roman"/>
          <w:color w:val="595959" w:themeColor="text1" w:themeTint="A6"/>
        </w:rPr>
        <w:t xml:space="preserve">the </w:t>
      </w:r>
      <w:r w:rsidRPr="00517B1D">
        <w:rPr>
          <w:rFonts w:ascii="Times New Roman" w:hAnsi="Times New Roman" w:cs="Times New Roman"/>
          <w:color w:val="595959" w:themeColor="text1" w:themeTint="A6"/>
        </w:rPr>
        <w:t>supervision</w:t>
      </w:r>
      <w:r w:rsidR="001D7C85" w:rsidRPr="00517B1D">
        <w:rPr>
          <w:rFonts w:ascii="Times New Roman" w:hAnsi="Times New Roman" w:cs="Times New Roman"/>
          <w:color w:val="595959" w:themeColor="text1" w:themeTint="A6"/>
        </w:rPr>
        <w:t xml:space="preserve"> of the C</w:t>
      </w:r>
      <w:r w:rsidR="001779EF">
        <w:rPr>
          <w:rFonts w:ascii="Times New Roman" w:hAnsi="Times New Roman" w:cs="Times New Roman"/>
          <w:color w:val="595959" w:themeColor="text1" w:themeTint="A6"/>
        </w:rPr>
        <w:t>FO</w:t>
      </w:r>
      <w:r w:rsidR="001D7C85" w:rsidRPr="00517B1D">
        <w:rPr>
          <w:rFonts w:ascii="Times New Roman" w:hAnsi="Times New Roman" w:cs="Times New Roman"/>
          <w:color w:val="595959" w:themeColor="text1" w:themeTint="A6"/>
        </w:rPr>
        <w:t>, the Office of Investments manage</w:t>
      </w:r>
      <w:r w:rsidR="00F940B8" w:rsidRPr="00517B1D">
        <w:rPr>
          <w:rFonts w:ascii="Times New Roman" w:hAnsi="Times New Roman" w:cs="Times New Roman"/>
          <w:color w:val="595959" w:themeColor="text1" w:themeTint="A6"/>
        </w:rPr>
        <w:t>s</w:t>
      </w:r>
      <w:r w:rsidR="001D7C85" w:rsidRPr="00517B1D">
        <w:rPr>
          <w:rFonts w:ascii="Times New Roman" w:hAnsi="Times New Roman" w:cs="Times New Roman"/>
          <w:color w:val="595959" w:themeColor="text1" w:themeTint="A6"/>
        </w:rPr>
        <w:t xml:space="preserve"> the</w:t>
      </w:r>
      <w:r w:rsidR="00254DC5" w:rsidRPr="00517B1D">
        <w:rPr>
          <w:rFonts w:ascii="Times New Roman" w:hAnsi="Times New Roman" w:cs="Times New Roman"/>
          <w:color w:val="595959" w:themeColor="text1" w:themeTint="A6"/>
        </w:rPr>
        <w:t xml:space="preserve"> University</w:t>
      </w:r>
      <w:r w:rsidR="001D7C85" w:rsidRPr="00517B1D">
        <w:rPr>
          <w:rFonts w:ascii="Times New Roman" w:hAnsi="Times New Roman" w:cs="Times New Roman"/>
          <w:color w:val="595959" w:themeColor="text1" w:themeTint="A6"/>
        </w:rPr>
        <w:t xml:space="preserve"> System’s </w:t>
      </w:r>
      <w:r w:rsidR="00DA1613">
        <w:rPr>
          <w:rFonts w:ascii="Times New Roman" w:hAnsi="Times New Roman" w:cs="Times New Roman"/>
          <w:color w:val="595959" w:themeColor="text1" w:themeTint="A6"/>
        </w:rPr>
        <w:t>operating and e</w:t>
      </w:r>
      <w:r w:rsidR="00F940B8" w:rsidRPr="00517B1D">
        <w:rPr>
          <w:rFonts w:ascii="Times New Roman" w:hAnsi="Times New Roman" w:cs="Times New Roman"/>
          <w:color w:val="595959" w:themeColor="text1" w:themeTint="A6"/>
        </w:rPr>
        <w:t xml:space="preserve">ndowment </w:t>
      </w:r>
      <w:r w:rsidRPr="00517B1D">
        <w:rPr>
          <w:rFonts w:ascii="Times New Roman" w:hAnsi="Times New Roman" w:cs="Times New Roman"/>
          <w:color w:val="595959" w:themeColor="text1" w:themeTint="A6"/>
        </w:rPr>
        <w:t>assets</w:t>
      </w:r>
      <w:r w:rsidR="003D3062">
        <w:rPr>
          <w:rFonts w:ascii="Times New Roman" w:hAnsi="Times New Roman" w:cs="Times New Roman"/>
          <w:color w:val="595959" w:themeColor="text1" w:themeTint="A6"/>
        </w:rPr>
        <w:t xml:space="preserve">, </w:t>
      </w:r>
      <w:r w:rsidR="00254DC5" w:rsidRPr="00517B1D">
        <w:rPr>
          <w:rFonts w:ascii="Times New Roman" w:hAnsi="Times New Roman" w:cs="Times New Roman"/>
          <w:color w:val="595959" w:themeColor="text1" w:themeTint="A6"/>
        </w:rPr>
        <w:t>including farmland donated to the University.</w:t>
      </w:r>
      <w:r w:rsidR="00DA1613">
        <w:rPr>
          <w:rFonts w:ascii="Times New Roman" w:hAnsi="Times New Roman" w:cs="Times New Roman"/>
          <w:color w:val="595959" w:themeColor="text1" w:themeTint="A6"/>
        </w:rPr>
        <w:t xml:space="preserve"> Operating and e</w:t>
      </w:r>
      <w:r w:rsidR="001D7C85" w:rsidRPr="00517B1D">
        <w:rPr>
          <w:rFonts w:ascii="Times New Roman" w:hAnsi="Times New Roman" w:cs="Times New Roman"/>
          <w:color w:val="595959" w:themeColor="text1" w:themeTint="A6"/>
        </w:rPr>
        <w:t xml:space="preserve">ndowment assets are invested through </w:t>
      </w:r>
      <w:r w:rsidRPr="00517B1D">
        <w:rPr>
          <w:rFonts w:ascii="Times New Roman" w:hAnsi="Times New Roman" w:cs="Times New Roman"/>
          <w:color w:val="595959" w:themeColor="text1" w:themeTint="A6"/>
        </w:rPr>
        <w:t xml:space="preserve">carefully selected </w:t>
      </w:r>
      <w:r w:rsidR="001D7C85" w:rsidRPr="00517B1D">
        <w:rPr>
          <w:rFonts w:ascii="Times New Roman" w:hAnsi="Times New Roman" w:cs="Times New Roman"/>
          <w:color w:val="595959" w:themeColor="text1" w:themeTint="A6"/>
        </w:rPr>
        <w:t xml:space="preserve">external investment firms, while farmland is managed internally by </w:t>
      </w:r>
      <w:r w:rsidR="00F436FD" w:rsidRPr="00517B1D">
        <w:rPr>
          <w:rFonts w:ascii="Times New Roman" w:hAnsi="Times New Roman" w:cs="Times New Roman"/>
          <w:color w:val="595959" w:themeColor="text1" w:themeTint="A6"/>
        </w:rPr>
        <w:t>the</w:t>
      </w:r>
      <w:r w:rsidRPr="00517B1D">
        <w:rPr>
          <w:rFonts w:ascii="Times New Roman" w:hAnsi="Times New Roman" w:cs="Times New Roman"/>
          <w:color w:val="595959" w:themeColor="text1" w:themeTint="A6"/>
        </w:rPr>
        <w:t xml:space="preserve"> Agricultural Property</w:t>
      </w:r>
      <w:r w:rsidR="001D7C85" w:rsidRPr="00517B1D">
        <w:rPr>
          <w:rFonts w:ascii="Times New Roman" w:hAnsi="Times New Roman" w:cs="Times New Roman"/>
          <w:color w:val="595959" w:themeColor="text1" w:themeTint="A6"/>
        </w:rPr>
        <w:t xml:space="preserve"> Services department. </w:t>
      </w:r>
      <w:r w:rsidR="00F436FD" w:rsidRPr="00517B1D">
        <w:rPr>
          <w:rFonts w:ascii="Times New Roman" w:hAnsi="Times New Roman" w:cs="Times New Roman"/>
          <w:color w:val="595959" w:themeColor="text1" w:themeTint="A6"/>
        </w:rPr>
        <w:t xml:space="preserve"> </w:t>
      </w:r>
    </w:p>
    <w:p w14:paraId="0989E879" w14:textId="26EC4B2C" w:rsidR="00296296" w:rsidRPr="00BC3B47" w:rsidRDefault="008F0513" w:rsidP="00BC3B47">
      <w:pPr>
        <w:rPr>
          <w:rFonts w:ascii="Times New Roman" w:hAnsi="Times New Roman" w:cs="Times New Roman"/>
          <w:color w:val="595959" w:themeColor="text1" w:themeTint="A6"/>
        </w:rPr>
      </w:pPr>
      <w:r w:rsidRPr="00517B1D">
        <w:rPr>
          <w:rFonts w:ascii="Times New Roman" w:hAnsi="Times New Roman" w:cs="Times New Roman"/>
          <w:color w:val="595959" w:themeColor="text1" w:themeTint="A6"/>
        </w:rPr>
        <w:t xml:space="preserve">The </w:t>
      </w:r>
      <w:r w:rsidR="001D7C85" w:rsidRPr="00517B1D">
        <w:rPr>
          <w:rFonts w:ascii="Times New Roman" w:hAnsi="Times New Roman" w:cs="Times New Roman"/>
          <w:color w:val="595959" w:themeColor="text1" w:themeTint="A6"/>
        </w:rPr>
        <w:t xml:space="preserve">University </w:t>
      </w:r>
      <w:r w:rsidR="00A907B9">
        <w:rPr>
          <w:rFonts w:ascii="Times New Roman" w:hAnsi="Times New Roman" w:cs="Times New Roman"/>
          <w:color w:val="595959" w:themeColor="text1" w:themeTint="A6"/>
        </w:rPr>
        <w:t xml:space="preserve">of Illinois </w:t>
      </w:r>
      <w:r w:rsidR="00BC0956">
        <w:rPr>
          <w:rFonts w:ascii="Times New Roman" w:hAnsi="Times New Roman" w:cs="Times New Roman"/>
          <w:color w:val="595959" w:themeColor="text1" w:themeTint="A6"/>
        </w:rPr>
        <w:t>Board of Trustees (</w:t>
      </w:r>
      <w:r w:rsidR="00A907B9">
        <w:rPr>
          <w:rFonts w:ascii="Times New Roman" w:hAnsi="Times New Roman" w:cs="Times New Roman"/>
          <w:color w:val="595959" w:themeColor="text1" w:themeTint="A6"/>
        </w:rPr>
        <w:t>BOT</w:t>
      </w:r>
      <w:r w:rsidR="00BC0956">
        <w:rPr>
          <w:rFonts w:ascii="Times New Roman" w:hAnsi="Times New Roman" w:cs="Times New Roman"/>
          <w:color w:val="595959" w:themeColor="text1" w:themeTint="A6"/>
        </w:rPr>
        <w:t>)</w:t>
      </w:r>
      <w:r w:rsidRPr="00517B1D">
        <w:rPr>
          <w:rFonts w:ascii="Times New Roman" w:hAnsi="Times New Roman" w:cs="Times New Roman"/>
          <w:color w:val="595959" w:themeColor="text1" w:themeTint="A6"/>
        </w:rPr>
        <w:t xml:space="preserve"> </w:t>
      </w:r>
      <w:r w:rsidR="001D7C85" w:rsidRPr="00517B1D">
        <w:rPr>
          <w:rFonts w:ascii="Times New Roman" w:hAnsi="Times New Roman" w:cs="Times New Roman"/>
          <w:color w:val="595959" w:themeColor="text1" w:themeTint="A6"/>
        </w:rPr>
        <w:t xml:space="preserve">establishes policies for managing </w:t>
      </w:r>
      <w:r w:rsidR="00053230" w:rsidRPr="00517B1D">
        <w:rPr>
          <w:rFonts w:ascii="Times New Roman" w:hAnsi="Times New Roman" w:cs="Times New Roman"/>
          <w:color w:val="595959" w:themeColor="text1" w:themeTint="A6"/>
        </w:rPr>
        <w:t xml:space="preserve">University </w:t>
      </w:r>
      <w:r w:rsidR="001D7C85" w:rsidRPr="00517B1D">
        <w:rPr>
          <w:rFonts w:ascii="Times New Roman" w:hAnsi="Times New Roman" w:cs="Times New Roman"/>
          <w:color w:val="595959" w:themeColor="text1" w:themeTint="A6"/>
        </w:rPr>
        <w:t>asset pools. The Investment Policy sets forth a</w:t>
      </w:r>
      <w:r w:rsidR="00DA1613">
        <w:rPr>
          <w:rFonts w:ascii="Times New Roman" w:hAnsi="Times New Roman" w:cs="Times New Roman"/>
          <w:color w:val="595959" w:themeColor="text1" w:themeTint="A6"/>
        </w:rPr>
        <w:t>sset allocation ranges for the endowment and operating p</w:t>
      </w:r>
      <w:r w:rsidR="001D7C85" w:rsidRPr="00517B1D">
        <w:rPr>
          <w:rFonts w:ascii="Times New Roman" w:hAnsi="Times New Roman" w:cs="Times New Roman"/>
          <w:color w:val="595959" w:themeColor="text1" w:themeTint="A6"/>
        </w:rPr>
        <w:t xml:space="preserve">ools.  </w:t>
      </w:r>
      <w:r w:rsidRPr="00517B1D">
        <w:rPr>
          <w:rFonts w:ascii="Times New Roman" w:hAnsi="Times New Roman" w:cs="Times New Roman"/>
          <w:color w:val="595959" w:themeColor="text1" w:themeTint="A6"/>
        </w:rPr>
        <w:t>The Audit, Budget</w:t>
      </w:r>
      <w:r w:rsidR="000A48BC" w:rsidRPr="00517B1D">
        <w:rPr>
          <w:rFonts w:ascii="Times New Roman" w:hAnsi="Times New Roman" w:cs="Times New Roman"/>
          <w:color w:val="595959" w:themeColor="text1" w:themeTint="A6"/>
        </w:rPr>
        <w:t>,</w:t>
      </w:r>
      <w:r w:rsidRPr="00517B1D">
        <w:rPr>
          <w:rFonts w:ascii="Times New Roman" w:hAnsi="Times New Roman" w:cs="Times New Roman"/>
          <w:color w:val="595959" w:themeColor="text1" w:themeTint="A6"/>
        </w:rPr>
        <w:t xml:space="preserve"> Finance, and </w:t>
      </w:r>
      <w:r w:rsidR="00D25174" w:rsidRPr="00517B1D">
        <w:rPr>
          <w:rFonts w:ascii="Times New Roman" w:hAnsi="Times New Roman" w:cs="Times New Roman"/>
          <w:color w:val="595959" w:themeColor="text1" w:themeTint="A6"/>
        </w:rPr>
        <w:t xml:space="preserve">Facilities </w:t>
      </w:r>
      <w:r w:rsidR="001D7C85" w:rsidRPr="00517B1D">
        <w:rPr>
          <w:rFonts w:ascii="Times New Roman" w:hAnsi="Times New Roman" w:cs="Times New Roman"/>
          <w:color w:val="595959" w:themeColor="text1" w:themeTint="A6"/>
        </w:rPr>
        <w:t xml:space="preserve">(ABFF) </w:t>
      </w:r>
      <w:r w:rsidR="006521C8" w:rsidRPr="00517B1D">
        <w:rPr>
          <w:rFonts w:ascii="Times New Roman" w:hAnsi="Times New Roman" w:cs="Times New Roman"/>
          <w:color w:val="595959" w:themeColor="text1" w:themeTint="A6"/>
        </w:rPr>
        <w:t>Committee of the BOT</w:t>
      </w:r>
      <w:r w:rsidR="00D25174" w:rsidRPr="00517B1D">
        <w:rPr>
          <w:rFonts w:ascii="Times New Roman" w:hAnsi="Times New Roman" w:cs="Times New Roman"/>
          <w:color w:val="595959" w:themeColor="text1" w:themeTint="A6"/>
        </w:rPr>
        <w:t xml:space="preserve"> reviews asset allocation and performance and </w:t>
      </w:r>
      <w:r w:rsidR="00BF1AEA">
        <w:rPr>
          <w:rFonts w:ascii="Times New Roman" w:hAnsi="Times New Roman" w:cs="Times New Roman"/>
          <w:color w:val="595959" w:themeColor="text1" w:themeTint="A6"/>
        </w:rPr>
        <w:t>recommends investment policy to the BOT</w:t>
      </w:r>
      <w:r w:rsidR="00D25174" w:rsidRPr="00517B1D">
        <w:rPr>
          <w:rFonts w:ascii="Times New Roman" w:hAnsi="Times New Roman" w:cs="Times New Roman"/>
          <w:color w:val="595959" w:themeColor="text1" w:themeTint="A6"/>
        </w:rPr>
        <w:t xml:space="preserve">. The BOT has delegated </w:t>
      </w:r>
      <w:r w:rsidR="001D7C85" w:rsidRPr="00517B1D">
        <w:rPr>
          <w:rFonts w:ascii="Times New Roman" w:hAnsi="Times New Roman" w:cs="Times New Roman"/>
          <w:color w:val="595959" w:themeColor="text1" w:themeTint="A6"/>
        </w:rPr>
        <w:t>to th</w:t>
      </w:r>
      <w:r w:rsidR="002F3944" w:rsidRPr="00517B1D">
        <w:rPr>
          <w:rFonts w:ascii="Times New Roman" w:hAnsi="Times New Roman" w:cs="Times New Roman"/>
          <w:color w:val="595959" w:themeColor="text1" w:themeTint="A6"/>
        </w:rPr>
        <w:t>e C</w:t>
      </w:r>
      <w:r w:rsidR="001779EF">
        <w:rPr>
          <w:rFonts w:ascii="Times New Roman" w:hAnsi="Times New Roman" w:cs="Times New Roman"/>
          <w:color w:val="595959" w:themeColor="text1" w:themeTint="A6"/>
        </w:rPr>
        <w:t>FO</w:t>
      </w:r>
      <w:r w:rsidR="002F3944" w:rsidRPr="00517B1D">
        <w:rPr>
          <w:rFonts w:ascii="Times New Roman" w:hAnsi="Times New Roman" w:cs="Times New Roman"/>
          <w:color w:val="595959" w:themeColor="text1" w:themeTint="A6"/>
        </w:rPr>
        <w:t xml:space="preserve"> </w:t>
      </w:r>
      <w:r w:rsidR="00053230" w:rsidRPr="00517B1D">
        <w:rPr>
          <w:rFonts w:ascii="Times New Roman" w:hAnsi="Times New Roman" w:cs="Times New Roman"/>
          <w:color w:val="595959" w:themeColor="text1" w:themeTint="A6"/>
        </w:rPr>
        <w:t xml:space="preserve">management of the University’s assets within the </w:t>
      </w:r>
      <w:r w:rsidR="00BC0956">
        <w:rPr>
          <w:rFonts w:ascii="Times New Roman" w:hAnsi="Times New Roman" w:cs="Times New Roman"/>
          <w:color w:val="595959" w:themeColor="text1" w:themeTint="A6"/>
        </w:rPr>
        <w:t>BOT-approved</w:t>
      </w:r>
      <w:r w:rsidR="00053230" w:rsidRPr="00517B1D">
        <w:rPr>
          <w:rFonts w:ascii="Times New Roman" w:hAnsi="Times New Roman" w:cs="Times New Roman"/>
          <w:color w:val="595959" w:themeColor="text1" w:themeTint="A6"/>
        </w:rPr>
        <w:t xml:space="preserve"> policies. The C</w:t>
      </w:r>
      <w:r w:rsidR="001779EF">
        <w:rPr>
          <w:rFonts w:ascii="Times New Roman" w:hAnsi="Times New Roman" w:cs="Times New Roman"/>
          <w:color w:val="595959" w:themeColor="text1" w:themeTint="A6"/>
        </w:rPr>
        <w:t>FO</w:t>
      </w:r>
      <w:r w:rsidR="00276187">
        <w:rPr>
          <w:rFonts w:ascii="Times New Roman" w:hAnsi="Times New Roman" w:cs="Times New Roman"/>
          <w:color w:val="595959" w:themeColor="text1" w:themeTint="A6"/>
        </w:rPr>
        <w:t xml:space="preserve"> has charged the </w:t>
      </w:r>
      <w:r w:rsidR="00053230" w:rsidRPr="00517B1D">
        <w:rPr>
          <w:rFonts w:ascii="Times New Roman" w:hAnsi="Times New Roman" w:cs="Times New Roman"/>
          <w:color w:val="595959" w:themeColor="text1" w:themeTint="A6"/>
        </w:rPr>
        <w:t xml:space="preserve">Investment Office with the </w:t>
      </w:r>
      <w:r w:rsidR="002F3944" w:rsidRPr="00517B1D">
        <w:rPr>
          <w:rFonts w:ascii="Times New Roman" w:hAnsi="Times New Roman" w:cs="Times New Roman"/>
          <w:color w:val="595959" w:themeColor="text1" w:themeTint="A6"/>
        </w:rPr>
        <w:t>day-to-</w:t>
      </w:r>
      <w:r w:rsidR="001D7C85" w:rsidRPr="00517B1D">
        <w:rPr>
          <w:rFonts w:ascii="Times New Roman" w:hAnsi="Times New Roman" w:cs="Times New Roman"/>
          <w:color w:val="595959" w:themeColor="text1" w:themeTint="A6"/>
        </w:rPr>
        <w:t xml:space="preserve">day </w:t>
      </w:r>
      <w:r w:rsidR="00DA1613">
        <w:rPr>
          <w:rFonts w:ascii="Times New Roman" w:hAnsi="Times New Roman" w:cs="Times New Roman"/>
          <w:color w:val="595959" w:themeColor="text1" w:themeTint="A6"/>
        </w:rPr>
        <w:t>management of the investment p</w:t>
      </w:r>
      <w:r w:rsidR="00053230" w:rsidRPr="00517B1D">
        <w:rPr>
          <w:rFonts w:ascii="Times New Roman" w:hAnsi="Times New Roman" w:cs="Times New Roman"/>
          <w:color w:val="595959" w:themeColor="text1" w:themeTint="A6"/>
        </w:rPr>
        <w:t>rogram</w:t>
      </w:r>
      <w:r w:rsidR="00296296" w:rsidRPr="00517B1D">
        <w:rPr>
          <w:rFonts w:ascii="Times New Roman" w:hAnsi="Times New Roman" w:cs="Times New Roman"/>
          <w:color w:val="595959" w:themeColor="text1" w:themeTint="A6"/>
        </w:rPr>
        <w:t xml:space="preserve">. </w:t>
      </w:r>
      <w:r w:rsidR="001D7C85" w:rsidRPr="00517B1D">
        <w:rPr>
          <w:rFonts w:ascii="Times New Roman" w:hAnsi="Times New Roman" w:cs="Times New Roman"/>
          <w:color w:val="595959" w:themeColor="text1" w:themeTint="A6"/>
        </w:rPr>
        <w:t xml:space="preserve"> It is important to note that the</w:t>
      </w:r>
      <w:r w:rsidR="00296296" w:rsidRPr="00517B1D">
        <w:rPr>
          <w:rFonts w:ascii="Times New Roman" w:hAnsi="Times New Roman" w:cs="Times New Roman"/>
          <w:color w:val="595959" w:themeColor="text1" w:themeTint="A6"/>
        </w:rPr>
        <w:t xml:space="preserve"> assets </w:t>
      </w:r>
      <w:r w:rsidR="00F940B8" w:rsidRPr="00517B1D">
        <w:rPr>
          <w:rFonts w:ascii="Times New Roman" w:hAnsi="Times New Roman" w:cs="Times New Roman"/>
          <w:color w:val="595959" w:themeColor="text1" w:themeTint="A6"/>
        </w:rPr>
        <w:t xml:space="preserve">managed by the </w:t>
      </w:r>
      <w:r w:rsidR="001D7C85" w:rsidRPr="00517B1D">
        <w:rPr>
          <w:rFonts w:ascii="Times New Roman" w:hAnsi="Times New Roman" w:cs="Times New Roman"/>
          <w:color w:val="595959" w:themeColor="text1" w:themeTint="A6"/>
        </w:rPr>
        <w:t xml:space="preserve">Office of Investments </w:t>
      </w:r>
      <w:r w:rsidR="00296296" w:rsidRPr="00517B1D">
        <w:rPr>
          <w:rFonts w:ascii="Times New Roman" w:hAnsi="Times New Roman" w:cs="Times New Roman"/>
          <w:color w:val="595959" w:themeColor="text1" w:themeTint="A6"/>
        </w:rPr>
        <w:t>are distinct</w:t>
      </w:r>
      <w:r w:rsidR="00296296" w:rsidRPr="00517B1D" w:rsidDel="00025E49">
        <w:rPr>
          <w:rFonts w:ascii="Times New Roman" w:hAnsi="Times New Roman" w:cs="Times New Roman"/>
          <w:color w:val="595959" w:themeColor="text1" w:themeTint="A6"/>
        </w:rPr>
        <w:t xml:space="preserve"> </w:t>
      </w:r>
      <w:r w:rsidR="00296296" w:rsidRPr="00517B1D">
        <w:rPr>
          <w:rFonts w:ascii="Times New Roman" w:hAnsi="Times New Roman" w:cs="Times New Roman"/>
          <w:color w:val="595959" w:themeColor="text1" w:themeTint="A6"/>
        </w:rPr>
        <w:t>from those managed by the University of Illinois Foundation</w:t>
      </w:r>
      <w:r w:rsidR="001D7C85" w:rsidRPr="00517B1D">
        <w:rPr>
          <w:rFonts w:ascii="Times New Roman" w:hAnsi="Times New Roman" w:cs="Times New Roman"/>
          <w:color w:val="595959" w:themeColor="text1" w:themeTint="A6"/>
        </w:rPr>
        <w:t xml:space="preserve"> (UIF)</w:t>
      </w:r>
      <w:r w:rsidR="00296296" w:rsidRPr="00517B1D">
        <w:rPr>
          <w:rFonts w:ascii="Times New Roman" w:hAnsi="Times New Roman" w:cs="Times New Roman"/>
          <w:color w:val="595959" w:themeColor="text1" w:themeTint="A6"/>
        </w:rPr>
        <w:t>.</w:t>
      </w:r>
      <w:r w:rsidR="0045240F">
        <w:rPr>
          <w:rFonts w:ascii="Times New Roman" w:hAnsi="Times New Roman" w:cs="Times New Roman"/>
          <w:color w:val="595959" w:themeColor="text1" w:themeTint="A6"/>
        </w:rPr>
        <w:t xml:space="preserve"> UIF is</w:t>
      </w:r>
      <w:r w:rsidR="001D7C85" w:rsidRPr="00517B1D">
        <w:rPr>
          <w:rFonts w:ascii="Times New Roman" w:hAnsi="Times New Roman" w:cs="Times New Roman"/>
          <w:color w:val="595959" w:themeColor="text1" w:themeTint="A6"/>
        </w:rPr>
        <w:t xml:space="preserve"> a </w:t>
      </w:r>
      <w:r w:rsidR="00BC0956">
        <w:rPr>
          <w:rFonts w:ascii="Times New Roman" w:hAnsi="Times New Roman" w:cs="Times New Roman"/>
          <w:color w:val="595959" w:themeColor="text1" w:themeTint="A6"/>
        </w:rPr>
        <w:t>university-related</w:t>
      </w:r>
      <w:r w:rsidR="001D7C85" w:rsidRPr="00517B1D">
        <w:rPr>
          <w:rFonts w:ascii="Times New Roman" w:hAnsi="Times New Roman" w:cs="Times New Roman"/>
          <w:color w:val="595959" w:themeColor="text1" w:themeTint="A6"/>
        </w:rPr>
        <w:t xml:space="preserve"> organization with an independent board</w:t>
      </w:r>
      <w:r w:rsidR="0045240F">
        <w:rPr>
          <w:rFonts w:ascii="Times New Roman" w:hAnsi="Times New Roman" w:cs="Times New Roman"/>
          <w:color w:val="595959" w:themeColor="text1" w:themeTint="A6"/>
        </w:rPr>
        <w:t>.</w:t>
      </w:r>
      <w:r w:rsidR="00296296" w:rsidRPr="00517B1D">
        <w:rPr>
          <w:rFonts w:ascii="Times New Roman" w:hAnsi="Times New Roman" w:cs="Times New Roman"/>
          <w:color w:val="595959" w:themeColor="text1" w:themeTint="A6"/>
        </w:rPr>
        <w:t xml:space="preserve"> </w:t>
      </w:r>
      <w:r w:rsidR="00CE2B33">
        <w:rPr>
          <w:rFonts w:ascii="Times New Roman" w:hAnsi="Times New Roman" w:cs="Times New Roman"/>
          <w:b/>
          <w:sz w:val="24"/>
          <w:szCs w:val="24"/>
        </w:rPr>
        <w:br w:type="page"/>
      </w:r>
      <w:r w:rsidR="0096064C">
        <w:rPr>
          <w:rFonts w:ascii="Times New Roman" w:hAnsi="Times New Roman" w:cs="Times New Roman"/>
          <w:b/>
          <w:sz w:val="32"/>
          <w:szCs w:val="32"/>
        </w:rPr>
        <w:lastRenderedPageBreak/>
        <w:t>Financial</w:t>
      </w:r>
      <w:r w:rsidR="00925665">
        <w:rPr>
          <w:rFonts w:ascii="Times New Roman" w:hAnsi="Times New Roman" w:cs="Times New Roman"/>
          <w:b/>
          <w:sz w:val="32"/>
          <w:szCs w:val="32"/>
        </w:rPr>
        <w:t xml:space="preserve"> Asset Overview</w:t>
      </w:r>
    </w:p>
    <w:p w14:paraId="513EB056" w14:textId="47FE5AF2" w:rsidR="00925665" w:rsidRPr="00925665" w:rsidRDefault="00925665" w:rsidP="00925665">
      <w:pPr>
        <w:keepNext/>
        <w:framePr w:dropCap="drop" w:lines="2" w:wrap="around" w:vAnchor="text" w:hAnchor="text"/>
        <w:spacing w:after="0" w:line="595" w:lineRule="exact"/>
        <w:textAlignment w:val="baseline"/>
        <w:rPr>
          <w:rFonts w:ascii="Times New Roman" w:hAnsi="Times New Roman" w:cs="Times New Roman"/>
          <w:position w:val="-5"/>
          <w:sz w:val="73"/>
          <w:szCs w:val="24"/>
        </w:rPr>
      </w:pPr>
      <w:r w:rsidRPr="00925665">
        <w:rPr>
          <w:rFonts w:ascii="Times New Roman" w:hAnsi="Times New Roman" w:cs="Times New Roman"/>
          <w:position w:val="-5"/>
          <w:sz w:val="73"/>
          <w:szCs w:val="24"/>
        </w:rPr>
        <w:t>T</w:t>
      </w:r>
    </w:p>
    <w:p w14:paraId="0AA80FE0" w14:textId="497B7C42" w:rsidR="003D18BC" w:rsidRPr="00917772" w:rsidRDefault="003D18BC">
      <w:pPr>
        <w:rPr>
          <w:rFonts w:ascii="Times New Roman" w:hAnsi="Times New Roman" w:cs="Times New Roman"/>
          <w:sz w:val="24"/>
          <w:szCs w:val="24"/>
        </w:rPr>
      </w:pPr>
      <w:proofErr w:type="gramStart"/>
      <w:r w:rsidRPr="00917772">
        <w:rPr>
          <w:rFonts w:ascii="Times New Roman" w:hAnsi="Times New Roman" w:cs="Times New Roman"/>
          <w:sz w:val="24"/>
          <w:szCs w:val="24"/>
        </w:rPr>
        <w:t>he</w:t>
      </w:r>
      <w:proofErr w:type="gramEnd"/>
      <w:r w:rsidRPr="00917772">
        <w:rPr>
          <w:rFonts w:ascii="Times New Roman" w:hAnsi="Times New Roman" w:cs="Times New Roman"/>
          <w:sz w:val="24"/>
          <w:szCs w:val="24"/>
        </w:rPr>
        <w:t xml:space="preserve"> Investment Office manages two </w:t>
      </w:r>
      <w:r w:rsidR="00D57636">
        <w:rPr>
          <w:rFonts w:ascii="Times New Roman" w:hAnsi="Times New Roman" w:cs="Times New Roman"/>
          <w:sz w:val="24"/>
          <w:szCs w:val="24"/>
        </w:rPr>
        <w:t>investment portfolios—the endowment pool and the operating pool.</w:t>
      </w:r>
      <w:r w:rsidR="002338DB" w:rsidRPr="00917772">
        <w:rPr>
          <w:rFonts w:ascii="Times New Roman" w:hAnsi="Times New Roman" w:cs="Times New Roman"/>
          <w:sz w:val="24"/>
          <w:szCs w:val="24"/>
        </w:rPr>
        <w:t xml:space="preserve"> </w:t>
      </w:r>
      <w:r w:rsidR="00FF64D0">
        <w:rPr>
          <w:rFonts w:ascii="Times New Roman" w:hAnsi="Times New Roman" w:cs="Times New Roman"/>
          <w:sz w:val="24"/>
          <w:szCs w:val="24"/>
        </w:rPr>
        <w:t>The permanent core</w:t>
      </w:r>
      <w:r w:rsidR="00FF64D0">
        <w:rPr>
          <w:rFonts w:ascii="Times New Roman" w:hAnsi="Times New Roman" w:cs="Times New Roman"/>
          <w:i/>
          <w:sz w:val="24"/>
          <w:szCs w:val="24"/>
        </w:rPr>
        <w:t xml:space="preserve"> </w:t>
      </w:r>
      <w:r w:rsidR="00FF64D0">
        <w:rPr>
          <w:rFonts w:ascii="Times New Roman" w:hAnsi="Times New Roman" w:cs="Times New Roman"/>
          <w:sz w:val="24"/>
          <w:szCs w:val="24"/>
        </w:rPr>
        <w:t xml:space="preserve">is an investment of operating pool funds </w:t>
      </w:r>
      <w:r w:rsidR="00D57636">
        <w:rPr>
          <w:rFonts w:ascii="Times New Roman" w:hAnsi="Times New Roman" w:cs="Times New Roman"/>
          <w:sz w:val="24"/>
          <w:szCs w:val="24"/>
        </w:rPr>
        <w:t xml:space="preserve">that, combined with the endowment funds, </w:t>
      </w:r>
      <w:r w:rsidR="00BC0956">
        <w:rPr>
          <w:rFonts w:ascii="Times New Roman" w:hAnsi="Times New Roman" w:cs="Times New Roman"/>
          <w:sz w:val="24"/>
          <w:szCs w:val="24"/>
        </w:rPr>
        <w:t xml:space="preserve">form </w:t>
      </w:r>
      <w:r w:rsidR="00FF64D0">
        <w:rPr>
          <w:rFonts w:ascii="Times New Roman" w:hAnsi="Times New Roman" w:cs="Times New Roman"/>
          <w:sz w:val="24"/>
          <w:szCs w:val="24"/>
        </w:rPr>
        <w:t>the e</w:t>
      </w:r>
      <w:r w:rsidR="00FF64D0" w:rsidRPr="00917772">
        <w:rPr>
          <w:rFonts w:ascii="Times New Roman" w:hAnsi="Times New Roman" w:cs="Times New Roman"/>
          <w:sz w:val="24"/>
          <w:szCs w:val="24"/>
        </w:rPr>
        <w:t>nd</w:t>
      </w:r>
      <w:r w:rsidR="00FF64D0">
        <w:rPr>
          <w:rFonts w:ascii="Times New Roman" w:hAnsi="Times New Roman" w:cs="Times New Roman"/>
          <w:sz w:val="24"/>
          <w:szCs w:val="24"/>
        </w:rPr>
        <w:t xml:space="preserve">owment pool. </w:t>
      </w:r>
      <w:r w:rsidR="00BF1AEA">
        <w:rPr>
          <w:rFonts w:ascii="Times New Roman" w:hAnsi="Times New Roman" w:cs="Times New Roman"/>
          <w:sz w:val="24"/>
          <w:szCs w:val="24"/>
        </w:rPr>
        <w:t>The Agricultural Property Services Office manages endowment farms</w:t>
      </w:r>
      <w:r w:rsidR="00D57636">
        <w:rPr>
          <w:rFonts w:ascii="Times New Roman" w:hAnsi="Times New Roman" w:cs="Times New Roman"/>
          <w:sz w:val="24"/>
          <w:szCs w:val="24"/>
        </w:rPr>
        <w:t xml:space="preserve">. </w:t>
      </w:r>
      <w:r w:rsidR="002338DB" w:rsidRPr="00917772">
        <w:rPr>
          <w:rFonts w:ascii="Times New Roman" w:hAnsi="Times New Roman" w:cs="Times New Roman"/>
          <w:sz w:val="24"/>
          <w:szCs w:val="24"/>
        </w:rPr>
        <w:t xml:space="preserve">The distribution of the </w:t>
      </w:r>
      <w:r w:rsidR="0025621B" w:rsidRPr="00917772">
        <w:rPr>
          <w:rFonts w:ascii="Times New Roman" w:hAnsi="Times New Roman" w:cs="Times New Roman"/>
          <w:sz w:val="24"/>
          <w:szCs w:val="24"/>
        </w:rPr>
        <w:t>collective</w:t>
      </w:r>
      <w:r w:rsidR="00F436FD" w:rsidRPr="00917772">
        <w:rPr>
          <w:rFonts w:ascii="Times New Roman" w:hAnsi="Times New Roman" w:cs="Times New Roman"/>
          <w:sz w:val="24"/>
          <w:szCs w:val="24"/>
        </w:rPr>
        <w:t xml:space="preserve"> pools</w:t>
      </w:r>
      <w:r w:rsidR="002338DB" w:rsidRPr="00917772">
        <w:rPr>
          <w:rFonts w:ascii="Times New Roman" w:hAnsi="Times New Roman" w:cs="Times New Roman"/>
          <w:sz w:val="24"/>
          <w:szCs w:val="24"/>
        </w:rPr>
        <w:t xml:space="preserve"> is displayed in Figure 1. </w:t>
      </w:r>
    </w:p>
    <w:p w14:paraId="4A163860" w14:textId="46EBA2F1" w:rsidR="0023756E" w:rsidRDefault="009F39D2" w:rsidP="00D816CE">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1F1F0683" wp14:editId="55563DD1">
                <wp:simplePos x="0" y="0"/>
                <wp:positionH relativeFrom="column">
                  <wp:posOffset>624552</wp:posOffset>
                </wp:positionH>
                <wp:positionV relativeFrom="paragraph">
                  <wp:posOffset>233345</wp:posOffset>
                </wp:positionV>
                <wp:extent cx="5437398" cy="2639683"/>
                <wp:effectExtent l="0" t="0" r="11430" b="27940"/>
                <wp:wrapNone/>
                <wp:docPr id="22" name="Rectangle 22" descr="System Financial Assets of 4.57 billion in pie chart showing percentages  operating pool is 75%, endowment farms is 3% endowment funds is 10% and permanent core is 12%.  These last two are marked as endowment pool"/>
                <wp:cNvGraphicFramePr/>
                <a:graphic xmlns:a="http://schemas.openxmlformats.org/drawingml/2006/main">
                  <a:graphicData uri="http://schemas.microsoft.com/office/word/2010/wordprocessingShape">
                    <wps:wsp>
                      <wps:cNvSpPr/>
                      <wps:spPr>
                        <a:xfrm>
                          <a:off x="0" y="0"/>
                          <a:ext cx="5437398" cy="2639683"/>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82128" id="Rectangle 22" o:spid="_x0000_s1026" alt="System Financial Assets of 4.57 billion in pie chart showing percentages  operating pool is 75%, endowment farms is 3% endowment funds is 10% and permanent core is 12%.  These last two are marked as endowment pool" style="position:absolute;margin-left:49.2pt;margin-top:18.35pt;width:428.15pt;height:207.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" filled="f" strokecolor="#d8d8d8 [2732]" strokeweight="1pt"/>
            </w:pict>
          </mc:Fallback>
        </mc:AlternateContent>
      </w:r>
      <w:r w:rsidR="00D816CE">
        <w:rPr>
          <w:rFonts w:ascii="Times New Roman" w:hAnsi="Times New Roman" w:cs="Times New Roman"/>
          <w:b/>
          <w:sz w:val="24"/>
          <w:szCs w:val="24"/>
        </w:rPr>
        <w:t xml:space="preserve">               </w:t>
      </w:r>
      <w:r w:rsidR="00D775A8">
        <w:rPr>
          <w:rFonts w:ascii="Times New Roman" w:hAnsi="Times New Roman" w:cs="Times New Roman"/>
          <w:b/>
          <w:sz w:val="24"/>
          <w:szCs w:val="24"/>
        </w:rPr>
        <w:t xml:space="preserve"> </w:t>
      </w:r>
      <w:r w:rsidR="00E84D90" w:rsidRPr="00D663EA">
        <w:rPr>
          <w:rFonts w:ascii="Times New Roman" w:hAnsi="Times New Roman" w:cs="Times New Roman"/>
          <w:b/>
          <w:sz w:val="24"/>
          <w:szCs w:val="24"/>
        </w:rPr>
        <w:t>Figure 1</w:t>
      </w:r>
      <w:r w:rsidR="002A7CF6" w:rsidRPr="00003676">
        <w:rPr>
          <w:rFonts w:ascii="Times New Roman" w:hAnsi="Times New Roman" w:cs="Times New Roman"/>
          <w:b/>
          <w:sz w:val="24"/>
          <w:szCs w:val="24"/>
        </w:rPr>
        <w:t xml:space="preserve"> </w:t>
      </w:r>
    </w:p>
    <w:p w14:paraId="6494685C" w14:textId="15FE0E91" w:rsidR="00C97E2C" w:rsidRDefault="003741D2" w:rsidP="001F2C2D">
      <w:pPr>
        <w:ind w:left="1440" w:firstLine="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C6942A5" wp14:editId="4DE4C56E">
                <wp:simplePos x="0" y="0"/>
                <wp:positionH relativeFrom="column">
                  <wp:posOffset>2051685</wp:posOffset>
                </wp:positionH>
                <wp:positionV relativeFrom="paragraph">
                  <wp:posOffset>878840</wp:posOffset>
                </wp:positionV>
                <wp:extent cx="161925" cy="781685"/>
                <wp:effectExtent l="0" t="0" r="28575" b="18415"/>
                <wp:wrapNone/>
                <wp:docPr id="1122260234" name="Left Bracke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925" cy="78168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97AE6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 o:spid="_x0000_s1026" type="#_x0000_t85" alt="&quot;&quot;" style="position:absolute;margin-left:161.55pt;margin-top:69.2pt;width:12.75pt;height:61.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" adj="373" strokecolor="black [3200]" strokeweight=".5pt">
                <v:stroke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3BA632D8" wp14:editId="5C76E11B">
                <wp:simplePos x="0" y="0"/>
                <wp:positionH relativeFrom="column">
                  <wp:posOffset>1746250</wp:posOffset>
                </wp:positionH>
                <wp:positionV relativeFrom="paragraph">
                  <wp:posOffset>1250315</wp:posOffset>
                </wp:positionV>
                <wp:extent cx="305435" cy="0"/>
                <wp:effectExtent l="0" t="0" r="0" b="0"/>
                <wp:wrapNone/>
                <wp:docPr id="31341094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5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80DE49" id="Straight Connector 2" o:spid="_x0000_s1026" alt="&quot;&quot;"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7.5pt,98.45pt" to="161.5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BYmQEAAIcDAAAOAAAAZHJzL2Uyb0RvYy54bWysU9uO0zAQfUfiHyy/06S7LEJ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" strokecolor="black [3200]" strokeweight=".5pt">
                <v:stroke joinstyle="miter"/>
              </v:line>
            </w:pict>
          </mc:Fallback>
        </mc:AlternateContent>
      </w:r>
      <w:r w:rsidR="009F39D2">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5AC3F11" wp14:editId="34FCFF08">
                <wp:simplePos x="0" y="0"/>
                <wp:positionH relativeFrom="column">
                  <wp:posOffset>736132</wp:posOffset>
                </wp:positionH>
                <wp:positionV relativeFrom="paragraph">
                  <wp:posOffset>1123315</wp:posOffset>
                </wp:positionV>
                <wp:extent cx="1009290" cy="379562"/>
                <wp:effectExtent l="0" t="0" r="635" b="1905"/>
                <wp:wrapNone/>
                <wp:docPr id="21" name="Text Box 21"/>
                <wp:cNvGraphicFramePr/>
                <a:graphic xmlns:a="http://schemas.openxmlformats.org/drawingml/2006/main">
                  <a:graphicData uri="http://schemas.microsoft.com/office/word/2010/wordprocessingShape">
                    <wps:wsp>
                      <wps:cNvSpPr txBox="1"/>
                      <wps:spPr>
                        <a:xfrm>
                          <a:off x="0" y="0"/>
                          <a:ext cx="1009290" cy="379562"/>
                        </a:xfrm>
                        <a:prstGeom prst="rect">
                          <a:avLst/>
                        </a:prstGeom>
                        <a:solidFill>
                          <a:schemeClr val="lt1"/>
                        </a:solidFill>
                        <a:ln w="6350">
                          <a:noFill/>
                        </a:ln>
                      </wps:spPr>
                      <wps:txbx>
                        <w:txbxContent>
                          <w:p w14:paraId="4D1EBB6F" w14:textId="5FF52A64" w:rsidR="009F39D2" w:rsidRPr="009F39D2" w:rsidRDefault="009F39D2" w:rsidP="009F39D2">
                            <w:pPr>
                              <w:jc w:val="right"/>
                              <w:rPr>
                                <w:rFonts w:ascii="Times New Roman" w:hAnsi="Times New Roman" w:cs="Times New Roman"/>
                                <w:color w:val="404040" w:themeColor="text1" w:themeTint="BF"/>
                                <w:sz w:val="20"/>
                                <w:szCs w:val="20"/>
                              </w:rPr>
                            </w:pPr>
                            <w:r w:rsidRPr="009F39D2">
                              <w:rPr>
                                <w:rFonts w:ascii="Times New Roman" w:hAnsi="Times New Roman" w:cs="Times New Roman"/>
                                <w:color w:val="404040" w:themeColor="text1" w:themeTint="BF"/>
                                <w:sz w:val="20"/>
                                <w:szCs w:val="20"/>
                              </w:rPr>
                              <w:t>Endowment Pool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AC3F11" id="_x0000_t202" coordsize="21600,21600" o:spt="202" path="m,l,21600r21600,l21600,xe">
                <v:stroke joinstyle="miter"/>
                <v:path gradientshapeok="t" o:connecttype="rect"/>
              </v:shapetype>
              <v:shape id="Text Box 21" o:spid="_x0000_s1026" type="#_x0000_t202" style="position:absolute;left:0;text-align:left;margin-left:57.95pt;margin-top:88.45pt;width:79.45pt;height:29.9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OIKwIAAFQEAAAOAAAAZHJzL2Uyb0RvYy54bWysVEuP2jAQvlfqf7B8LwkssCUirCgrqkpo&#10;dyW22rNxbBLJ8bi2IaG/vmMnPLrtqerFmfGMv3l9k/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" fillcolor="white [3201]" stroked="f" strokeweight=".5pt">
                <v:textbox>
                  <w:txbxContent>
                    <w:p w14:paraId="4D1EBB6F" w14:textId="5FF52A64" w:rsidR="009F39D2" w:rsidRPr="009F39D2" w:rsidRDefault="009F39D2" w:rsidP="009F39D2">
                      <w:pPr>
                        <w:jc w:val="right"/>
                        <w:rPr>
                          <w:rFonts w:ascii="Times New Roman" w:hAnsi="Times New Roman" w:cs="Times New Roman"/>
                          <w:color w:val="404040" w:themeColor="text1" w:themeTint="BF"/>
                          <w:sz w:val="20"/>
                          <w:szCs w:val="20"/>
                        </w:rPr>
                      </w:pPr>
                      <w:r w:rsidRPr="009F39D2">
                        <w:rPr>
                          <w:rFonts w:ascii="Times New Roman" w:hAnsi="Times New Roman" w:cs="Times New Roman"/>
                          <w:color w:val="404040" w:themeColor="text1" w:themeTint="BF"/>
                          <w:sz w:val="20"/>
                          <w:szCs w:val="20"/>
                        </w:rPr>
                        <w:t>Endowment Pool</w:t>
                      </w:r>
                    </w:p>
                  </w:txbxContent>
                </v:textbox>
              </v:shape>
            </w:pict>
          </mc:Fallback>
        </mc:AlternateContent>
      </w:r>
      <w:r w:rsidR="001F2C2D" w:rsidRPr="00197538">
        <w:rPr>
          <w:rFonts w:ascii="Times New Roman" w:hAnsi="Times New Roman" w:cs="Times New Roman"/>
          <w:noProof/>
          <w:sz w:val="24"/>
          <w:szCs w:val="24"/>
        </w:rPr>
        <w:drawing>
          <wp:inline distT="0" distB="0" distL="0" distR="0" wp14:anchorId="40F036A5" wp14:editId="1C24E152">
            <wp:extent cx="4083050" cy="2692400"/>
            <wp:effectExtent l="0" t="0" r="0" b="0"/>
            <wp:docPr id="7" name="Chart 7" descr="pie chart showing 4.57 billion system financial assets operating pool is 75%, permanent core is 12%, endowment funds is 10%, endowment farms is 3%">
              <a:extLst xmlns:a="http://schemas.openxmlformats.org/drawingml/2006/main">
                <a:ext uri="{FF2B5EF4-FFF2-40B4-BE49-F238E27FC236}">
                  <a16:creationId xmlns:a16="http://schemas.microsoft.com/office/drawing/2014/main" id="{62391816-29A4-D75C-6B2C-6DE2726A0A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066EE2" w14:textId="77777777" w:rsidR="0096064C" w:rsidRDefault="0096064C">
      <w:pPr>
        <w:rPr>
          <w:rFonts w:ascii="Times New Roman" w:hAnsi="Times New Roman" w:cs="Times New Roman"/>
          <w:sz w:val="24"/>
          <w:szCs w:val="24"/>
        </w:rPr>
      </w:pPr>
    </w:p>
    <w:p w14:paraId="48130CF5" w14:textId="77777777" w:rsidR="00151527" w:rsidRDefault="00151527">
      <w:pPr>
        <w:rPr>
          <w:rFonts w:ascii="Times New Roman" w:hAnsi="Times New Roman" w:cs="Times New Roman"/>
          <w:sz w:val="24"/>
          <w:szCs w:val="24"/>
        </w:rPr>
      </w:pPr>
    </w:p>
    <w:p w14:paraId="74E88EE9" w14:textId="77777777" w:rsidR="00151527" w:rsidRDefault="00151527">
      <w:pPr>
        <w:rPr>
          <w:rFonts w:ascii="Times New Roman" w:hAnsi="Times New Roman" w:cs="Times New Roman"/>
          <w:sz w:val="24"/>
          <w:szCs w:val="24"/>
        </w:rPr>
      </w:pPr>
    </w:p>
    <w:p w14:paraId="041569B9" w14:textId="77777777" w:rsidR="00151527" w:rsidRDefault="00151527">
      <w:pPr>
        <w:rPr>
          <w:rFonts w:ascii="Times New Roman" w:hAnsi="Times New Roman" w:cs="Times New Roman"/>
          <w:sz w:val="24"/>
          <w:szCs w:val="24"/>
        </w:rPr>
      </w:pPr>
    </w:p>
    <w:p w14:paraId="539753B8" w14:textId="77777777" w:rsidR="00151527" w:rsidRDefault="00151527">
      <w:pPr>
        <w:rPr>
          <w:rFonts w:ascii="Times New Roman" w:hAnsi="Times New Roman" w:cs="Times New Roman"/>
          <w:sz w:val="24"/>
          <w:szCs w:val="24"/>
        </w:rPr>
      </w:pPr>
    </w:p>
    <w:p w14:paraId="4145C31D" w14:textId="77777777" w:rsidR="00151527" w:rsidRDefault="00151527">
      <w:pPr>
        <w:rPr>
          <w:rFonts w:ascii="Times New Roman" w:hAnsi="Times New Roman" w:cs="Times New Roman"/>
          <w:sz w:val="24"/>
          <w:szCs w:val="24"/>
        </w:rPr>
      </w:pPr>
    </w:p>
    <w:p w14:paraId="3DF05D9D" w14:textId="77777777" w:rsidR="00151527" w:rsidRDefault="00151527">
      <w:pPr>
        <w:rPr>
          <w:rFonts w:ascii="Times New Roman" w:hAnsi="Times New Roman" w:cs="Times New Roman"/>
          <w:sz w:val="24"/>
          <w:szCs w:val="24"/>
        </w:rPr>
      </w:pPr>
    </w:p>
    <w:p w14:paraId="55CB1646" w14:textId="77777777" w:rsidR="00151527" w:rsidRDefault="00151527">
      <w:pPr>
        <w:rPr>
          <w:rFonts w:ascii="Times New Roman" w:hAnsi="Times New Roman" w:cs="Times New Roman"/>
          <w:sz w:val="24"/>
          <w:szCs w:val="24"/>
        </w:rPr>
      </w:pPr>
    </w:p>
    <w:p w14:paraId="1E0E96AC" w14:textId="77777777" w:rsidR="00151527" w:rsidRDefault="00151527">
      <w:pPr>
        <w:rPr>
          <w:rFonts w:ascii="Times New Roman" w:hAnsi="Times New Roman" w:cs="Times New Roman"/>
          <w:sz w:val="24"/>
          <w:szCs w:val="24"/>
        </w:rPr>
      </w:pPr>
    </w:p>
    <w:p w14:paraId="7A8C3969" w14:textId="77777777" w:rsidR="00151527" w:rsidRDefault="00151527">
      <w:pPr>
        <w:rPr>
          <w:rFonts w:ascii="Times New Roman" w:hAnsi="Times New Roman" w:cs="Times New Roman"/>
          <w:sz w:val="24"/>
          <w:szCs w:val="24"/>
        </w:rPr>
      </w:pPr>
    </w:p>
    <w:p w14:paraId="7B500FB7" w14:textId="77777777" w:rsidR="00151527" w:rsidRDefault="00151527">
      <w:pPr>
        <w:rPr>
          <w:rFonts w:ascii="Times New Roman" w:hAnsi="Times New Roman" w:cs="Times New Roman"/>
          <w:sz w:val="24"/>
          <w:szCs w:val="24"/>
        </w:rPr>
      </w:pPr>
    </w:p>
    <w:p w14:paraId="1887BA68" w14:textId="77777777" w:rsidR="00151527" w:rsidRDefault="00151527">
      <w:pPr>
        <w:rPr>
          <w:rFonts w:ascii="Times New Roman" w:hAnsi="Times New Roman" w:cs="Times New Roman"/>
          <w:sz w:val="24"/>
          <w:szCs w:val="24"/>
        </w:rPr>
      </w:pPr>
    </w:p>
    <w:p w14:paraId="03FCD212" w14:textId="2A06F350" w:rsidR="002867BA" w:rsidRPr="00917772" w:rsidRDefault="002867BA">
      <w:pPr>
        <w:rPr>
          <w:rFonts w:ascii="Times New Roman" w:hAnsi="Times New Roman" w:cs="Times New Roman"/>
          <w:sz w:val="24"/>
          <w:szCs w:val="24"/>
        </w:rPr>
      </w:pPr>
    </w:p>
    <w:p w14:paraId="691BB49C" w14:textId="77777777" w:rsidR="00925665" w:rsidRDefault="00925665">
      <w:pPr>
        <w:rPr>
          <w:rFonts w:ascii="Times New Roman" w:hAnsi="Times New Roman" w:cs="Times New Roman"/>
          <w:b/>
          <w:i/>
          <w:sz w:val="24"/>
          <w:szCs w:val="24"/>
        </w:rPr>
      </w:pPr>
      <w:r>
        <w:rPr>
          <w:rFonts w:ascii="Times New Roman" w:hAnsi="Times New Roman" w:cs="Times New Roman"/>
          <w:b/>
          <w:i/>
          <w:sz w:val="24"/>
          <w:szCs w:val="24"/>
        </w:rPr>
        <w:br w:type="page"/>
      </w:r>
    </w:p>
    <w:p w14:paraId="756DA604" w14:textId="4899994D" w:rsidR="002867BA" w:rsidRPr="00925665" w:rsidRDefault="002867BA" w:rsidP="00925665">
      <w:pPr>
        <w:jc w:val="center"/>
        <w:rPr>
          <w:rFonts w:ascii="Times New Roman" w:hAnsi="Times New Roman" w:cs="Times New Roman"/>
          <w:b/>
          <w:sz w:val="32"/>
          <w:szCs w:val="32"/>
        </w:rPr>
      </w:pPr>
      <w:r w:rsidRPr="00925665">
        <w:rPr>
          <w:rFonts w:ascii="Times New Roman" w:hAnsi="Times New Roman" w:cs="Times New Roman"/>
          <w:b/>
          <w:sz w:val="32"/>
          <w:szCs w:val="32"/>
        </w:rPr>
        <w:lastRenderedPageBreak/>
        <w:t>Endowment</w:t>
      </w:r>
      <w:r w:rsidR="00D57636">
        <w:rPr>
          <w:rFonts w:ascii="Times New Roman" w:hAnsi="Times New Roman" w:cs="Times New Roman"/>
          <w:b/>
          <w:sz w:val="32"/>
          <w:szCs w:val="32"/>
        </w:rPr>
        <w:t xml:space="preserve"> Pool</w:t>
      </w:r>
    </w:p>
    <w:p w14:paraId="333FDA9A" w14:textId="414E3D38" w:rsidR="00925665" w:rsidRPr="00925665" w:rsidRDefault="00925665" w:rsidP="00925665">
      <w:pPr>
        <w:keepNext/>
        <w:framePr w:dropCap="drop" w:lines="2" w:wrap="around" w:vAnchor="text" w:hAnchor="text"/>
        <w:spacing w:after="0" w:line="595" w:lineRule="exact"/>
        <w:textAlignment w:val="baseline"/>
        <w:rPr>
          <w:rFonts w:ascii="Times New Roman" w:hAnsi="Times New Roman" w:cs="Times New Roman"/>
          <w:position w:val="-5"/>
          <w:sz w:val="73"/>
          <w:szCs w:val="24"/>
        </w:rPr>
      </w:pPr>
      <w:r w:rsidRPr="00925665">
        <w:rPr>
          <w:rFonts w:ascii="Times New Roman" w:hAnsi="Times New Roman" w:cs="Times New Roman"/>
          <w:position w:val="-5"/>
          <w:sz w:val="73"/>
          <w:szCs w:val="24"/>
        </w:rPr>
        <w:t>T</w:t>
      </w:r>
    </w:p>
    <w:p w14:paraId="2C6AF30B" w14:textId="3BF2C421" w:rsidR="00861B0F" w:rsidRPr="00925665" w:rsidRDefault="00563D3D" w:rsidP="00925665">
      <w:pPr>
        <w:rPr>
          <w:rFonts w:ascii="Times New Roman" w:hAnsi="Times New Roman" w:cs="Times New Roman"/>
          <w:sz w:val="24"/>
          <w:szCs w:val="24"/>
        </w:rPr>
      </w:pPr>
      <w:r w:rsidRPr="00917772">
        <w:rPr>
          <w:rFonts w:ascii="Times New Roman" w:hAnsi="Times New Roman" w:cs="Times New Roman"/>
          <w:sz w:val="24"/>
          <w:szCs w:val="24"/>
        </w:rPr>
        <w:t xml:space="preserve">he </w:t>
      </w:r>
      <w:r w:rsidRPr="00917772">
        <w:rPr>
          <w:rFonts w:ascii="Times New Roman" w:hAnsi="Times New Roman" w:cs="Times New Roman"/>
          <w:i/>
          <w:sz w:val="24"/>
          <w:szCs w:val="24"/>
        </w:rPr>
        <w:t xml:space="preserve">Endowment </w:t>
      </w:r>
      <w:r w:rsidR="00D57636">
        <w:rPr>
          <w:rFonts w:ascii="Times New Roman" w:hAnsi="Times New Roman" w:cs="Times New Roman"/>
          <w:i/>
          <w:sz w:val="24"/>
          <w:szCs w:val="24"/>
        </w:rPr>
        <w:t>Pool</w:t>
      </w:r>
      <w:r w:rsidRPr="00917772">
        <w:rPr>
          <w:rFonts w:ascii="Times New Roman" w:hAnsi="Times New Roman" w:cs="Times New Roman"/>
          <w:i/>
          <w:sz w:val="24"/>
          <w:szCs w:val="24"/>
        </w:rPr>
        <w:t xml:space="preserve"> </w:t>
      </w:r>
      <w:r w:rsidR="003114AA" w:rsidRPr="00917772">
        <w:rPr>
          <w:rFonts w:ascii="Times New Roman" w:hAnsi="Times New Roman" w:cs="Times New Roman"/>
          <w:sz w:val="24"/>
          <w:szCs w:val="24"/>
        </w:rPr>
        <w:t xml:space="preserve">(market </w:t>
      </w:r>
      <w:r w:rsidR="003114AA" w:rsidRPr="00A40689">
        <w:rPr>
          <w:rFonts w:ascii="Times New Roman" w:hAnsi="Times New Roman" w:cs="Times New Roman"/>
          <w:sz w:val="24"/>
          <w:szCs w:val="24"/>
        </w:rPr>
        <w:t>value</w:t>
      </w:r>
      <w:r w:rsidR="00DD3F6E" w:rsidRPr="00A40689">
        <w:rPr>
          <w:rFonts w:ascii="Times New Roman" w:hAnsi="Times New Roman" w:cs="Times New Roman"/>
          <w:sz w:val="24"/>
          <w:szCs w:val="24"/>
        </w:rPr>
        <w:t xml:space="preserve"> </w:t>
      </w:r>
      <w:r w:rsidR="00BC0956">
        <w:rPr>
          <w:rFonts w:ascii="Times New Roman" w:hAnsi="Times New Roman" w:cs="Times New Roman"/>
          <w:sz w:val="24"/>
          <w:szCs w:val="24"/>
        </w:rPr>
        <w:t xml:space="preserve">of </w:t>
      </w:r>
      <w:r w:rsidR="003114AA" w:rsidRPr="00A40689">
        <w:rPr>
          <w:rFonts w:ascii="Times New Roman" w:hAnsi="Times New Roman" w:cs="Times New Roman"/>
          <w:sz w:val="24"/>
          <w:szCs w:val="24"/>
        </w:rPr>
        <w:t>$</w:t>
      </w:r>
      <w:r w:rsidR="001A391A">
        <w:rPr>
          <w:rFonts w:ascii="Times New Roman" w:hAnsi="Times New Roman" w:cs="Times New Roman"/>
          <w:sz w:val="24"/>
          <w:szCs w:val="24"/>
        </w:rPr>
        <w:t>1.03 b</w:t>
      </w:r>
      <w:r w:rsidR="00195648" w:rsidRPr="00044B67">
        <w:rPr>
          <w:rFonts w:ascii="Times New Roman" w:hAnsi="Times New Roman" w:cs="Times New Roman"/>
          <w:sz w:val="24"/>
          <w:szCs w:val="24"/>
        </w:rPr>
        <w:t>illion</w:t>
      </w:r>
      <w:r w:rsidR="003114AA" w:rsidRPr="002C48FC">
        <w:rPr>
          <w:rFonts w:ascii="Times New Roman" w:hAnsi="Times New Roman" w:cs="Times New Roman"/>
          <w:sz w:val="24"/>
          <w:szCs w:val="24"/>
        </w:rPr>
        <w:t>)</w:t>
      </w:r>
      <w:r w:rsidR="003114AA" w:rsidRPr="00917772">
        <w:rPr>
          <w:rFonts w:ascii="Times New Roman" w:hAnsi="Times New Roman" w:cs="Times New Roman"/>
          <w:sz w:val="24"/>
          <w:szCs w:val="24"/>
        </w:rPr>
        <w:t xml:space="preserve"> </w:t>
      </w:r>
      <w:r w:rsidR="00BE6010">
        <w:rPr>
          <w:rFonts w:ascii="Times New Roman" w:hAnsi="Times New Roman" w:cs="Times New Roman"/>
          <w:sz w:val="24"/>
          <w:szCs w:val="24"/>
        </w:rPr>
        <w:t>consist</w:t>
      </w:r>
      <w:r w:rsidR="00633081">
        <w:rPr>
          <w:rFonts w:ascii="Times New Roman" w:hAnsi="Times New Roman" w:cs="Times New Roman"/>
          <w:sz w:val="24"/>
          <w:szCs w:val="24"/>
        </w:rPr>
        <w:t>s</w:t>
      </w:r>
      <w:r w:rsidR="001F3283" w:rsidRPr="00917772">
        <w:rPr>
          <w:rFonts w:ascii="Times New Roman" w:hAnsi="Times New Roman" w:cs="Times New Roman"/>
          <w:sz w:val="24"/>
          <w:szCs w:val="24"/>
        </w:rPr>
        <w:t xml:space="preserve"> of two </w:t>
      </w:r>
      <w:r w:rsidR="00BF1AEA">
        <w:rPr>
          <w:rFonts w:ascii="Times New Roman" w:hAnsi="Times New Roman" w:cs="Times New Roman"/>
          <w:sz w:val="24"/>
          <w:szCs w:val="24"/>
        </w:rPr>
        <w:t>funding categories</w:t>
      </w:r>
      <w:r w:rsidR="00B16B0D" w:rsidRPr="00917772">
        <w:rPr>
          <w:rFonts w:ascii="Times New Roman" w:hAnsi="Times New Roman" w:cs="Times New Roman"/>
          <w:sz w:val="24"/>
          <w:szCs w:val="24"/>
        </w:rPr>
        <w:t xml:space="preserve">. </w:t>
      </w:r>
      <w:r w:rsidR="00B16B0D" w:rsidRPr="00C076CF">
        <w:rPr>
          <w:rFonts w:ascii="Times New Roman" w:hAnsi="Times New Roman" w:cs="Times New Roman"/>
          <w:sz w:val="24"/>
          <w:szCs w:val="24"/>
        </w:rPr>
        <w:t>The first source</w:t>
      </w:r>
      <w:r w:rsidR="00C23A83" w:rsidRPr="00C076CF">
        <w:rPr>
          <w:rFonts w:ascii="Times New Roman" w:hAnsi="Times New Roman" w:cs="Times New Roman"/>
          <w:sz w:val="24"/>
          <w:szCs w:val="24"/>
        </w:rPr>
        <w:t xml:space="preserve"> is </w:t>
      </w:r>
      <w:r w:rsidR="006C5331" w:rsidRPr="006C5331">
        <w:rPr>
          <w:rFonts w:ascii="Times New Roman" w:hAnsi="Times New Roman" w:cs="Times New Roman"/>
          <w:i/>
          <w:iCs/>
          <w:sz w:val="24"/>
          <w:szCs w:val="24"/>
        </w:rPr>
        <w:t>E</w:t>
      </w:r>
      <w:r w:rsidR="00B12FE2" w:rsidRPr="006C5331">
        <w:rPr>
          <w:rFonts w:ascii="Times New Roman" w:hAnsi="Times New Roman" w:cs="Times New Roman"/>
          <w:i/>
          <w:iCs/>
          <w:sz w:val="24"/>
          <w:szCs w:val="24"/>
        </w:rPr>
        <w:t xml:space="preserve">ndowment </w:t>
      </w:r>
      <w:r w:rsidR="006C5331" w:rsidRPr="006C5331">
        <w:rPr>
          <w:rFonts w:ascii="Times New Roman" w:hAnsi="Times New Roman" w:cs="Times New Roman"/>
          <w:i/>
          <w:iCs/>
          <w:sz w:val="24"/>
          <w:szCs w:val="24"/>
        </w:rPr>
        <w:t>F</w:t>
      </w:r>
      <w:r w:rsidR="00B12FE2" w:rsidRPr="006C5331">
        <w:rPr>
          <w:rFonts w:ascii="Times New Roman" w:hAnsi="Times New Roman" w:cs="Times New Roman"/>
          <w:i/>
          <w:iCs/>
          <w:sz w:val="24"/>
          <w:szCs w:val="24"/>
        </w:rPr>
        <w:t>unds</w:t>
      </w:r>
      <w:r w:rsidR="00B12FE2" w:rsidRPr="00C076CF">
        <w:rPr>
          <w:rFonts w:ascii="Times New Roman" w:hAnsi="Times New Roman" w:cs="Times New Roman"/>
          <w:sz w:val="24"/>
          <w:szCs w:val="24"/>
        </w:rPr>
        <w:t xml:space="preserve">, defined as </w:t>
      </w:r>
      <w:r w:rsidR="00BF1AEA">
        <w:rPr>
          <w:rFonts w:ascii="Times New Roman" w:hAnsi="Times New Roman" w:cs="Times New Roman"/>
          <w:sz w:val="24"/>
          <w:szCs w:val="24"/>
        </w:rPr>
        <w:t>the University System's financial assets</w:t>
      </w:r>
      <w:r w:rsidR="00C076CF" w:rsidRPr="00C076CF">
        <w:rPr>
          <w:rFonts w:ascii="Times New Roman" w:hAnsi="Times New Roman" w:cs="Times New Roman"/>
          <w:sz w:val="24"/>
          <w:szCs w:val="24"/>
        </w:rPr>
        <w:t xml:space="preserve"> deemed appropriate for long-term investment</w:t>
      </w:r>
      <w:r w:rsidR="00C23A83" w:rsidRPr="00C076CF">
        <w:rPr>
          <w:rFonts w:ascii="Times New Roman" w:hAnsi="Times New Roman" w:cs="Times New Roman"/>
          <w:sz w:val="24"/>
          <w:szCs w:val="24"/>
        </w:rPr>
        <w:t xml:space="preserve">. </w:t>
      </w:r>
      <w:r w:rsidR="00C076CF">
        <w:rPr>
          <w:rFonts w:ascii="Times New Roman" w:hAnsi="Times New Roman" w:cs="Times New Roman"/>
          <w:sz w:val="24"/>
          <w:szCs w:val="24"/>
        </w:rPr>
        <w:t xml:space="preserve">Endowment funds </w:t>
      </w:r>
      <w:r w:rsidR="00C076CF" w:rsidRPr="00D663EA">
        <w:rPr>
          <w:rFonts w:ascii="Times New Roman" w:hAnsi="Times New Roman" w:cs="Times New Roman"/>
          <w:sz w:val="24"/>
          <w:szCs w:val="24"/>
        </w:rPr>
        <w:t>comprise 4</w:t>
      </w:r>
      <w:r w:rsidR="00D663EA" w:rsidRPr="00D663EA">
        <w:rPr>
          <w:rFonts w:ascii="Times New Roman" w:hAnsi="Times New Roman" w:cs="Times New Roman"/>
          <w:sz w:val="24"/>
          <w:szCs w:val="24"/>
        </w:rPr>
        <w:t>6</w:t>
      </w:r>
      <w:r w:rsidR="00C076CF">
        <w:rPr>
          <w:rFonts w:ascii="Times New Roman" w:hAnsi="Times New Roman" w:cs="Times New Roman"/>
          <w:sz w:val="24"/>
          <w:szCs w:val="24"/>
        </w:rPr>
        <w:t xml:space="preserve">% of the endowment pool. </w:t>
      </w:r>
      <w:r w:rsidR="008E2796" w:rsidRPr="00C076CF">
        <w:rPr>
          <w:rFonts w:ascii="Times New Roman" w:hAnsi="Times New Roman" w:cs="Times New Roman"/>
          <w:sz w:val="24"/>
          <w:szCs w:val="24"/>
        </w:rPr>
        <w:t xml:space="preserve">The second </w:t>
      </w:r>
      <w:r w:rsidR="00DA1613" w:rsidRPr="00C076CF">
        <w:rPr>
          <w:rFonts w:ascii="Times New Roman" w:hAnsi="Times New Roman" w:cs="Times New Roman"/>
          <w:sz w:val="24"/>
          <w:szCs w:val="24"/>
        </w:rPr>
        <w:t>source of funding consists of operating p</w:t>
      </w:r>
      <w:r w:rsidR="008E2796" w:rsidRPr="00C076CF">
        <w:rPr>
          <w:rFonts w:ascii="Times New Roman" w:hAnsi="Times New Roman" w:cs="Times New Roman"/>
          <w:sz w:val="24"/>
          <w:szCs w:val="24"/>
        </w:rPr>
        <w:t xml:space="preserve">ool funds </w:t>
      </w:r>
      <w:r w:rsidR="00DA1613" w:rsidRPr="00C076CF">
        <w:rPr>
          <w:rFonts w:ascii="Times New Roman" w:hAnsi="Times New Roman" w:cs="Times New Roman"/>
          <w:sz w:val="24"/>
          <w:szCs w:val="24"/>
        </w:rPr>
        <w:t xml:space="preserve">managed as </w:t>
      </w:r>
      <w:r w:rsidR="00DA1613" w:rsidRPr="00633081">
        <w:rPr>
          <w:rFonts w:ascii="Times New Roman" w:hAnsi="Times New Roman" w:cs="Times New Roman"/>
          <w:sz w:val="24"/>
          <w:szCs w:val="24"/>
        </w:rPr>
        <w:t>part of the e</w:t>
      </w:r>
      <w:r w:rsidR="00D77366" w:rsidRPr="00633081">
        <w:rPr>
          <w:rFonts w:ascii="Times New Roman" w:hAnsi="Times New Roman" w:cs="Times New Roman"/>
          <w:sz w:val="24"/>
          <w:szCs w:val="24"/>
        </w:rPr>
        <w:t>nd</w:t>
      </w:r>
      <w:r w:rsidR="00DA1613" w:rsidRPr="00633081">
        <w:rPr>
          <w:rFonts w:ascii="Times New Roman" w:hAnsi="Times New Roman" w:cs="Times New Roman"/>
          <w:sz w:val="24"/>
          <w:szCs w:val="24"/>
        </w:rPr>
        <w:t>owment p</w:t>
      </w:r>
      <w:r w:rsidR="00BF5824" w:rsidRPr="00633081">
        <w:rPr>
          <w:rFonts w:ascii="Times New Roman" w:hAnsi="Times New Roman" w:cs="Times New Roman"/>
          <w:sz w:val="24"/>
          <w:szCs w:val="24"/>
        </w:rPr>
        <w:t>ool</w:t>
      </w:r>
      <w:r w:rsidR="000D4FA3" w:rsidRPr="00633081">
        <w:rPr>
          <w:rFonts w:ascii="Times New Roman" w:hAnsi="Times New Roman" w:cs="Times New Roman"/>
          <w:sz w:val="24"/>
          <w:szCs w:val="24"/>
        </w:rPr>
        <w:t xml:space="preserve">—the </w:t>
      </w:r>
      <w:r w:rsidR="000D4FA3" w:rsidRPr="00633081">
        <w:rPr>
          <w:rFonts w:ascii="Times New Roman" w:hAnsi="Times New Roman" w:cs="Times New Roman"/>
          <w:i/>
          <w:sz w:val="24"/>
          <w:szCs w:val="24"/>
        </w:rPr>
        <w:t>Permanent Core</w:t>
      </w:r>
      <w:r w:rsidR="00BF5824" w:rsidRPr="00633081">
        <w:rPr>
          <w:rFonts w:ascii="Times New Roman" w:hAnsi="Times New Roman" w:cs="Times New Roman"/>
          <w:sz w:val="24"/>
          <w:szCs w:val="24"/>
        </w:rPr>
        <w:t xml:space="preserve">. This </w:t>
      </w:r>
      <w:r w:rsidR="00BF5824" w:rsidRPr="00D663EA">
        <w:rPr>
          <w:rFonts w:ascii="Times New Roman" w:hAnsi="Times New Roman" w:cs="Times New Roman"/>
          <w:sz w:val="24"/>
          <w:szCs w:val="24"/>
        </w:rPr>
        <w:t xml:space="preserve">comprises </w:t>
      </w:r>
      <w:r w:rsidR="00C076CF" w:rsidRPr="00D663EA">
        <w:rPr>
          <w:rFonts w:ascii="Times New Roman" w:hAnsi="Times New Roman" w:cs="Times New Roman"/>
          <w:sz w:val="24"/>
          <w:szCs w:val="24"/>
        </w:rPr>
        <w:t>5</w:t>
      </w:r>
      <w:r w:rsidR="00D663EA" w:rsidRPr="00D663EA">
        <w:rPr>
          <w:rFonts w:ascii="Times New Roman" w:hAnsi="Times New Roman" w:cs="Times New Roman"/>
          <w:sz w:val="24"/>
          <w:szCs w:val="24"/>
        </w:rPr>
        <w:t>4</w:t>
      </w:r>
      <w:r w:rsidR="00525B92" w:rsidRPr="00D663EA">
        <w:rPr>
          <w:rFonts w:ascii="Times New Roman" w:hAnsi="Times New Roman" w:cs="Times New Roman"/>
          <w:sz w:val="24"/>
          <w:szCs w:val="24"/>
        </w:rPr>
        <w:t>% of</w:t>
      </w:r>
      <w:r w:rsidR="00DA1613" w:rsidRPr="00D663EA">
        <w:rPr>
          <w:rFonts w:ascii="Times New Roman" w:hAnsi="Times New Roman" w:cs="Times New Roman"/>
          <w:sz w:val="24"/>
          <w:szCs w:val="24"/>
        </w:rPr>
        <w:t xml:space="preserve"> the</w:t>
      </w:r>
      <w:r w:rsidR="00DA1613" w:rsidRPr="00633081">
        <w:rPr>
          <w:rFonts w:ascii="Times New Roman" w:hAnsi="Times New Roman" w:cs="Times New Roman"/>
          <w:sz w:val="24"/>
          <w:szCs w:val="24"/>
        </w:rPr>
        <w:t xml:space="preserve"> endowment </w:t>
      </w:r>
      <w:r w:rsidR="00633081" w:rsidRPr="00633081">
        <w:rPr>
          <w:rFonts w:ascii="Times New Roman" w:hAnsi="Times New Roman" w:cs="Times New Roman"/>
          <w:sz w:val="24"/>
          <w:szCs w:val="24"/>
        </w:rPr>
        <w:t>pool</w:t>
      </w:r>
      <w:r w:rsidR="00D77366" w:rsidRPr="00633081">
        <w:rPr>
          <w:rFonts w:ascii="Times New Roman" w:hAnsi="Times New Roman" w:cs="Times New Roman"/>
          <w:sz w:val="24"/>
          <w:szCs w:val="24"/>
        </w:rPr>
        <w:t xml:space="preserve">.  </w:t>
      </w:r>
      <w:r w:rsidR="006E7811">
        <w:rPr>
          <w:rFonts w:ascii="Times New Roman" w:hAnsi="Times New Roman" w:cs="Times New Roman"/>
          <w:sz w:val="24"/>
          <w:szCs w:val="24"/>
        </w:rPr>
        <w:t>The</w:t>
      </w:r>
      <w:r w:rsidR="00DE6D4C">
        <w:rPr>
          <w:rFonts w:ascii="Times New Roman" w:hAnsi="Times New Roman" w:cs="Times New Roman"/>
          <w:sz w:val="24"/>
          <w:szCs w:val="24"/>
        </w:rPr>
        <w:t xml:space="preserve"> </w:t>
      </w:r>
      <w:r w:rsidR="006E7811">
        <w:rPr>
          <w:rFonts w:ascii="Times New Roman" w:hAnsi="Times New Roman" w:cs="Times New Roman"/>
          <w:sz w:val="24"/>
          <w:szCs w:val="24"/>
        </w:rPr>
        <w:t>composition of the</w:t>
      </w:r>
      <w:r w:rsidR="00DE6D4C">
        <w:rPr>
          <w:rFonts w:ascii="Times New Roman" w:hAnsi="Times New Roman" w:cs="Times New Roman"/>
          <w:sz w:val="24"/>
          <w:szCs w:val="24"/>
        </w:rPr>
        <w:t xml:space="preserve"> funding </w:t>
      </w:r>
      <w:r w:rsidR="006E7811">
        <w:rPr>
          <w:rFonts w:ascii="Times New Roman" w:hAnsi="Times New Roman" w:cs="Times New Roman"/>
          <w:sz w:val="24"/>
          <w:szCs w:val="24"/>
        </w:rPr>
        <w:t>sources is</w:t>
      </w:r>
      <w:r w:rsidR="00DE6D4C">
        <w:rPr>
          <w:rFonts w:ascii="Times New Roman" w:hAnsi="Times New Roman" w:cs="Times New Roman"/>
          <w:sz w:val="24"/>
          <w:szCs w:val="24"/>
        </w:rPr>
        <w:t xml:space="preserve"> summarized in Figure 2. </w:t>
      </w:r>
    </w:p>
    <w:p w14:paraId="717F0141" w14:textId="1D84BBC8" w:rsidR="00E84D90" w:rsidRDefault="00E84D90" w:rsidP="00E1022B">
      <w:pPr>
        <w:ind w:left="720" w:firstLine="720"/>
        <w:rPr>
          <w:rFonts w:ascii="Times New Roman" w:hAnsi="Times New Roman" w:cs="Times New Roman"/>
          <w:b/>
          <w:sz w:val="24"/>
          <w:szCs w:val="24"/>
        </w:rPr>
      </w:pPr>
      <w:r w:rsidRPr="004A1959">
        <w:rPr>
          <w:rFonts w:ascii="Times New Roman" w:hAnsi="Times New Roman" w:cs="Times New Roman"/>
          <w:b/>
          <w:sz w:val="24"/>
          <w:szCs w:val="24"/>
        </w:rPr>
        <w:t>Figure 2</w:t>
      </w:r>
    </w:p>
    <w:p w14:paraId="430BA05C" w14:textId="49165C10" w:rsidR="00A40689" w:rsidRDefault="004A1959" w:rsidP="00E1022B">
      <w:pPr>
        <w:ind w:left="720" w:firstLine="720"/>
        <w:rPr>
          <w:rFonts w:ascii="Times New Roman" w:hAnsi="Times New Roman" w:cs="Times New Roman"/>
          <w:b/>
          <w:sz w:val="24"/>
          <w:szCs w:val="24"/>
        </w:rPr>
      </w:pPr>
      <w:r>
        <w:rPr>
          <w:noProof/>
        </w:rPr>
        <w:drawing>
          <wp:inline distT="0" distB="0" distL="0" distR="0" wp14:anchorId="79D6B491" wp14:editId="36F81441">
            <wp:extent cx="5000625" cy="2743200"/>
            <wp:effectExtent l="0" t="0" r="9525" b="0"/>
            <wp:docPr id="2017341234" name="Chart 1" descr="pie chart showing 1.03 billion of endowment pool sources of funding, 54% is permanent core, 46% is endowment funds.  Enowment funds shows further breakdown of gifts 25%, royalties 8%, self insurance reserves 7%, farm realted 3% and other 3%">
              <a:extLst xmlns:a="http://schemas.openxmlformats.org/drawingml/2006/main">
                <a:ext uri="{FF2B5EF4-FFF2-40B4-BE49-F238E27FC236}">
                  <a16:creationId xmlns:a16="http://schemas.microsoft.com/office/drawing/2014/main" id="{1C2CBFDB-0D5D-8952-BFE4-C29A7B8298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86724D" w14:textId="6B09B70D" w:rsidR="00917772" w:rsidRDefault="00917772" w:rsidP="00E1022B">
      <w:pPr>
        <w:jc w:val="center"/>
        <w:rPr>
          <w:rFonts w:ascii="Times New Roman" w:hAnsi="Times New Roman" w:cs="Times New Roman"/>
          <w:sz w:val="24"/>
          <w:szCs w:val="24"/>
        </w:rPr>
      </w:pPr>
    </w:p>
    <w:p w14:paraId="107A0348" w14:textId="77777777" w:rsidR="00785C28" w:rsidRDefault="00785C28">
      <w:pPr>
        <w:rPr>
          <w:rFonts w:ascii="Times New Roman" w:hAnsi="Times New Roman" w:cs="Times New Roman"/>
          <w:b/>
          <w:sz w:val="28"/>
          <w:szCs w:val="28"/>
        </w:rPr>
      </w:pPr>
      <w:r>
        <w:rPr>
          <w:rFonts w:ascii="Times New Roman" w:hAnsi="Times New Roman" w:cs="Times New Roman"/>
          <w:b/>
          <w:sz w:val="28"/>
          <w:szCs w:val="28"/>
        </w:rPr>
        <w:br w:type="page"/>
      </w:r>
    </w:p>
    <w:p w14:paraId="4DE564A5" w14:textId="4429BE65" w:rsidR="00657EB2" w:rsidRPr="00B84039" w:rsidRDefault="00657EB2" w:rsidP="00657EB2">
      <w:pPr>
        <w:rPr>
          <w:rFonts w:ascii="Times New Roman" w:hAnsi="Times New Roman" w:cs="Times New Roman"/>
          <w:b/>
          <w:sz w:val="28"/>
          <w:szCs w:val="28"/>
        </w:rPr>
      </w:pPr>
      <w:r w:rsidRPr="00B84039">
        <w:rPr>
          <w:rFonts w:ascii="Times New Roman" w:hAnsi="Times New Roman" w:cs="Times New Roman"/>
          <w:b/>
          <w:sz w:val="28"/>
          <w:szCs w:val="28"/>
        </w:rPr>
        <w:lastRenderedPageBreak/>
        <w:t>Asset Allocation</w:t>
      </w:r>
    </w:p>
    <w:p w14:paraId="7452F3FE" w14:textId="6B5B0778" w:rsidR="00657EB2" w:rsidRDefault="00657EB2" w:rsidP="00657EB2">
      <w:pPr>
        <w:rPr>
          <w:rFonts w:ascii="Times New Roman" w:hAnsi="Times New Roman" w:cs="Times New Roman"/>
          <w:sz w:val="24"/>
          <w:szCs w:val="24"/>
        </w:rPr>
      </w:pPr>
      <w:r>
        <w:rPr>
          <w:rFonts w:ascii="Times New Roman" w:hAnsi="Times New Roman" w:cs="Times New Roman"/>
          <w:sz w:val="24"/>
          <w:szCs w:val="24"/>
        </w:rPr>
        <w:t>T</w:t>
      </w:r>
      <w:r w:rsidRPr="00917772">
        <w:rPr>
          <w:rFonts w:ascii="Times New Roman" w:hAnsi="Times New Roman" w:cs="Times New Roman"/>
          <w:sz w:val="24"/>
          <w:szCs w:val="24"/>
        </w:rPr>
        <w:t xml:space="preserve">he </w:t>
      </w:r>
      <w:r w:rsidR="00DA1613">
        <w:rPr>
          <w:rFonts w:ascii="Times New Roman" w:hAnsi="Times New Roman" w:cs="Times New Roman"/>
          <w:sz w:val="24"/>
          <w:szCs w:val="24"/>
        </w:rPr>
        <w:t>endowment pool</w:t>
      </w:r>
      <w:r w:rsidRPr="00917772">
        <w:rPr>
          <w:rFonts w:ascii="Times New Roman" w:hAnsi="Times New Roman" w:cs="Times New Roman"/>
          <w:i/>
          <w:sz w:val="24"/>
          <w:szCs w:val="24"/>
        </w:rPr>
        <w:t xml:space="preserve"> </w:t>
      </w:r>
      <w:r w:rsidRPr="00917772">
        <w:rPr>
          <w:rFonts w:ascii="Times New Roman" w:hAnsi="Times New Roman" w:cs="Times New Roman"/>
          <w:sz w:val="24"/>
          <w:szCs w:val="24"/>
        </w:rPr>
        <w:t xml:space="preserve">is invested </w:t>
      </w:r>
      <w:r w:rsidR="00087735">
        <w:rPr>
          <w:rFonts w:ascii="Times New Roman" w:hAnsi="Times New Roman" w:cs="Times New Roman"/>
          <w:sz w:val="24"/>
          <w:szCs w:val="24"/>
        </w:rPr>
        <w:t>across</w:t>
      </w:r>
      <w:r w:rsidRPr="00917772">
        <w:rPr>
          <w:rFonts w:ascii="Times New Roman" w:hAnsi="Times New Roman" w:cs="Times New Roman"/>
          <w:sz w:val="24"/>
          <w:szCs w:val="24"/>
        </w:rPr>
        <w:t xml:space="preserve"> a variety of asset cla</w:t>
      </w:r>
      <w:r w:rsidR="00C16351">
        <w:rPr>
          <w:rFonts w:ascii="Times New Roman" w:hAnsi="Times New Roman" w:cs="Times New Roman"/>
          <w:sz w:val="24"/>
          <w:szCs w:val="24"/>
        </w:rPr>
        <w:t>sses in accordance with</w:t>
      </w:r>
      <w:r w:rsidR="00087735">
        <w:rPr>
          <w:rFonts w:ascii="Times New Roman" w:hAnsi="Times New Roman" w:cs="Times New Roman"/>
          <w:sz w:val="24"/>
          <w:szCs w:val="24"/>
        </w:rPr>
        <w:t xml:space="preserve"> </w:t>
      </w:r>
      <w:r w:rsidR="00C16351">
        <w:rPr>
          <w:rFonts w:ascii="Times New Roman" w:hAnsi="Times New Roman" w:cs="Times New Roman"/>
          <w:sz w:val="24"/>
          <w:szCs w:val="24"/>
        </w:rPr>
        <w:t>policy</w:t>
      </w:r>
      <w:r w:rsidRPr="00917772">
        <w:rPr>
          <w:rFonts w:ascii="Times New Roman" w:hAnsi="Times New Roman" w:cs="Times New Roman"/>
          <w:sz w:val="24"/>
          <w:szCs w:val="24"/>
        </w:rPr>
        <w:t xml:space="preserve"> </w:t>
      </w:r>
      <w:r w:rsidR="00C16351">
        <w:rPr>
          <w:rFonts w:ascii="Times New Roman" w:hAnsi="Times New Roman" w:cs="Times New Roman"/>
          <w:sz w:val="24"/>
          <w:szCs w:val="24"/>
        </w:rPr>
        <w:t>approved</w:t>
      </w:r>
      <w:r w:rsidRPr="00917772">
        <w:rPr>
          <w:rFonts w:ascii="Times New Roman" w:hAnsi="Times New Roman" w:cs="Times New Roman"/>
          <w:sz w:val="24"/>
          <w:szCs w:val="24"/>
        </w:rPr>
        <w:t xml:space="preserve"> by the BO</w:t>
      </w:r>
      <w:r w:rsidR="00DA1613">
        <w:rPr>
          <w:rFonts w:ascii="Times New Roman" w:hAnsi="Times New Roman" w:cs="Times New Roman"/>
          <w:sz w:val="24"/>
          <w:szCs w:val="24"/>
        </w:rPr>
        <w:t>T. The current distribution of endowment p</w:t>
      </w:r>
      <w:r w:rsidRPr="00917772">
        <w:rPr>
          <w:rFonts w:ascii="Times New Roman" w:hAnsi="Times New Roman" w:cs="Times New Roman"/>
          <w:sz w:val="24"/>
          <w:szCs w:val="24"/>
        </w:rPr>
        <w:t>oo</w:t>
      </w:r>
      <w:r w:rsidR="00EB4E4A">
        <w:rPr>
          <w:rFonts w:ascii="Times New Roman" w:hAnsi="Times New Roman" w:cs="Times New Roman"/>
          <w:sz w:val="24"/>
          <w:szCs w:val="24"/>
        </w:rPr>
        <w:t xml:space="preserve">l funds across </w:t>
      </w:r>
      <w:r w:rsidR="00DE6D4C">
        <w:rPr>
          <w:rFonts w:ascii="Times New Roman" w:hAnsi="Times New Roman" w:cs="Times New Roman"/>
          <w:sz w:val="24"/>
          <w:szCs w:val="24"/>
        </w:rPr>
        <w:t>primary and sub-</w:t>
      </w:r>
      <w:r w:rsidR="00EB4E4A">
        <w:rPr>
          <w:rFonts w:ascii="Times New Roman" w:hAnsi="Times New Roman" w:cs="Times New Roman"/>
          <w:sz w:val="24"/>
          <w:szCs w:val="24"/>
        </w:rPr>
        <w:t>asset classes is</w:t>
      </w:r>
      <w:r w:rsidRPr="00917772">
        <w:rPr>
          <w:rFonts w:ascii="Times New Roman" w:hAnsi="Times New Roman" w:cs="Times New Roman"/>
          <w:sz w:val="24"/>
          <w:szCs w:val="24"/>
        </w:rPr>
        <w:t xml:space="preserve"> shown in Figu</w:t>
      </w:r>
      <w:r w:rsidR="00C16351">
        <w:rPr>
          <w:rFonts w:ascii="Times New Roman" w:hAnsi="Times New Roman" w:cs="Times New Roman"/>
          <w:sz w:val="24"/>
          <w:szCs w:val="24"/>
        </w:rPr>
        <w:t>r</w:t>
      </w:r>
      <w:r w:rsidRPr="00917772">
        <w:rPr>
          <w:rFonts w:ascii="Times New Roman" w:hAnsi="Times New Roman" w:cs="Times New Roman"/>
          <w:sz w:val="24"/>
          <w:szCs w:val="24"/>
        </w:rPr>
        <w:t xml:space="preserve">e </w:t>
      </w:r>
      <w:r w:rsidR="00087735">
        <w:rPr>
          <w:rFonts w:ascii="Times New Roman" w:hAnsi="Times New Roman" w:cs="Times New Roman"/>
          <w:sz w:val="24"/>
          <w:szCs w:val="24"/>
        </w:rPr>
        <w:t>3</w:t>
      </w:r>
      <w:r w:rsidRPr="00917772">
        <w:rPr>
          <w:rFonts w:ascii="Times New Roman" w:hAnsi="Times New Roman" w:cs="Times New Roman"/>
          <w:sz w:val="24"/>
          <w:szCs w:val="24"/>
        </w:rPr>
        <w:t xml:space="preserve">. </w:t>
      </w:r>
      <w:r>
        <w:rPr>
          <w:rFonts w:ascii="Times New Roman" w:hAnsi="Times New Roman" w:cs="Times New Roman"/>
          <w:sz w:val="24"/>
          <w:szCs w:val="24"/>
        </w:rPr>
        <w:t xml:space="preserve">Figure </w:t>
      </w:r>
      <w:r w:rsidR="00087735">
        <w:rPr>
          <w:rFonts w:ascii="Times New Roman" w:hAnsi="Times New Roman" w:cs="Times New Roman"/>
          <w:sz w:val="24"/>
          <w:szCs w:val="24"/>
        </w:rPr>
        <w:t>4</w:t>
      </w:r>
      <w:r w:rsidRPr="00917772">
        <w:rPr>
          <w:rFonts w:ascii="Times New Roman" w:hAnsi="Times New Roman" w:cs="Times New Roman"/>
          <w:sz w:val="24"/>
          <w:szCs w:val="24"/>
        </w:rPr>
        <w:t xml:space="preserve"> compares the actual allocations to </w:t>
      </w:r>
      <w:r w:rsidR="00BF1AEA">
        <w:rPr>
          <w:rFonts w:ascii="Times New Roman" w:hAnsi="Times New Roman" w:cs="Times New Roman"/>
          <w:sz w:val="24"/>
          <w:szCs w:val="24"/>
        </w:rPr>
        <w:t>long-term</w:t>
      </w:r>
      <w:r w:rsidR="00F96C7B">
        <w:rPr>
          <w:rFonts w:ascii="Times New Roman" w:hAnsi="Times New Roman" w:cs="Times New Roman"/>
          <w:sz w:val="24"/>
          <w:szCs w:val="24"/>
        </w:rPr>
        <w:t xml:space="preserve"> </w:t>
      </w:r>
      <w:r w:rsidRPr="00917772">
        <w:rPr>
          <w:rFonts w:ascii="Times New Roman" w:hAnsi="Times New Roman" w:cs="Times New Roman"/>
          <w:sz w:val="24"/>
          <w:szCs w:val="24"/>
        </w:rPr>
        <w:t xml:space="preserve">policy ranges. </w:t>
      </w:r>
      <w:r w:rsidR="00A21063">
        <w:rPr>
          <w:rFonts w:ascii="Times New Roman" w:hAnsi="Times New Roman" w:cs="Times New Roman"/>
          <w:sz w:val="24"/>
          <w:szCs w:val="24"/>
        </w:rPr>
        <w:t xml:space="preserve">All asset classes remain </w:t>
      </w:r>
      <w:r w:rsidR="004838A8">
        <w:rPr>
          <w:rFonts w:ascii="Times New Roman" w:hAnsi="Times New Roman" w:cs="Times New Roman"/>
          <w:sz w:val="24"/>
          <w:szCs w:val="24"/>
        </w:rPr>
        <w:t>with</w:t>
      </w:r>
      <w:r w:rsidR="00A21063">
        <w:rPr>
          <w:rFonts w:ascii="Times New Roman" w:hAnsi="Times New Roman" w:cs="Times New Roman"/>
          <w:sz w:val="24"/>
          <w:szCs w:val="24"/>
        </w:rPr>
        <w:t>in policy ranges.</w:t>
      </w:r>
      <w:r w:rsidR="003741D2" w:rsidRPr="003741D2">
        <w:rPr>
          <w:noProof/>
        </w:rPr>
        <w:t xml:space="preserve"> </w:t>
      </w:r>
    </w:p>
    <w:p w14:paraId="2D674040" w14:textId="081C1775" w:rsidR="00657EB2" w:rsidRPr="004C2AC4" w:rsidRDefault="00536860" w:rsidP="00087735">
      <w:pPr>
        <w:ind w:firstLine="720"/>
        <w:rPr>
          <w:rFonts w:ascii="Times New Roman" w:hAnsi="Times New Roman" w:cs="Times New Roman"/>
          <w:b/>
          <w:sz w:val="24"/>
          <w:szCs w:val="24"/>
        </w:rPr>
      </w:pPr>
      <w:r>
        <w:rPr>
          <w:noProof/>
        </w:rPr>
        <mc:AlternateContent>
          <mc:Choice Requires="cx1">
            <w:drawing>
              <wp:anchor distT="0" distB="0" distL="114300" distR="114300" simplePos="0" relativeHeight="251684864" behindDoc="1" locked="0" layoutInCell="1" allowOverlap="1" wp14:anchorId="7938E25A" wp14:editId="21D5E7B6">
                <wp:simplePos x="0" y="0"/>
                <wp:positionH relativeFrom="column">
                  <wp:posOffset>784225</wp:posOffset>
                </wp:positionH>
                <wp:positionV relativeFrom="paragraph">
                  <wp:posOffset>257175</wp:posOffset>
                </wp:positionV>
                <wp:extent cx="4981575" cy="3235325"/>
                <wp:effectExtent l="0" t="0" r="9525" b="3175"/>
                <wp:wrapNone/>
                <wp:docPr id="1226608671" name="Chart 1" descr="pie chart showing endowment pool asset allocation of 103 billion.  cash 2%, us equity 24%, non-us equity 21% private equity  11%, global fixed income  21%, farmland 7%, real estae 6%, diversifying strategies 8% ">
                  <a:extLst xmlns:a="http://schemas.openxmlformats.org/drawingml/2006/main">
                    <a:ext uri="{FF2B5EF4-FFF2-40B4-BE49-F238E27FC236}">
                      <a16:creationId xmlns:a16="http://schemas.microsoft.com/office/drawing/2014/main" id="{00000000-0008-0000-0700-00000B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4864" behindDoc="1" locked="0" layoutInCell="1" allowOverlap="1" wp14:anchorId="7938E25A" wp14:editId="21D5E7B6">
                <wp:simplePos x="0" y="0"/>
                <wp:positionH relativeFrom="column">
                  <wp:posOffset>784225</wp:posOffset>
                </wp:positionH>
                <wp:positionV relativeFrom="paragraph">
                  <wp:posOffset>257175</wp:posOffset>
                </wp:positionV>
                <wp:extent cx="4981575" cy="3235325"/>
                <wp:effectExtent l="0" t="0" r="9525" b="3175"/>
                <wp:wrapNone/>
                <wp:docPr id="1226608671" name="Chart 1" descr="pie chart showing endowment pool asset allocation of 103 billion.  cash 2%, us equity 24%, non-us equity 21% private equity  11%, global fixed income  21%, farmland 7%, real estae 6%, diversifying strategies 8% ">
                  <a:extLst xmlns:a="http://schemas.openxmlformats.org/drawingml/2006/main">
                    <a:ext uri="{FF2B5EF4-FFF2-40B4-BE49-F238E27FC236}">
                      <a16:creationId xmlns:a16="http://schemas.microsoft.com/office/drawing/2014/main" id="{00000000-0008-0000-0700-00000B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26608671" name="Chart 1" descr="pie chart showing endowment pool asset allocation of 103 billion.  cash 2%, us equity 24%, non-us equity 21% private equity  11%, global fixed income  21%, farmland 7%, real estae 6%, diversifying strategies 8% ">
                          <a:extLst>
                            <a:ext uri="{FF2B5EF4-FFF2-40B4-BE49-F238E27FC236}">
                              <a16:creationId xmlns:a16="http://schemas.microsoft.com/office/drawing/2014/main" id="{00000000-0008-0000-0700-00000B000000}"/>
                            </a:ext>
                          </a:extLst>
                        </pic:cNvPr>
                        <pic:cNvPicPr>
                          <a:picLocks noGrp="1" noRot="1" noChangeAspect="1" noMove="1" noResize="1" noEditPoints="1" noAdjustHandles="1" noChangeArrowheads="1" noChangeShapeType="1"/>
                        </pic:cNvPicPr>
                      </pic:nvPicPr>
                      <pic:blipFill>
                        <a:blip r:embed="rId12"/>
                        <a:stretch>
                          <a:fillRect/>
                        </a:stretch>
                      </pic:blipFill>
                      <pic:spPr>
                        <a:xfrm>
                          <a:off x="0" y="0"/>
                          <a:ext cx="4981575" cy="323532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D816C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57EB2" w:rsidRPr="005F2DCF">
        <w:rPr>
          <w:rFonts w:ascii="Times New Roman" w:hAnsi="Times New Roman" w:cs="Times New Roman"/>
          <w:b/>
          <w:sz w:val="24"/>
          <w:szCs w:val="24"/>
        </w:rPr>
        <w:t xml:space="preserve">Figure </w:t>
      </w:r>
      <w:r w:rsidR="00087735" w:rsidRPr="005F2DCF">
        <w:rPr>
          <w:rFonts w:ascii="Times New Roman" w:hAnsi="Times New Roman" w:cs="Times New Roman"/>
          <w:b/>
          <w:sz w:val="24"/>
          <w:szCs w:val="24"/>
        </w:rPr>
        <w:t>3</w:t>
      </w:r>
    </w:p>
    <w:p w14:paraId="1A0E5745" w14:textId="3FAEF917" w:rsidR="008573B1" w:rsidRDefault="00536860" w:rsidP="003741D2">
      <w:pPr>
        <w:tabs>
          <w:tab w:val="left" w:pos="5100"/>
          <w:tab w:val="left" w:pos="5595"/>
        </w:tabs>
        <w:rPr>
          <w:rFonts w:ascii="Times New Roman" w:hAnsi="Times New Roman" w:cs="Times New Roman"/>
          <w:sz w:val="24"/>
          <w:szCs w:val="24"/>
        </w:rPr>
      </w:pPr>
      <w:r w:rsidRPr="000B5DC7">
        <w:rPr>
          <w:rFonts w:ascii="Times New Roman" w:hAnsi="Times New Roman" w:cs="Times New Roman"/>
          <w:noProof/>
          <w:sz w:val="24"/>
          <w:szCs w:val="24"/>
        </w:rPr>
        <mc:AlternateContent>
          <mc:Choice Requires="wps">
            <w:drawing>
              <wp:anchor distT="45720" distB="45720" distL="114300" distR="114300" simplePos="0" relativeHeight="251676672" behindDoc="0" locked="0" layoutInCell="1" allowOverlap="1" wp14:anchorId="48F50872" wp14:editId="27AFD027">
                <wp:simplePos x="0" y="0"/>
                <wp:positionH relativeFrom="column">
                  <wp:posOffset>3652520</wp:posOffset>
                </wp:positionH>
                <wp:positionV relativeFrom="page">
                  <wp:posOffset>2429510</wp:posOffset>
                </wp:positionV>
                <wp:extent cx="871855" cy="467360"/>
                <wp:effectExtent l="0" t="0" r="0" b="0"/>
                <wp:wrapThrough wrapText="bothSides">
                  <wp:wrapPolygon edited="0">
                    <wp:start x="1416" y="0"/>
                    <wp:lineTo x="1416" y="20250"/>
                    <wp:lineTo x="19822" y="20250"/>
                    <wp:lineTo x="19822" y="0"/>
                    <wp:lineTo x="141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467360"/>
                        </a:xfrm>
                        <a:prstGeom prst="rect">
                          <a:avLst/>
                        </a:prstGeom>
                        <a:noFill/>
                        <a:ln w="9525">
                          <a:noFill/>
                          <a:miter lim="800000"/>
                          <a:headEnd/>
                          <a:tailEnd/>
                        </a:ln>
                      </wps:spPr>
                      <wps:txbx>
                        <w:txbxContent>
                          <w:p w14:paraId="7A5CD507" w14:textId="29CC90BF" w:rsidR="0003477A" w:rsidRPr="000927B6" w:rsidRDefault="0003477A" w:rsidP="0003477A">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Cash</w:t>
                            </w:r>
                          </w:p>
                          <w:p w14:paraId="5665667A" w14:textId="16AEC61C" w:rsidR="0003477A" w:rsidRPr="000927B6" w:rsidRDefault="00766A64" w:rsidP="0003477A">
                            <w:pPr>
                              <w:jc w:val="center"/>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2</w:t>
                            </w:r>
                            <w:r w:rsidR="0003477A" w:rsidRPr="000927B6">
                              <w:rPr>
                                <w:rFonts w:ascii="Times New Roman" w:hAnsi="Times New Roman" w:cs="Times New Roman"/>
                                <w:color w:val="525252" w:themeColor="accent3"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50872" id="Text Box 2" o:spid="_x0000_s1027" type="#_x0000_t202" style="position:absolute;margin-left:287.6pt;margin-top:191.3pt;width:68.65pt;height:36.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" filled="f" stroked="f">
                <v:textbox>
                  <w:txbxContent>
                    <w:p w14:paraId="7A5CD507" w14:textId="29CC90BF" w:rsidR="0003477A" w:rsidRPr="000927B6" w:rsidRDefault="0003477A" w:rsidP="0003477A">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Cash</w:t>
                      </w:r>
                    </w:p>
                    <w:p w14:paraId="5665667A" w14:textId="16AEC61C" w:rsidR="0003477A" w:rsidRPr="000927B6" w:rsidRDefault="00766A64" w:rsidP="0003477A">
                      <w:pPr>
                        <w:jc w:val="center"/>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2</w:t>
                      </w:r>
                      <w:r w:rsidR="0003477A" w:rsidRPr="000927B6">
                        <w:rPr>
                          <w:rFonts w:ascii="Times New Roman" w:hAnsi="Times New Roman" w:cs="Times New Roman"/>
                          <w:color w:val="525252" w:themeColor="accent3" w:themeShade="80"/>
                          <w:sz w:val="20"/>
                          <w:szCs w:val="20"/>
                        </w:rPr>
                        <w:t>%</w:t>
                      </w:r>
                    </w:p>
                  </w:txbxContent>
                </v:textbox>
                <w10:wrap type="through" anchory="page"/>
              </v:shape>
            </w:pict>
          </mc:Fallback>
        </mc:AlternateContent>
      </w:r>
      <w:r w:rsidR="003741D2">
        <w:rPr>
          <w:rFonts w:ascii="Times New Roman" w:hAnsi="Times New Roman" w:cs="Times New Roman"/>
          <w:sz w:val="24"/>
          <w:szCs w:val="24"/>
        </w:rPr>
        <w:tab/>
      </w:r>
      <w:r w:rsidR="003741D2">
        <w:rPr>
          <w:rFonts w:ascii="Times New Roman" w:hAnsi="Times New Roman" w:cs="Times New Roman"/>
          <w:sz w:val="24"/>
          <w:szCs w:val="24"/>
        </w:rPr>
        <w:tab/>
      </w:r>
    </w:p>
    <w:p w14:paraId="4B3392AF" w14:textId="2BA6F919" w:rsidR="000B5DC7" w:rsidRDefault="00D816CE" w:rsidP="00657EB2">
      <w:pPr>
        <w:rPr>
          <w:rFonts w:ascii="Times New Roman" w:hAnsi="Times New Roman" w:cs="Times New Roman"/>
          <w:b/>
          <w:sz w:val="24"/>
          <w:szCs w:val="24"/>
        </w:rPr>
      </w:pPr>
      <w:r w:rsidRPr="000B5DC7">
        <w:rPr>
          <w:rFonts w:ascii="Times New Roman" w:hAnsi="Times New Roman" w:cs="Times New Roman"/>
          <w:noProof/>
          <w:sz w:val="24"/>
          <w:szCs w:val="24"/>
        </w:rPr>
        <mc:AlternateContent>
          <mc:Choice Requires="wps">
            <w:drawing>
              <wp:anchor distT="45720" distB="45720" distL="114300" distR="114300" simplePos="0" relativeHeight="251674624" behindDoc="0" locked="0" layoutInCell="1" allowOverlap="1" wp14:anchorId="7BB37B23" wp14:editId="0ABF3AEE">
                <wp:simplePos x="0" y="0"/>
                <wp:positionH relativeFrom="column">
                  <wp:posOffset>1339215</wp:posOffset>
                </wp:positionH>
                <wp:positionV relativeFrom="page">
                  <wp:posOffset>2540635</wp:posOffset>
                </wp:positionV>
                <wp:extent cx="1456055" cy="424815"/>
                <wp:effectExtent l="0" t="0" r="0" b="0"/>
                <wp:wrapThrough wrapText="bothSides">
                  <wp:wrapPolygon edited="0">
                    <wp:start x="848" y="0"/>
                    <wp:lineTo x="848" y="20341"/>
                    <wp:lineTo x="20630" y="20341"/>
                    <wp:lineTo x="20630" y="0"/>
                    <wp:lineTo x="848" y="0"/>
                  </wp:wrapPolygon>
                </wp:wrapThrough>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424815"/>
                        </a:xfrm>
                        <a:prstGeom prst="rect">
                          <a:avLst/>
                        </a:prstGeom>
                        <a:noFill/>
                        <a:ln w="9525">
                          <a:noFill/>
                          <a:miter lim="800000"/>
                          <a:headEnd/>
                          <a:tailEnd/>
                        </a:ln>
                      </wps:spPr>
                      <wps:txbx>
                        <w:txbxContent>
                          <w:p w14:paraId="63D8ECAB" w14:textId="7BAB5E9B" w:rsidR="0003477A" w:rsidRPr="000927B6" w:rsidRDefault="0003477A" w:rsidP="0003477A">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Diversifying Strategies</w:t>
                            </w:r>
                          </w:p>
                          <w:p w14:paraId="13FC5A14" w14:textId="77777777" w:rsidR="0003477A" w:rsidRPr="000927B6" w:rsidRDefault="0003477A" w:rsidP="0003477A">
                            <w:pPr>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37B23" id="_x0000_s1028" type="#_x0000_t202" style="position:absolute;margin-left:105.45pt;margin-top:200.05pt;width:114.65pt;height:33.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" filled="f" stroked="f">
                <v:textbox>
                  <w:txbxContent>
                    <w:p w14:paraId="63D8ECAB" w14:textId="7BAB5E9B" w:rsidR="0003477A" w:rsidRPr="000927B6" w:rsidRDefault="0003477A" w:rsidP="0003477A">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Diversifying Strategies</w:t>
                      </w:r>
                    </w:p>
                    <w:p w14:paraId="13FC5A14" w14:textId="77777777" w:rsidR="0003477A" w:rsidRPr="000927B6" w:rsidRDefault="0003477A" w:rsidP="0003477A">
                      <w:pPr>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8%</w:t>
                      </w:r>
                    </w:p>
                  </w:txbxContent>
                </v:textbox>
                <w10:wrap type="through" anchory="page"/>
              </v:shape>
            </w:pict>
          </mc:Fallback>
        </mc:AlternateContent>
      </w:r>
      <w:r w:rsidR="00657EB2">
        <w:rPr>
          <w:rFonts w:ascii="Times New Roman" w:hAnsi="Times New Roman" w:cs="Times New Roman"/>
          <w:b/>
          <w:sz w:val="24"/>
          <w:szCs w:val="24"/>
        </w:rPr>
        <w:t xml:space="preserve">                           </w:t>
      </w:r>
      <w:r w:rsidR="00EE5F9E">
        <w:rPr>
          <w:rFonts w:ascii="Times New Roman" w:hAnsi="Times New Roman" w:cs="Times New Roman"/>
          <w:b/>
          <w:sz w:val="24"/>
          <w:szCs w:val="24"/>
        </w:rPr>
        <w:t xml:space="preserve">   </w:t>
      </w:r>
    </w:p>
    <w:p w14:paraId="542E3D3C" w14:textId="4DA69BE2" w:rsidR="000B5DC7" w:rsidRDefault="00536860" w:rsidP="00657EB2">
      <w:pPr>
        <w:rPr>
          <w:rFonts w:ascii="Times New Roman" w:hAnsi="Times New Roman" w:cs="Times New Roman"/>
          <w:b/>
          <w:sz w:val="24"/>
          <w:szCs w:val="24"/>
        </w:rPr>
      </w:pPr>
      <w:r w:rsidRPr="000B5DC7">
        <w:rPr>
          <w:rFonts w:ascii="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14:anchorId="1A77B9FF" wp14:editId="0997812E">
                <wp:simplePos x="0" y="0"/>
                <wp:positionH relativeFrom="column">
                  <wp:posOffset>1292860</wp:posOffset>
                </wp:positionH>
                <wp:positionV relativeFrom="page">
                  <wp:posOffset>2900045</wp:posOffset>
                </wp:positionV>
                <wp:extent cx="1296670" cy="424815"/>
                <wp:effectExtent l="0" t="0" r="0" b="0"/>
                <wp:wrapThrough wrapText="bothSides">
                  <wp:wrapPolygon edited="0">
                    <wp:start x="952" y="0"/>
                    <wp:lineTo x="952" y="20341"/>
                    <wp:lineTo x="20627" y="20341"/>
                    <wp:lineTo x="20627" y="0"/>
                    <wp:lineTo x="952"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424815"/>
                        </a:xfrm>
                        <a:prstGeom prst="rect">
                          <a:avLst/>
                        </a:prstGeom>
                        <a:noFill/>
                        <a:ln w="9525">
                          <a:noFill/>
                          <a:miter lim="800000"/>
                          <a:headEnd/>
                          <a:tailEnd/>
                        </a:ln>
                      </wps:spPr>
                      <wps:txbx>
                        <w:txbxContent>
                          <w:p w14:paraId="35B3B796" w14:textId="0E63E36D" w:rsidR="0003477A" w:rsidRPr="000927B6" w:rsidRDefault="0003477A" w:rsidP="0003477A">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Real Estate</w:t>
                            </w:r>
                          </w:p>
                          <w:p w14:paraId="4A96D2ED" w14:textId="2FB37A2D" w:rsidR="0003477A" w:rsidRPr="000927B6" w:rsidRDefault="00766A64" w:rsidP="0003477A">
                            <w:pPr>
                              <w:jc w:val="center"/>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6</w:t>
                            </w:r>
                            <w:r w:rsidR="0003477A" w:rsidRPr="000927B6">
                              <w:rPr>
                                <w:rFonts w:ascii="Times New Roman" w:hAnsi="Times New Roman" w:cs="Times New Roman"/>
                                <w:color w:val="525252" w:themeColor="accent3"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7B9FF" id="_x0000_s1029" type="#_x0000_t202" style="position:absolute;margin-left:101.8pt;margin-top:228.35pt;width:102.1pt;height:33.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" filled="f" stroked="f">
                <v:textbox>
                  <w:txbxContent>
                    <w:p w14:paraId="35B3B796" w14:textId="0E63E36D" w:rsidR="0003477A" w:rsidRPr="000927B6" w:rsidRDefault="0003477A" w:rsidP="0003477A">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Real Estate</w:t>
                      </w:r>
                    </w:p>
                    <w:p w14:paraId="4A96D2ED" w14:textId="2FB37A2D" w:rsidR="0003477A" w:rsidRPr="000927B6" w:rsidRDefault="00766A64" w:rsidP="0003477A">
                      <w:pPr>
                        <w:jc w:val="center"/>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6</w:t>
                      </w:r>
                      <w:r w:rsidR="0003477A" w:rsidRPr="000927B6">
                        <w:rPr>
                          <w:rFonts w:ascii="Times New Roman" w:hAnsi="Times New Roman" w:cs="Times New Roman"/>
                          <w:color w:val="525252" w:themeColor="accent3" w:themeShade="80"/>
                          <w:sz w:val="20"/>
                          <w:szCs w:val="20"/>
                        </w:rPr>
                        <w:t>%</w:t>
                      </w:r>
                    </w:p>
                  </w:txbxContent>
                </v:textbox>
                <w10:wrap type="through" anchory="page"/>
              </v:shape>
            </w:pict>
          </mc:Fallback>
        </mc:AlternateContent>
      </w:r>
      <w:r w:rsidR="00D816CE" w:rsidRPr="000B5DC7">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7F00F897" wp14:editId="71C7E432">
                <wp:simplePos x="0" y="0"/>
                <wp:positionH relativeFrom="column">
                  <wp:posOffset>4168523</wp:posOffset>
                </wp:positionH>
                <wp:positionV relativeFrom="page">
                  <wp:posOffset>2818765</wp:posOffset>
                </wp:positionV>
                <wp:extent cx="871855" cy="467360"/>
                <wp:effectExtent l="0" t="0" r="0" b="0"/>
                <wp:wrapThrough wrapText="bothSides">
                  <wp:wrapPolygon edited="0">
                    <wp:start x="1416" y="0"/>
                    <wp:lineTo x="1416" y="20250"/>
                    <wp:lineTo x="19822" y="20250"/>
                    <wp:lineTo x="19822" y="0"/>
                    <wp:lineTo x="141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467360"/>
                        </a:xfrm>
                        <a:prstGeom prst="rect">
                          <a:avLst/>
                        </a:prstGeom>
                        <a:noFill/>
                        <a:ln w="9525">
                          <a:noFill/>
                          <a:miter lim="800000"/>
                          <a:headEnd/>
                          <a:tailEnd/>
                        </a:ln>
                      </wps:spPr>
                      <wps:txbx>
                        <w:txbxContent>
                          <w:p w14:paraId="1FDFBE78" w14:textId="4448757F" w:rsidR="000B5DC7" w:rsidRPr="000927B6" w:rsidRDefault="000B5DC7" w:rsidP="000B5DC7">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U.S. Equity</w:t>
                            </w:r>
                          </w:p>
                          <w:p w14:paraId="2AD05BA2" w14:textId="26C0C785" w:rsidR="000B5DC7" w:rsidRPr="000927B6" w:rsidRDefault="000B5DC7" w:rsidP="000B5DC7">
                            <w:pPr>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2</w:t>
                            </w:r>
                            <w:r w:rsidR="00766A64">
                              <w:rPr>
                                <w:rFonts w:ascii="Times New Roman" w:hAnsi="Times New Roman" w:cs="Times New Roman"/>
                                <w:color w:val="525252" w:themeColor="accent3" w:themeShade="80"/>
                                <w:sz w:val="20"/>
                                <w:szCs w:val="20"/>
                              </w:rPr>
                              <w:t>4</w:t>
                            </w:r>
                            <w:r w:rsidRPr="000927B6">
                              <w:rPr>
                                <w:rFonts w:ascii="Times New Roman" w:hAnsi="Times New Roman" w:cs="Times New Roman"/>
                                <w:color w:val="525252" w:themeColor="accent3"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0F897" id="_x0000_s1030" type="#_x0000_t202" style="position:absolute;margin-left:328.25pt;margin-top:221.95pt;width:68.65pt;height:36.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" filled="f" stroked="f">
                <v:textbox>
                  <w:txbxContent>
                    <w:p w14:paraId="1FDFBE78" w14:textId="4448757F" w:rsidR="000B5DC7" w:rsidRPr="000927B6" w:rsidRDefault="000B5DC7" w:rsidP="000B5DC7">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U.S. Equity</w:t>
                      </w:r>
                    </w:p>
                    <w:p w14:paraId="2AD05BA2" w14:textId="26C0C785" w:rsidR="000B5DC7" w:rsidRPr="000927B6" w:rsidRDefault="000B5DC7" w:rsidP="000B5DC7">
                      <w:pPr>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2</w:t>
                      </w:r>
                      <w:r w:rsidR="00766A64">
                        <w:rPr>
                          <w:rFonts w:ascii="Times New Roman" w:hAnsi="Times New Roman" w:cs="Times New Roman"/>
                          <w:color w:val="525252" w:themeColor="accent3" w:themeShade="80"/>
                          <w:sz w:val="20"/>
                          <w:szCs w:val="20"/>
                        </w:rPr>
                        <w:t>4</w:t>
                      </w:r>
                      <w:r w:rsidRPr="000927B6">
                        <w:rPr>
                          <w:rFonts w:ascii="Times New Roman" w:hAnsi="Times New Roman" w:cs="Times New Roman"/>
                          <w:color w:val="525252" w:themeColor="accent3" w:themeShade="80"/>
                          <w:sz w:val="20"/>
                          <w:szCs w:val="20"/>
                        </w:rPr>
                        <w:t>%</w:t>
                      </w:r>
                    </w:p>
                  </w:txbxContent>
                </v:textbox>
                <w10:wrap type="through" anchory="page"/>
              </v:shape>
            </w:pict>
          </mc:Fallback>
        </mc:AlternateContent>
      </w:r>
    </w:p>
    <w:p w14:paraId="70F300C0" w14:textId="3FE6C7BE" w:rsidR="000B5DC7" w:rsidRDefault="000B5DC7" w:rsidP="00657EB2">
      <w:pPr>
        <w:rPr>
          <w:rFonts w:ascii="Times New Roman" w:hAnsi="Times New Roman" w:cs="Times New Roman"/>
          <w:b/>
          <w:sz w:val="24"/>
          <w:szCs w:val="24"/>
        </w:rPr>
      </w:pPr>
    </w:p>
    <w:p w14:paraId="422A962E" w14:textId="24DFA0B5" w:rsidR="000B5DC7" w:rsidRDefault="00536860" w:rsidP="00657EB2">
      <w:pPr>
        <w:rPr>
          <w:rFonts w:ascii="Times New Roman" w:hAnsi="Times New Roman" w:cs="Times New Roman"/>
          <w:b/>
          <w:sz w:val="24"/>
          <w:szCs w:val="24"/>
        </w:rPr>
      </w:pPr>
      <w:r w:rsidRPr="000B5DC7">
        <w:rPr>
          <w:rFonts w:ascii="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74AE8CDA" wp14:editId="26CAD629">
                <wp:simplePos x="0" y="0"/>
                <wp:positionH relativeFrom="column">
                  <wp:posOffset>1058545</wp:posOffset>
                </wp:positionH>
                <wp:positionV relativeFrom="page">
                  <wp:posOffset>3444240</wp:posOffset>
                </wp:positionV>
                <wp:extent cx="1296670" cy="424815"/>
                <wp:effectExtent l="0" t="0" r="0" b="0"/>
                <wp:wrapThrough wrapText="bothSides">
                  <wp:wrapPolygon edited="0">
                    <wp:start x="952" y="0"/>
                    <wp:lineTo x="952" y="20341"/>
                    <wp:lineTo x="20627" y="20341"/>
                    <wp:lineTo x="20627" y="0"/>
                    <wp:lineTo x="952" y="0"/>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424815"/>
                        </a:xfrm>
                        <a:prstGeom prst="rect">
                          <a:avLst/>
                        </a:prstGeom>
                        <a:noFill/>
                        <a:ln w="9525">
                          <a:noFill/>
                          <a:miter lim="800000"/>
                          <a:headEnd/>
                          <a:tailEnd/>
                        </a:ln>
                      </wps:spPr>
                      <wps:txbx>
                        <w:txbxContent>
                          <w:p w14:paraId="4B6528C2" w14:textId="500B7D7A" w:rsidR="0003477A" w:rsidRPr="000927B6" w:rsidRDefault="0003477A" w:rsidP="0003477A">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Farmland</w:t>
                            </w:r>
                          </w:p>
                          <w:p w14:paraId="02D97FB5" w14:textId="53159840" w:rsidR="0003477A" w:rsidRPr="000927B6" w:rsidRDefault="00766A64" w:rsidP="0003477A">
                            <w:pPr>
                              <w:jc w:val="center"/>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7</w:t>
                            </w:r>
                            <w:r w:rsidR="0003477A" w:rsidRPr="000927B6">
                              <w:rPr>
                                <w:rFonts w:ascii="Times New Roman" w:hAnsi="Times New Roman" w:cs="Times New Roman"/>
                                <w:color w:val="525252" w:themeColor="accent3"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E8CDA" id="_x0000_s1031" type="#_x0000_t202" style="position:absolute;margin-left:83.35pt;margin-top:271.2pt;width:102.1pt;height:33.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" filled="f" stroked="f">
                <v:textbox>
                  <w:txbxContent>
                    <w:p w14:paraId="4B6528C2" w14:textId="500B7D7A" w:rsidR="0003477A" w:rsidRPr="000927B6" w:rsidRDefault="0003477A" w:rsidP="0003477A">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Farmland</w:t>
                      </w:r>
                    </w:p>
                    <w:p w14:paraId="02D97FB5" w14:textId="53159840" w:rsidR="0003477A" w:rsidRPr="000927B6" w:rsidRDefault="00766A64" w:rsidP="0003477A">
                      <w:pPr>
                        <w:jc w:val="center"/>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7</w:t>
                      </w:r>
                      <w:r w:rsidR="0003477A" w:rsidRPr="000927B6">
                        <w:rPr>
                          <w:rFonts w:ascii="Times New Roman" w:hAnsi="Times New Roman" w:cs="Times New Roman"/>
                          <w:color w:val="525252" w:themeColor="accent3" w:themeShade="80"/>
                          <w:sz w:val="20"/>
                          <w:szCs w:val="20"/>
                        </w:rPr>
                        <w:t>%</w:t>
                      </w:r>
                    </w:p>
                  </w:txbxContent>
                </v:textbox>
                <w10:wrap type="through" anchory="page"/>
              </v:shape>
            </w:pict>
          </mc:Fallback>
        </mc:AlternateContent>
      </w:r>
      <w:r w:rsidR="003741D2">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32628129" wp14:editId="44ED0F13">
                <wp:simplePos x="0" y="0"/>
                <wp:positionH relativeFrom="column">
                  <wp:posOffset>2443480</wp:posOffset>
                </wp:positionH>
                <wp:positionV relativeFrom="paragraph">
                  <wp:posOffset>82550</wp:posOffset>
                </wp:positionV>
                <wp:extent cx="541655" cy="400050"/>
                <wp:effectExtent l="0" t="0" r="0" b="0"/>
                <wp:wrapNone/>
                <wp:docPr id="1870760923" name="Text Box 3"/>
                <wp:cNvGraphicFramePr/>
                <a:graphic xmlns:a="http://schemas.openxmlformats.org/drawingml/2006/main">
                  <a:graphicData uri="http://schemas.microsoft.com/office/word/2010/wordprocessingShape">
                    <wps:wsp>
                      <wps:cNvSpPr txBox="1"/>
                      <wps:spPr>
                        <a:xfrm>
                          <a:off x="0" y="0"/>
                          <a:ext cx="541655" cy="400050"/>
                        </a:xfrm>
                        <a:prstGeom prst="rect">
                          <a:avLst/>
                        </a:prstGeom>
                        <a:noFill/>
                        <a:ln w="6350">
                          <a:noFill/>
                        </a:ln>
                      </wps:spPr>
                      <wps:txbx>
                        <w:txbxContent>
                          <w:p w14:paraId="6736AEB0" w14:textId="1675890E" w:rsidR="003741D2" w:rsidRPr="00766A64" w:rsidRDefault="003741D2">
                            <w:pPr>
                              <w:rPr>
                                <w:rFonts w:ascii="Times New Roman" w:hAnsi="Times New Roman" w:cs="Times New Roman"/>
                                <w:color w:val="FFFFFF" w:themeColor="background1"/>
                                <w:sz w:val="20"/>
                                <w:szCs w:val="20"/>
                              </w:rPr>
                            </w:pPr>
                            <w:r w:rsidRPr="00766A64">
                              <w:rPr>
                                <w:rFonts w:ascii="Times New Roman" w:hAnsi="Times New Roman" w:cs="Times New Roman"/>
                                <w:color w:val="FFFFFF" w:themeColor="background1"/>
                                <w:sz w:val="20"/>
                                <w:szCs w:val="20"/>
                              </w:rPr>
                              <w:t>Real Assets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28129" id="Text Box 3" o:spid="_x0000_s1032" type="#_x0000_t202" style="position:absolute;margin-left:192.4pt;margin-top:6.5pt;width:42.6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" filled="f" stroked="f" strokeweight=".5pt">
                <v:textbox>
                  <w:txbxContent>
                    <w:p w14:paraId="6736AEB0" w14:textId="1675890E" w:rsidR="003741D2" w:rsidRPr="00766A64" w:rsidRDefault="003741D2">
                      <w:pPr>
                        <w:rPr>
                          <w:rFonts w:ascii="Times New Roman" w:hAnsi="Times New Roman" w:cs="Times New Roman"/>
                          <w:color w:val="FFFFFF" w:themeColor="background1"/>
                          <w:sz w:val="20"/>
                          <w:szCs w:val="20"/>
                        </w:rPr>
                      </w:pPr>
                      <w:r w:rsidRPr="00766A64">
                        <w:rPr>
                          <w:rFonts w:ascii="Times New Roman" w:hAnsi="Times New Roman" w:cs="Times New Roman"/>
                          <w:color w:val="FFFFFF" w:themeColor="background1"/>
                          <w:sz w:val="20"/>
                          <w:szCs w:val="20"/>
                        </w:rPr>
                        <w:t>Real Assets</w:t>
                      </w:r>
                    </w:p>
                  </w:txbxContent>
                </v:textbox>
              </v:shape>
            </w:pict>
          </mc:Fallback>
        </mc:AlternateContent>
      </w:r>
    </w:p>
    <w:p w14:paraId="2B6DF8E4" w14:textId="40C3EEB5" w:rsidR="000B5DC7" w:rsidRDefault="00766A64" w:rsidP="00657EB2">
      <w:pP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159F927" wp14:editId="45ABE792">
                <wp:simplePos x="0" y="0"/>
                <wp:positionH relativeFrom="column">
                  <wp:posOffset>3688715</wp:posOffset>
                </wp:positionH>
                <wp:positionV relativeFrom="paragraph">
                  <wp:posOffset>113665</wp:posOffset>
                </wp:positionV>
                <wp:extent cx="541655" cy="400050"/>
                <wp:effectExtent l="0" t="0" r="0" b="0"/>
                <wp:wrapNone/>
                <wp:docPr id="448879156" name="Text Box 3"/>
                <wp:cNvGraphicFramePr/>
                <a:graphic xmlns:a="http://schemas.openxmlformats.org/drawingml/2006/main">
                  <a:graphicData uri="http://schemas.microsoft.com/office/word/2010/wordprocessingShape">
                    <wps:wsp>
                      <wps:cNvSpPr txBox="1"/>
                      <wps:spPr>
                        <a:xfrm>
                          <a:off x="0" y="0"/>
                          <a:ext cx="541655" cy="400050"/>
                        </a:xfrm>
                        <a:prstGeom prst="rect">
                          <a:avLst/>
                        </a:prstGeom>
                        <a:noFill/>
                        <a:ln w="6350">
                          <a:noFill/>
                        </a:ln>
                      </wps:spPr>
                      <wps:txbx>
                        <w:txbxContent>
                          <w:p w14:paraId="099D8756" w14:textId="5CDD1568" w:rsidR="00766A64" w:rsidRPr="00766A64" w:rsidRDefault="00766A64" w:rsidP="00766A64">
                            <w:pP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Global Equity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9F927" id="_x0000_s1033" type="#_x0000_t202" style="position:absolute;margin-left:290.45pt;margin-top:8.95pt;width:42.6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" filled="f" stroked="f" strokeweight=".5pt">
                <v:textbox>
                  <w:txbxContent>
                    <w:p w14:paraId="099D8756" w14:textId="5CDD1568" w:rsidR="00766A64" w:rsidRPr="00766A64" w:rsidRDefault="00766A64" w:rsidP="00766A64">
                      <w:pP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Global Equity</w:t>
                      </w:r>
                    </w:p>
                  </w:txbxContent>
                </v:textbox>
              </v:shape>
            </w:pict>
          </mc:Fallback>
        </mc:AlternateContent>
      </w:r>
    </w:p>
    <w:p w14:paraId="44DB7978" w14:textId="272DC962" w:rsidR="000B5DC7" w:rsidRDefault="000B5DC7" w:rsidP="00657EB2">
      <w:pPr>
        <w:rPr>
          <w:rFonts w:ascii="Times New Roman" w:hAnsi="Times New Roman" w:cs="Times New Roman"/>
          <w:b/>
          <w:sz w:val="24"/>
          <w:szCs w:val="24"/>
        </w:rPr>
      </w:pPr>
    </w:p>
    <w:p w14:paraId="6873578C" w14:textId="22936C80" w:rsidR="000B5DC7" w:rsidRDefault="00536860" w:rsidP="00657EB2">
      <w:pPr>
        <w:rPr>
          <w:rFonts w:ascii="Times New Roman" w:hAnsi="Times New Roman" w:cs="Times New Roman"/>
          <w:b/>
          <w:sz w:val="24"/>
          <w:szCs w:val="24"/>
        </w:rPr>
      </w:pPr>
      <w:r w:rsidRPr="000B5DC7">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19E815FC" wp14:editId="3717341F">
                <wp:simplePos x="0" y="0"/>
                <wp:positionH relativeFrom="column">
                  <wp:posOffset>4530090</wp:posOffset>
                </wp:positionH>
                <wp:positionV relativeFrom="page">
                  <wp:posOffset>4223385</wp:posOffset>
                </wp:positionV>
                <wp:extent cx="1105535" cy="424815"/>
                <wp:effectExtent l="0" t="0" r="0" b="0"/>
                <wp:wrapThrough wrapText="bothSides">
                  <wp:wrapPolygon edited="0">
                    <wp:start x="1117" y="0"/>
                    <wp:lineTo x="1117" y="20341"/>
                    <wp:lineTo x="20099" y="20341"/>
                    <wp:lineTo x="20099" y="0"/>
                    <wp:lineTo x="1117"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424815"/>
                        </a:xfrm>
                        <a:prstGeom prst="rect">
                          <a:avLst/>
                        </a:prstGeom>
                        <a:noFill/>
                        <a:ln w="9525">
                          <a:noFill/>
                          <a:miter lim="800000"/>
                          <a:headEnd/>
                          <a:tailEnd/>
                        </a:ln>
                      </wps:spPr>
                      <wps:txbx>
                        <w:txbxContent>
                          <w:p w14:paraId="6508B5F7" w14:textId="01ADF47B" w:rsidR="000B5DC7" w:rsidRPr="000927B6" w:rsidRDefault="000B5DC7" w:rsidP="000B5DC7">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Non-U.S. Equity</w:t>
                            </w:r>
                          </w:p>
                          <w:p w14:paraId="1A39C29D" w14:textId="0A5E4348" w:rsidR="000B5DC7" w:rsidRPr="000927B6" w:rsidRDefault="000B5DC7" w:rsidP="000B5DC7">
                            <w:pPr>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2</w:t>
                            </w:r>
                            <w:r w:rsidR="00766A64">
                              <w:rPr>
                                <w:rFonts w:ascii="Times New Roman" w:hAnsi="Times New Roman" w:cs="Times New Roman"/>
                                <w:color w:val="525252" w:themeColor="accent3" w:themeShade="80"/>
                                <w:sz w:val="20"/>
                                <w:szCs w:val="20"/>
                              </w:rPr>
                              <w:t>1</w:t>
                            </w:r>
                            <w:r w:rsidRPr="000927B6">
                              <w:rPr>
                                <w:rFonts w:ascii="Times New Roman" w:hAnsi="Times New Roman" w:cs="Times New Roman"/>
                                <w:color w:val="525252" w:themeColor="accent3"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815FC" id="_x0000_s1034" type="#_x0000_t202" style="position:absolute;margin-left:356.7pt;margin-top:332.55pt;width:87.05pt;height:33.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" filled="f" stroked="f">
                <v:textbox>
                  <w:txbxContent>
                    <w:p w14:paraId="6508B5F7" w14:textId="01ADF47B" w:rsidR="000B5DC7" w:rsidRPr="000927B6" w:rsidRDefault="000B5DC7" w:rsidP="000B5DC7">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Non-U.S. Equity</w:t>
                      </w:r>
                    </w:p>
                    <w:p w14:paraId="1A39C29D" w14:textId="0A5E4348" w:rsidR="000B5DC7" w:rsidRPr="000927B6" w:rsidRDefault="000B5DC7" w:rsidP="000B5DC7">
                      <w:pPr>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2</w:t>
                      </w:r>
                      <w:r w:rsidR="00766A64">
                        <w:rPr>
                          <w:rFonts w:ascii="Times New Roman" w:hAnsi="Times New Roman" w:cs="Times New Roman"/>
                          <w:color w:val="525252" w:themeColor="accent3" w:themeShade="80"/>
                          <w:sz w:val="20"/>
                          <w:szCs w:val="20"/>
                        </w:rPr>
                        <w:t>1</w:t>
                      </w:r>
                      <w:r w:rsidRPr="000927B6">
                        <w:rPr>
                          <w:rFonts w:ascii="Times New Roman" w:hAnsi="Times New Roman" w:cs="Times New Roman"/>
                          <w:color w:val="525252" w:themeColor="accent3" w:themeShade="80"/>
                          <w:sz w:val="20"/>
                          <w:szCs w:val="20"/>
                        </w:rPr>
                        <w:t>%</w:t>
                      </w:r>
                    </w:p>
                  </w:txbxContent>
                </v:textbox>
                <w10:wrap type="through" anchory="page"/>
              </v:shape>
            </w:pict>
          </mc:Fallback>
        </mc:AlternateContent>
      </w:r>
    </w:p>
    <w:p w14:paraId="104C2557" w14:textId="64585142" w:rsidR="000B5DC7" w:rsidRDefault="00D816CE" w:rsidP="00657EB2">
      <w:pPr>
        <w:rPr>
          <w:rFonts w:ascii="Times New Roman" w:hAnsi="Times New Roman" w:cs="Times New Roman"/>
          <w:b/>
          <w:sz w:val="24"/>
          <w:szCs w:val="24"/>
        </w:rPr>
      </w:pPr>
      <w:r w:rsidRPr="000B5DC7">
        <w:rPr>
          <w:rFonts w:ascii="Times New Roman" w:hAnsi="Times New Roman" w:cs="Times New Roman"/>
          <w:noProof/>
          <w:sz w:val="24"/>
          <w:szCs w:val="24"/>
        </w:rPr>
        <mc:AlternateContent>
          <mc:Choice Requires="wps">
            <w:drawing>
              <wp:anchor distT="45720" distB="45720" distL="114300" distR="114300" simplePos="0" relativeHeight="251668480" behindDoc="0" locked="0" layoutInCell="1" allowOverlap="1" wp14:anchorId="798A611D" wp14:editId="2B9CE705">
                <wp:simplePos x="0" y="0"/>
                <wp:positionH relativeFrom="column">
                  <wp:posOffset>923925</wp:posOffset>
                </wp:positionH>
                <wp:positionV relativeFrom="page">
                  <wp:posOffset>4559300</wp:posOffset>
                </wp:positionV>
                <wp:extent cx="1296670" cy="424815"/>
                <wp:effectExtent l="0" t="0" r="0" b="0"/>
                <wp:wrapThrough wrapText="bothSides">
                  <wp:wrapPolygon edited="0">
                    <wp:start x="952" y="0"/>
                    <wp:lineTo x="952" y="20341"/>
                    <wp:lineTo x="20627" y="20341"/>
                    <wp:lineTo x="20627" y="0"/>
                    <wp:lineTo x="952"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424815"/>
                        </a:xfrm>
                        <a:prstGeom prst="rect">
                          <a:avLst/>
                        </a:prstGeom>
                        <a:noFill/>
                        <a:ln w="9525">
                          <a:noFill/>
                          <a:miter lim="800000"/>
                          <a:headEnd/>
                          <a:tailEnd/>
                        </a:ln>
                      </wps:spPr>
                      <wps:txbx>
                        <w:txbxContent>
                          <w:p w14:paraId="2266EDAB" w14:textId="0CD14EAA" w:rsidR="000B5DC7" w:rsidRPr="000927B6" w:rsidRDefault="000B5DC7" w:rsidP="000B5DC7">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Global Fixed Income</w:t>
                            </w:r>
                          </w:p>
                          <w:p w14:paraId="61B883AC" w14:textId="5B82F087" w:rsidR="000B5DC7" w:rsidRPr="000927B6" w:rsidRDefault="000B5DC7" w:rsidP="000B5DC7">
                            <w:pPr>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2</w:t>
                            </w:r>
                            <w:r w:rsidR="00766A64">
                              <w:rPr>
                                <w:rFonts w:ascii="Times New Roman" w:hAnsi="Times New Roman" w:cs="Times New Roman"/>
                                <w:color w:val="525252" w:themeColor="accent3" w:themeShade="80"/>
                                <w:sz w:val="20"/>
                                <w:szCs w:val="20"/>
                              </w:rPr>
                              <w:t>1</w:t>
                            </w:r>
                            <w:r w:rsidRPr="000927B6">
                              <w:rPr>
                                <w:rFonts w:ascii="Times New Roman" w:hAnsi="Times New Roman" w:cs="Times New Roman"/>
                                <w:color w:val="525252" w:themeColor="accent3"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A611D" id="_x0000_s1035" type="#_x0000_t202" style="position:absolute;margin-left:72.75pt;margin-top:359pt;width:102.1pt;height:33.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" filled="f" stroked="f">
                <v:textbox>
                  <w:txbxContent>
                    <w:p w14:paraId="2266EDAB" w14:textId="0CD14EAA" w:rsidR="000B5DC7" w:rsidRPr="000927B6" w:rsidRDefault="000B5DC7" w:rsidP="000B5DC7">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Global Fixed Income</w:t>
                      </w:r>
                    </w:p>
                    <w:p w14:paraId="61B883AC" w14:textId="5B82F087" w:rsidR="000B5DC7" w:rsidRPr="000927B6" w:rsidRDefault="000B5DC7" w:rsidP="000B5DC7">
                      <w:pPr>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2</w:t>
                      </w:r>
                      <w:r w:rsidR="00766A64">
                        <w:rPr>
                          <w:rFonts w:ascii="Times New Roman" w:hAnsi="Times New Roman" w:cs="Times New Roman"/>
                          <w:color w:val="525252" w:themeColor="accent3" w:themeShade="80"/>
                          <w:sz w:val="20"/>
                          <w:szCs w:val="20"/>
                        </w:rPr>
                        <w:t>1</w:t>
                      </w:r>
                      <w:r w:rsidRPr="000927B6">
                        <w:rPr>
                          <w:rFonts w:ascii="Times New Roman" w:hAnsi="Times New Roman" w:cs="Times New Roman"/>
                          <w:color w:val="525252" w:themeColor="accent3" w:themeShade="80"/>
                          <w:sz w:val="20"/>
                          <w:szCs w:val="20"/>
                        </w:rPr>
                        <w:t>%</w:t>
                      </w:r>
                    </w:p>
                  </w:txbxContent>
                </v:textbox>
                <w10:wrap type="through" anchory="page"/>
              </v:shape>
            </w:pict>
          </mc:Fallback>
        </mc:AlternateContent>
      </w:r>
    </w:p>
    <w:p w14:paraId="620ABEE3" w14:textId="63DED7DF" w:rsidR="000B5DC7" w:rsidRDefault="00536860" w:rsidP="00657EB2">
      <w:pPr>
        <w:rPr>
          <w:rFonts w:ascii="Times New Roman" w:hAnsi="Times New Roman" w:cs="Times New Roman"/>
          <w:b/>
          <w:sz w:val="24"/>
          <w:szCs w:val="24"/>
        </w:rPr>
      </w:pPr>
      <w:r w:rsidRPr="000B5DC7">
        <w:rPr>
          <w:rFonts w:ascii="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7A1C330A" wp14:editId="52A99FBF">
                <wp:simplePos x="0" y="0"/>
                <wp:positionH relativeFrom="column">
                  <wp:posOffset>3757295</wp:posOffset>
                </wp:positionH>
                <wp:positionV relativeFrom="page">
                  <wp:posOffset>5024755</wp:posOffset>
                </wp:positionV>
                <wp:extent cx="1105535" cy="424815"/>
                <wp:effectExtent l="0" t="0" r="0" b="0"/>
                <wp:wrapThrough wrapText="bothSides">
                  <wp:wrapPolygon edited="0">
                    <wp:start x="1117" y="0"/>
                    <wp:lineTo x="1117" y="20341"/>
                    <wp:lineTo x="20099" y="20341"/>
                    <wp:lineTo x="20099" y="0"/>
                    <wp:lineTo x="1117"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424815"/>
                        </a:xfrm>
                        <a:prstGeom prst="rect">
                          <a:avLst/>
                        </a:prstGeom>
                        <a:noFill/>
                        <a:ln w="9525">
                          <a:noFill/>
                          <a:miter lim="800000"/>
                          <a:headEnd/>
                          <a:tailEnd/>
                        </a:ln>
                      </wps:spPr>
                      <wps:txbx>
                        <w:txbxContent>
                          <w:p w14:paraId="00BB28DA" w14:textId="471536D4" w:rsidR="000B5DC7" w:rsidRPr="000927B6" w:rsidRDefault="000B5DC7" w:rsidP="000B5DC7">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Private Equity</w:t>
                            </w:r>
                          </w:p>
                          <w:p w14:paraId="271AF62F" w14:textId="0BECD904" w:rsidR="000B5DC7" w:rsidRPr="000927B6" w:rsidRDefault="000B5DC7" w:rsidP="000B5DC7">
                            <w:pPr>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1</w:t>
                            </w:r>
                            <w:r w:rsidR="00766A64">
                              <w:rPr>
                                <w:rFonts w:ascii="Times New Roman" w:hAnsi="Times New Roman" w:cs="Times New Roman"/>
                                <w:color w:val="525252" w:themeColor="accent3" w:themeShade="80"/>
                                <w:sz w:val="20"/>
                                <w:szCs w:val="20"/>
                              </w:rPr>
                              <w:t>1</w:t>
                            </w:r>
                            <w:r w:rsidRPr="000927B6">
                              <w:rPr>
                                <w:rFonts w:ascii="Times New Roman" w:hAnsi="Times New Roman" w:cs="Times New Roman"/>
                                <w:color w:val="525252" w:themeColor="accent3"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C330A" id="_x0000_s1036" type="#_x0000_t202" style="position:absolute;margin-left:295.85pt;margin-top:395.65pt;width:87.05pt;height:33.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" filled="f" stroked="f">
                <v:textbox>
                  <w:txbxContent>
                    <w:p w14:paraId="00BB28DA" w14:textId="471536D4" w:rsidR="000B5DC7" w:rsidRPr="000927B6" w:rsidRDefault="000B5DC7" w:rsidP="000B5DC7">
                      <w:pPr>
                        <w:spacing w:after="0"/>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Private Equity</w:t>
                      </w:r>
                    </w:p>
                    <w:p w14:paraId="271AF62F" w14:textId="0BECD904" w:rsidR="000B5DC7" w:rsidRPr="000927B6" w:rsidRDefault="000B5DC7" w:rsidP="000B5DC7">
                      <w:pPr>
                        <w:jc w:val="center"/>
                        <w:rPr>
                          <w:rFonts w:ascii="Times New Roman" w:hAnsi="Times New Roman" w:cs="Times New Roman"/>
                          <w:color w:val="525252" w:themeColor="accent3" w:themeShade="80"/>
                          <w:sz w:val="20"/>
                          <w:szCs w:val="20"/>
                        </w:rPr>
                      </w:pPr>
                      <w:r w:rsidRPr="000927B6">
                        <w:rPr>
                          <w:rFonts w:ascii="Times New Roman" w:hAnsi="Times New Roman" w:cs="Times New Roman"/>
                          <w:color w:val="525252" w:themeColor="accent3" w:themeShade="80"/>
                          <w:sz w:val="20"/>
                          <w:szCs w:val="20"/>
                        </w:rPr>
                        <w:t>1</w:t>
                      </w:r>
                      <w:r w:rsidR="00766A64">
                        <w:rPr>
                          <w:rFonts w:ascii="Times New Roman" w:hAnsi="Times New Roman" w:cs="Times New Roman"/>
                          <w:color w:val="525252" w:themeColor="accent3" w:themeShade="80"/>
                          <w:sz w:val="20"/>
                          <w:szCs w:val="20"/>
                        </w:rPr>
                        <w:t>1</w:t>
                      </w:r>
                      <w:r w:rsidRPr="000927B6">
                        <w:rPr>
                          <w:rFonts w:ascii="Times New Roman" w:hAnsi="Times New Roman" w:cs="Times New Roman"/>
                          <w:color w:val="525252" w:themeColor="accent3" w:themeShade="80"/>
                          <w:sz w:val="20"/>
                          <w:szCs w:val="20"/>
                        </w:rPr>
                        <w:t>%</w:t>
                      </w:r>
                    </w:p>
                  </w:txbxContent>
                </v:textbox>
                <w10:wrap type="through" anchory="page"/>
              </v:shape>
            </w:pict>
          </mc:Fallback>
        </mc:AlternateContent>
      </w:r>
    </w:p>
    <w:p w14:paraId="1E37EE70" w14:textId="074B03D6" w:rsidR="000B5DC7" w:rsidRDefault="000B5DC7" w:rsidP="00657EB2">
      <w:pPr>
        <w:rPr>
          <w:rFonts w:ascii="Times New Roman" w:hAnsi="Times New Roman" w:cs="Times New Roman"/>
          <w:b/>
          <w:sz w:val="24"/>
          <w:szCs w:val="24"/>
        </w:rPr>
      </w:pPr>
    </w:p>
    <w:p w14:paraId="6C7D7F2B" w14:textId="77777777" w:rsidR="000B5DC7" w:rsidRDefault="000B5DC7" w:rsidP="00657EB2">
      <w:pPr>
        <w:rPr>
          <w:rFonts w:ascii="Times New Roman" w:hAnsi="Times New Roman" w:cs="Times New Roman"/>
          <w:b/>
          <w:sz w:val="24"/>
          <w:szCs w:val="24"/>
        </w:rPr>
      </w:pPr>
    </w:p>
    <w:p w14:paraId="6451F36D" w14:textId="6EA3165C" w:rsidR="00657EB2" w:rsidRPr="004C2AC4" w:rsidRDefault="00D816CE" w:rsidP="00D816CE">
      <w:pPr>
        <w:rPr>
          <w:rFonts w:ascii="Times New Roman" w:hAnsi="Times New Roman" w:cs="Times New Roman"/>
          <w:b/>
          <w:sz w:val="24"/>
          <w:szCs w:val="24"/>
        </w:rPr>
      </w:pPr>
      <w:r>
        <w:rPr>
          <w:rFonts w:ascii="Times New Roman" w:hAnsi="Times New Roman" w:cs="Times New Roman"/>
          <w:b/>
          <w:sz w:val="24"/>
          <w:szCs w:val="24"/>
        </w:rPr>
        <w:t xml:space="preserve">                </w:t>
      </w:r>
      <w:r w:rsidR="00657EB2" w:rsidRPr="00706B36">
        <w:rPr>
          <w:rFonts w:ascii="Times New Roman" w:hAnsi="Times New Roman" w:cs="Times New Roman"/>
          <w:b/>
          <w:sz w:val="24"/>
          <w:szCs w:val="24"/>
        </w:rPr>
        <w:t xml:space="preserve">Figure </w:t>
      </w:r>
      <w:r w:rsidR="00087735" w:rsidRPr="00706B36">
        <w:rPr>
          <w:rFonts w:ascii="Times New Roman" w:hAnsi="Times New Roman" w:cs="Times New Roman"/>
          <w:b/>
          <w:sz w:val="24"/>
          <w:szCs w:val="24"/>
        </w:rPr>
        <w:t>4</w:t>
      </w:r>
    </w:p>
    <w:p w14:paraId="36F48C04" w14:textId="3DEE5309" w:rsidR="00657EB2" w:rsidRDefault="0022073E" w:rsidP="00657EB2">
      <w:pPr>
        <w:jc w:val="center"/>
        <w:rPr>
          <w:rFonts w:ascii="Times New Roman" w:hAnsi="Times New Roman" w:cs="Times New Roman"/>
          <w:sz w:val="24"/>
          <w:szCs w:val="24"/>
        </w:rPr>
      </w:pPr>
      <w:r>
        <w:rPr>
          <w:noProof/>
        </w:rPr>
        <w:drawing>
          <wp:inline distT="0" distB="0" distL="0" distR="0" wp14:anchorId="61795B3A" wp14:editId="66869439">
            <wp:extent cx="5486400" cy="2665539"/>
            <wp:effectExtent l="0" t="0" r="0" b="1905"/>
            <wp:docPr id="4" name="Chart 4" descr="endowment pool by assest category policy anges in 5 categories with actual allocation and policy allocation range.  global equity actual is 56, range is 48 to 68, global fixed income actual is 21, range is 15 to 25, real assets actual is 13, range is 10 to 19, diversifying strategies actual is 8 range is 5 to 15, cash is actual a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A04DD6" w14:textId="77777777" w:rsidR="00785C28" w:rsidRDefault="00785C28">
      <w:pPr>
        <w:rPr>
          <w:rFonts w:ascii="Times New Roman" w:hAnsi="Times New Roman" w:cs="Times New Roman"/>
          <w:sz w:val="24"/>
          <w:szCs w:val="24"/>
        </w:rPr>
      </w:pPr>
      <w:r>
        <w:rPr>
          <w:rFonts w:ascii="Times New Roman" w:hAnsi="Times New Roman" w:cs="Times New Roman"/>
          <w:sz w:val="24"/>
          <w:szCs w:val="24"/>
        </w:rPr>
        <w:br w:type="page"/>
      </w:r>
    </w:p>
    <w:p w14:paraId="79A5462E" w14:textId="02A0D39D" w:rsidR="00657EB2" w:rsidRDefault="00657EB2" w:rsidP="00657EB2">
      <w:pPr>
        <w:spacing w:after="360"/>
        <w:rPr>
          <w:rFonts w:ascii="Times New Roman" w:hAnsi="Times New Roman" w:cs="Times New Roman"/>
          <w:sz w:val="24"/>
          <w:szCs w:val="24"/>
        </w:rPr>
      </w:pPr>
      <w:r w:rsidRPr="00917772">
        <w:rPr>
          <w:rFonts w:ascii="Times New Roman" w:hAnsi="Times New Roman" w:cs="Times New Roman"/>
          <w:sz w:val="24"/>
          <w:szCs w:val="24"/>
        </w:rPr>
        <w:lastRenderedPageBreak/>
        <w:t xml:space="preserve">The </w:t>
      </w:r>
      <w:r w:rsidR="00447A57">
        <w:rPr>
          <w:rFonts w:ascii="Times New Roman" w:hAnsi="Times New Roman" w:cs="Times New Roman"/>
          <w:sz w:val="24"/>
          <w:szCs w:val="24"/>
        </w:rPr>
        <w:t>endowment pool is</w:t>
      </w:r>
      <w:r w:rsidR="00F651A2">
        <w:rPr>
          <w:rFonts w:ascii="Times New Roman" w:hAnsi="Times New Roman" w:cs="Times New Roman"/>
          <w:sz w:val="24"/>
          <w:szCs w:val="24"/>
        </w:rPr>
        <w:t xml:space="preserve"> reasonably</w:t>
      </w:r>
      <w:r w:rsidR="00EE1CB4">
        <w:rPr>
          <w:rFonts w:ascii="Times New Roman" w:hAnsi="Times New Roman" w:cs="Times New Roman"/>
          <w:sz w:val="24"/>
          <w:szCs w:val="24"/>
        </w:rPr>
        <w:t xml:space="preserve"> liquid</w:t>
      </w:r>
      <w:r w:rsidR="00087735">
        <w:rPr>
          <w:rFonts w:ascii="Times New Roman" w:hAnsi="Times New Roman" w:cs="Times New Roman"/>
          <w:sz w:val="24"/>
          <w:szCs w:val="24"/>
        </w:rPr>
        <w:t xml:space="preserve"> compared to peers.</w:t>
      </w:r>
      <w:r w:rsidR="008E3BF3" w:rsidRPr="00EE7076">
        <w:rPr>
          <w:rFonts w:ascii="Times New Roman" w:hAnsi="Times New Roman" w:cs="Times New Roman"/>
          <w:sz w:val="24"/>
          <w:szCs w:val="24"/>
        </w:rPr>
        <w:t xml:space="preserve"> </w:t>
      </w:r>
      <w:r w:rsidR="00EE1CB4">
        <w:rPr>
          <w:rFonts w:ascii="Times New Roman" w:hAnsi="Times New Roman" w:cs="Times New Roman"/>
          <w:sz w:val="24"/>
          <w:szCs w:val="24"/>
        </w:rPr>
        <w:t>Relative</w:t>
      </w:r>
      <w:r w:rsidR="00545C8D">
        <w:rPr>
          <w:rFonts w:ascii="Times New Roman" w:hAnsi="Times New Roman" w:cs="Times New Roman"/>
          <w:sz w:val="24"/>
          <w:szCs w:val="24"/>
        </w:rPr>
        <w:t xml:space="preserve"> to a policy requirement of 60% liquid assets </w:t>
      </w:r>
      <w:r w:rsidR="00EE1CB4">
        <w:rPr>
          <w:rFonts w:ascii="Times New Roman" w:hAnsi="Times New Roman" w:cs="Times New Roman"/>
          <w:sz w:val="24"/>
          <w:szCs w:val="24"/>
        </w:rPr>
        <w:t>(</w:t>
      </w:r>
      <w:r w:rsidR="00EE1CB4">
        <w:rPr>
          <w:rFonts w:ascii="Times New Roman" w:hAnsi="Times New Roman" w:cs="Times New Roman"/>
          <w:i/>
          <w:iCs/>
          <w:sz w:val="24"/>
          <w:szCs w:val="24"/>
        </w:rPr>
        <w:t>i.e.,</w:t>
      </w:r>
      <w:r w:rsidR="00EE1CB4">
        <w:rPr>
          <w:rFonts w:ascii="Times New Roman" w:hAnsi="Times New Roman" w:cs="Times New Roman"/>
          <w:sz w:val="24"/>
          <w:szCs w:val="24"/>
        </w:rPr>
        <w:t xml:space="preserve"> at least weekly redemptions) </w:t>
      </w:r>
      <w:r w:rsidR="00545C8D">
        <w:rPr>
          <w:rFonts w:ascii="Times New Roman" w:hAnsi="Times New Roman" w:cs="Times New Roman"/>
          <w:sz w:val="24"/>
          <w:szCs w:val="24"/>
        </w:rPr>
        <w:t>and 70% semi-liquid assets (</w:t>
      </w:r>
      <w:r w:rsidR="00687B43" w:rsidRPr="00B859DB">
        <w:rPr>
          <w:rFonts w:ascii="Times New Roman" w:hAnsi="Times New Roman" w:cs="Times New Roman"/>
          <w:i/>
          <w:iCs/>
          <w:sz w:val="24"/>
          <w:szCs w:val="24"/>
        </w:rPr>
        <w:t>i.e.,</w:t>
      </w:r>
      <w:r w:rsidR="00687B43" w:rsidRPr="00B859DB">
        <w:rPr>
          <w:rFonts w:ascii="Times New Roman" w:hAnsi="Times New Roman" w:cs="Times New Roman"/>
          <w:sz w:val="24"/>
          <w:szCs w:val="24"/>
        </w:rPr>
        <w:t xml:space="preserve"> </w:t>
      </w:r>
      <w:r w:rsidR="00EE1CB4">
        <w:rPr>
          <w:rFonts w:ascii="Times New Roman" w:hAnsi="Times New Roman" w:cs="Times New Roman"/>
          <w:sz w:val="24"/>
          <w:szCs w:val="24"/>
        </w:rPr>
        <w:t>at least qu</w:t>
      </w:r>
      <w:r w:rsidR="00545C8D" w:rsidRPr="00B859DB">
        <w:rPr>
          <w:rFonts w:ascii="Times New Roman" w:hAnsi="Times New Roman" w:cs="Times New Roman"/>
          <w:sz w:val="24"/>
          <w:szCs w:val="24"/>
        </w:rPr>
        <w:t xml:space="preserve">arterly redemptions), </w:t>
      </w:r>
      <w:r w:rsidR="00447A57" w:rsidRPr="00B859DB">
        <w:rPr>
          <w:rFonts w:ascii="Times New Roman" w:hAnsi="Times New Roman" w:cs="Times New Roman"/>
          <w:sz w:val="24"/>
          <w:szCs w:val="24"/>
        </w:rPr>
        <w:t>6</w:t>
      </w:r>
      <w:r w:rsidR="00B859DB" w:rsidRPr="00B859DB">
        <w:rPr>
          <w:rFonts w:ascii="Times New Roman" w:hAnsi="Times New Roman" w:cs="Times New Roman"/>
          <w:sz w:val="24"/>
          <w:szCs w:val="24"/>
        </w:rPr>
        <w:t>9</w:t>
      </w:r>
      <w:r w:rsidR="00447A57" w:rsidRPr="00B859DB">
        <w:rPr>
          <w:rFonts w:ascii="Times New Roman" w:hAnsi="Times New Roman" w:cs="Times New Roman"/>
          <w:sz w:val="24"/>
          <w:szCs w:val="24"/>
        </w:rPr>
        <w:t xml:space="preserve">% of the pool </w:t>
      </w:r>
      <w:r w:rsidR="00545C8D" w:rsidRPr="00B859DB">
        <w:rPr>
          <w:rFonts w:ascii="Times New Roman" w:hAnsi="Times New Roman" w:cs="Times New Roman"/>
          <w:sz w:val="24"/>
          <w:szCs w:val="24"/>
        </w:rPr>
        <w:t>meets the liquid asset definition</w:t>
      </w:r>
      <w:r w:rsidR="00BF1AEA">
        <w:rPr>
          <w:rFonts w:ascii="Times New Roman" w:hAnsi="Times New Roman" w:cs="Times New Roman"/>
          <w:sz w:val="24"/>
          <w:szCs w:val="24"/>
        </w:rPr>
        <w:t>,</w:t>
      </w:r>
      <w:r w:rsidR="00545C8D" w:rsidRPr="00B859DB">
        <w:rPr>
          <w:rFonts w:ascii="Times New Roman" w:hAnsi="Times New Roman" w:cs="Times New Roman"/>
          <w:sz w:val="24"/>
          <w:szCs w:val="24"/>
        </w:rPr>
        <w:t xml:space="preserve"> </w:t>
      </w:r>
      <w:r w:rsidR="00AB1AC4" w:rsidRPr="00B859DB">
        <w:rPr>
          <w:rFonts w:ascii="Times New Roman" w:hAnsi="Times New Roman" w:cs="Times New Roman"/>
          <w:sz w:val="24"/>
          <w:szCs w:val="24"/>
        </w:rPr>
        <w:t>while 7</w:t>
      </w:r>
      <w:r w:rsidR="00B859DB" w:rsidRPr="00B859DB">
        <w:rPr>
          <w:rFonts w:ascii="Times New Roman" w:hAnsi="Times New Roman" w:cs="Times New Roman"/>
          <w:sz w:val="24"/>
          <w:szCs w:val="24"/>
        </w:rPr>
        <w:t>9</w:t>
      </w:r>
      <w:r w:rsidR="00AB1AC4" w:rsidRPr="00B859DB">
        <w:rPr>
          <w:rFonts w:ascii="Times New Roman" w:hAnsi="Times New Roman" w:cs="Times New Roman"/>
          <w:sz w:val="24"/>
          <w:szCs w:val="24"/>
        </w:rPr>
        <w:t>% is</w:t>
      </w:r>
      <w:r w:rsidR="00AB1AC4">
        <w:rPr>
          <w:rFonts w:ascii="Times New Roman" w:hAnsi="Times New Roman" w:cs="Times New Roman"/>
          <w:sz w:val="24"/>
          <w:szCs w:val="24"/>
        </w:rPr>
        <w:t xml:space="preserve"> </w:t>
      </w:r>
      <w:r w:rsidR="00545C8D">
        <w:rPr>
          <w:rFonts w:ascii="Times New Roman" w:hAnsi="Times New Roman" w:cs="Times New Roman"/>
          <w:sz w:val="24"/>
          <w:szCs w:val="24"/>
        </w:rPr>
        <w:t>semi-liquid</w:t>
      </w:r>
      <w:r w:rsidR="00AB1AC4">
        <w:rPr>
          <w:rFonts w:ascii="Times New Roman" w:hAnsi="Times New Roman" w:cs="Times New Roman"/>
          <w:sz w:val="24"/>
          <w:szCs w:val="24"/>
        </w:rPr>
        <w:t xml:space="preserve">.  </w:t>
      </w:r>
      <w:r w:rsidRPr="00917772">
        <w:rPr>
          <w:rFonts w:ascii="Times New Roman" w:hAnsi="Times New Roman" w:cs="Times New Roman"/>
          <w:sz w:val="24"/>
          <w:szCs w:val="24"/>
        </w:rPr>
        <w:t xml:space="preserve">This </w:t>
      </w:r>
      <w:r w:rsidR="00E57397">
        <w:rPr>
          <w:rFonts w:ascii="Times New Roman" w:hAnsi="Times New Roman" w:cs="Times New Roman"/>
          <w:sz w:val="24"/>
          <w:szCs w:val="24"/>
        </w:rPr>
        <w:t>structure</w:t>
      </w:r>
      <w:r w:rsidR="00AB1AC4">
        <w:rPr>
          <w:rFonts w:ascii="Times New Roman" w:hAnsi="Times New Roman" w:cs="Times New Roman"/>
          <w:sz w:val="24"/>
          <w:szCs w:val="24"/>
        </w:rPr>
        <w:t xml:space="preserve"> </w:t>
      </w:r>
      <w:r w:rsidRPr="00917772">
        <w:rPr>
          <w:rFonts w:ascii="Times New Roman" w:hAnsi="Times New Roman" w:cs="Times New Roman"/>
          <w:sz w:val="24"/>
          <w:szCs w:val="24"/>
        </w:rPr>
        <w:t xml:space="preserve">allows for efficient rebalancing </w:t>
      </w:r>
      <w:r w:rsidR="00AB1AC4">
        <w:rPr>
          <w:rFonts w:ascii="Times New Roman" w:hAnsi="Times New Roman" w:cs="Times New Roman"/>
          <w:sz w:val="24"/>
          <w:szCs w:val="24"/>
        </w:rPr>
        <w:t xml:space="preserve">and is </w:t>
      </w:r>
      <w:r w:rsidR="00BC0956">
        <w:rPr>
          <w:rFonts w:ascii="Times New Roman" w:hAnsi="Times New Roman" w:cs="Times New Roman"/>
          <w:sz w:val="24"/>
          <w:szCs w:val="24"/>
        </w:rPr>
        <w:t>well-aligned</w:t>
      </w:r>
      <w:r w:rsidR="00AB1AC4">
        <w:rPr>
          <w:rFonts w:ascii="Times New Roman" w:hAnsi="Times New Roman" w:cs="Times New Roman"/>
          <w:sz w:val="24"/>
          <w:szCs w:val="24"/>
        </w:rPr>
        <w:t xml:space="preserve"> with the liquidity profile of the underlying </w:t>
      </w:r>
      <w:r w:rsidR="00BF1AEA">
        <w:rPr>
          <w:rFonts w:ascii="Times New Roman" w:hAnsi="Times New Roman" w:cs="Times New Roman"/>
          <w:sz w:val="24"/>
          <w:szCs w:val="24"/>
        </w:rPr>
        <w:t>funding sources</w:t>
      </w:r>
      <w:r w:rsidR="00AB1AC4">
        <w:rPr>
          <w:rFonts w:ascii="Times New Roman" w:hAnsi="Times New Roman" w:cs="Times New Roman"/>
          <w:sz w:val="24"/>
          <w:szCs w:val="24"/>
        </w:rPr>
        <w:t xml:space="preserve">. </w:t>
      </w:r>
      <w:r w:rsidR="00465C01">
        <w:rPr>
          <w:rFonts w:ascii="Times New Roman" w:hAnsi="Times New Roman" w:cs="Times New Roman"/>
          <w:sz w:val="24"/>
          <w:szCs w:val="24"/>
        </w:rPr>
        <w:t>It also</w:t>
      </w:r>
      <w:r w:rsidRPr="00917772">
        <w:rPr>
          <w:rFonts w:ascii="Times New Roman" w:hAnsi="Times New Roman" w:cs="Times New Roman"/>
          <w:sz w:val="24"/>
          <w:szCs w:val="24"/>
        </w:rPr>
        <w:t xml:space="preserve"> </w:t>
      </w:r>
      <w:r w:rsidR="00BE6010">
        <w:rPr>
          <w:rFonts w:ascii="Times New Roman" w:hAnsi="Times New Roman" w:cs="Times New Roman"/>
          <w:sz w:val="24"/>
          <w:szCs w:val="24"/>
        </w:rPr>
        <w:t>reduce</w:t>
      </w:r>
      <w:r w:rsidR="00DF1782">
        <w:rPr>
          <w:rFonts w:ascii="Times New Roman" w:hAnsi="Times New Roman" w:cs="Times New Roman"/>
          <w:sz w:val="24"/>
          <w:szCs w:val="24"/>
        </w:rPr>
        <w:t>s</w:t>
      </w:r>
      <w:r w:rsidRPr="00917772">
        <w:rPr>
          <w:rFonts w:ascii="Times New Roman" w:hAnsi="Times New Roman" w:cs="Times New Roman"/>
          <w:sz w:val="24"/>
          <w:szCs w:val="24"/>
        </w:rPr>
        <w:t xml:space="preserve"> </w:t>
      </w:r>
      <w:r w:rsidR="00BE6010">
        <w:rPr>
          <w:rFonts w:ascii="Times New Roman" w:hAnsi="Times New Roman" w:cs="Times New Roman"/>
          <w:sz w:val="24"/>
          <w:szCs w:val="24"/>
        </w:rPr>
        <w:t>expenses</w:t>
      </w:r>
      <w:r w:rsidRPr="00917772">
        <w:rPr>
          <w:rFonts w:ascii="Times New Roman" w:hAnsi="Times New Roman" w:cs="Times New Roman"/>
          <w:sz w:val="24"/>
          <w:szCs w:val="24"/>
        </w:rPr>
        <w:t xml:space="preserve"> as </w:t>
      </w:r>
      <w:r w:rsidR="003A36DB">
        <w:rPr>
          <w:rFonts w:ascii="Times New Roman" w:hAnsi="Times New Roman" w:cs="Times New Roman"/>
          <w:sz w:val="24"/>
          <w:szCs w:val="24"/>
        </w:rPr>
        <w:t>liquid, public market allocations</w:t>
      </w:r>
      <w:r w:rsidRPr="00917772">
        <w:rPr>
          <w:rFonts w:ascii="Times New Roman" w:hAnsi="Times New Roman" w:cs="Times New Roman"/>
          <w:sz w:val="24"/>
          <w:szCs w:val="24"/>
        </w:rPr>
        <w:t xml:space="preserve"> generally charge lower fees than </w:t>
      </w:r>
      <w:r w:rsidR="00545C8D">
        <w:rPr>
          <w:rFonts w:ascii="Times New Roman" w:hAnsi="Times New Roman" w:cs="Times New Roman"/>
          <w:sz w:val="24"/>
          <w:szCs w:val="24"/>
        </w:rPr>
        <w:t>closed-end</w:t>
      </w:r>
      <w:r w:rsidRPr="00917772">
        <w:rPr>
          <w:rFonts w:ascii="Times New Roman" w:hAnsi="Times New Roman" w:cs="Times New Roman"/>
          <w:sz w:val="24"/>
          <w:szCs w:val="24"/>
        </w:rPr>
        <w:t xml:space="preserve"> investment vehicles. </w:t>
      </w:r>
      <w:r w:rsidR="003A36DB">
        <w:rPr>
          <w:rFonts w:ascii="Times New Roman" w:hAnsi="Times New Roman" w:cs="Times New Roman"/>
          <w:sz w:val="24"/>
          <w:szCs w:val="24"/>
        </w:rPr>
        <w:t>Our preference for low-cost passive investment</w:t>
      </w:r>
      <w:r w:rsidR="00290082">
        <w:rPr>
          <w:rFonts w:ascii="Times New Roman" w:hAnsi="Times New Roman" w:cs="Times New Roman"/>
          <w:sz w:val="24"/>
          <w:szCs w:val="24"/>
        </w:rPr>
        <w:t>s</w:t>
      </w:r>
      <w:r w:rsidR="003A36DB">
        <w:rPr>
          <w:rFonts w:ascii="Times New Roman" w:hAnsi="Times New Roman" w:cs="Times New Roman"/>
          <w:sz w:val="24"/>
          <w:szCs w:val="24"/>
        </w:rPr>
        <w:t xml:space="preserve"> in public </w:t>
      </w:r>
      <w:r w:rsidR="00290082">
        <w:rPr>
          <w:rFonts w:ascii="Times New Roman" w:hAnsi="Times New Roman" w:cs="Times New Roman"/>
          <w:sz w:val="24"/>
          <w:szCs w:val="24"/>
        </w:rPr>
        <w:t xml:space="preserve">equity </w:t>
      </w:r>
      <w:r w:rsidR="003A36DB">
        <w:rPr>
          <w:rFonts w:ascii="Times New Roman" w:hAnsi="Times New Roman" w:cs="Times New Roman"/>
          <w:sz w:val="24"/>
          <w:szCs w:val="24"/>
        </w:rPr>
        <w:t xml:space="preserve">markets further reduces the fee </w:t>
      </w:r>
      <w:r w:rsidR="0046305B">
        <w:rPr>
          <w:rFonts w:ascii="Times New Roman" w:hAnsi="Times New Roman" w:cs="Times New Roman"/>
          <w:sz w:val="24"/>
          <w:szCs w:val="24"/>
        </w:rPr>
        <w:t>burden</w:t>
      </w:r>
      <w:r w:rsidR="00545C8D">
        <w:rPr>
          <w:rFonts w:ascii="Times New Roman" w:hAnsi="Times New Roman" w:cs="Times New Roman"/>
          <w:sz w:val="24"/>
          <w:szCs w:val="24"/>
        </w:rPr>
        <w:t xml:space="preserve">. </w:t>
      </w:r>
      <w:r w:rsidR="00BF1AEA">
        <w:rPr>
          <w:rFonts w:ascii="Times New Roman" w:hAnsi="Times New Roman" w:cs="Times New Roman"/>
          <w:sz w:val="24"/>
          <w:szCs w:val="24"/>
        </w:rPr>
        <w:t>Including</w:t>
      </w:r>
      <w:r w:rsidRPr="00917772">
        <w:rPr>
          <w:rFonts w:ascii="Times New Roman" w:hAnsi="Times New Roman" w:cs="Times New Roman"/>
          <w:sz w:val="24"/>
          <w:szCs w:val="24"/>
        </w:rPr>
        <w:t xml:space="preserve"> farmland as an asset class also </w:t>
      </w:r>
      <w:r w:rsidR="00DA1613">
        <w:rPr>
          <w:rFonts w:ascii="Times New Roman" w:hAnsi="Times New Roman" w:cs="Times New Roman"/>
          <w:sz w:val="24"/>
          <w:szCs w:val="24"/>
        </w:rPr>
        <w:t xml:space="preserve">distinguishes the endowment </w:t>
      </w:r>
      <w:r w:rsidR="00E57397">
        <w:rPr>
          <w:rFonts w:ascii="Times New Roman" w:hAnsi="Times New Roman" w:cs="Times New Roman"/>
          <w:sz w:val="24"/>
          <w:szCs w:val="24"/>
        </w:rPr>
        <w:t>pool</w:t>
      </w:r>
      <w:r w:rsidRPr="00917772">
        <w:rPr>
          <w:rFonts w:ascii="Times New Roman" w:hAnsi="Times New Roman" w:cs="Times New Roman"/>
          <w:i/>
          <w:sz w:val="24"/>
          <w:szCs w:val="24"/>
        </w:rPr>
        <w:t xml:space="preserve"> </w:t>
      </w:r>
      <w:r w:rsidR="00DA1613">
        <w:rPr>
          <w:rFonts w:ascii="Times New Roman" w:hAnsi="Times New Roman" w:cs="Times New Roman"/>
          <w:sz w:val="24"/>
          <w:szCs w:val="24"/>
        </w:rPr>
        <w:t xml:space="preserve">from </w:t>
      </w:r>
      <w:r w:rsidR="00E57397">
        <w:rPr>
          <w:rFonts w:ascii="Times New Roman" w:hAnsi="Times New Roman" w:cs="Times New Roman"/>
          <w:sz w:val="24"/>
          <w:szCs w:val="24"/>
        </w:rPr>
        <w:t xml:space="preserve">its </w:t>
      </w:r>
      <w:r w:rsidRPr="0062329C">
        <w:rPr>
          <w:rFonts w:ascii="Times New Roman" w:hAnsi="Times New Roman" w:cs="Times New Roman"/>
          <w:sz w:val="24"/>
          <w:szCs w:val="24"/>
        </w:rPr>
        <w:t>peers. Farmland includes agricultural land donated to the University</w:t>
      </w:r>
      <w:r w:rsidR="00BF1AEA">
        <w:rPr>
          <w:rFonts w:ascii="Times New Roman" w:hAnsi="Times New Roman" w:cs="Times New Roman"/>
          <w:sz w:val="24"/>
          <w:szCs w:val="24"/>
        </w:rPr>
        <w:t xml:space="preserve"> and an investment into a closed-end U.S. farmland partnership, which increases</w:t>
      </w:r>
      <w:r w:rsidR="000A3FCE">
        <w:rPr>
          <w:rFonts w:ascii="Times New Roman" w:hAnsi="Times New Roman" w:cs="Times New Roman"/>
          <w:sz w:val="24"/>
          <w:szCs w:val="24"/>
        </w:rPr>
        <w:t xml:space="preserve"> our allocation and diversif</w:t>
      </w:r>
      <w:r w:rsidR="003C2B0F">
        <w:rPr>
          <w:rFonts w:ascii="Times New Roman" w:hAnsi="Times New Roman" w:cs="Times New Roman"/>
          <w:sz w:val="24"/>
          <w:szCs w:val="24"/>
        </w:rPr>
        <w:t>ies</w:t>
      </w:r>
      <w:r w:rsidR="000A3FCE">
        <w:rPr>
          <w:rFonts w:ascii="Times New Roman" w:hAnsi="Times New Roman" w:cs="Times New Roman"/>
          <w:sz w:val="24"/>
          <w:szCs w:val="24"/>
        </w:rPr>
        <w:t xml:space="preserve"> the geographical exposure. I</w:t>
      </w:r>
      <w:r w:rsidRPr="0062329C">
        <w:rPr>
          <w:rFonts w:ascii="Times New Roman" w:hAnsi="Times New Roman" w:cs="Times New Roman"/>
          <w:sz w:val="24"/>
          <w:szCs w:val="24"/>
        </w:rPr>
        <w:t xml:space="preserve">ncome from </w:t>
      </w:r>
      <w:r w:rsidR="000A3FCE">
        <w:rPr>
          <w:rFonts w:ascii="Times New Roman" w:hAnsi="Times New Roman" w:cs="Times New Roman"/>
          <w:sz w:val="24"/>
          <w:szCs w:val="24"/>
        </w:rPr>
        <w:t xml:space="preserve">endowment </w:t>
      </w:r>
      <w:r w:rsidRPr="0062329C">
        <w:rPr>
          <w:rFonts w:ascii="Times New Roman" w:hAnsi="Times New Roman" w:cs="Times New Roman"/>
          <w:sz w:val="24"/>
          <w:szCs w:val="24"/>
        </w:rPr>
        <w:t xml:space="preserve">farms supports student scholarship and research programs. </w:t>
      </w:r>
    </w:p>
    <w:p w14:paraId="50B941B6" w14:textId="2DD3E284" w:rsidR="00B84039" w:rsidRPr="00B84039" w:rsidRDefault="00B84039" w:rsidP="00657EB2">
      <w:pPr>
        <w:rPr>
          <w:rFonts w:ascii="Times New Roman" w:hAnsi="Times New Roman" w:cs="Times New Roman"/>
          <w:b/>
          <w:sz w:val="28"/>
          <w:szCs w:val="28"/>
        </w:rPr>
      </w:pPr>
      <w:r w:rsidRPr="00D65DDA">
        <w:rPr>
          <w:rFonts w:ascii="Times New Roman" w:hAnsi="Times New Roman" w:cs="Times New Roman"/>
          <w:b/>
          <w:sz w:val="28"/>
          <w:szCs w:val="28"/>
        </w:rPr>
        <w:t>Spending Policy</w:t>
      </w:r>
    </w:p>
    <w:p w14:paraId="1195C367" w14:textId="3F0DA823" w:rsidR="00861B0F" w:rsidRDefault="00AD5175" w:rsidP="00657EB2">
      <w:pPr>
        <w:spacing w:after="360"/>
        <w:rPr>
          <w:rFonts w:ascii="Times New Roman" w:hAnsi="Times New Roman" w:cs="Times New Roman"/>
          <w:sz w:val="24"/>
          <w:szCs w:val="24"/>
        </w:rPr>
      </w:pPr>
      <w:r w:rsidRPr="00917772">
        <w:rPr>
          <w:rFonts w:ascii="Times New Roman" w:hAnsi="Times New Roman" w:cs="Times New Roman"/>
          <w:sz w:val="24"/>
          <w:szCs w:val="24"/>
        </w:rPr>
        <w:t xml:space="preserve">The investment objective of the </w:t>
      </w:r>
      <w:r w:rsidR="00DA1613">
        <w:rPr>
          <w:rFonts w:ascii="Times New Roman" w:hAnsi="Times New Roman" w:cs="Times New Roman"/>
          <w:sz w:val="24"/>
          <w:szCs w:val="24"/>
        </w:rPr>
        <w:t>endowment pool</w:t>
      </w:r>
      <w:r w:rsidR="00822E2A" w:rsidRPr="00917772">
        <w:rPr>
          <w:rFonts w:ascii="Times New Roman" w:hAnsi="Times New Roman" w:cs="Times New Roman"/>
          <w:i/>
          <w:sz w:val="24"/>
          <w:szCs w:val="24"/>
        </w:rPr>
        <w:t xml:space="preserve"> </w:t>
      </w:r>
      <w:r w:rsidR="00822E2A" w:rsidRPr="00917772">
        <w:rPr>
          <w:rFonts w:ascii="Times New Roman" w:hAnsi="Times New Roman" w:cs="Times New Roman"/>
          <w:sz w:val="24"/>
          <w:szCs w:val="24"/>
        </w:rPr>
        <w:t>is to prese</w:t>
      </w:r>
      <w:r w:rsidR="00EB4E4A">
        <w:rPr>
          <w:rFonts w:ascii="Times New Roman" w:hAnsi="Times New Roman" w:cs="Times New Roman"/>
          <w:sz w:val="24"/>
          <w:szCs w:val="24"/>
        </w:rPr>
        <w:t xml:space="preserve">rve the purchasing power of </w:t>
      </w:r>
      <w:r w:rsidR="00D84095" w:rsidRPr="00917772">
        <w:rPr>
          <w:rFonts w:ascii="Times New Roman" w:hAnsi="Times New Roman" w:cs="Times New Roman"/>
          <w:sz w:val="24"/>
          <w:szCs w:val="24"/>
        </w:rPr>
        <w:t>pool assets</w:t>
      </w:r>
      <w:r w:rsidR="00375255" w:rsidRPr="00917772">
        <w:rPr>
          <w:rFonts w:ascii="Times New Roman" w:hAnsi="Times New Roman" w:cs="Times New Roman"/>
          <w:sz w:val="24"/>
          <w:szCs w:val="24"/>
        </w:rPr>
        <w:t xml:space="preserve"> and provide</w:t>
      </w:r>
      <w:r w:rsidR="00822E2A" w:rsidRPr="00917772">
        <w:rPr>
          <w:rFonts w:ascii="Times New Roman" w:hAnsi="Times New Roman" w:cs="Times New Roman"/>
          <w:sz w:val="24"/>
          <w:szCs w:val="24"/>
        </w:rPr>
        <w:t xml:space="preserve"> annual suppo</w:t>
      </w:r>
      <w:r w:rsidR="00DA1613">
        <w:rPr>
          <w:rFonts w:ascii="Times New Roman" w:hAnsi="Times New Roman" w:cs="Times New Roman"/>
          <w:sz w:val="24"/>
          <w:szCs w:val="24"/>
        </w:rPr>
        <w:t>rt for an infinite period. The endowment p</w:t>
      </w:r>
      <w:r w:rsidR="00822E2A" w:rsidRPr="00917772">
        <w:rPr>
          <w:rFonts w:ascii="Times New Roman" w:hAnsi="Times New Roman" w:cs="Times New Roman"/>
          <w:sz w:val="24"/>
          <w:szCs w:val="24"/>
        </w:rPr>
        <w:t xml:space="preserve">ool annual spending policy for </w:t>
      </w:r>
      <w:r w:rsidR="00657EB2">
        <w:rPr>
          <w:rFonts w:ascii="Times New Roman" w:hAnsi="Times New Roman" w:cs="Times New Roman"/>
          <w:sz w:val="24"/>
          <w:szCs w:val="24"/>
        </w:rPr>
        <w:t>fiscal year</w:t>
      </w:r>
      <w:r w:rsidR="00EB4E4A">
        <w:rPr>
          <w:rFonts w:ascii="Times New Roman" w:hAnsi="Times New Roman" w:cs="Times New Roman"/>
          <w:sz w:val="24"/>
          <w:szCs w:val="24"/>
        </w:rPr>
        <w:t xml:space="preserve"> </w:t>
      </w:r>
      <w:r w:rsidR="00B31B5B">
        <w:rPr>
          <w:rFonts w:ascii="Times New Roman" w:hAnsi="Times New Roman" w:cs="Times New Roman"/>
          <w:sz w:val="24"/>
          <w:szCs w:val="24"/>
        </w:rPr>
        <w:t>202</w:t>
      </w:r>
      <w:r w:rsidR="00545C8D">
        <w:rPr>
          <w:rFonts w:ascii="Times New Roman" w:hAnsi="Times New Roman" w:cs="Times New Roman"/>
          <w:sz w:val="24"/>
          <w:szCs w:val="24"/>
        </w:rPr>
        <w:t>3</w:t>
      </w:r>
      <w:r w:rsidR="00F47234" w:rsidRPr="00917772">
        <w:rPr>
          <w:rFonts w:ascii="Times New Roman" w:hAnsi="Times New Roman" w:cs="Times New Roman"/>
          <w:sz w:val="24"/>
          <w:szCs w:val="24"/>
        </w:rPr>
        <w:t xml:space="preserve"> </w:t>
      </w:r>
      <w:r w:rsidR="00822E2A" w:rsidRPr="00917772">
        <w:rPr>
          <w:rFonts w:ascii="Times New Roman" w:hAnsi="Times New Roman" w:cs="Times New Roman"/>
          <w:sz w:val="24"/>
          <w:szCs w:val="24"/>
        </w:rPr>
        <w:t xml:space="preserve">is based on a percentage of a </w:t>
      </w:r>
      <w:r w:rsidR="00687B43" w:rsidRPr="00917772">
        <w:rPr>
          <w:rFonts w:ascii="Times New Roman" w:hAnsi="Times New Roman" w:cs="Times New Roman"/>
          <w:sz w:val="24"/>
          <w:szCs w:val="24"/>
        </w:rPr>
        <w:t>six-year</w:t>
      </w:r>
      <w:r w:rsidR="00822E2A" w:rsidRPr="00917772">
        <w:rPr>
          <w:rFonts w:ascii="Times New Roman" w:hAnsi="Times New Roman" w:cs="Times New Roman"/>
          <w:sz w:val="24"/>
          <w:szCs w:val="24"/>
        </w:rPr>
        <w:t xml:space="preserve"> moving average of </w:t>
      </w:r>
      <w:r w:rsidR="00BF5824">
        <w:rPr>
          <w:rFonts w:ascii="Times New Roman" w:hAnsi="Times New Roman" w:cs="Times New Roman"/>
          <w:sz w:val="24"/>
          <w:szCs w:val="24"/>
        </w:rPr>
        <w:t xml:space="preserve">the unit </w:t>
      </w:r>
      <w:r w:rsidR="00DA1613">
        <w:rPr>
          <w:rFonts w:ascii="Times New Roman" w:hAnsi="Times New Roman" w:cs="Times New Roman"/>
          <w:sz w:val="24"/>
          <w:szCs w:val="24"/>
        </w:rPr>
        <w:t>market value of the endowment p</w:t>
      </w:r>
      <w:r w:rsidR="00822E2A" w:rsidRPr="00917772">
        <w:rPr>
          <w:rFonts w:ascii="Times New Roman" w:hAnsi="Times New Roman" w:cs="Times New Roman"/>
          <w:sz w:val="24"/>
          <w:szCs w:val="24"/>
        </w:rPr>
        <w:t xml:space="preserve">ool. </w:t>
      </w:r>
      <w:r w:rsidRPr="00917772">
        <w:rPr>
          <w:rFonts w:ascii="Times New Roman" w:hAnsi="Times New Roman" w:cs="Times New Roman"/>
          <w:sz w:val="24"/>
          <w:szCs w:val="24"/>
        </w:rPr>
        <w:t xml:space="preserve"> </w:t>
      </w:r>
      <w:r w:rsidR="00822E2A" w:rsidRPr="00917772">
        <w:rPr>
          <w:rFonts w:ascii="Times New Roman" w:hAnsi="Times New Roman" w:cs="Times New Roman"/>
          <w:sz w:val="24"/>
          <w:szCs w:val="24"/>
        </w:rPr>
        <w:t>The spending rate—set by the Comptroller annually</w:t>
      </w:r>
      <w:r w:rsidR="00CC61BC" w:rsidRPr="00917772">
        <w:rPr>
          <w:rFonts w:ascii="Times New Roman" w:hAnsi="Times New Roman" w:cs="Times New Roman"/>
          <w:sz w:val="24"/>
          <w:szCs w:val="24"/>
        </w:rPr>
        <w:t xml:space="preserve"> in</w:t>
      </w:r>
      <w:r w:rsidR="004663AB" w:rsidRPr="00917772">
        <w:rPr>
          <w:rFonts w:ascii="Times New Roman" w:hAnsi="Times New Roman" w:cs="Times New Roman"/>
          <w:sz w:val="24"/>
          <w:szCs w:val="24"/>
        </w:rPr>
        <w:t xml:space="preserve"> consultation with the President</w:t>
      </w:r>
      <w:r w:rsidR="00B31B5B">
        <w:rPr>
          <w:rFonts w:ascii="Times New Roman" w:hAnsi="Times New Roman" w:cs="Times New Roman"/>
          <w:sz w:val="24"/>
          <w:szCs w:val="24"/>
        </w:rPr>
        <w:t xml:space="preserve">—is </w:t>
      </w:r>
      <w:r w:rsidR="00B31B5B" w:rsidRPr="000A3FCE">
        <w:rPr>
          <w:rFonts w:ascii="Times New Roman" w:hAnsi="Times New Roman" w:cs="Times New Roman"/>
          <w:sz w:val="24"/>
          <w:szCs w:val="24"/>
        </w:rPr>
        <w:t>5.</w:t>
      </w:r>
      <w:r w:rsidR="00465C01">
        <w:rPr>
          <w:rFonts w:ascii="Times New Roman" w:hAnsi="Times New Roman" w:cs="Times New Roman"/>
          <w:sz w:val="24"/>
          <w:szCs w:val="24"/>
        </w:rPr>
        <w:t>3</w:t>
      </w:r>
      <w:r w:rsidR="00B31B5B" w:rsidRPr="000A3FCE">
        <w:rPr>
          <w:rFonts w:ascii="Times New Roman" w:hAnsi="Times New Roman" w:cs="Times New Roman"/>
          <w:sz w:val="24"/>
          <w:szCs w:val="24"/>
        </w:rPr>
        <w:t>%,</w:t>
      </w:r>
      <w:r w:rsidR="00B31B5B" w:rsidRPr="00B31B5B">
        <w:rPr>
          <w:rFonts w:ascii="Times New Roman" w:hAnsi="Times New Roman" w:cs="Times New Roman"/>
          <w:b/>
          <w:sz w:val="24"/>
          <w:szCs w:val="24"/>
        </w:rPr>
        <w:t xml:space="preserve"> </w:t>
      </w:r>
      <w:r w:rsidR="00B31B5B">
        <w:rPr>
          <w:rFonts w:ascii="Times New Roman" w:hAnsi="Times New Roman" w:cs="Times New Roman"/>
          <w:sz w:val="24"/>
          <w:szCs w:val="24"/>
        </w:rPr>
        <w:t xml:space="preserve">inclusive of a </w:t>
      </w:r>
      <w:r w:rsidR="000A3FCE" w:rsidRPr="000A3FCE">
        <w:rPr>
          <w:rFonts w:ascii="Times New Roman" w:hAnsi="Times New Roman" w:cs="Times New Roman"/>
          <w:sz w:val="24"/>
          <w:szCs w:val="24"/>
        </w:rPr>
        <w:t>1.</w:t>
      </w:r>
      <w:r w:rsidR="00465C01">
        <w:rPr>
          <w:rFonts w:ascii="Times New Roman" w:hAnsi="Times New Roman" w:cs="Times New Roman"/>
          <w:sz w:val="24"/>
          <w:szCs w:val="24"/>
        </w:rPr>
        <w:t>2</w:t>
      </w:r>
      <w:r w:rsidR="00822E2A" w:rsidRPr="000A3FCE">
        <w:rPr>
          <w:rFonts w:ascii="Times New Roman" w:hAnsi="Times New Roman" w:cs="Times New Roman"/>
          <w:sz w:val="24"/>
          <w:szCs w:val="24"/>
        </w:rPr>
        <w:t>%</w:t>
      </w:r>
      <w:r w:rsidR="00822E2A" w:rsidRPr="00917772">
        <w:rPr>
          <w:rFonts w:ascii="Times New Roman" w:hAnsi="Times New Roman" w:cs="Times New Roman"/>
          <w:sz w:val="24"/>
          <w:szCs w:val="24"/>
        </w:rPr>
        <w:t xml:space="preserve"> </w:t>
      </w:r>
      <w:r w:rsidR="001C4547">
        <w:rPr>
          <w:rFonts w:ascii="Times New Roman" w:hAnsi="Times New Roman" w:cs="Times New Roman"/>
          <w:sz w:val="24"/>
          <w:szCs w:val="24"/>
        </w:rPr>
        <w:t>administrative fee</w:t>
      </w:r>
      <w:r w:rsidR="00375255" w:rsidRPr="00917772">
        <w:rPr>
          <w:rFonts w:ascii="Times New Roman" w:hAnsi="Times New Roman" w:cs="Times New Roman"/>
          <w:sz w:val="24"/>
          <w:szCs w:val="24"/>
        </w:rPr>
        <w:t>. T</w:t>
      </w:r>
      <w:r w:rsidR="00DA1613">
        <w:rPr>
          <w:rFonts w:ascii="Times New Roman" w:hAnsi="Times New Roman" w:cs="Times New Roman"/>
          <w:sz w:val="24"/>
          <w:szCs w:val="24"/>
        </w:rPr>
        <w:t>he endowment p</w:t>
      </w:r>
      <w:r w:rsidR="00822E2A" w:rsidRPr="00917772">
        <w:rPr>
          <w:rFonts w:ascii="Times New Roman" w:hAnsi="Times New Roman" w:cs="Times New Roman"/>
          <w:sz w:val="24"/>
          <w:szCs w:val="24"/>
        </w:rPr>
        <w:t>ool distributed</w:t>
      </w:r>
      <w:r w:rsidR="00375255" w:rsidRPr="00917772">
        <w:rPr>
          <w:rFonts w:ascii="Times New Roman" w:hAnsi="Times New Roman" w:cs="Times New Roman"/>
          <w:sz w:val="24"/>
          <w:szCs w:val="24"/>
        </w:rPr>
        <w:t xml:space="preserve"> </w:t>
      </w:r>
      <w:r w:rsidR="00375255" w:rsidRPr="00AB4477">
        <w:rPr>
          <w:rFonts w:ascii="Times New Roman" w:hAnsi="Times New Roman" w:cs="Times New Roman"/>
          <w:sz w:val="24"/>
          <w:szCs w:val="24"/>
        </w:rPr>
        <w:t xml:space="preserve">approximately </w:t>
      </w:r>
      <w:r w:rsidR="00375255" w:rsidRPr="00C4081D">
        <w:rPr>
          <w:rFonts w:ascii="Times New Roman" w:hAnsi="Times New Roman" w:cs="Times New Roman"/>
          <w:sz w:val="24"/>
          <w:szCs w:val="24"/>
        </w:rPr>
        <w:t>$</w:t>
      </w:r>
      <w:r w:rsidR="00D0515A" w:rsidRPr="00C4081D">
        <w:rPr>
          <w:rFonts w:ascii="Times New Roman" w:hAnsi="Times New Roman" w:cs="Times New Roman"/>
          <w:sz w:val="24"/>
          <w:szCs w:val="24"/>
        </w:rPr>
        <w:t>2</w:t>
      </w:r>
      <w:r w:rsidR="00545C8D">
        <w:rPr>
          <w:rFonts w:ascii="Times New Roman" w:hAnsi="Times New Roman" w:cs="Times New Roman"/>
          <w:sz w:val="24"/>
          <w:szCs w:val="24"/>
        </w:rPr>
        <w:t>8</w:t>
      </w:r>
      <w:r w:rsidR="001C4547" w:rsidRPr="00B31B5B">
        <w:rPr>
          <w:rFonts w:ascii="Times New Roman" w:hAnsi="Times New Roman" w:cs="Times New Roman"/>
          <w:sz w:val="24"/>
          <w:szCs w:val="24"/>
        </w:rPr>
        <w:t xml:space="preserve"> million</w:t>
      </w:r>
      <w:r w:rsidR="00CD2CDD">
        <w:rPr>
          <w:rFonts w:ascii="Times New Roman" w:hAnsi="Times New Roman" w:cs="Times New Roman"/>
          <w:sz w:val="24"/>
          <w:szCs w:val="24"/>
        </w:rPr>
        <w:t xml:space="preserve"> during </w:t>
      </w:r>
      <w:r w:rsidR="000A3FCE">
        <w:rPr>
          <w:rFonts w:ascii="Times New Roman" w:hAnsi="Times New Roman" w:cs="Times New Roman"/>
          <w:sz w:val="24"/>
          <w:szCs w:val="24"/>
        </w:rPr>
        <w:t>the 202</w:t>
      </w:r>
      <w:r w:rsidR="00545C8D">
        <w:rPr>
          <w:rFonts w:ascii="Times New Roman" w:hAnsi="Times New Roman" w:cs="Times New Roman"/>
          <w:sz w:val="24"/>
          <w:szCs w:val="24"/>
        </w:rPr>
        <w:t>3</w:t>
      </w:r>
      <w:r w:rsidR="00982624">
        <w:rPr>
          <w:rFonts w:ascii="Times New Roman" w:hAnsi="Times New Roman" w:cs="Times New Roman"/>
          <w:sz w:val="24"/>
          <w:szCs w:val="24"/>
        </w:rPr>
        <w:t xml:space="preserve"> fiscal year</w:t>
      </w:r>
      <w:r w:rsidR="00436737">
        <w:rPr>
          <w:rFonts w:ascii="Times New Roman" w:hAnsi="Times New Roman" w:cs="Times New Roman"/>
          <w:sz w:val="24"/>
          <w:szCs w:val="24"/>
        </w:rPr>
        <w:t xml:space="preserve"> </w:t>
      </w:r>
      <w:r w:rsidR="00D0515A">
        <w:rPr>
          <w:rFonts w:ascii="Times New Roman" w:hAnsi="Times New Roman" w:cs="Times New Roman"/>
          <w:sz w:val="24"/>
          <w:szCs w:val="24"/>
        </w:rPr>
        <w:t>(in</w:t>
      </w:r>
      <w:r w:rsidR="00485D0C">
        <w:rPr>
          <w:rFonts w:ascii="Times New Roman" w:hAnsi="Times New Roman" w:cs="Times New Roman"/>
          <w:sz w:val="24"/>
          <w:szCs w:val="24"/>
        </w:rPr>
        <w:t>clusive of</w:t>
      </w:r>
      <w:r w:rsidR="00CD2CDD">
        <w:rPr>
          <w:rFonts w:ascii="Times New Roman" w:hAnsi="Times New Roman" w:cs="Times New Roman"/>
          <w:sz w:val="24"/>
          <w:szCs w:val="24"/>
        </w:rPr>
        <w:t xml:space="preserve"> the administrative fee and excluding</w:t>
      </w:r>
      <w:r w:rsidR="00375255" w:rsidRPr="00917772">
        <w:rPr>
          <w:rFonts w:ascii="Times New Roman" w:hAnsi="Times New Roman" w:cs="Times New Roman"/>
          <w:sz w:val="24"/>
          <w:szCs w:val="24"/>
        </w:rPr>
        <w:t xml:space="preserve"> </w:t>
      </w:r>
      <w:r w:rsidR="00F96DAB" w:rsidRPr="00917772">
        <w:rPr>
          <w:rFonts w:ascii="Times New Roman" w:hAnsi="Times New Roman" w:cs="Times New Roman"/>
          <w:sz w:val="24"/>
          <w:szCs w:val="24"/>
        </w:rPr>
        <w:t>income</w:t>
      </w:r>
      <w:r w:rsidR="00053230" w:rsidRPr="00917772">
        <w:rPr>
          <w:rFonts w:ascii="Times New Roman" w:hAnsi="Times New Roman" w:cs="Times New Roman"/>
          <w:sz w:val="24"/>
          <w:szCs w:val="24"/>
        </w:rPr>
        <w:t xml:space="preserve"> distributed </w:t>
      </w:r>
      <w:r w:rsidR="00947907">
        <w:rPr>
          <w:rFonts w:ascii="Times New Roman" w:hAnsi="Times New Roman" w:cs="Times New Roman"/>
          <w:sz w:val="24"/>
          <w:szCs w:val="24"/>
        </w:rPr>
        <w:t>from</w:t>
      </w:r>
      <w:r w:rsidR="00053230" w:rsidRPr="00917772">
        <w:rPr>
          <w:rFonts w:ascii="Times New Roman" w:hAnsi="Times New Roman" w:cs="Times New Roman"/>
          <w:sz w:val="24"/>
          <w:szCs w:val="24"/>
        </w:rPr>
        <w:t xml:space="preserve"> the</w:t>
      </w:r>
      <w:r w:rsidR="00822E2A" w:rsidRPr="00917772">
        <w:rPr>
          <w:rFonts w:ascii="Times New Roman" w:hAnsi="Times New Roman" w:cs="Times New Roman"/>
          <w:sz w:val="24"/>
          <w:szCs w:val="24"/>
        </w:rPr>
        <w:t xml:space="preserve"> </w:t>
      </w:r>
      <w:r w:rsidR="00DA1613">
        <w:rPr>
          <w:rFonts w:ascii="Times New Roman" w:hAnsi="Times New Roman" w:cs="Times New Roman"/>
          <w:sz w:val="24"/>
          <w:szCs w:val="24"/>
        </w:rPr>
        <w:t>permanent c</w:t>
      </w:r>
      <w:r w:rsidR="00A32948">
        <w:rPr>
          <w:rFonts w:ascii="Times New Roman" w:hAnsi="Times New Roman" w:cs="Times New Roman"/>
          <w:sz w:val="24"/>
          <w:szCs w:val="24"/>
        </w:rPr>
        <w:t>ore allocation</w:t>
      </w:r>
      <w:r w:rsidR="000C41E5" w:rsidRPr="00917772">
        <w:rPr>
          <w:rFonts w:ascii="Times New Roman" w:hAnsi="Times New Roman" w:cs="Times New Roman"/>
          <w:sz w:val="24"/>
          <w:szCs w:val="24"/>
        </w:rPr>
        <w:t>)</w:t>
      </w:r>
      <w:r w:rsidR="00822E2A" w:rsidRPr="00917772">
        <w:rPr>
          <w:rFonts w:ascii="Times New Roman" w:hAnsi="Times New Roman" w:cs="Times New Roman"/>
          <w:sz w:val="24"/>
          <w:szCs w:val="24"/>
        </w:rPr>
        <w:t xml:space="preserve">. </w:t>
      </w:r>
    </w:p>
    <w:p w14:paraId="14A750DF" w14:textId="6AFF9FDD" w:rsidR="00657EB2" w:rsidRPr="00B84039" w:rsidRDefault="00657EB2" w:rsidP="00657EB2">
      <w:pPr>
        <w:spacing w:after="240"/>
        <w:rPr>
          <w:rFonts w:ascii="Times New Roman" w:hAnsi="Times New Roman" w:cs="Times New Roman"/>
          <w:b/>
          <w:sz w:val="28"/>
          <w:szCs w:val="28"/>
        </w:rPr>
      </w:pPr>
      <w:r w:rsidRPr="00B84039">
        <w:rPr>
          <w:rFonts w:ascii="Times New Roman" w:hAnsi="Times New Roman" w:cs="Times New Roman"/>
          <w:b/>
          <w:sz w:val="28"/>
          <w:szCs w:val="28"/>
        </w:rPr>
        <w:t>Performance</w:t>
      </w:r>
      <w:r w:rsidR="002C3769">
        <w:rPr>
          <w:rFonts w:ascii="Times New Roman" w:hAnsi="Times New Roman" w:cs="Times New Roman"/>
          <w:b/>
          <w:sz w:val="28"/>
          <w:szCs w:val="28"/>
        </w:rPr>
        <w:t xml:space="preserve"> Measurement</w:t>
      </w:r>
    </w:p>
    <w:p w14:paraId="71D62B1D" w14:textId="5362DFA2" w:rsidR="00657EB2" w:rsidRDefault="00657EB2" w:rsidP="00657EB2">
      <w:pPr>
        <w:spacing w:after="360"/>
        <w:rPr>
          <w:rFonts w:ascii="Times New Roman" w:hAnsi="Times New Roman" w:cs="Times New Roman"/>
          <w:sz w:val="24"/>
          <w:szCs w:val="24"/>
        </w:rPr>
      </w:pPr>
      <w:r>
        <w:rPr>
          <w:rFonts w:ascii="Times New Roman" w:hAnsi="Times New Roman" w:cs="Times New Roman"/>
          <w:sz w:val="24"/>
          <w:szCs w:val="24"/>
        </w:rPr>
        <w:t>A variety of approaches</w:t>
      </w:r>
      <w:r w:rsidR="00E57397">
        <w:rPr>
          <w:rFonts w:ascii="Times New Roman" w:hAnsi="Times New Roman" w:cs="Times New Roman"/>
          <w:sz w:val="24"/>
          <w:szCs w:val="24"/>
        </w:rPr>
        <w:t xml:space="preserve"> </w:t>
      </w:r>
      <w:r>
        <w:rPr>
          <w:rFonts w:ascii="Times New Roman" w:hAnsi="Times New Roman" w:cs="Times New Roman"/>
          <w:sz w:val="24"/>
          <w:szCs w:val="24"/>
        </w:rPr>
        <w:t xml:space="preserve">can be taken in measuring investment performance. </w:t>
      </w:r>
      <w:r w:rsidR="00FF781A">
        <w:rPr>
          <w:rFonts w:ascii="Times New Roman" w:hAnsi="Times New Roman" w:cs="Times New Roman"/>
          <w:sz w:val="24"/>
          <w:szCs w:val="24"/>
        </w:rPr>
        <w:t>Three</w:t>
      </w:r>
      <w:r>
        <w:rPr>
          <w:rFonts w:ascii="Times New Roman" w:hAnsi="Times New Roman" w:cs="Times New Roman"/>
          <w:sz w:val="24"/>
          <w:szCs w:val="24"/>
        </w:rPr>
        <w:t xml:space="preserve"> methods</w:t>
      </w:r>
      <w:r w:rsidR="00687B43">
        <w:rPr>
          <w:rFonts w:ascii="Times New Roman" w:hAnsi="Times New Roman" w:cs="Times New Roman"/>
          <w:sz w:val="24"/>
          <w:szCs w:val="24"/>
        </w:rPr>
        <w:t xml:space="preserve"> — (</w:t>
      </w:r>
      <w:r w:rsidR="009E6275">
        <w:rPr>
          <w:rFonts w:ascii="Times New Roman" w:hAnsi="Times New Roman" w:cs="Times New Roman"/>
          <w:sz w:val="24"/>
          <w:szCs w:val="24"/>
        </w:rPr>
        <w:t xml:space="preserve">1) </w:t>
      </w:r>
      <w:r>
        <w:rPr>
          <w:rFonts w:ascii="Times New Roman" w:hAnsi="Times New Roman" w:cs="Times New Roman"/>
          <w:sz w:val="24"/>
          <w:szCs w:val="24"/>
        </w:rPr>
        <w:t xml:space="preserve">total return relative to the </w:t>
      </w:r>
      <w:r w:rsidR="009E6275">
        <w:rPr>
          <w:rFonts w:ascii="Times New Roman" w:hAnsi="Times New Roman" w:cs="Times New Roman"/>
          <w:sz w:val="24"/>
          <w:szCs w:val="24"/>
        </w:rPr>
        <w:t>combined rate of spending and inflation</w:t>
      </w:r>
      <w:r>
        <w:rPr>
          <w:rFonts w:ascii="Times New Roman" w:hAnsi="Times New Roman" w:cs="Times New Roman"/>
          <w:sz w:val="24"/>
          <w:szCs w:val="24"/>
        </w:rPr>
        <w:t xml:space="preserve">, </w:t>
      </w:r>
      <w:r w:rsidR="00FF781A">
        <w:rPr>
          <w:rFonts w:ascii="Times New Roman" w:hAnsi="Times New Roman" w:cs="Times New Roman"/>
          <w:sz w:val="24"/>
          <w:szCs w:val="24"/>
        </w:rPr>
        <w:t>(2</w:t>
      </w:r>
      <w:r w:rsidR="009E6275">
        <w:rPr>
          <w:rFonts w:ascii="Times New Roman" w:hAnsi="Times New Roman" w:cs="Times New Roman"/>
          <w:sz w:val="24"/>
          <w:szCs w:val="24"/>
        </w:rPr>
        <w:t xml:space="preserve">) </w:t>
      </w:r>
      <w:r>
        <w:rPr>
          <w:rFonts w:ascii="Times New Roman" w:hAnsi="Times New Roman" w:cs="Times New Roman"/>
          <w:sz w:val="24"/>
          <w:szCs w:val="24"/>
        </w:rPr>
        <w:t xml:space="preserve">total return relative to the performance benchmark, and </w:t>
      </w:r>
      <w:r w:rsidR="009E6275">
        <w:rPr>
          <w:rFonts w:ascii="Times New Roman" w:hAnsi="Times New Roman" w:cs="Times New Roman"/>
          <w:sz w:val="24"/>
          <w:szCs w:val="24"/>
        </w:rPr>
        <w:t>(</w:t>
      </w:r>
      <w:r w:rsidR="00FF781A">
        <w:rPr>
          <w:rFonts w:ascii="Times New Roman" w:hAnsi="Times New Roman" w:cs="Times New Roman"/>
          <w:sz w:val="24"/>
          <w:szCs w:val="24"/>
        </w:rPr>
        <w:t>3</w:t>
      </w:r>
      <w:r w:rsidR="009E6275">
        <w:rPr>
          <w:rFonts w:ascii="Times New Roman" w:hAnsi="Times New Roman" w:cs="Times New Roman"/>
          <w:sz w:val="24"/>
          <w:szCs w:val="24"/>
        </w:rPr>
        <w:t xml:space="preserve">) </w:t>
      </w:r>
      <w:r>
        <w:rPr>
          <w:rFonts w:ascii="Times New Roman" w:hAnsi="Times New Roman" w:cs="Times New Roman"/>
          <w:sz w:val="24"/>
          <w:szCs w:val="24"/>
        </w:rPr>
        <w:t>cash flow activity—are presented below</w:t>
      </w:r>
      <w:r w:rsidR="003554A7">
        <w:rPr>
          <w:rFonts w:ascii="Times New Roman" w:hAnsi="Times New Roman" w:cs="Times New Roman"/>
          <w:sz w:val="24"/>
          <w:szCs w:val="24"/>
        </w:rPr>
        <w:t xml:space="preserve"> to provide a holistic view of e</w:t>
      </w:r>
      <w:r>
        <w:rPr>
          <w:rFonts w:ascii="Times New Roman" w:hAnsi="Times New Roman" w:cs="Times New Roman"/>
          <w:sz w:val="24"/>
          <w:szCs w:val="24"/>
        </w:rPr>
        <w:t>ndowment</w:t>
      </w:r>
      <w:r w:rsidR="003554A7">
        <w:rPr>
          <w:rFonts w:ascii="Times New Roman" w:hAnsi="Times New Roman" w:cs="Times New Roman"/>
          <w:sz w:val="24"/>
          <w:szCs w:val="24"/>
        </w:rPr>
        <w:t xml:space="preserve"> p</w:t>
      </w:r>
      <w:r w:rsidR="00EB4E4A">
        <w:rPr>
          <w:rFonts w:ascii="Times New Roman" w:hAnsi="Times New Roman" w:cs="Times New Roman"/>
          <w:sz w:val="24"/>
          <w:szCs w:val="24"/>
        </w:rPr>
        <w:t>ool</w:t>
      </w:r>
      <w:r>
        <w:rPr>
          <w:rFonts w:ascii="Times New Roman" w:hAnsi="Times New Roman" w:cs="Times New Roman"/>
          <w:sz w:val="24"/>
          <w:szCs w:val="24"/>
        </w:rPr>
        <w:t xml:space="preserve"> performance.</w:t>
      </w:r>
    </w:p>
    <w:p w14:paraId="41097F8E" w14:textId="6DE9C572" w:rsidR="009E6275" w:rsidRPr="009E6275" w:rsidRDefault="009E6275" w:rsidP="009E6275">
      <w:pPr>
        <w:spacing w:after="0"/>
        <w:rPr>
          <w:rFonts w:ascii="Times New Roman" w:hAnsi="Times New Roman" w:cs="Times New Roman"/>
          <w:sz w:val="24"/>
          <w:szCs w:val="24"/>
          <w:u w:val="single"/>
        </w:rPr>
      </w:pPr>
      <w:r>
        <w:rPr>
          <w:rFonts w:ascii="Times New Roman" w:hAnsi="Times New Roman" w:cs="Times New Roman"/>
          <w:sz w:val="24"/>
          <w:szCs w:val="24"/>
          <w:u w:val="single"/>
        </w:rPr>
        <w:t>Total Return Relative to Spending and Inflation Rates</w:t>
      </w:r>
    </w:p>
    <w:p w14:paraId="25591537" w14:textId="03987BF5" w:rsidR="00CA18DE" w:rsidRDefault="00BC0956" w:rsidP="0095581D">
      <w:pPr>
        <w:rPr>
          <w:rFonts w:ascii="Times New Roman" w:hAnsi="Times New Roman" w:cs="Times New Roman"/>
          <w:sz w:val="24"/>
          <w:szCs w:val="24"/>
        </w:rPr>
      </w:pPr>
      <w:r>
        <w:rPr>
          <w:rFonts w:ascii="Times New Roman" w:hAnsi="Times New Roman" w:cs="Times New Roman"/>
          <w:sz w:val="24"/>
          <w:szCs w:val="24"/>
        </w:rPr>
        <w:t>Five-year</w:t>
      </w:r>
      <w:r w:rsidR="00A151AC" w:rsidRPr="00A151AC">
        <w:rPr>
          <w:rFonts w:ascii="Times New Roman" w:hAnsi="Times New Roman" w:cs="Times New Roman"/>
          <w:sz w:val="24"/>
          <w:szCs w:val="24"/>
        </w:rPr>
        <w:t xml:space="preserve"> returns</w:t>
      </w:r>
      <w:r w:rsidR="00DF1782">
        <w:rPr>
          <w:rFonts w:ascii="Times New Roman" w:hAnsi="Times New Roman" w:cs="Times New Roman"/>
          <w:sz w:val="24"/>
          <w:szCs w:val="24"/>
        </w:rPr>
        <w:t xml:space="preserve"> </w:t>
      </w:r>
      <w:r w:rsidR="00E06ABB">
        <w:rPr>
          <w:rFonts w:ascii="Times New Roman" w:hAnsi="Times New Roman" w:cs="Times New Roman"/>
          <w:sz w:val="24"/>
          <w:szCs w:val="24"/>
        </w:rPr>
        <w:t>as of</w:t>
      </w:r>
      <w:r w:rsidR="00DF1782">
        <w:rPr>
          <w:rFonts w:ascii="Times New Roman" w:hAnsi="Times New Roman" w:cs="Times New Roman"/>
          <w:sz w:val="24"/>
          <w:szCs w:val="24"/>
        </w:rPr>
        <w:t xml:space="preserve"> fiscal years 201</w:t>
      </w:r>
      <w:r w:rsidR="00687B43">
        <w:rPr>
          <w:rFonts w:ascii="Times New Roman" w:hAnsi="Times New Roman" w:cs="Times New Roman"/>
          <w:sz w:val="24"/>
          <w:szCs w:val="24"/>
        </w:rPr>
        <w:t>9</w:t>
      </w:r>
      <w:r w:rsidR="00DF1782">
        <w:rPr>
          <w:rFonts w:ascii="Times New Roman" w:hAnsi="Times New Roman" w:cs="Times New Roman"/>
          <w:sz w:val="24"/>
          <w:szCs w:val="24"/>
        </w:rPr>
        <w:t>-202</w:t>
      </w:r>
      <w:r w:rsidR="00687B43">
        <w:rPr>
          <w:rFonts w:ascii="Times New Roman" w:hAnsi="Times New Roman" w:cs="Times New Roman"/>
          <w:sz w:val="24"/>
          <w:szCs w:val="24"/>
        </w:rPr>
        <w:t>3</w:t>
      </w:r>
      <w:r w:rsidR="00A151AC" w:rsidRPr="00A151AC">
        <w:rPr>
          <w:rFonts w:ascii="Times New Roman" w:hAnsi="Times New Roman" w:cs="Times New Roman"/>
          <w:sz w:val="24"/>
          <w:szCs w:val="24"/>
        </w:rPr>
        <w:t xml:space="preserve"> are presented </w:t>
      </w:r>
      <w:r w:rsidR="00952311" w:rsidRPr="00917772">
        <w:rPr>
          <w:rFonts w:ascii="Times New Roman" w:hAnsi="Times New Roman" w:cs="Times New Roman"/>
          <w:sz w:val="24"/>
          <w:szCs w:val="24"/>
        </w:rPr>
        <w:t xml:space="preserve">relative to </w:t>
      </w:r>
      <w:r w:rsidR="00CA18DE" w:rsidRPr="00917772">
        <w:rPr>
          <w:rFonts w:ascii="Times New Roman" w:hAnsi="Times New Roman" w:cs="Times New Roman"/>
          <w:sz w:val="24"/>
          <w:szCs w:val="24"/>
        </w:rPr>
        <w:t xml:space="preserve">the </w:t>
      </w:r>
      <w:r w:rsidR="00E06ABB">
        <w:rPr>
          <w:rFonts w:ascii="Times New Roman" w:hAnsi="Times New Roman" w:cs="Times New Roman"/>
          <w:sz w:val="24"/>
          <w:szCs w:val="24"/>
        </w:rPr>
        <w:t>endowment pool’s hurdle rate (</w:t>
      </w:r>
      <w:r w:rsidR="00E06ABB">
        <w:rPr>
          <w:rFonts w:ascii="Times New Roman" w:hAnsi="Times New Roman" w:cs="Times New Roman"/>
          <w:i/>
          <w:iCs/>
          <w:sz w:val="24"/>
          <w:szCs w:val="24"/>
        </w:rPr>
        <w:t>i.e.,</w:t>
      </w:r>
      <w:r w:rsidR="00E06ABB">
        <w:t xml:space="preserve"> </w:t>
      </w:r>
      <w:r w:rsidR="00CA18DE" w:rsidRPr="00917772">
        <w:rPr>
          <w:rFonts w:ascii="Times New Roman" w:hAnsi="Times New Roman" w:cs="Times New Roman"/>
          <w:sz w:val="24"/>
          <w:szCs w:val="24"/>
        </w:rPr>
        <w:t xml:space="preserve">effective spending rate </w:t>
      </w:r>
      <w:r w:rsidR="00E06ABB">
        <w:rPr>
          <w:rFonts w:ascii="Times New Roman" w:hAnsi="Times New Roman" w:cs="Times New Roman"/>
          <w:sz w:val="24"/>
          <w:szCs w:val="24"/>
        </w:rPr>
        <w:t>plus</w:t>
      </w:r>
      <w:r w:rsidR="00CA18DE" w:rsidRPr="00917772">
        <w:rPr>
          <w:rFonts w:ascii="Times New Roman" w:hAnsi="Times New Roman" w:cs="Times New Roman"/>
          <w:sz w:val="24"/>
          <w:szCs w:val="24"/>
        </w:rPr>
        <w:t xml:space="preserve"> the consum</w:t>
      </w:r>
      <w:r w:rsidR="00B52922" w:rsidRPr="00917772">
        <w:rPr>
          <w:rFonts w:ascii="Times New Roman" w:hAnsi="Times New Roman" w:cs="Times New Roman"/>
          <w:sz w:val="24"/>
          <w:szCs w:val="24"/>
        </w:rPr>
        <w:t>er price index (CPI)</w:t>
      </w:r>
      <w:r w:rsidR="00E06ABB">
        <w:rPr>
          <w:rFonts w:ascii="Times New Roman" w:hAnsi="Times New Roman" w:cs="Times New Roman"/>
          <w:sz w:val="24"/>
          <w:szCs w:val="24"/>
        </w:rPr>
        <w:t>)</w:t>
      </w:r>
      <w:r w:rsidR="00B52922" w:rsidRPr="00917772">
        <w:rPr>
          <w:rFonts w:ascii="Times New Roman" w:hAnsi="Times New Roman" w:cs="Times New Roman"/>
          <w:sz w:val="24"/>
          <w:szCs w:val="24"/>
        </w:rPr>
        <w:t xml:space="preserve"> in Figure </w:t>
      </w:r>
      <w:r w:rsidR="008D66D1">
        <w:rPr>
          <w:rFonts w:ascii="Times New Roman" w:hAnsi="Times New Roman" w:cs="Times New Roman"/>
          <w:sz w:val="24"/>
          <w:szCs w:val="24"/>
        </w:rPr>
        <w:t>5</w:t>
      </w:r>
      <w:r w:rsidR="00A32948">
        <w:rPr>
          <w:rFonts w:ascii="Times New Roman" w:hAnsi="Times New Roman" w:cs="Times New Roman"/>
          <w:sz w:val="24"/>
          <w:szCs w:val="24"/>
        </w:rPr>
        <w:t>.</w:t>
      </w:r>
      <w:r w:rsidR="00485D0C">
        <w:rPr>
          <w:rFonts w:ascii="Times New Roman" w:hAnsi="Times New Roman" w:cs="Times New Roman"/>
          <w:sz w:val="24"/>
          <w:szCs w:val="24"/>
        </w:rPr>
        <w:t xml:space="preserve"> </w:t>
      </w:r>
      <w:r w:rsidR="00A32948">
        <w:rPr>
          <w:rFonts w:ascii="Times New Roman" w:hAnsi="Times New Roman" w:cs="Times New Roman"/>
          <w:sz w:val="24"/>
          <w:szCs w:val="24"/>
        </w:rPr>
        <w:t xml:space="preserve"> </w:t>
      </w:r>
      <w:r w:rsidR="00DF1782">
        <w:rPr>
          <w:rFonts w:ascii="Times New Roman" w:hAnsi="Times New Roman" w:cs="Times New Roman"/>
          <w:sz w:val="24"/>
          <w:szCs w:val="24"/>
        </w:rPr>
        <w:t xml:space="preserve">The effective spending rate is inclusive of the administrative fee. </w:t>
      </w:r>
      <w:r w:rsidR="00F41052">
        <w:rPr>
          <w:rFonts w:ascii="Times New Roman" w:hAnsi="Times New Roman" w:cs="Times New Roman"/>
          <w:sz w:val="24"/>
          <w:szCs w:val="24"/>
        </w:rPr>
        <w:t xml:space="preserve">This comparison provides a medium-term assessment of whether endowment returns </w:t>
      </w:r>
      <w:r w:rsidR="004C0A87">
        <w:rPr>
          <w:rFonts w:ascii="Times New Roman" w:hAnsi="Times New Roman" w:cs="Times New Roman"/>
          <w:sz w:val="24"/>
          <w:szCs w:val="24"/>
        </w:rPr>
        <w:t>are sufficient to offset inflation and spending.</w:t>
      </w:r>
      <w:r w:rsidR="009A50C2">
        <w:rPr>
          <w:rFonts w:ascii="Times New Roman" w:hAnsi="Times New Roman" w:cs="Times New Roman"/>
          <w:sz w:val="24"/>
          <w:szCs w:val="24"/>
        </w:rPr>
        <w:t xml:space="preserve"> Endowment pool returns exceeded the hurdle rate for </w:t>
      </w:r>
      <w:r w:rsidR="004A1959">
        <w:rPr>
          <w:rFonts w:ascii="Times New Roman" w:hAnsi="Times New Roman" w:cs="Times New Roman"/>
          <w:sz w:val="24"/>
          <w:szCs w:val="24"/>
        </w:rPr>
        <w:t>one</w:t>
      </w:r>
      <w:r w:rsidR="009A50C2">
        <w:rPr>
          <w:rFonts w:ascii="Times New Roman" w:hAnsi="Times New Roman" w:cs="Times New Roman"/>
          <w:sz w:val="24"/>
          <w:szCs w:val="24"/>
        </w:rPr>
        <w:t xml:space="preserve"> of the five periods </w:t>
      </w:r>
      <w:r w:rsidR="004E473B">
        <w:rPr>
          <w:rFonts w:ascii="Times New Roman" w:hAnsi="Times New Roman" w:cs="Times New Roman"/>
          <w:sz w:val="24"/>
          <w:szCs w:val="24"/>
        </w:rPr>
        <w:t>under consideration</w:t>
      </w:r>
      <w:r w:rsidR="00BF1AEA">
        <w:rPr>
          <w:rFonts w:ascii="Times New Roman" w:hAnsi="Times New Roman" w:cs="Times New Roman"/>
          <w:sz w:val="24"/>
          <w:szCs w:val="24"/>
        </w:rPr>
        <w:t>,</w:t>
      </w:r>
      <w:r w:rsidR="004E473B">
        <w:rPr>
          <w:rFonts w:ascii="Times New Roman" w:hAnsi="Times New Roman" w:cs="Times New Roman"/>
          <w:sz w:val="24"/>
          <w:szCs w:val="24"/>
        </w:rPr>
        <w:t xml:space="preserve"> </w:t>
      </w:r>
      <w:r w:rsidR="009A50C2">
        <w:rPr>
          <w:rFonts w:ascii="Times New Roman" w:hAnsi="Times New Roman" w:cs="Times New Roman"/>
          <w:sz w:val="24"/>
          <w:szCs w:val="24"/>
        </w:rPr>
        <w:t>with the FY2</w:t>
      </w:r>
      <w:r w:rsidR="004A1959">
        <w:rPr>
          <w:rFonts w:ascii="Times New Roman" w:hAnsi="Times New Roman" w:cs="Times New Roman"/>
          <w:sz w:val="24"/>
          <w:szCs w:val="24"/>
        </w:rPr>
        <w:t>2 and 2</w:t>
      </w:r>
      <w:r w:rsidR="00687B43">
        <w:rPr>
          <w:rFonts w:ascii="Times New Roman" w:hAnsi="Times New Roman" w:cs="Times New Roman"/>
          <w:sz w:val="24"/>
          <w:szCs w:val="24"/>
        </w:rPr>
        <w:t>3</w:t>
      </w:r>
      <w:r w:rsidR="009A50C2">
        <w:rPr>
          <w:rFonts w:ascii="Times New Roman" w:hAnsi="Times New Roman" w:cs="Times New Roman"/>
          <w:sz w:val="24"/>
          <w:szCs w:val="24"/>
        </w:rPr>
        <w:t xml:space="preserve"> hurdle rate</w:t>
      </w:r>
      <w:r w:rsidR="004A1959">
        <w:rPr>
          <w:rFonts w:ascii="Times New Roman" w:hAnsi="Times New Roman" w:cs="Times New Roman"/>
          <w:sz w:val="24"/>
          <w:szCs w:val="24"/>
        </w:rPr>
        <w:t>s</w:t>
      </w:r>
      <w:r w:rsidR="009A50C2">
        <w:rPr>
          <w:rFonts w:ascii="Times New Roman" w:hAnsi="Times New Roman" w:cs="Times New Roman"/>
          <w:sz w:val="24"/>
          <w:szCs w:val="24"/>
        </w:rPr>
        <w:t xml:space="preserve"> impacted by </w:t>
      </w:r>
      <w:r w:rsidR="00E06ABB">
        <w:rPr>
          <w:rFonts w:ascii="Times New Roman" w:hAnsi="Times New Roman" w:cs="Times New Roman"/>
          <w:sz w:val="24"/>
          <w:szCs w:val="24"/>
        </w:rPr>
        <w:t>a</w:t>
      </w:r>
      <w:r w:rsidR="009A50C2">
        <w:rPr>
          <w:rFonts w:ascii="Times New Roman" w:hAnsi="Times New Roman" w:cs="Times New Roman"/>
          <w:sz w:val="24"/>
          <w:szCs w:val="24"/>
        </w:rPr>
        <w:t xml:space="preserve"> </w:t>
      </w:r>
      <w:r w:rsidR="004E473B">
        <w:rPr>
          <w:rFonts w:ascii="Times New Roman" w:hAnsi="Times New Roman" w:cs="Times New Roman"/>
          <w:sz w:val="24"/>
          <w:szCs w:val="24"/>
        </w:rPr>
        <w:t>drastic</w:t>
      </w:r>
      <w:r w:rsidR="009A50C2">
        <w:rPr>
          <w:rFonts w:ascii="Times New Roman" w:hAnsi="Times New Roman" w:cs="Times New Roman"/>
          <w:sz w:val="24"/>
          <w:szCs w:val="24"/>
        </w:rPr>
        <w:t xml:space="preserve"> increase in inflation</w:t>
      </w:r>
      <w:r w:rsidR="009A50C2" w:rsidRPr="004A1959">
        <w:rPr>
          <w:rFonts w:ascii="Times New Roman" w:hAnsi="Times New Roman" w:cs="Times New Roman"/>
          <w:sz w:val="24"/>
          <w:szCs w:val="24"/>
        </w:rPr>
        <w:t>.</w:t>
      </w:r>
      <w:r w:rsidR="004A1959" w:rsidRPr="004A1959">
        <w:rPr>
          <w:rFonts w:ascii="Times New Roman" w:hAnsi="Times New Roman" w:cs="Times New Roman"/>
          <w:sz w:val="24"/>
          <w:szCs w:val="24"/>
        </w:rPr>
        <w:t xml:space="preserve"> </w:t>
      </w:r>
      <w:r w:rsidR="009A50C2" w:rsidRPr="004A1959">
        <w:rPr>
          <w:rFonts w:ascii="Times New Roman" w:hAnsi="Times New Roman" w:cs="Times New Roman"/>
          <w:sz w:val="24"/>
          <w:szCs w:val="24"/>
        </w:rPr>
        <w:t xml:space="preserve"> </w:t>
      </w:r>
      <w:r w:rsidR="004E473B" w:rsidRPr="004A1959">
        <w:rPr>
          <w:rFonts w:ascii="Times New Roman" w:hAnsi="Times New Roman" w:cs="Times New Roman"/>
          <w:sz w:val="24"/>
          <w:szCs w:val="24"/>
        </w:rPr>
        <w:t>Forward-looking inflationary expectations will be monitored to ensure that the endowment’s asset allocation and spending rate remain appropriate.</w:t>
      </w:r>
    </w:p>
    <w:p w14:paraId="3EE99E79" w14:textId="6BD8B3AF" w:rsidR="00657EB2" w:rsidRDefault="00E1022B" w:rsidP="00E1022B">
      <w:pPr>
        <w:rPr>
          <w:rFonts w:ascii="Times New Roman" w:hAnsi="Times New Roman" w:cs="Times New Roman"/>
          <w:b/>
          <w:sz w:val="24"/>
          <w:szCs w:val="24"/>
        </w:rPr>
      </w:pPr>
      <w:r>
        <w:rPr>
          <w:rFonts w:ascii="Times New Roman" w:hAnsi="Times New Roman" w:cs="Times New Roman"/>
          <w:b/>
          <w:sz w:val="24"/>
          <w:szCs w:val="24"/>
        </w:rPr>
        <w:t xml:space="preserve">                      </w:t>
      </w:r>
    </w:p>
    <w:p w14:paraId="73721E88" w14:textId="77777777" w:rsidR="00A32948" w:rsidRDefault="00A32948" w:rsidP="00E1022B">
      <w:pPr>
        <w:rPr>
          <w:rFonts w:ascii="Times New Roman" w:hAnsi="Times New Roman" w:cs="Times New Roman"/>
          <w:b/>
          <w:sz w:val="24"/>
          <w:szCs w:val="24"/>
        </w:rPr>
      </w:pPr>
    </w:p>
    <w:p w14:paraId="56BE5FE6" w14:textId="77777777" w:rsidR="00687B43" w:rsidRDefault="00EE5F9E" w:rsidP="003A534A">
      <w:pPr>
        <w:rPr>
          <w:rFonts w:ascii="Times New Roman" w:hAnsi="Times New Roman" w:cs="Times New Roman"/>
          <w:b/>
          <w:sz w:val="24"/>
          <w:szCs w:val="24"/>
        </w:rPr>
      </w:pPr>
      <w:r w:rsidRPr="009E6275">
        <w:rPr>
          <w:rFonts w:ascii="Times New Roman" w:hAnsi="Times New Roman" w:cs="Times New Roman"/>
          <w:b/>
          <w:sz w:val="24"/>
          <w:szCs w:val="24"/>
        </w:rPr>
        <w:t xml:space="preserve">                </w:t>
      </w:r>
      <w:r w:rsidR="00BE6010">
        <w:rPr>
          <w:rFonts w:ascii="Times New Roman" w:hAnsi="Times New Roman" w:cs="Times New Roman"/>
          <w:b/>
          <w:sz w:val="24"/>
          <w:szCs w:val="24"/>
        </w:rPr>
        <w:t xml:space="preserve"> </w:t>
      </w:r>
      <w:r w:rsidR="00BE6010">
        <w:rPr>
          <w:rFonts w:ascii="Times New Roman" w:hAnsi="Times New Roman" w:cs="Times New Roman"/>
          <w:b/>
          <w:sz w:val="24"/>
          <w:szCs w:val="24"/>
        </w:rPr>
        <w:tab/>
      </w:r>
      <w:r w:rsidR="000A3FCE">
        <w:rPr>
          <w:rFonts w:ascii="Times New Roman" w:hAnsi="Times New Roman" w:cs="Times New Roman"/>
          <w:b/>
          <w:sz w:val="24"/>
          <w:szCs w:val="24"/>
        </w:rPr>
        <w:t xml:space="preserve"> </w:t>
      </w:r>
    </w:p>
    <w:p w14:paraId="09473FDE" w14:textId="77777777" w:rsidR="00687B43" w:rsidRDefault="00687B43" w:rsidP="003A534A">
      <w:pPr>
        <w:rPr>
          <w:rFonts w:ascii="Times New Roman" w:hAnsi="Times New Roman" w:cs="Times New Roman"/>
          <w:b/>
          <w:sz w:val="24"/>
          <w:szCs w:val="24"/>
        </w:rPr>
      </w:pPr>
    </w:p>
    <w:p w14:paraId="60A509CF" w14:textId="77777777" w:rsidR="00E06ABB" w:rsidRDefault="00687B43" w:rsidP="00687B43">
      <w:pPr>
        <w:ind w:left="720" w:firstLine="720"/>
        <w:rPr>
          <w:rFonts w:ascii="Times New Roman" w:hAnsi="Times New Roman" w:cs="Times New Roman"/>
          <w:b/>
          <w:sz w:val="24"/>
          <w:szCs w:val="24"/>
        </w:rPr>
      </w:pPr>
      <w:r>
        <w:rPr>
          <w:rFonts w:ascii="Times New Roman" w:hAnsi="Times New Roman" w:cs="Times New Roman"/>
          <w:b/>
          <w:sz w:val="24"/>
          <w:szCs w:val="24"/>
        </w:rPr>
        <w:t xml:space="preserve"> </w:t>
      </w:r>
    </w:p>
    <w:p w14:paraId="26B5F197" w14:textId="5D4FB5E9" w:rsidR="00E84D90" w:rsidRPr="00E84D90" w:rsidRDefault="00536860" w:rsidP="00687B43">
      <w:pPr>
        <w:ind w:left="720" w:firstLine="72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57EB2" w:rsidRPr="00186967">
        <w:rPr>
          <w:rFonts w:ascii="Times New Roman" w:hAnsi="Times New Roman" w:cs="Times New Roman"/>
          <w:b/>
          <w:sz w:val="24"/>
          <w:szCs w:val="24"/>
        </w:rPr>
        <w:t xml:space="preserve">Figure </w:t>
      </w:r>
      <w:r w:rsidR="008D66D1" w:rsidRPr="00186967">
        <w:rPr>
          <w:rFonts w:ascii="Times New Roman" w:hAnsi="Times New Roman" w:cs="Times New Roman"/>
          <w:b/>
          <w:sz w:val="24"/>
          <w:szCs w:val="24"/>
        </w:rPr>
        <w:t>5</w:t>
      </w:r>
      <w:r w:rsidR="00CB3AA6">
        <w:rPr>
          <w:rFonts w:ascii="Times New Roman" w:hAnsi="Times New Roman" w:cs="Times New Roman"/>
          <w:b/>
          <w:sz w:val="24"/>
          <w:szCs w:val="24"/>
        </w:rPr>
        <w:t xml:space="preserve"> </w:t>
      </w:r>
    </w:p>
    <w:p w14:paraId="7051F501" w14:textId="27BD46C8" w:rsidR="006C3DDA" w:rsidRDefault="00186967" w:rsidP="00FF781A">
      <w:pPr>
        <w:spacing w:after="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EF661C" wp14:editId="10F274AC">
            <wp:extent cx="4737100" cy="2755900"/>
            <wp:effectExtent l="0" t="0" r="6350" b="6350"/>
            <wp:docPr id="1794824139" name="Picture 1" descr="bar and line chart showing 5 year returns on effective spending rate.  bar graph shows effective spending rate and cpi for fy 19 to fy 23, line graph shows endowment pool total return over those same years.  endowment pool beginning in fy19 is 5.4, 4.6, 10.2, 6.9 and 6.5  effective spending rate beginning in fy 19 is almost flat at 5 all years.  CPI beginning in fy19 is 6, 6.1, 7.8, 8.3, and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24139" name="Picture 1" descr="bar and line chart showing 5 year returns on effective spending rate.  bar graph shows effective spending rate and cpi for fy 19 to fy 23, line graph shows endowment pool total return over those same years.  endowment pool beginning in fy19 is 5.4, 4.6, 10.2, 6.9 and 6.5  effective spending rate beginning in fy 19 is almost flat at 5 all years.  CPI beginning in fy19 is 6, 6.1, 7.8, 8.3, and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7100" cy="2755900"/>
                    </a:xfrm>
                    <a:prstGeom prst="rect">
                      <a:avLst/>
                    </a:prstGeom>
                    <a:noFill/>
                  </pic:spPr>
                </pic:pic>
              </a:graphicData>
            </a:graphic>
          </wp:inline>
        </w:drawing>
      </w:r>
    </w:p>
    <w:p w14:paraId="33AE10E9" w14:textId="023C7387" w:rsidR="009E6275" w:rsidRPr="009E6275" w:rsidRDefault="009E6275" w:rsidP="009E6275">
      <w:pPr>
        <w:spacing w:after="0"/>
        <w:rPr>
          <w:rFonts w:ascii="Times New Roman" w:hAnsi="Times New Roman" w:cs="Times New Roman"/>
          <w:sz w:val="24"/>
          <w:szCs w:val="24"/>
          <w:u w:val="single"/>
        </w:rPr>
      </w:pPr>
      <w:r>
        <w:rPr>
          <w:rFonts w:ascii="Times New Roman" w:hAnsi="Times New Roman" w:cs="Times New Roman"/>
          <w:sz w:val="24"/>
          <w:szCs w:val="24"/>
          <w:u w:val="single"/>
        </w:rPr>
        <w:t>Total Return Relative to Performance Benchmark</w:t>
      </w:r>
    </w:p>
    <w:p w14:paraId="3F1D29BA" w14:textId="74118153" w:rsidR="008C102D" w:rsidRDefault="006C3DDA">
      <w:pPr>
        <w:rPr>
          <w:rFonts w:ascii="Times New Roman" w:hAnsi="Times New Roman" w:cs="Times New Roman"/>
          <w:sz w:val="24"/>
          <w:szCs w:val="24"/>
        </w:rPr>
      </w:pPr>
      <w:r w:rsidRPr="008943C3">
        <w:rPr>
          <w:rFonts w:ascii="Times New Roman" w:hAnsi="Times New Roman" w:cs="Times New Roman"/>
          <w:sz w:val="24"/>
          <w:szCs w:val="24"/>
        </w:rPr>
        <w:t>T</w:t>
      </w:r>
      <w:r w:rsidR="00DA1613" w:rsidRPr="008943C3">
        <w:rPr>
          <w:rFonts w:ascii="Times New Roman" w:hAnsi="Times New Roman" w:cs="Times New Roman"/>
          <w:sz w:val="24"/>
          <w:szCs w:val="24"/>
        </w:rPr>
        <w:t>he e</w:t>
      </w:r>
      <w:r w:rsidR="00216524" w:rsidRPr="008943C3">
        <w:rPr>
          <w:rFonts w:ascii="Times New Roman" w:hAnsi="Times New Roman" w:cs="Times New Roman"/>
          <w:sz w:val="24"/>
          <w:szCs w:val="24"/>
        </w:rPr>
        <w:t xml:space="preserve">ndowment </w:t>
      </w:r>
      <w:r w:rsidR="007A054A" w:rsidRPr="008943C3">
        <w:rPr>
          <w:rFonts w:ascii="Times New Roman" w:hAnsi="Times New Roman" w:cs="Times New Roman"/>
          <w:sz w:val="24"/>
          <w:szCs w:val="24"/>
        </w:rPr>
        <w:t>outperformed i</w:t>
      </w:r>
      <w:r w:rsidR="00216524" w:rsidRPr="008943C3">
        <w:rPr>
          <w:rFonts w:ascii="Times New Roman" w:hAnsi="Times New Roman" w:cs="Times New Roman"/>
          <w:sz w:val="24"/>
          <w:szCs w:val="24"/>
        </w:rPr>
        <w:t xml:space="preserve">ts performance benchmark over </w:t>
      </w:r>
      <w:r w:rsidR="007A054A" w:rsidRPr="00706B36">
        <w:rPr>
          <w:rFonts w:ascii="Times New Roman" w:hAnsi="Times New Roman" w:cs="Times New Roman"/>
          <w:sz w:val="24"/>
          <w:szCs w:val="24"/>
        </w:rPr>
        <w:t xml:space="preserve">the </w:t>
      </w:r>
      <w:r w:rsidR="00042761" w:rsidRPr="00706B36">
        <w:rPr>
          <w:rFonts w:ascii="Times New Roman" w:hAnsi="Times New Roman" w:cs="Times New Roman"/>
          <w:sz w:val="24"/>
          <w:szCs w:val="24"/>
        </w:rPr>
        <w:t>three-</w:t>
      </w:r>
      <w:r w:rsidR="007A054A" w:rsidRPr="00706B36">
        <w:rPr>
          <w:rFonts w:ascii="Times New Roman" w:hAnsi="Times New Roman" w:cs="Times New Roman"/>
          <w:sz w:val="24"/>
          <w:szCs w:val="24"/>
        </w:rPr>
        <w:t>year period</w:t>
      </w:r>
      <w:r w:rsidR="007A054A" w:rsidRPr="008943C3">
        <w:rPr>
          <w:rFonts w:ascii="Times New Roman" w:hAnsi="Times New Roman" w:cs="Times New Roman"/>
          <w:sz w:val="24"/>
          <w:szCs w:val="24"/>
        </w:rPr>
        <w:t xml:space="preserve"> but </w:t>
      </w:r>
      <w:r w:rsidR="00706B36">
        <w:rPr>
          <w:rFonts w:ascii="Times New Roman" w:hAnsi="Times New Roman" w:cs="Times New Roman"/>
          <w:sz w:val="24"/>
          <w:szCs w:val="24"/>
        </w:rPr>
        <w:t>lagged over the 1- year and longer</w:t>
      </w:r>
      <w:r w:rsidR="00B859DB">
        <w:rPr>
          <w:rFonts w:ascii="Times New Roman" w:hAnsi="Times New Roman" w:cs="Times New Roman"/>
          <w:sz w:val="24"/>
          <w:szCs w:val="24"/>
        </w:rPr>
        <w:t>-term</w:t>
      </w:r>
      <w:r w:rsidR="00706B36">
        <w:rPr>
          <w:rFonts w:ascii="Times New Roman" w:hAnsi="Times New Roman" w:cs="Times New Roman"/>
          <w:sz w:val="24"/>
          <w:szCs w:val="24"/>
        </w:rPr>
        <w:t xml:space="preserve"> periods. Over the one-year period, the primary detractor of relative performance was the farmland allocation</w:t>
      </w:r>
      <w:r w:rsidR="00B859DB">
        <w:rPr>
          <w:rFonts w:ascii="Times New Roman" w:hAnsi="Times New Roman" w:cs="Times New Roman"/>
          <w:sz w:val="24"/>
          <w:szCs w:val="24"/>
        </w:rPr>
        <w:t xml:space="preserve">, which led or approximated its benchmark </w:t>
      </w:r>
      <w:r w:rsidR="00BC0956">
        <w:rPr>
          <w:rFonts w:ascii="Times New Roman" w:hAnsi="Times New Roman" w:cs="Times New Roman"/>
          <w:sz w:val="24"/>
          <w:szCs w:val="24"/>
        </w:rPr>
        <w:t xml:space="preserve">for </w:t>
      </w:r>
      <w:r w:rsidR="00B859DB">
        <w:rPr>
          <w:rFonts w:ascii="Times New Roman" w:hAnsi="Times New Roman" w:cs="Times New Roman"/>
          <w:sz w:val="24"/>
          <w:szCs w:val="24"/>
        </w:rPr>
        <w:t>all other periods</w:t>
      </w:r>
      <w:r w:rsidR="00706B36">
        <w:rPr>
          <w:rFonts w:ascii="Times New Roman" w:hAnsi="Times New Roman" w:cs="Times New Roman"/>
          <w:sz w:val="24"/>
          <w:szCs w:val="24"/>
        </w:rPr>
        <w:t xml:space="preserve">. Over longer periods, U.S. equity and diversifying strategies underperformed; however, the team’s approach to these asset classes has shifted in recent years, leading to relative outperformance under the </w:t>
      </w:r>
      <w:r w:rsidR="00536860">
        <w:rPr>
          <w:rFonts w:ascii="Times New Roman" w:hAnsi="Times New Roman" w:cs="Times New Roman"/>
          <w:sz w:val="24"/>
          <w:szCs w:val="24"/>
        </w:rPr>
        <w:t>new</w:t>
      </w:r>
      <w:r w:rsidR="00706B36">
        <w:rPr>
          <w:rFonts w:ascii="Times New Roman" w:hAnsi="Times New Roman" w:cs="Times New Roman"/>
          <w:sz w:val="24"/>
          <w:szCs w:val="24"/>
        </w:rPr>
        <w:t xml:space="preserve"> strategies.  </w:t>
      </w:r>
      <w:r w:rsidR="008C102D" w:rsidRPr="008943C3">
        <w:rPr>
          <w:rFonts w:ascii="Times New Roman" w:hAnsi="Times New Roman" w:cs="Times New Roman"/>
          <w:sz w:val="24"/>
          <w:szCs w:val="24"/>
        </w:rPr>
        <w:t>The historical investm</w:t>
      </w:r>
      <w:r w:rsidR="00DA1613" w:rsidRPr="008943C3">
        <w:rPr>
          <w:rFonts w:ascii="Times New Roman" w:hAnsi="Times New Roman" w:cs="Times New Roman"/>
          <w:sz w:val="24"/>
          <w:szCs w:val="24"/>
        </w:rPr>
        <w:t>ent performance of the e</w:t>
      </w:r>
      <w:r w:rsidR="008C102D" w:rsidRPr="008943C3">
        <w:rPr>
          <w:rFonts w:ascii="Times New Roman" w:hAnsi="Times New Roman" w:cs="Times New Roman"/>
          <w:sz w:val="24"/>
          <w:szCs w:val="24"/>
        </w:rPr>
        <w:t xml:space="preserve">ndowment has been provided in Figure </w:t>
      </w:r>
      <w:r w:rsidR="008D66D1">
        <w:rPr>
          <w:rFonts w:ascii="Times New Roman" w:hAnsi="Times New Roman" w:cs="Times New Roman"/>
          <w:sz w:val="24"/>
          <w:szCs w:val="24"/>
        </w:rPr>
        <w:t>6</w:t>
      </w:r>
      <w:r w:rsidR="008C102D" w:rsidRPr="008943C3">
        <w:rPr>
          <w:rFonts w:ascii="Times New Roman" w:hAnsi="Times New Roman" w:cs="Times New Roman"/>
          <w:sz w:val="24"/>
          <w:szCs w:val="24"/>
        </w:rPr>
        <w:t>.</w:t>
      </w:r>
    </w:p>
    <w:p w14:paraId="0B35E7F3" w14:textId="186301E9" w:rsidR="006C3DDA" w:rsidRPr="008C102D" w:rsidRDefault="00D816CE" w:rsidP="00D816CE">
      <w:pPr>
        <w:rPr>
          <w:rFonts w:ascii="Times New Roman" w:hAnsi="Times New Roman" w:cs="Times New Roman"/>
          <w:b/>
          <w:sz w:val="24"/>
          <w:szCs w:val="24"/>
        </w:rPr>
      </w:pPr>
      <w:r>
        <w:rPr>
          <w:rFonts w:ascii="Times New Roman" w:hAnsi="Times New Roman" w:cs="Times New Roman"/>
          <w:b/>
          <w:sz w:val="24"/>
          <w:szCs w:val="24"/>
        </w:rPr>
        <w:t xml:space="preserve">    </w:t>
      </w:r>
      <w:r w:rsidR="008C102D" w:rsidRPr="00706B36">
        <w:rPr>
          <w:rFonts w:ascii="Times New Roman" w:hAnsi="Times New Roman" w:cs="Times New Roman"/>
          <w:b/>
          <w:sz w:val="24"/>
          <w:szCs w:val="24"/>
        </w:rPr>
        <w:t xml:space="preserve">Figure </w:t>
      </w:r>
      <w:r w:rsidR="008D66D1" w:rsidRPr="00706B36">
        <w:rPr>
          <w:rFonts w:ascii="Times New Roman" w:hAnsi="Times New Roman" w:cs="Times New Roman"/>
          <w:b/>
          <w:sz w:val="24"/>
          <w:szCs w:val="24"/>
        </w:rPr>
        <w:t>6</w:t>
      </w:r>
      <w:r w:rsidR="00CB3AA6">
        <w:rPr>
          <w:rFonts w:ascii="Times New Roman" w:hAnsi="Times New Roman" w:cs="Times New Roman"/>
          <w:b/>
          <w:sz w:val="24"/>
          <w:szCs w:val="24"/>
        </w:rPr>
        <w:t xml:space="preserve"> </w:t>
      </w:r>
    </w:p>
    <w:p w14:paraId="58CC7375" w14:textId="672BD2BA" w:rsidR="008C102D" w:rsidRDefault="00BF7115" w:rsidP="0016179F">
      <w:pPr>
        <w:jc w:val="center"/>
        <w:rPr>
          <w:rFonts w:ascii="Times New Roman" w:hAnsi="Times New Roman" w:cs="Times New Roman"/>
          <w:sz w:val="24"/>
          <w:szCs w:val="24"/>
        </w:rPr>
      </w:pPr>
      <w:r>
        <w:rPr>
          <w:noProof/>
        </w:rPr>
        <w:drawing>
          <wp:inline distT="0" distB="0" distL="0" distR="0" wp14:anchorId="174009A2" wp14:editId="4D8174AC">
            <wp:extent cx="6329363" cy="2424113"/>
            <wp:effectExtent l="0" t="0" r="14605" b="14605"/>
            <wp:docPr id="24" name="Chart 24" descr="endowment pool historical performance bar graph comparing pool to benchmark over time  1 year pool at 6.4%, benchmark at 8.4, 3 years pool at 9.2 benchmark at 9, 5 years pool at 6.5 benchmark at 7.2, 10 years pool at 6.9 benchmark at 7.5, since inception in 1987 pool at 8.0 benchmark a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CE89DF" w14:textId="13F9090D" w:rsidR="00865A66" w:rsidRDefault="00865A66" w:rsidP="0016179F">
      <w:pPr>
        <w:jc w:val="center"/>
        <w:rPr>
          <w:rFonts w:ascii="Times New Roman" w:hAnsi="Times New Roman" w:cs="Times New Roman"/>
          <w:sz w:val="24"/>
          <w:szCs w:val="24"/>
        </w:rPr>
      </w:pPr>
    </w:p>
    <w:p w14:paraId="7485C1E6" w14:textId="77777777" w:rsidR="00FF781A" w:rsidRDefault="00FF781A" w:rsidP="009E6275">
      <w:pPr>
        <w:spacing w:after="0"/>
        <w:rPr>
          <w:rFonts w:ascii="Times New Roman" w:hAnsi="Times New Roman" w:cs="Times New Roman"/>
          <w:sz w:val="24"/>
          <w:szCs w:val="24"/>
          <w:u w:val="single"/>
        </w:rPr>
      </w:pPr>
    </w:p>
    <w:p w14:paraId="3FA56A0D" w14:textId="77777777" w:rsidR="00FF781A" w:rsidRDefault="00FF781A" w:rsidP="009E6275">
      <w:pPr>
        <w:spacing w:after="0"/>
        <w:rPr>
          <w:rFonts w:ascii="Times New Roman" w:hAnsi="Times New Roman" w:cs="Times New Roman"/>
          <w:sz w:val="24"/>
          <w:szCs w:val="24"/>
          <w:u w:val="single"/>
        </w:rPr>
      </w:pPr>
    </w:p>
    <w:p w14:paraId="5228C23F" w14:textId="77777777" w:rsidR="00FF781A" w:rsidRDefault="00FF781A" w:rsidP="009E6275">
      <w:pPr>
        <w:spacing w:after="0"/>
        <w:rPr>
          <w:rFonts w:ascii="Times New Roman" w:hAnsi="Times New Roman" w:cs="Times New Roman"/>
          <w:sz w:val="24"/>
          <w:szCs w:val="24"/>
          <w:u w:val="single"/>
        </w:rPr>
      </w:pPr>
    </w:p>
    <w:p w14:paraId="36D6465D" w14:textId="77777777" w:rsidR="003A534A" w:rsidRDefault="003A534A" w:rsidP="009E6275">
      <w:pPr>
        <w:spacing w:after="0"/>
        <w:rPr>
          <w:rFonts w:ascii="Times New Roman" w:hAnsi="Times New Roman" w:cs="Times New Roman"/>
          <w:sz w:val="24"/>
          <w:szCs w:val="24"/>
          <w:u w:val="single"/>
        </w:rPr>
      </w:pPr>
    </w:p>
    <w:p w14:paraId="65AF7D2B" w14:textId="77777777" w:rsidR="003A534A" w:rsidRDefault="003A534A" w:rsidP="009E6275">
      <w:pPr>
        <w:spacing w:after="0"/>
        <w:rPr>
          <w:rFonts w:ascii="Times New Roman" w:hAnsi="Times New Roman" w:cs="Times New Roman"/>
          <w:sz w:val="24"/>
          <w:szCs w:val="24"/>
          <w:u w:val="single"/>
        </w:rPr>
      </w:pPr>
    </w:p>
    <w:p w14:paraId="58882D0D" w14:textId="55562AA9" w:rsidR="009E6275" w:rsidRPr="009E6275" w:rsidRDefault="009E6275" w:rsidP="009E6275">
      <w:pPr>
        <w:spacing w:after="0"/>
        <w:rPr>
          <w:rFonts w:ascii="Times New Roman" w:hAnsi="Times New Roman" w:cs="Times New Roman"/>
          <w:sz w:val="24"/>
          <w:szCs w:val="24"/>
          <w:u w:val="single"/>
        </w:rPr>
      </w:pPr>
      <w:r>
        <w:rPr>
          <w:rFonts w:ascii="Times New Roman" w:hAnsi="Times New Roman" w:cs="Times New Roman"/>
          <w:sz w:val="24"/>
          <w:szCs w:val="24"/>
          <w:u w:val="single"/>
        </w:rPr>
        <w:t>Cash Flow Activity</w:t>
      </w:r>
    </w:p>
    <w:p w14:paraId="53DD04E6" w14:textId="74E9CFD5" w:rsidR="00865A66" w:rsidRDefault="00DA1613" w:rsidP="00D64B0C">
      <w:pPr>
        <w:spacing w:after="360"/>
        <w:rPr>
          <w:rFonts w:ascii="Times New Roman" w:hAnsi="Times New Roman" w:cs="Times New Roman"/>
          <w:sz w:val="24"/>
          <w:szCs w:val="24"/>
        </w:rPr>
      </w:pPr>
      <w:r>
        <w:rPr>
          <w:rFonts w:ascii="Times New Roman" w:hAnsi="Times New Roman" w:cs="Times New Roman"/>
          <w:sz w:val="24"/>
          <w:szCs w:val="24"/>
        </w:rPr>
        <w:t>The endowment p</w:t>
      </w:r>
      <w:r w:rsidR="00C96869">
        <w:rPr>
          <w:rFonts w:ascii="Times New Roman" w:hAnsi="Times New Roman" w:cs="Times New Roman"/>
          <w:sz w:val="24"/>
          <w:szCs w:val="24"/>
        </w:rPr>
        <w:t>ool</w:t>
      </w:r>
      <w:r w:rsidR="007A054A">
        <w:rPr>
          <w:rFonts w:ascii="Times New Roman" w:hAnsi="Times New Roman" w:cs="Times New Roman"/>
          <w:sz w:val="24"/>
          <w:szCs w:val="24"/>
        </w:rPr>
        <w:t xml:space="preserve"> balance</w:t>
      </w:r>
      <w:r w:rsidR="00C96869">
        <w:rPr>
          <w:rFonts w:ascii="Times New Roman" w:hAnsi="Times New Roman" w:cs="Times New Roman"/>
          <w:sz w:val="24"/>
          <w:szCs w:val="24"/>
        </w:rPr>
        <w:t xml:space="preserve"> is impacted </w:t>
      </w:r>
      <w:r w:rsidR="00015A18">
        <w:rPr>
          <w:rFonts w:ascii="Times New Roman" w:hAnsi="Times New Roman" w:cs="Times New Roman"/>
          <w:sz w:val="24"/>
          <w:szCs w:val="24"/>
        </w:rPr>
        <w:t xml:space="preserve">by </w:t>
      </w:r>
      <w:r w:rsidR="00BF1AEA">
        <w:rPr>
          <w:rFonts w:ascii="Times New Roman" w:hAnsi="Times New Roman" w:cs="Times New Roman"/>
          <w:sz w:val="24"/>
          <w:szCs w:val="24"/>
        </w:rPr>
        <w:t xml:space="preserve">net additions, </w:t>
      </w:r>
      <w:r w:rsidR="00D64B0C">
        <w:rPr>
          <w:rFonts w:ascii="Times New Roman" w:hAnsi="Times New Roman" w:cs="Times New Roman"/>
          <w:sz w:val="24"/>
          <w:szCs w:val="24"/>
        </w:rPr>
        <w:t>spending distribution</w:t>
      </w:r>
      <w:r w:rsidR="00FA662F">
        <w:rPr>
          <w:rFonts w:ascii="Times New Roman" w:hAnsi="Times New Roman" w:cs="Times New Roman"/>
          <w:sz w:val="24"/>
          <w:szCs w:val="24"/>
        </w:rPr>
        <w:t>,</w:t>
      </w:r>
      <w:r w:rsidR="00C96869">
        <w:rPr>
          <w:rFonts w:ascii="Times New Roman" w:hAnsi="Times New Roman" w:cs="Times New Roman"/>
          <w:sz w:val="24"/>
          <w:szCs w:val="24"/>
        </w:rPr>
        <w:t xml:space="preserve"> </w:t>
      </w:r>
      <w:r w:rsidR="00D7058A">
        <w:rPr>
          <w:rFonts w:ascii="Times New Roman" w:hAnsi="Times New Roman" w:cs="Times New Roman"/>
          <w:sz w:val="24"/>
          <w:szCs w:val="24"/>
        </w:rPr>
        <w:t>and capital appreciation</w:t>
      </w:r>
      <w:r w:rsidR="00C96869">
        <w:rPr>
          <w:rFonts w:ascii="Times New Roman" w:hAnsi="Times New Roman" w:cs="Times New Roman"/>
          <w:sz w:val="24"/>
          <w:szCs w:val="24"/>
        </w:rPr>
        <w:t xml:space="preserve">. The impact of </w:t>
      </w:r>
      <w:r w:rsidR="00485D0C">
        <w:rPr>
          <w:rFonts w:ascii="Times New Roman" w:hAnsi="Times New Roman" w:cs="Times New Roman"/>
          <w:sz w:val="24"/>
          <w:szCs w:val="24"/>
        </w:rPr>
        <w:t>these</w:t>
      </w:r>
      <w:r w:rsidR="00C96869">
        <w:rPr>
          <w:rFonts w:ascii="Times New Roman" w:hAnsi="Times New Roman" w:cs="Times New Roman"/>
          <w:sz w:val="24"/>
          <w:szCs w:val="24"/>
        </w:rPr>
        <w:t xml:space="preserve"> factors </w:t>
      </w:r>
      <w:r w:rsidR="00042761">
        <w:rPr>
          <w:rFonts w:ascii="Times New Roman" w:hAnsi="Times New Roman" w:cs="Times New Roman"/>
          <w:sz w:val="24"/>
          <w:szCs w:val="24"/>
        </w:rPr>
        <w:t xml:space="preserve">on the pool (excluding the permanent core allocation) </w:t>
      </w:r>
      <w:r w:rsidR="00C96869">
        <w:rPr>
          <w:rFonts w:ascii="Times New Roman" w:hAnsi="Times New Roman" w:cs="Times New Roman"/>
          <w:sz w:val="24"/>
          <w:szCs w:val="24"/>
        </w:rPr>
        <w:t xml:space="preserve">over a </w:t>
      </w:r>
      <w:r w:rsidR="00042761">
        <w:rPr>
          <w:rFonts w:ascii="Times New Roman" w:hAnsi="Times New Roman" w:cs="Times New Roman"/>
          <w:sz w:val="24"/>
          <w:szCs w:val="24"/>
        </w:rPr>
        <w:t>ten-year</w:t>
      </w:r>
      <w:r w:rsidR="00C96869">
        <w:rPr>
          <w:rFonts w:ascii="Times New Roman" w:hAnsi="Times New Roman" w:cs="Times New Roman"/>
          <w:sz w:val="24"/>
          <w:szCs w:val="24"/>
        </w:rPr>
        <w:t xml:space="preserve"> period as of </w:t>
      </w:r>
      <w:r w:rsidR="00986199">
        <w:rPr>
          <w:rFonts w:ascii="Times New Roman" w:hAnsi="Times New Roman" w:cs="Times New Roman"/>
          <w:sz w:val="24"/>
          <w:szCs w:val="24"/>
        </w:rPr>
        <w:t>June 30, 20</w:t>
      </w:r>
      <w:r w:rsidR="00BF7115">
        <w:rPr>
          <w:rFonts w:ascii="Times New Roman" w:hAnsi="Times New Roman" w:cs="Times New Roman"/>
          <w:sz w:val="24"/>
          <w:szCs w:val="24"/>
        </w:rPr>
        <w:t>2</w:t>
      </w:r>
      <w:r w:rsidR="00042761">
        <w:rPr>
          <w:rFonts w:ascii="Times New Roman" w:hAnsi="Times New Roman" w:cs="Times New Roman"/>
          <w:sz w:val="24"/>
          <w:szCs w:val="24"/>
        </w:rPr>
        <w:t>3</w:t>
      </w:r>
      <w:r w:rsidR="00C96869" w:rsidRPr="00CD1D9B">
        <w:rPr>
          <w:rFonts w:ascii="Times New Roman" w:hAnsi="Times New Roman" w:cs="Times New Roman"/>
          <w:sz w:val="24"/>
          <w:szCs w:val="24"/>
        </w:rPr>
        <w:t>, is summarized</w:t>
      </w:r>
      <w:r w:rsidR="00490825">
        <w:rPr>
          <w:rFonts w:ascii="Times New Roman" w:hAnsi="Times New Roman" w:cs="Times New Roman"/>
          <w:sz w:val="24"/>
          <w:szCs w:val="24"/>
        </w:rPr>
        <w:t xml:space="preserve"> </w:t>
      </w:r>
      <w:r w:rsidR="00C96869">
        <w:rPr>
          <w:rFonts w:ascii="Times New Roman" w:hAnsi="Times New Roman" w:cs="Times New Roman"/>
          <w:sz w:val="24"/>
          <w:szCs w:val="24"/>
        </w:rPr>
        <w:t xml:space="preserve">in Figure </w:t>
      </w:r>
      <w:r w:rsidR="008D66D1">
        <w:rPr>
          <w:rFonts w:ascii="Times New Roman" w:hAnsi="Times New Roman" w:cs="Times New Roman"/>
          <w:sz w:val="24"/>
          <w:szCs w:val="24"/>
        </w:rPr>
        <w:t>7</w:t>
      </w:r>
      <w:r w:rsidR="00C96869">
        <w:rPr>
          <w:rFonts w:ascii="Times New Roman" w:hAnsi="Times New Roman" w:cs="Times New Roman"/>
          <w:sz w:val="24"/>
          <w:szCs w:val="24"/>
        </w:rPr>
        <w:t>.</w:t>
      </w:r>
      <w:r w:rsidR="00015A18">
        <w:rPr>
          <w:rFonts w:ascii="Times New Roman" w:hAnsi="Times New Roman" w:cs="Times New Roman"/>
          <w:sz w:val="24"/>
          <w:szCs w:val="24"/>
        </w:rPr>
        <w:t xml:space="preserve"> </w:t>
      </w:r>
    </w:p>
    <w:p w14:paraId="5351BD6C" w14:textId="75AA8C9B" w:rsidR="002867BA" w:rsidRDefault="00714CE6">
      <w:pPr>
        <w:rPr>
          <w:rFonts w:ascii="Times New Roman" w:hAnsi="Times New Roman" w:cs="Times New Roman"/>
          <w:b/>
          <w:sz w:val="24"/>
          <w:szCs w:val="24"/>
        </w:rPr>
      </w:pPr>
      <w:r w:rsidRPr="009E6275">
        <w:rPr>
          <w:rFonts w:ascii="Times New Roman" w:hAnsi="Times New Roman" w:cs="Times New Roman"/>
          <w:b/>
          <w:sz w:val="24"/>
          <w:szCs w:val="24"/>
        </w:rPr>
        <w:t xml:space="preserve">                        </w:t>
      </w:r>
      <w:r w:rsidR="00EE5F9E" w:rsidRPr="009E6275">
        <w:rPr>
          <w:rFonts w:ascii="Times New Roman" w:hAnsi="Times New Roman" w:cs="Times New Roman"/>
          <w:b/>
          <w:sz w:val="24"/>
          <w:szCs w:val="24"/>
        </w:rPr>
        <w:t xml:space="preserve"> </w:t>
      </w:r>
      <w:r w:rsidRPr="009E6275">
        <w:rPr>
          <w:rFonts w:ascii="Times New Roman" w:hAnsi="Times New Roman" w:cs="Times New Roman"/>
          <w:b/>
          <w:sz w:val="24"/>
          <w:szCs w:val="24"/>
        </w:rPr>
        <w:t xml:space="preserve"> </w:t>
      </w:r>
      <w:r w:rsidR="00536860">
        <w:rPr>
          <w:rFonts w:ascii="Times New Roman" w:hAnsi="Times New Roman" w:cs="Times New Roman"/>
          <w:b/>
          <w:sz w:val="24"/>
          <w:szCs w:val="24"/>
        </w:rPr>
        <w:t xml:space="preserve">                     </w:t>
      </w:r>
      <w:r w:rsidR="00C96869" w:rsidRPr="00F70824">
        <w:rPr>
          <w:rFonts w:ascii="Times New Roman" w:hAnsi="Times New Roman" w:cs="Times New Roman"/>
          <w:b/>
          <w:sz w:val="24"/>
          <w:szCs w:val="24"/>
        </w:rPr>
        <w:t xml:space="preserve">Figure </w:t>
      </w:r>
      <w:r w:rsidR="008D66D1" w:rsidRPr="00F70824">
        <w:rPr>
          <w:rFonts w:ascii="Times New Roman" w:hAnsi="Times New Roman" w:cs="Times New Roman"/>
          <w:b/>
          <w:sz w:val="24"/>
          <w:szCs w:val="24"/>
        </w:rPr>
        <w:t>7</w:t>
      </w:r>
    </w:p>
    <w:tbl>
      <w:tblPr>
        <w:tblW w:w="479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8"/>
        <w:gridCol w:w="2803"/>
      </w:tblGrid>
      <w:tr w:rsidR="00D64B0C" w:rsidRPr="00D64B0C" w14:paraId="2C689D7A" w14:textId="77777777" w:rsidTr="00BC6185">
        <w:trPr>
          <w:trHeight w:val="315"/>
          <w:jc w:val="center"/>
        </w:trPr>
        <w:tc>
          <w:tcPr>
            <w:tcW w:w="4791" w:type="dxa"/>
            <w:gridSpan w:val="2"/>
            <w:shd w:val="clear" w:color="auto" w:fill="auto"/>
            <w:noWrap/>
            <w:hideMark/>
          </w:tcPr>
          <w:p w14:paraId="3F15DCC6" w14:textId="77777777" w:rsidR="00E06ABB" w:rsidRDefault="00D64B0C" w:rsidP="00F07B9E">
            <w:pPr>
              <w:spacing w:after="0" w:line="240" w:lineRule="auto"/>
              <w:jc w:val="center"/>
              <w:rPr>
                <w:rFonts w:ascii="Times New Roman" w:eastAsia="Times New Roman" w:hAnsi="Times New Roman" w:cs="Times New Roman"/>
                <w:b/>
                <w:bCs/>
                <w:sz w:val="24"/>
                <w:szCs w:val="24"/>
              </w:rPr>
            </w:pPr>
            <w:r w:rsidRPr="00D64B0C">
              <w:rPr>
                <w:rFonts w:ascii="Times New Roman" w:eastAsia="Times New Roman" w:hAnsi="Times New Roman" w:cs="Times New Roman"/>
                <w:b/>
                <w:bCs/>
                <w:sz w:val="24"/>
                <w:szCs w:val="24"/>
              </w:rPr>
              <w:t xml:space="preserve">Summary of Endowment Pool Activity </w:t>
            </w:r>
          </w:p>
          <w:p w14:paraId="1999629B" w14:textId="6083E5DB" w:rsidR="00D64B0C" w:rsidRPr="00D64B0C" w:rsidRDefault="00AC50BD" w:rsidP="00F07B9E">
            <w:pPr>
              <w:spacing w:after="0" w:line="240" w:lineRule="auto"/>
              <w:jc w:val="center"/>
              <w:rPr>
                <w:rFonts w:ascii="Times New Roman" w:eastAsia="Times New Roman" w:hAnsi="Times New Roman" w:cs="Times New Roman"/>
                <w:b/>
                <w:bCs/>
                <w:sz w:val="24"/>
                <w:szCs w:val="24"/>
              </w:rPr>
            </w:pPr>
            <w:r w:rsidRPr="004A1959">
              <w:rPr>
                <w:rFonts w:ascii="Times New Roman" w:eastAsia="Times New Roman" w:hAnsi="Times New Roman" w:cs="Times New Roman"/>
                <w:b/>
                <w:bCs/>
              </w:rPr>
              <w:t>FY1</w:t>
            </w:r>
            <w:r w:rsidR="00BC6185" w:rsidRPr="004A1959">
              <w:rPr>
                <w:rFonts w:ascii="Times New Roman" w:eastAsia="Times New Roman" w:hAnsi="Times New Roman" w:cs="Times New Roman"/>
                <w:b/>
                <w:bCs/>
              </w:rPr>
              <w:t>4</w:t>
            </w:r>
            <w:r w:rsidR="00E06ABB">
              <w:rPr>
                <w:rFonts w:ascii="Times New Roman" w:eastAsia="Times New Roman" w:hAnsi="Times New Roman" w:cs="Times New Roman"/>
                <w:b/>
                <w:bCs/>
              </w:rPr>
              <w:t xml:space="preserve"> </w:t>
            </w:r>
            <w:r w:rsidR="00D64B0C" w:rsidRPr="004A1959">
              <w:rPr>
                <w:rFonts w:ascii="Times New Roman" w:eastAsia="Times New Roman" w:hAnsi="Times New Roman" w:cs="Times New Roman"/>
                <w:b/>
                <w:bCs/>
              </w:rPr>
              <w:t>-</w:t>
            </w:r>
            <w:r w:rsidR="00E06ABB">
              <w:rPr>
                <w:rFonts w:ascii="Times New Roman" w:eastAsia="Times New Roman" w:hAnsi="Times New Roman" w:cs="Times New Roman"/>
                <w:b/>
                <w:bCs/>
              </w:rPr>
              <w:t xml:space="preserve"> </w:t>
            </w:r>
            <w:r w:rsidR="000A3C09" w:rsidRPr="004A1959">
              <w:rPr>
                <w:rFonts w:ascii="Times New Roman" w:eastAsia="Times New Roman" w:hAnsi="Times New Roman" w:cs="Times New Roman"/>
                <w:b/>
                <w:bCs/>
              </w:rPr>
              <w:t>FY2</w:t>
            </w:r>
            <w:r w:rsidR="00BC6185" w:rsidRPr="004A1959">
              <w:rPr>
                <w:rFonts w:ascii="Times New Roman" w:eastAsia="Times New Roman" w:hAnsi="Times New Roman" w:cs="Times New Roman"/>
                <w:b/>
                <w:bCs/>
              </w:rPr>
              <w:t>3</w:t>
            </w:r>
          </w:p>
        </w:tc>
      </w:tr>
      <w:tr w:rsidR="00D64B0C" w:rsidRPr="00D64B0C" w14:paraId="4D4BD5BD" w14:textId="77777777" w:rsidTr="00BC6185">
        <w:trPr>
          <w:trHeight w:val="300"/>
          <w:jc w:val="center"/>
        </w:trPr>
        <w:tc>
          <w:tcPr>
            <w:tcW w:w="4791" w:type="dxa"/>
            <w:gridSpan w:val="2"/>
            <w:shd w:val="clear" w:color="auto" w:fill="auto"/>
            <w:noWrap/>
            <w:hideMark/>
          </w:tcPr>
          <w:p w14:paraId="446E0F40" w14:textId="77777777" w:rsidR="00D64B0C" w:rsidRPr="00D64B0C" w:rsidRDefault="00D64B0C" w:rsidP="00D64B0C">
            <w:pPr>
              <w:spacing w:after="0" w:line="240" w:lineRule="auto"/>
              <w:jc w:val="center"/>
              <w:rPr>
                <w:rFonts w:ascii="Times New Roman" w:eastAsia="Times New Roman" w:hAnsi="Times New Roman" w:cs="Times New Roman"/>
                <w:color w:val="000000"/>
                <w:sz w:val="20"/>
                <w:szCs w:val="20"/>
              </w:rPr>
            </w:pPr>
            <w:r w:rsidRPr="00D64B0C">
              <w:rPr>
                <w:rFonts w:ascii="Times New Roman" w:eastAsia="Times New Roman" w:hAnsi="Times New Roman" w:cs="Times New Roman"/>
                <w:color w:val="000000"/>
                <w:sz w:val="20"/>
                <w:szCs w:val="20"/>
              </w:rPr>
              <w:t>All figures in millions</w:t>
            </w:r>
          </w:p>
        </w:tc>
      </w:tr>
      <w:tr w:rsidR="00D64B0C" w:rsidRPr="00D64B0C" w14:paraId="2075C70D" w14:textId="77777777" w:rsidTr="00BC6185">
        <w:trPr>
          <w:trHeight w:val="300"/>
          <w:jc w:val="center"/>
        </w:trPr>
        <w:tc>
          <w:tcPr>
            <w:tcW w:w="1988" w:type="dxa"/>
            <w:shd w:val="clear" w:color="auto" w:fill="auto"/>
            <w:noWrap/>
            <w:vAlign w:val="bottom"/>
            <w:hideMark/>
          </w:tcPr>
          <w:p w14:paraId="7153A0C1" w14:textId="77777777" w:rsidR="00D64B0C" w:rsidRPr="00D64B0C" w:rsidRDefault="00D64B0C" w:rsidP="00D64B0C">
            <w:pPr>
              <w:spacing w:after="0" w:line="240" w:lineRule="auto"/>
              <w:rPr>
                <w:rFonts w:ascii="Times New Roman" w:eastAsia="Times New Roman" w:hAnsi="Times New Roman" w:cs="Times New Roman"/>
                <w:color w:val="000000"/>
              </w:rPr>
            </w:pPr>
            <w:r w:rsidRPr="00D64B0C">
              <w:rPr>
                <w:rFonts w:ascii="Times New Roman" w:eastAsia="Times New Roman" w:hAnsi="Times New Roman" w:cs="Times New Roman"/>
                <w:color w:val="000000"/>
              </w:rPr>
              <w:t> </w:t>
            </w:r>
          </w:p>
        </w:tc>
        <w:tc>
          <w:tcPr>
            <w:tcW w:w="2799" w:type="dxa"/>
            <w:shd w:val="clear" w:color="auto" w:fill="auto"/>
            <w:noWrap/>
            <w:vAlign w:val="bottom"/>
            <w:hideMark/>
          </w:tcPr>
          <w:p w14:paraId="304AF7F0" w14:textId="77777777" w:rsidR="00D64B0C" w:rsidRPr="00D64B0C" w:rsidRDefault="00D64B0C" w:rsidP="00D64B0C">
            <w:pPr>
              <w:spacing w:after="0" w:line="240" w:lineRule="auto"/>
              <w:rPr>
                <w:rFonts w:ascii="Times New Roman" w:eastAsia="Times New Roman" w:hAnsi="Times New Roman" w:cs="Times New Roman"/>
                <w:color w:val="000000"/>
              </w:rPr>
            </w:pPr>
            <w:r w:rsidRPr="00D64B0C">
              <w:rPr>
                <w:rFonts w:ascii="Times New Roman" w:eastAsia="Times New Roman" w:hAnsi="Times New Roman" w:cs="Times New Roman"/>
                <w:color w:val="000000"/>
              </w:rPr>
              <w:t> </w:t>
            </w:r>
          </w:p>
        </w:tc>
      </w:tr>
      <w:tr w:rsidR="00D64B0C" w:rsidRPr="00D64B0C" w14:paraId="3C73F614" w14:textId="77777777" w:rsidTr="00BC6185">
        <w:trPr>
          <w:trHeight w:val="300"/>
          <w:jc w:val="center"/>
        </w:trPr>
        <w:tc>
          <w:tcPr>
            <w:tcW w:w="1988" w:type="dxa"/>
            <w:shd w:val="clear" w:color="auto" w:fill="auto"/>
            <w:noWrap/>
            <w:vAlign w:val="bottom"/>
            <w:hideMark/>
          </w:tcPr>
          <w:p w14:paraId="61620162" w14:textId="77777777" w:rsidR="00D64B0C" w:rsidRPr="00D64B0C" w:rsidRDefault="00D64B0C" w:rsidP="00D64B0C">
            <w:pPr>
              <w:spacing w:after="0" w:line="240" w:lineRule="auto"/>
              <w:rPr>
                <w:rFonts w:ascii="Times New Roman" w:eastAsia="Times New Roman" w:hAnsi="Times New Roman" w:cs="Times New Roman"/>
                <w:color w:val="000000"/>
                <w:sz w:val="20"/>
                <w:szCs w:val="20"/>
              </w:rPr>
            </w:pPr>
            <w:r w:rsidRPr="00D64B0C">
              <w:rPr>
                <w:rFonts w:ascii="Times New Roman" w:eastAsia="Times New Roman" w:hAnsi="Times New Roman" w:cs="Times New Roman"/>
                <w:color w:val="000000"/>
                <w:sz w:val="20"/>
                <w:szCs w:val="20"/>
              </w:rPr>
              <w:t> </w:t>
            </w:r>
          </w:p>
        </w:tc>
        <w:tc>
          <w:tcPr>
            <w:tcW w:w="2799" w:type="dxa"/>
            <w:shd w:val="clear" w:color="auto" w:fill="auto"/>
            <w:noWrap/>
            <w:hideMark/>
          </w:tcPr>
          <w:p w14:paraId="07DBE745" w14:textId="2D8E1819" w:rsidR="00D64B0C" w:rsidRPr="00D64B0C" w:rsidRDefault="00D64B0C" w:rsidP="00D64B0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Ten Year</w:t>
            </w:r>
            <w:r w:rsidRPr="00D64B0C">
              <w:rPr>
                <w:rFonts w:ascii="Times New Roman" w:eastAsia="Times New Roman" w:hAnsi="Times New Roman" w:cs="Times New Roman"/>
                <w:b/>
                <w:color w:val="000000"/>
                <w:sz w:val="20"/>
                <w:szCs w:val="20"/>
              </w:rPr>
              <w:t xml:space="preserve"> Totals</w:t>
            </w:r>
          </w:p>
        </w:tc>
      </w:tr>
      <w:tr w:rsidR="00D64B0C" w:rsidRPr="00D64B0C" w14:paraId="60225055" w14:textId="77777777" w:rsidTr="00BC6185">
        <w:trPr>
          <w:trHeight w:val="300"/>
          <w:jc w:val="center"/>
        </w:trPr>
        <w:tc>
          <w:tcPr>
            <w:tcW w:w="1988" w:type="dxa"/>
            <w:shd w:val="clear" w:color="auto" w:fill="auto"/>
            <w:noWrap/>
            <w:vAlign w:val="bottom"/>
            <w:hideMark/>
          </w:tcPr>
          <w:p w14:paraId="47B440B2" w14:textId="77777777" w:rsidR="00D64B0C" w:rsidRPr="00D64B0C" w:rsidRDefault="00D64B0C" w:rsidP="00D64B0C">
            <w:pPr>
              <w:spacing w:after="0" w:line="240" w:lineRule="auto"/>
              <w:rPr>
                <w:rFonts w:ascii="Times New Roman" w:eastAsia="Times New Roman" w:hAnsi="Times New Roman" w:cs="Times New Roman"/>
                <w:color w:val="000000"/>
                <w:sz w:val="20"/>
                <w:szCs w:val="20"/>
              </w:rPr>
            </w:pPr>
            <w:r w:rsidRPr="00D64B0C">
              <w:rPr>
                <w:rFonts w:ascii="Times New Roman" w:eastAsia="Times New Roman" w:hAnsi="Times New Roman" w:cs="Times New Roman"/>
                <w:color w:val="000000"/>
                <w:sz w:val="20"/>
                <w:szCs w:val="20"/>
              </w:rPr>
              <w:t> </w:t>
            </w:r>
          </w:p>
        </w:tc>
        <w:tc>
          <w:tcPr>
            <w:tcW w:w="2799" w:type="dxa"/>
            <w:shd w:val="clear" w:color="auto" w:fill="auto"/>
            <w:noWrap/>
            <w:vAlign w:val="bottom"/>
            <w:hideMark/>
          </w:tcPr>
          <w:p w14:paraId="6922C7ED" w14:textId="77777777" w:rsidR="00D64B0C" w:rsidRPr="00D64B0C" w:rsidRDefault="00D64B0C" w:rsidP="00D64B0C">
            <w:pPr>
              <w:spacing w:after="0" w:line="240" w:lineRule="auto"/>
              <w:rPr>
                <w:rFonts w:ascii="Times New Roman" w:eastAsia="Times New Roman" w:hAnsi="Times New Roman" w:cs="Times New Roman"/>
                <w:color w:val="000000"/>
                <w:sz w:val="20"/>
                <w:szCs w:val="20"/>
              </w:rPr>
            </w:pPr>
            <w:r w:rsidRPr="00D64B0C">
              <w:rPr>
                <w:rFonts w:ascii="Times New Roman" w:eastAsia="Times New Roman" w:hAnsi="Times New Roman" w:cs="Times New Roman"/>
                <w:color w:val="000000"/>
                <w:sz w:val="20"/>
                <w:szCs w:val="20"/>
              </w:rPr>
              <w:t> </w:t>
            </w:r>
          </w:p>
        </w:tc>
      </w:tr>
      <w:tr w:rsidR="00D64B0C" w:rsidRPr="00D64B0C" w14:paraId="7DB98306" w14:textId="77777777" w:rsidTr="00BC6185">
        <w:trPr>
          <w:trHeight w:val="300"/>
          <w:jc w:val="center"/>
        </w:trPr>
        <w:tc>
          <w:tcPr>
            <w:tcW w:w="1988" w:type="dxa"/>
            <w:shd w:val="clear" w:color="auto" w:fill="auto"/>
            <w:noWrap/>
            <w:hideMark/>
          </w:tcPr>
          <w:p w14:paraId="1F70BF96" w14:textId="77777777" w:rsidR="00D64B0C" w:rsidRPr="00D64B0C" w:rsidRDefault="00D64B0C" w:rsidP="00D64B0C">
            <w:pPr>
              <w:spacing w:after="0" w:line="240" w:lineRule="auto"/>
              <w:rPr>
                <w:rFonts w:ascii="Times New Roman" w:eastAsia="Times New Roman" w:hAnsi="Times New Roman" w:cs="Times New Roman"/>
                <w:b/>
                <w:bCs/>
                <w:sz w:val="20"/>
                <w:szCs w:val="20"/>
              </w:rPr>
            </w:pPr>
            <w:r w:rsidRPr="00D64B0C">
              <w:rPr>
                <w:rFonts w:ascii="Times New Roman" w:eastAsia="Times New Roman" w:hAnsi="Times New Roman" w:cs="Times New Roman"/>
                <w:b/>
                <w:bCs/>
                <w:sz w:val="20"/>
                <w:szCs w:val="20"/>
              </w:rPr>
              <w:t>Beginning Balance</w:t>
            </w:r>
          </w:p>
        </w:tc>
        <w:tc>
          <w:tcPr>
            <w:tcW w:w="2799" w:type="dxa"/>
            <w:shd w:val="clear" w:color="auto" w:fill="auto"/>
            <w:noWrap/>
            <w:hideMark/>
          </w:tcPr>
          <w:p w14:paraId="4372AB91" w14:textId="1145FE07" w:rsidR="00D64B0C" w:rsidRPr="00D64B0C" w:rsidRDefault="00061A44" w:rsidP="00F07B9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r w:rsidR="00BC6185">
              <w:rPr>
                <w:rFonts w:ascii="Times New Roman" w:eastAsia="Times New Roman" w:hAnsi="Times New Roman" w:cs="Times New Roman"/>
                <w:b/>
                <w:bCs/>
                <w:sz w:val="20"/>
                <w:szCs w:val="20"/>
              </w:rPr>
              <w:t>68</w:t>
            </w:r>
            <w:r w:rsidR="00AF13E9">
              <w:rPr>
                <w:rFonts w:ascii="Times New Roman" w:eastAsia="Times New Roman" w:hAnsi="Times New Roman" w:cs="Times New Roman"/>
                <w:b/>
                <w:bCs/>
                <w:sz w:val="20"/>
                <w:szCs w:val="20"/>
              </w:rPr>
              <w:t>.</w:t>
            </w:r>
            <w:r w:rsidR="00F07B9E">
              <w:rPr>
                <w:rFonts w:ascii="Times New Roman" w:eastAsia="Times New Roman" w:hAnsi="Times New Roman" w:cs="Times New Roman"/>
                <w:b/>
                <w:bCs/>
                <w:sz w:val="20"/>
                <w:szCs w:val="20"/>
              </w:rPr>
              <w:t>1</w:t>
            </w:r>
          </w:p>
        </w:tc>
      </w:tr>
      <w:tr w:rsidR="00D64B0C" w:rsidRPr="00D64B0C" w14:paraId="13C12805" w14:textId="77777777" w:rsidTr="00BC6185">
        <w:trPr>
          <w:trHeight w:val="300"/>
          <w:jc w:val="center"/>
        </w:trPr>
        <w:tc>
          <w:tcPr>
            <w:tcW w:w="1988" w:type="dxa"/>
            <w:shd w:val="clear" w:color="auto" w:fill="auto"/>
            <w:noWrap/>
            <w:vAlign w:val="bottom"/>
            <w:hideMark/>
          </w:tcPr>
          <w:p w14:paraId="50E47E95" w14:textId="77777777" w:rsidR="00D64B0C" w:rsidRPr="00D64B0C" w:rsidRDefault="00D64B0C" w:rsidP="00D64B0C">
            <w:pPr>
              <w:spacing w:after="0" w:line="240" w:lineRule="auto"/>
              <w:rPr>
                <w:rFonts w:ascii="Times New Roman" w:eastAsia="Times New Roman" w:hAnsi="Times New Roman" w:cs="Times New Roman"/>
                <w:sz w:val="20"/>
                <w:szCs w:val="20"/>
              </w:rPr>
            </w:pPr>
            <w:r w:rsidRPr="00D64B0C">
              <w:rPr>
                <w:rFonts w:ascii="Times New Roman" w:eastAsia="Times New Roman" w:hAnsi="Times New Roman" w:cs="Times New Roman"/>
                <w:sz w:val="20"/>
                <w:szCs w:val="20"/>
              </w:rPr>
              <w:t> </w:t>
            </w:r>
          </w:p>
        </w:tc>
        <w:tc>
          <w:tcPr>
            <w:tcW w:w="2799" w:type="dxa"/>
            <w:shd w:val="clear" w:color="auto" w:fill="auto"/>
            <w:noWrap/>
            <w:vAlign w:val="bottom"/>
            <w:hideMark/>
          </w:tcPr>
          <w:p w14:paraId="68D8E847" w14:textId="77777777" w:rsidR="00D64B0C" w:rsidRPr="00D64B0C" w:rsidRDefault="00D64B0C" w:rsidP="00D64B0C">
            <w:pPr>
              <w:spacing w:after="0" w:line="240" w:lineRule="auto"/>
              <w:jc w:val="center"/>
              <w:rPr>
                <w:rFonts w:ascii="Times New Roman" w:eastAsia="Times New Roman" w:hAnsi="Times New Roman" w:cs="Times New Roman"/>
                <w:sz w:val="20"/>
                <w:szCs w:val="20"/>
              </w:rPr>
            </w:pPr>
            <w:r w:rsidRPr="00D64B0C">
              <w:rPr>
                <w:rFonts w:ascii="Times New Roman" w:eastAsia="Times New Roman" w:hAnsi="Times New Roman" w:cs="Times New Roman"/>
                <w:sz w:val="20"/>
                <w:szCs w:val="20"/>
              </w:rPr>
              <w:t> </w:t>
            </w:r>
          </w:p>
        </w:tc>
      </w:tr>
      <w:tr w:rsidR="00D64B0C" w:rsidRPr="00D64B0C" w14:paraId="110D8ABB" w14:textId="77777777" w:rsidTr="00BC6185">
        <w:trPr>
          <w:trHeight w:val="300"/>
          <w:jc w:val="center"/>
        </w:trPr>
        <w:tc>
          <w:tcPr>
            <w:tcW w:w="1988" w:type="dxa"/>
            <w:shd w:val="clear" w:color="auto" w:fill="auto"/>
            <w:noWrap/>
            <w:hideMark/>
          </w:tcPr>
          <w:p w14:paraId="7428F6B8" w14:textId="77777777" w:rsidR="00D64B0C" w:rsidRPr="00D64B0C" w:rsidRDefault="00D64B0C" w:rsidP="00D64B0C">
            <w:pPr>
              <w:spacing w:after="0" w:line="240" w:lineRule="auto"/>
              <w:jc w:val="right"/>
              <w:rPr>
                <w:rFonts w:ascii="Times New Roman" w:eastAsia="Times New Roman" w:hAnsi="Times New Roman" w:cs="Times New Roman"/>
                <w:sz w:val="20"/>
                <w:szCs w:val="20"/>
              </w:rPr>
            </w:pPr>
            <w:r w:rsidRPr="00D64B0C">
              <w:rPr>
                <w:rFonts w:ascii="Times New Roman" w:eastAsia="Times New Roman" w:hAnsi="Times New Roman" w:cs="Times New Roman"/>
                <w:sz w:val="20"/>
                <w:szCs w:val="20"/>
              </w:rPr>
              <w:t>Net Additions</w:t>
            </w:r>
          </w:p>
        </w:tc>
        <w:tc>
          <w:tcPr>
            <w:tcW w:w="2799" w:type="dxa"/>
            <w:shd w:val="clear" w:color="auto" w:fill="auto"/>
            <w:noWrap/>
            <w:hideMark/>
          </w:tcPr>
          <w:p w14:paraId="628DE5CE" w14:textId="38659B39" w:rsidR="00D64B0C" w:rsidRPr="00D64B0C" w:rsidRDefault="0068575C" w:rsidP="00FE77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07B9E">
              <w:rPr>
                <w:rFonts w:ascii="Times New Roman" w:eastAsia="Times New Roman" w:hAnsi="Times New Roman" w:cs="Times New Roman"/>
                <w:sz w:val="20"/>
                <w:szCs w:val="20"/>
              </w:rPr>
              <w:t>4</w:t>
            </w:r>
            <w:r w:rsidR="00FE77F9">
              <w:rPr>
                <w:rFonts w:ascii="Times New Roman" w:eastAsia="Times New Roman" w:hAnsi="Times New Roman" w:cs="Times New Roman"/>
                <w:sz w:val="20"/>
                <w:szCs w:val="20"/>
              </w:rPr>
              <w:t>5</w:t>
            </w:r>
            <w:r>
              <w:rPr>
                <w:rFonts w:ascii="Times New Roman" w:eastAsia="Times New Roman" w:hAnsi="Times New Roman" w:cs="Times New Roman"/>
                <w:sz w:val="20"/>
                <w:szCs w:val="20"/>
              </w:rPr>
              <w:t>.</w:t>
            </w:r>
            <w:r w:rsidR="00BC6185">
              <w:rPr>
                <w:rFonts w:ascii="Times New Roman" w:eastAsia="Times New Roman" w:hAnsi="Times New Roman" w:cs="Times New Roman"/>
                <w:sz w:val="20"/>
                <w:szCs w:val="20"/>
              </w:rPr>
              <w:t>1</w:t>
            </w:r>
          </w:p>
        </w:tc>
      </w:tr>
      <w:tr w:rsidR="00D64B0C" w:rsidRPr="00D64B0C" w14:paraId="0E4E9E76" w14:textId="77777777" w:rsidTr="00BC6185">
        <w:trPr>
          <w:trHeight w:val="300"/>
          <w:jc w:val="center"/>
        </w:trPr>
        <w:tc>
          <w:tcPr>
            <w:tcW w:w="1988" w:type="dxa"/>
            <w:shd w:val="clear" w:color="auto" w:fill="auto"/>
            <w:noWrap/>
            <w:vAlign w:val="bottom"/>
            <w:hideMark/>
          </w:tcPr>
          <w:p w14:paraId="4F8FEC7E" w14:textId="77777777" w:rsidR="00D64B0C" w:rsidRPr="00D64B0C" w:rsidRDefault="00D64B0C" w:rsidP="00D64B0C">
            <w:pPr>
              <w:spacing w:after="0" w:line="240" w:lineRule="auto"/>
              <w:jc w:val="right"/>
              <w:rPr>
                <w:rFonts w:ascii="Times New Roman" w:eastAsia="Times New Roman" w:hAnsi="Times New Roman" w:cs="Times New Roman"/>
                <w:sz w:val="20"/>
                <w:szCs w:val="20"/>
              </w:rPr>
            </w:pPr>
            <w:r w:rsidRPr="00D64B0C">
              <w:rPr>
                <w:rFonts w:ascii="Times New Roman" w:eastAsia="Times New Roman" w:hAnsi="Times New Roman" w:cs="Times New Roman"/>
                <w:sz w:val="20"/>
                <w:szCs w:val="20"/>
              </w:rPr>
              <w:t> </w:t>
            </w:r>
          </w:p>
        </w:tc>
        <w:tc>
          <w:tcPr>
            <w:tcW w:w="2799" w:type="dxa"/>
            <w:shd w:val="clear" w:color="auto" w:fill="auto"/>
            <w:noWrap/>
            <w:vAlign w:val="bottom"/>
            <w:hideMark/>
          </w:tcPr>
          <w:p w14:paraId="5F707F54" w14:textId="77777777" w:rsidR="00D64B0C" w:rsidRPr="00D64B0C" w:rsidRDefault="00D64B0C" w:rsidP="00D64B0C">
            <w:pPr>
              <w:spacing w:after="0" w:line="240" w:lineRule="auto"/>
              <w:jc w:val="center"/>
              <w:rPr>
                <w:rFonts w:ascii="Times New Roman" w:eastAsia="Times New Roman" w:hAnsi="Times New Roman" w:cs="Times New Roman"/>
                <w:sz w:val="20"/>
                <w:szCs w:val="20"/>
              </w:rPr>
            </w:pPr>
            <w:r w:rsidRPr="00D64B0C">
              <w:rPr>
                <w:rFonts w:ascii="Times New Roman" w:eastAsia="Times New Roman" w:hAnsi="Times New Roman" w:cs="Times New Roman"/>
                <w:sz w:val="20"/>
                <w:szCs w:val="20"/>
              </w:rPr>
              <w:t> </w:t>
            </w:r>
          </w:p>
        </w:tc>
      </w:tr>
      <w:tr w:rsidR="00D64B0C" w:rsidRPr="00D64B0C" w14:paraId="07FEC26C" w14:textId="77777777" w:rsidTr="00BC6185">
        <w:trPr>
          <w:trHeight w:val="300"/>
          <w:jc w:val="center"/>
        </w:trPr>
        <w:tc>
          <w:tcPr>
            <w:tcW w:w="1988" w:type="dxa"/>
            <w:shd w:val="clear" w:color="auto" w:fill="auto"/>
            <w:noWrap/>
            <w:hideMark/>
          </w:tcPr>
          <w:p w14:paraId="1056B0DB" w14:textId="65DF58D6" w:rsidR="00D64B0C" w:rsidRPr="00D64B0C" w:rsidRDefault="00D64B0C" w:rsidP="00976EEF">
            <w:pPr>
              <w:spacing w:after="0" w:line="240" w:lineRule="auto"/>
              <w:jc w:val="right"/>
              <w:rPr>
                <w:rFonts w:ascii="Times New Roman" w:eastAsia="Times New Roman" w:hAnsi="Times New Roman" w:cs="Times New Roman"/>
                <w:sz w:val="20"/>
                <w:szCs w:val="20"/>
              </w:rPr>
            </w:pPr>
            <w:r w:rsidRPr="00D64B0C">
              <w:rPr>
                <w:rFonts w:ascii="Times New Roman" w:eastAsia="Times New Roman" w:hAnsi="Times New Roman" w:cs="Times New Roman"/>
                <w:sz w:val="20"/>
                <w:szCs w:val="20"/>
              </w:rPr>
              <w:t xml:space="preserve"> </w:t>
            </w:r>
            <w:r w:rsidR="00976EEF">
              <w:rPr>
                <w:rFonts w:ascii="Times New Roman" w:eastAsia="Times New Roman" w:hAnsi="Times New Roman" w:cs="Times New Roman"/>
                <w:sz w:val="20"/>
                <w:szCs w:val="20"/>
              </w:rPr>
              <w:t>Distributions</w:t>
            </w:r>
          </w:p>
        </w:tc>
        <w:tc>
          <w:tcPr>
            <w:tcW w:w="2799" w:type="dxa"/>
            <w:shd w:val="clear" w:color="auto" w:fill="auto"/>
            <w:noWrap/>
            <w:hideMark/>
          </w:tcPr>
          <w:p w14:paraId="68CB8105" w14:textId="63F398CE" w:rsidR="00D64B0C" w:rsidRPr="00D64B0C" w:rsidRDefault="00976EEF" w:rsidP="00F07B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C6185">
              <w:rPr>
                <w:rFonts w:ascii="Times New Roman" w:eastAsia="Times New Roman" w:hAnsi="Times New Roman" w:cs="Times New Roman"/>
                <w:sz w:val="20"/>
                <w:szCs w:val="20"/>
              </w:rPr>
              <w:t>80</w:t>
            </w:r>
            <w:r>
              <w:rPr>
                <w:rFonts w:ascii="Times New Roman" w:eastAsia="Times New Roman" w:hAnsi="Times New Roman" w:cs="Times New Roman"/>
                <w:sz w:val="20"/>
                <w:szCs w:val="20"/>
              </w:rPr>
              <w:t>.</w:t>
            </w:r>
            <w:r w:rsidR="00BC6185">
              <w:rPr>
                <w:rFonts w:ascii="Times New Roman" w:eastAsia="Times New Roman" w:hAnsi="Times New Roman" w:cs="Times New Roman"/>
                <w:sz w:val="20"/>
                <w:szCs w:val="20"/>
              </w:rPr>
              <w:t>8</w:t>
            </w:r>
          </w:p>
        </w:tc>
      </w:tr>
      <w:tr w:rsidR="00D64B0C" w:rsidRPr="00D64B0C" w14:paraId="5A009098" w14:textId="77777777" w:rsidTr="00BC6185">
        <w:trPr>
          <w:trHeight w:val="300"/>
          <w:jc w:val="center"/>
        </w:trPr>
        <w:tc>
          <w:tcPr>
            <w:tcW w:w="1988" w:type="dxa"/>
            <w:shd w:val="clear" w:color="auto" w:fill="auto"/>
            <w:noWrap/>
            <w:vAlign w:val="bottom"/>
            <w:hideMark/>
          </w:tcPr>
          <w:p w14:paraId="537556F1" w14:textId="77777777" w:rsidR="00D64B0C" w:rsidRPr="00D64B0C" w:rsidRDefault="00D64B0C" w:rsidP="00D64B0C">
            <w:pPr>
              <w:spacing w:after="0" w:line="240" w:lineRule="auto"/>
              <w:jc w:val="right"/>
              <w:rPr>
                <w:rFonts w:ascii="Times New Roman" w:eastAsia="Times New Roman" w:hAnsi="Times New Roman" w:cs="Times New Roman"/>
                <w:sz w:val="20"/>
                <w:szCs w:val="20"/>
              </w:rPr>
            </w:pPr>
            <w:r w:rsidRPr="00D64B0C">
              <w:rPr>
                <w:rFonts w:ascii="Times New Roman" w:eastAsia="Times New Roman" w:hAnsi="Times New Roman" w:cs="Times New Roman"/>
                <w:sz w:val="20"/>
                <w:szCs w:val="20"/>
              </w:rPr>
              <w:t> </w:t>
            </w:r>
          </w:p>
        </w:tc>
        <w:tc>
          <w:tcPr>
            <w:tcW w:w="2799" w:type="dxa"/>
            <w:shd w:val="clear" w:color="auto" w:fill="auto"/>
            <w:noWrap/>
            <w:vAlign w:val="bottom"/>
            <w:hideMark/>
          </w:tcPr>
          <w:p w14:paraId="57952DBF" w14:textId="77777777" w:rsidR="00D64B0C" w:rsidRPr="00D64B0C" w:rsidRDefault="00D64B0C" w:rsidP="00D64B0C">
            <w:pPr>
              <w:spacing w:after="0" w:line="240" w:lineRule="auto"/>
              <w:jc w:val="center"/>
              <w:rPr>
                <w:rFonts w:ascii="Times New Roman" w:eastAsia="Times New Roman" w:hAnsi="Times New Roman" w:cs="Times New Roman"/>
                <w:sz w:val="20"/>
                <w:szCs w:val="20"/>
              </w:rPr>
            </w:pPr>
            <w:r w:rsidRPr="00D64B0C">
              <w:rPr>
                <w:rFonts w:ascii="Times New Roman" w:eastAsia="Times New Roman" w:hAnsi="Times New Roman" w:cs="Times New Roman"/>
                <w:sz w:val="20"/>
                <w:szCs w:val="20"/>
              </w:rPr>
              <w:t> </w:t>
            </w:r>
          </w:p>
        </w:tc>
      </w:tr>
      <w:tr w:rsidR="00D64B0C" w:rsidRPr="00D64B0C" w14:paraId="0D4BD183" w14:textId="77777777" w:rsidTr="00BC6185">
        <w:trPr>
          <w:trHeight w:val="300"/>
          <w:jc w:val="center"/>
        </w:trPr>
        <w:tc>
          <w:tcPr>
            <w:tcW w:w="1988" w:type="dxa"/>
            <w:shd w:val="clear" w:color="auto" w:fill="auto"/>
            <w:noWrap/>
            <w:hideMark/>
          </w:tcPr>
          <w:p w14:paraId="62B80FDA" w14:textId="437D3222" w:rsidR="00D64B0C" w:rsidRPr="00D64B0C" w:rsidRDefault="00D7058A" w:rsidP="00D64B0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Capital Appreciation</w:t>
            </w:r>
          </w:p>
        </w:tc>
        <w:tc>
          <w:tcPr>
            <w:tcW w:w="2799" w:type="dxa"/>
            <w:shd w:val="clear" w:color="auto" w:fill="auto"/>
            <w:noWrap/>
            <w:hideMark/>
          </w:tcPr>
          <w:p w14:paraId="4A4508F8" w14:textId="42A8F35E" w:rsidR="00D64B0C" w:rsidRPr="00D64B0C" w:rsidRDefault="00F07B9E" w:rsidP="00F07B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BC6185">
              <w:rPr>
                <w:rFonts w:ascii="Times New Roman" w:eastAsia="Times New Roman" w:hAnsi="Times New Roman" w:cs="Times New Roman"/>
                <w:sz w:val="20"/>
                <w:szCs w:val="20"/>
              </w:rPr>
              <w:t>0</w:t>
            </w:r>
            <w:r w:rsidR="0068575C">
              <w:rPr>
                <w:rFonts w:ascii="Times New Roman" w:eastAsia="Times New Roman" w:hAnsi="Times New Roman" w:cs="Times New Roman"/>
                <w:sz w:val="20"/>
                <w:szCs w:val="20"/>
              </w:rPr>
              <w:t>.</w:t>
            </w:r>
            <w:r w:rsidR="00BC6185">
              <w:rPr>
                <w:rFonts w:ascii="Times New Roman" w:eastAsia="Times New Roman" w:hAnsi="Times New Roman" w:cs="Times New Roman"/>
                <w:sz w:val="20"/>
                <w:szCs w:val="20"/>
              </w:rPr>
              <w:t>1</w:t>
            </w:r>
          </w:p>
        </w:tc>
      </w:tr>
      <w:tr w:rsidR="00D64B0C" w:rsidRPr="00D64B0C" w14:paraId="677AC0B8" w14:textId="77777777" w:rsidTr="00BC6185">
        <w:trPr>
          <w:trHeight w:val="300"/>
          <w:jc w:val="center"/>
        </w:trPr>
        <w:tc>
          <w:tcPr>
            <w:tcW w:w="1988" w:type="dxa"/>
            <w:shd w:val="clear" w:color="auto" w:fill="auto"/>
            <w:noWrap/>
            <w:vAlign w:val="bottom"/>
            <w:hideMark/>
          </w:tcPr>
          <w:p w14:paraId="30B1497C" w14:textId="77777777" w:rsidR="00D64B0C" w:rsidRPr="00D64B0C" w:rsidRDefault="00D64B0C" w:rsidP="00D64B0C">
            <w:pPr>
              <w:spacing w:after="0" w:line="240" w:lineRule="auto"/>
              <w:rPr>
                <w:rFonts w:ascii="Times New Roman" w:eastAsia="Times New Roman" w:hAnsi="Times New Roman" w:cs="Times New Roman"/>
                <w:sz w:val="20"/>
                <w:szCs w:val="20"/>
              </w:rPr>
            </w:pPr>
            <w:r w:rsidRPr="00D64B0C">
              <w:rPr>
                <w:rFonts w:ascii="Times New Roman" w:eastAsia="Times New Roman" w:hAnsi="Times New Roman" w:cs="Times New Roman"/>
                <w:sz w:val="20"/>
                <w:szCs w:val="20"/>
              </w:rPr>
              <w:t> </w:t>
            </w:r>
          </w:p>
        </w:tc>
        <w:tc>
          <w:tcPr>
            <w:tcW w:w="2799" w:type="dxa"/>
            <w:shd w:val="clear" w:color="auto" w:fill="auto"/>
            <w:noWrap/>
            <w:vAlign w:val="bottom"/>
            <w:hideMark/>
          </w:tcPr>
          <w:p w14:paraId="1C5CEB0C" w14:textId="77777777" w:rsidR="00D64B0C" w:rsidRPr="00D64B0C" w:rsidRDefault="00D64B0C" w:rsidP="00D64B0C">
            <w:pPr>
              <w:spacing w:after="0" w:line="240" w:lineRule="auto"/>
              <w:jc w:val="center"/>
              <w:rPr>
                <w:rFonts w:ascii="Times New Roman" w:eastAsia="Times New Roman" w:hAnsi="Times New Roman" w:cs="Times New Roman"/>
                <w:sz w:val="20"/>
                <w:szCs w:val="20"/>
              </w:rPr>
            </w:pPr>
            <w:r w:rsidRPr="00D64B0C">
              <w:rPr>
                <w:rFonts w:ascii="Times New Roman" w:eastAsia="Times New Roman" w:hAnsi="Times New Roman" w:cs="Times New Roman"/>
                <w:sz w:val="20"/>
                <w:szCs w:val="20"/>
              </w:rPr>
              <w:t> </w:t>
            </w:r>
          </w:p>
        </w:tc>
      </w:tr>
      <w:tr w:rsidR="00D64B0C" w:rsidRPr="00D64B0C" w14:paraId="0019F6F4" w14:textId="77777777" w:rsidTr="00BC6185">
        <w:trPr>
          <w:trHeight w:val="300"/>
          <w:jc w:val="center"/>
        </w:trPr>
        <w:tc>
          <w:tcPr>
            <w:tcW w:w="1988" w:type="dxa"/>
            <w:shd w:val="clear" w:color="auto" w:fill="auto"/>
            <w:noWrap/>
            <w:hideMark/>
          </w:tcPr>
          <w:p w14:paraId="6B4048B4" w14:textId="77777777" w:rsidR="00D64B0C" w:rsidRPr="00D64B0C" w:rsidRDefault="00D64B0C" w:rsidP="00D64B0C">
            <w:pPr>
              <w:spacing w:after="0" w:line="240" w:lineRule="auto"/>
              <w:rPr>
                <w:rFonts w:ascii="Times New Roman" w:eastAsia="Times New Roman" w:hAnsi="Times New Roman" w:cs="Times New Roman"/>
                <w:b/>
                <w:bCs/>
                <w:sz w:val="20"/>
                <w:szCs w:val="20"/>
              </w:rPr>
            </w:pPr>
            <w:r w:rsidRPr="00D64B0C">
              <w:rPr>
                <w:rFonts w:ascii="Times New Roman" w:eastAsia="Times New Roman" w:hAnsi="Times New Roman" w:cs="Times New Roman"/>
                <w:b/>
                <w:bCs/>
                <w:sz w:val="20"/>
                <w:szCs w:val="20"/>
              </w:rPr>
              <w:t>Ending Balance</w:t>
            </w:r>
          </w:p>
        </w:tc>
        <w:tc>
          <w:tcPr>
            <w:tcW w:w="2799" w:type="dxa"/>
            <w:shd w:val="clear" w:color="auto" w:fill="auto"/>
            <w:noWrap/>
            <w:hideMark/>
          </w:tcPr>
          <w:p w14:paraId="1C3216E1" w14:textId="76F33AB8" w:rsidR="00D64B0C" w:rsidRPr="00D64B0C" w:rsidRDefault="00061A44" w:rsidP="00FE77F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r w:rsidR="00F70824">
              <w:rPr>
                <w:rFonts w:ascii="Times New Roman" w:eastAsia="Times New Roman" w:hAnsi="Times New Roman" w:cs="Times New Roman"/>
                <w:b/>
                <w:bCs/>
                <w:sz w:val="20"/>
                <w:szCs w:val="20"/>
              </w:rPr>
              <w:t>72</w:t>
            </w:r>
            <w:r w:rsidR="00AC50BD">
              <w:rPr>
                <w:rFonts w:ascii="Times New Roman" w:eastAsia="Times New Roman" w:hAnsi="Times New Roman" w:cs="Times New Roman"/>
                <w:b/>
                <w:bCs/>
                <w:sz w:val="20"/>
                <w:szCs w:val="20"/>
              </w:rPr>
              <w:t>.</w:t>
            </w:r>
            <w:r w:rsidR="00F70824">
              <w:rPr>
                <w:rFonts w:ascii="Times New Roman" w:eastAsia="Times New Roman" w:hAnsi="Times New Roman" w:cs="Times New Roman"/>
                <w:b/>
                <w:bCs/>
                <w:sz w:val="20"/>
                <w:szCs w:val="20"/>
              </w:rPr>
              <w:t>5</w:t>
            </w:r>
          </w:p>
        </w:tc>
      </w:tr>
    </w:tbl>
    <w:p w14:paraId="3A3A38BF" w14:textId="77777777" w:rsidR="00C96869" w:rsidRPr="00C96869" w:rsidRDefault="00C96869">
      <w:pPr>
        <w:rPr>
          <w:rFonts w:ascii="Times New Roman" w:hAnsi="Times New Roman" w:cs="Times New Roman"/>
          <w:b/>
          <w:sz w:val="24"/>
          <w:szCs w:val="24"/>
        </w:rPr>
      </w:pPr>
    </w:p>
    <w:p w14:paraId="2C52C592" w14:textId="767C2A8C" w:rsidR="00015C23" w:rsidRPr="00925665" w:rsidRDefault="00375255" w:rsidP="00925665">
      <w:pPr>
        <w:jc w:val="center"/>
        <w:rPr>
          <w:rFonts w:ascii="Times New Roman" w:hAnsi="Times New Roman" w:cs="Times New Roman"/>
          <w:b/>
          <w:sz w:val="32"/>
          <w:szCs w:val="32"/>
        </w:rPr>
      </w:pPr>
      <w:r w:rsidRPr="00917772">
        <w:rPr>
          <w:rFonts w:ascii="Times New Roman" w:hAnsi="Times New Roman" w:cs="Times New Roman"/>
          <w:b/>
          <w:i/>
          <w:sz w:val="24"/>
          <w:szCs w:val="24"/>
        </w:rPr>
        <w:br w:type="page"/>
      </w:r>
      <w:r w:rsidR="002867BA" w:rsidRPr="00925665">
        <w:rPr>
          <w:rFonts w:ascii="Times New Roman" w:hAnsi="Times New Roman" w:cs="Times New Roman"/>
          <w:b/>
          <w:sz w:val="32"/>
          <w:szCs w:val="32"/>
        </w:rPr>
        <w:lastRenderedPageBreak/>
        <w:t>Operating Pool</w:t>
      </w:r>
    </w:p>
    <w:p w14:paraId="273BB44F" w14:textId="7B478F55" w:rsidR="00925665" w:rsidRPr="00925665" w:rsidRDefault="00925665" w:rsidP="00925665">
      <w:pPr>
        <w:keepNext/>
        <w:framePr w:dropCap="drop" w:lines="2" w:wrap="around" w:vAnchor="text" w:hAnchor="text"/>
        <w:spacing w:after="0" w:line="595" w:lineRule="exact"/>
        <w:textAlignment w:val="baseline"/>
        <w:rPr>
          <w:rFonts w:ascii="Times New Roman" w:hAnsi="Times New Roman" w:cs="Times New Roman"/>
          <w:position w:val="-5"/>
          <w:sz w:val="73"/>
          <w:szCs w:val="24"/>
        </w:rPr>
      </w:pPr>
      <w:r w:rsidRPr="00925665">
        <w:rPr>
          <w:rFonts w:ascii="Times New Roman" w:hAnsi="Times New Roman" w:cs="Times New Roman"/>
          <w:position w:val="-5"/>
          <w:sz w:val="73"/>
          <w:szCs w:val="24"/>
        </w:rPr>
        <w:t>T</w:t>
      </w:r>
    </w:p>
    <w:p w14:paraId="54F6E26D" w14:textId="1135B1C6" w:rsidR="003B4B3F" w:rsidRPr="00917772" w:rsidRDefault="003114AA" w:rsidP="00925665">
      <w:pPr>
        <w:spacing w:after="360"/>
        <w:rPr>
          <w:rFonts w:ascii="Times New Roman" w:hAnsi="Times New Roman" w:cs="Times New Roman"/>
          <w:sz w:val="24"/>
          <w:szCs w:val="24"/>
        </w:rPr>
      </w:pPr>
      <w:proofErr w:type="gramStart"/>
      <w:r w:rsidRPr="00917772">
        <w:rPr>
          <w:rFonts w:ascii="Times New Roman" w:hAnsi="Times New Roman" w:cs="Times New Roman"/>
          <w:sz w:val="24"/>
          <w:szCs w:val="24"/>
        </w:rPr>
        <w:t>he</w:t>
      </w:r>
      <w:proofErr w:type="gramEnd"/>
      <w:r w:rsidRPr="00917772">
        <w:rPr>
          <w:rFonts w:ascii="Times New Roman" w:hAnsi="Times New Roman" w:cs="Times New Roman"/>
          <w:sz w:val="24"/>
          <w:szCs w:val="24"/>
        </w:rPr>
        <w:t xml:space="preserve"> </w:t>
      </w:r>
      <w:r w:rsidRPr="00917772">
        <w:rPr>
          <w:rFonts w:ascii="Times New Roman" w:hAnsi="Times New Roman" w:cs="Times New Roman"/>
          <w:i/>
          <w:sz w:val="24"/>
          <w:szCs w:val="24"/>
        </w:rPr>
        <w:t>Operating Pool</w:t>
      </w:r>
      <w:r w:rsidRPr="00917772">
        <w:rPr>
          <w:rFonts w:ascii="Times New Roman" w:hAnsi="Times New Roman" w:cs="Times New Roman"/>
          <w:sz w:val="24"/>
          <w:szCs w:val="24"/>
        </w:rPr>
        <w:t xml:space="preserve"> </w:t>
      </w:r>
      <w:r w:rsidR="00DF3F59" w:rsidRPr="00917772">
        <w:rPr>
          <w:rFonts w:ascii="Times New Roman" w:hAnsi="Times New Roman" w:cs="Times New Roman"/>
          <w:sz w:val="24"/>
          <w:szCs w:val="24"/>
        </w:rPr>
        <w:t>(</w:t>
      </w:r>
      <w:r w:rsidR="00BB08CA" w:rsidRPr="00917772">
        <w:rPr>
          <w:rFonts w:ascii="Times New Roman" w:hAnsi="Times New Roman" w:cs="Times New Roman"/>
          <w:sz w:val="24"/>
          <w:szCs w:val="24"/>
        </w:rPr>
        <w:t xml:space="preserve">market </w:t>
      </w:r>
      <w:r w:rsidR="00BB08CA" w:rsidRPr="00706B36">
        <w:rPr>
          <w:rFonts w:ascii="Times New Roman" w:hAnsi="Times New Roman" w:cs="Times New Roman"/>
          <w:sz w:val="24"/>
          <w:szCs w:val="24"/>
        </w:rPr>
        <w:t>value</w:t>
      </w:r>
      <w:r w:rsidR="00907C62" w:rsidRPr="00706B36">
        <w:rPr>
          <w:rFonts w:ascii="Times New Roman" w:hAnsi="Times New Roman" w:cs="Times New Roman"/>
          <w:sz w:val="24"/>
          <w:szCs w:val="24"/>
        </w:rPr>
        <w:t xml:space="preserve"> </w:t>
      </w:r>
      <w:r w:rsidR="003C2B0F">
        <w:rPr>
          <w:rFonts w:ascii="Times New Roman" w:hAnsi="Times New Roman" w:cs="Times New Roman"/>
          <w:sz w:val="24"/>
          <w:szCs w:val="24"/>
        </w:rPr>
        <w:t xml:space="preserve">of </w:t>
      </w:r>
      <w:r w:rsidR="00D0515A" w:rsidRPr="00706B36">
        <w:rPr>
          <w:rFonts w:ascii="Times New Roman" w:hAnsi="Times New Roman" w:cs="Times New Roman"/>
          <w:sz w:val="24"/>
          <w:szCs w:val="24"/>
        </w:rPr>
        <w:t>$</w:t>
      </w:r>
      <w:r w:rsidR="00FF781A" w:rsidRPr="00706B36">
        <w:rPr>
          <w:rFonts w:ascii="Times New Roman" w:hAnsi="Times New Roman" w:cs="Times New Roman"/>
          <w:sz w:val="24"/>
          <w:szCs w:val="24"/>
        </w:rPr>
        <w:t>3.</w:t>
      </w:r>
      <w:r w:rsidR="00706B36" w:rsidRPr="00706B36">
        <w:rPr>
          <w:rFonts w:ascii="Times New Roman" w:hAnsi="Times New Roman" w:cs="Times New Roman"/>
          <w:sz w:val="24"/>
          <w:szCs w:val="24"/>
        </w:rPr>
        <w:t>4</w:t>
      </w:r>
      <w:r w:rsidR="00FF781A" w:rsidRPr="00706B36">
        <w:rPr>
          <w:rFonts w:ascii="Times New Roman" w:hAnsi="Times New Roman" w:cs="Times New Roman"/>
          <w:sz w:val="24"/>
          <w:szCs w:val="24"/>
        </w:rPr>
        <w:t>3</w:t>
      </w:r>
      <w:r w:rsidR="005251CC" w:rsidRPr="00706B36">
        <w:rPr>
          <w:rFonts w:ascii="Times New Roman" w:hAnsi="Times New Roman" w:cs="Times New Roman"/>
          <w:sz w:val="24"/>
          <w:szCs w:val="24"/>
        </w:rPr>
        <w:t xml:space="preserve"> billion</w:t>
      </w:r>
      <w:r w:rsidR="00DF3F59" w:rsidRPr="005F684D">
        <w:rPr>
          <w:rFonts w:ascii="Times New Roman" w:hAnsi="Times New Roman" w:cs="Times New Roman"/>
          <w:sz w:val="24"/>
          <w:szCs w:val="24"/>
        </w:rPr>
        <w:t>)</w:t>
      </w:r>
      <w:r w:rsidR="00DF3F59" w:rsidRPr="00917772">
        <w:rPr>
          <w:rFonts w:ascii="Times New Roman" w:hAnsi="Times New Roman" w:cs="Times New Roman"/>
          <w:sz w:val="24"/>
          <w:szCs w:val="24"/>
        </w:rPr>
        <w:t xml:space="preserve"> </w:t>
      </w:r>
      <w:r w:rsidRPr="00917772">
        <w:rPr>
          <w:rFonts w:ascii="Times New Roman" w:hAnsi="Times New Roman" w:cs="Times New Roman"/>
          <w:sz w:val="24"/>
          <w:szCs w:val="24"/>
        </w:rPr>
        <w:t>consists of funds available for</w:t>
      </w:r>
      <w:r w:rsidR="00D84095" w:rsidRPr="00917772">
        <w:rPr>
          <w:rFonts w:ascii="Times New Roman" w:hAnsi="Times New Roman" w:cs="Times New Roman"/>
          <w:sz w:val="24"/>
          <w:szCs w:val="24"/>
        </w:rPr>
        <w:t xml:space="preserve"> current use</w:t>
      </w:r>
      <w:r w:rsidR="00ED1E6D" w:rsidRPr="00917772">
        <w:rPr>
          <w:rFonts w:ascii="Times New Roman" w:hAnsi="Times New Roman" w:cs="Times New Roman"/>
          <w:sz w:val="24"/>
          <w:szCs w:val="24"/>
        </w:rPr>
        <w:t xml:space="preserve"> by academic and administrativ</w:t>
      </w:r>
      <w:r w:rsidR="003554A7">
        <w:rPr>
          <w:rFonts w:ascii="Times New Roman" w:hAnsi="Times New Roman" w:cs="Times New Roman"/>
          <w:sz w:val="24"/>
          <w:szCs w:val="24"/>
        </w:rPr>
        <w:t>e units within the System. The p</w:t>
      </w:r>
      <w:r w:rsidR="00ED1E6D" w:rsidRPr="00917772">
        <w:rPr>
          <w:rFonts w:ascii="Times New Roman" w:hAnsi="Times New Roman" w:cs="Times New Roman"/>
          <w:sz w:val="24"/>
          <w:szCs w:val="24"/>
        </w:rPr>
        <w:t>ool includes cash from state appropriations, tuition and fees, student loan funds, grants</w:t>
      </w:r>
      <w:r w:rsidR="00E04838" w:rsidRPr="00917772">
        <w:rPr>
          <w:rFonts w:ascii="Times New Roman" w:hAnsi="Times New Roman" w:cs="Times New Roman"/>
          <w:sz w:val="24"/>
          <w:szCs w:val="24"/>
        </w:rPr>
        <w:t>,</w:t>
      </w:r>
      <w:r w:rsidR="00ED1E6D" w:rsidRPr="00917772">
        <w:rPr>
          <w:rFonts w:ascii="Times New Roman" w:hAnsi="Times New Roman" w:cs="Times New Roman"/>
          <w:sz w:val="24"/>
          <w:szCs w:val="24"/>
        </w:rPr>
        <w:t xml:space="preserve"> self-insurance programs, and hospital and auxiliary services</w:t>
      </w:r>
      <w:r w:rsidRPr="00917772">
        <w:rPr>
          <w:rFonts w:ascii="Times New Roman" w:hAnsi="Times New Roman" w:cs="Times New Roman"/>
          <w:sz w:val="24"/>
          <w:szCs w:val="24"/>
        </w:rPr>
        <w:t>. The consolidated management of funds provides robust tracking and effic</w:t>
      </w:r>
      <w:r w:rsidR="00DD3F6E" w:rsidRPr="00917772">
        <w:rPr>
          <w:rFonts w:ascii="Times New Roman" w:hAnsi="Times New Roman" w:cs="Times New Roman"/>
          <w:sz w:val="24"/>
          <w:szCs w:val="24"/>
        </w:rPr>
        <w:t>ient investment management.</w:t>
      </w:r>
      <w:r w:rsidR="00ED1E6D" w:rsidRPr="00917772">
        <w:rPr>
          <w:rFonts w:ascii="Times New Roman" w:hAnsi="Times New Roman" w:cs="Times New Roman"/>
          <w:sz w:val="24"/>
          <w:szCs w:val="24"/>
        </w:rPr>
        <w:t xml:space="preserve"> </w:t>
      </w:r>
    </w:p>
    <w:p w14:paraId="5604B250" w14:textId="7B9E1B43" w:rsidR="00015C23" w:rsidRDefault="00B051D5" w:rsidP="00925665">
      <w:pPr>
        <w:spacing w:after="360"/>
        <w:rPr>
          <w:rFonts w:ascii="Times New Roman" w:hAnsi="Times New Roman" w:cs="Times New Roman"/>
          <w:sz w:val="24"/>
          <w:szCs w:val="24"/>
        </w:rPr>
      </w:pPr>
      <w:r w:rsidRPr="00917772">
        <w:rPr>
          <w:rFonts w:ascii="Times New Roman" w:hAnsi="Times New Roman" w:cs="Times New Roman"/>
          <w:sz w:val="24"/>
          <w:szCs w:val="24"/>
        </w:rPr>
        <w:t xml:space="preserve">The investment objective for the </w:t>
      </w:r>
      <w:r w:rsidR="003554A7">
        <w:rPr>
          <w:rFonts w:ascii="Times New Roman" w:hAnsi="Times New Roman" w:cs="Times New Roman"/>
          <w:sz w:val="24"/>
          <w:szCs w:val="24"/>
        </w:rPr>
        <w:t>operating pool</w:t>
      </w:r>
      <w:r w:rsidR="007E1DC6" w:rsidRPr="00917772">
        <w:rPr>
          <w:rFonts w:ascii="Times New Roman" w:hAnsi="Times New Roman" w:cs="Times New Roman"/>
          <w:i/>
          <w:sz w:val="24"/>
          <w:szCs w:val="24"/>
        </w:rPr>
        <w:t xml:space="preserve"> </w:t>
      </w:r>
      <w:r w:rsidR="007E1DC6" w:rsidRPr="00917772">
        <w:rPr>
          <w:rFonts w:ascii="Times New Roman" w:hAnsi="Times New Roman" w:cs="Times New Roman"/>
          <w:sz w:val="24"/>
          <w:szCs w:val="24"/>
        </w:rPr>
        <w:t>is to preserve the value of the principal, maintain liquidity appropriate to the forecasted working capital requirements of the System, provide prudent diversification</w:t>
      </w:r>
      <w:r w:rsidR="003A534A">
        <w:rPr>
          <w:rFonts w:ascii="Times New Roman" w:hAnsi="Times New Roman" w:cs="Times New Roman"/>
          <w:sz w:val="24"/>
          <w:szCs w:val="24"/>
        </w:rPr>
        <w:t>,</w:t>
      </w:r>
      <w:r w:rsidR="007E1DC6" w:rsidRPr="00917772">
        <w:rPr>
          <w:rFonts w:ascii="Times New Roman" w:hAnsi="Times New Roman" w:cs="Times New Roman"/>
          <w:sz w:val="24"/>
          <w:szCs w:val="24"/>
        </w:rPr>
        <w:t xml:space="preserve"> </w:t>
      </w:r>
      <w:r w:rsidR="00726128" w:rsidRPr="00917772">
        <w:rPr>
          <w:rFonts w:ascii="Times New Roman" w:hAnsi="Times New Roman" w:cs="Times New Roman"/>
          <w:sz w:val="24"/>
          <w:szCs w:val="24"/>
        </w:rPr>
        <w:t xml:space="preserve">and </w:t>
      </w:r>
      <w:r w:rsidR="007E1DC6" w:rsidRPr="00917772">
        <w:rPr>
          <w:rFonts w:ascii="Times New Roman" w:hAnsi="Times New Roman" w:cs="Times New Roman"/>
          <w:sz w:val="24"/>
          <w:szCs w:val="24"/>
        </w:rPr>
        <w:t xml:space="preserve">maximize the rate of return on investment. </w:t>
      </w:r>
      <w:r w:rsidR="00CB1F4A">
        <w:rPr>
          <w:rFonts w:ascii="Times New Roman" w:hAnsi="Times New Roman" w:cs="Times New Roman"/>
          <w:sz w:val="24"/>
          <w:szCs w:val="24"/>
        </w:rPr>
        <w:t>Income from the</w:t>
      </w:r>
      <w:r w:rsidR="005251CC" w:rsidRPr="00917772">
        <w:rPr>
          <w:rFonts w:ascii="Times New Roman" w:hAnsi="Times New Roman" w:cs="Times New Roman"/>
          <w:sz w:val="24"/>
          <w:szCs w:val="24"/>
        </w:rPr>
        <w:t xml:space="preserve"> pool</w:t>
      </w:r>
      <w:r w:rsidR="00726128" w:rsidRPr="00917772">
        <w:rPr>
          <w:rFonts w:ascii="Times New Roman" w:hAnsi="Times New Roman" w:cs="Times New Roman"/>
          <w:sz w:val="24"/>
          <w:szCs w:val="24"/>
        </w:rPr>
        <w:t xml:space="preserve"> is</w:t>
      </w:r>
      <w:r w:rsidR="00C246E8" w:rsidRPr="00917772">
        <w:rPr>
          <w:rFonts w:ascii="Times New Roman" w:hAnsi="Times New Roman" w:cs="Times New Roman"/>
          <w:sz w:val="24"/>
          <w:szCs w:val="24"/>
        </w:rPr>
        <w:t xml:space="preserve"> returned to units in proportion to their sh</w:t>
      </w:r>
      <w:r w:rsidR="00C037CC" w:rsidRPr="00917772">
        <w:rPr>
          <w:rFonts w:ascii="Times New Roman" w:hAnsi="Times New Roman" w:cs="Times New Roman"/>
          <w:sz w:val="24"/>
          <w:szCs w:val="24"/>
        </w:rPr>
        <w:t>a</w:t>
      </w:r>
      <w:r w:rsidR="00C246E8" w:rsidRPr="00917772">
        <w:rPr>
          <w:rFonts w:ascii="Times New Roman" w:hAnsi="Times New Roman" w:cs="Times New Roman"/>
          <w:sz w:val="24"/>
          <w:szCs w:val="24"/>
        </w:rPr>
        <w:t xml:space="preserve">re of </w:t>
      </w:r>
      <w:r w:rsidR="005251CC" w:rsidRPr="00917772">
        <w:rPr>
          <w:rFonts w:ascii="Times New Roman" w:hAnsi="Times New Roman" w:cs="Times New Roman"/>
          <w:sz w:val="24"/>
          <w:szCs w:val="24"/>
        </w:rPr>
        <w:t>the assets</w:t>
      </w:r>
      <w:r w:rsidR="00C246E8" w:rsidRPr="00917772">
        <w:rPr>
          <w:rFonts w:ascii="Times New Roman" w:hAnsi="Times New Roman" w:cs="Times New Roman"/>
          <w:sz w:val="24"/>
          <w:szCs w:val="24"/>
        </w:rPr>
        <w:t>.</w:t>
      </w:r>
      <w:r w:rsidR="00E04838" w:rsidRPr="00917772">
        <w:rPr>
          <w:rFonts w:ascii="Times New Roman" w:hAnsi="Times New Roman" w:cs="Times New Roman"/>
          <w:sz w:val="24"/>
          <w:szCs w:val="24"/>
        </w:rPr>
        <w:t xml:space="preserve"> </w:t>
      </w:r>
      <w:r w:rsidR="00907C62">
        <w:rPr>
          <w:rFonts w:ascii="Times New Roman" w:hAnsi="Times New Roman" w:cs="Times New Roman"/>
          <w:sz w:val="24"/>
          <w:szCs w:val="24"/>
        </w:rPr>
        <w:t xml:space="preserve">During </w:t>
      </w:r>
      <w:r w:rsidR="00986199">
        <w:rPr>
          <w:rFonts w:ascii="Times New Roman" w:hAnsi="Times New Roman" w:cs="Times New Roman"/>
          <w:sz w:val="24"/>
          <w:szCs w:val="24"/>
        </w:rPr>
        <w:t xml:space="preserve">fiscal year </w:t>
      </w:r>
      <w:r w:rsidR="00D0515A">
        <w:rPr>
          <w:rFonts w:ascii="Times New Roman" w:hAnsi="Times New Roman" w:cs="Times New Roman"/>
          <w:sz w:val="24"/>
          <w:szCs w:val="24"/>
        </w:rPr>
        <w:t>202</w:t>
      </w:r>
      <w:r w:rsidR="00042761">
        <w:rPr>
          <w:rFonts w:ascii="Times New Roman" w:hAnsi="Times New Roman" w:cs="Times New Roman"/>
          <w:sz w:val="24"/>
          <w:szCs w:val="24"/>
        </w:rPr>
        <w:t>3</w:t>
      </w:r>
      <w:r w:rsidR="00C037CC" w:rsidRPr="00A323BF">
        <w:rPr>
          <w:rFonts w:ascii="Times New Roman" w:hAnsi="Times New Roman" w:cs="Times New Roman"/>
          <w:sz w:val="24"/>
          <w:szCs w:val="24"/>
        </w:rPr>
        <w:t>,</w:t>
      </w:r>
      <w:r w:rsidR="00C246E8" w:rsidRPr="00A323BF">
        <w:rPr>
          <w:rFonts w:ascii="Times New Roman" w:hAnsi="Times New Roman" w:cs="Times New Roman"/>
          <w:sz w:val="24"/>
          <w:szCs w:val="24"/>
        </w:rPr>
        <w:t xml:space="preserve"> </w:t>
      </w:r>
      <w:r w:rsidR="00042761">
        <w:rPr>
          <w:rFonts w:ascii="Times New Roman" w:hAnsi="Times New Roman" w:cs="Times New Roman"/>
          <w:sz w:val="24"/>
          <w:szCs w:val="24"/>
        </w:rPr>
        <w:t>approximately $94</w:t>
      </w:r>
      <w:r w:rsidR="00954BA6" w:rsidRPr="00917772">
        <w:rPr>
          <w:rFonts w:ascii="Times New Roman" w:hAnsi="Times New Roman" w:cs="Times New Roman"/>
          <w:sz w:val="24"/>
          <w:szCs w:val="24"/>
        </w:rPr>
        <w:t xml:space="preserve"> million was distributed </w:t>
      </w:r>
      <w:r w:rsidR="003554A7">
        <w:rPr>
          <w:rFonts w:ascii="Times New Roman" w:hAnsi="Times New Roman" w:cs="Times New Roman"/>
          <w:sz w:val="24"/>
          <w:szCs w:val="24"/>
        </w:rPr>
        <w:t>from the o</w:t>
      </w:r>
      <w:r w:rsidR="00D0515A">
        <w:rPr>
          <w:rFonts w:ascii="Times New Roman" w:hAnsi="Times New Roman" w:cs="Times New Roman"/>
          <w:sz w:val="24"/>
          <w:szCs w:val="24"/>
        </w:rPr>
        <w:t>perat</w:t>
      </w:r>
      <w:r w:rsidR="003554A7">
        <w:rPr>
          <w:rFonts w:ascii="Times New Roman" w:hAnsi="Times New Roman" w:cs="Times New Roman"/>
          <w:sz w:val="24"/>
          <w:szCs w:val="24"/>
        </w:rPr>
        <w:t>ing p</w:t>
      </w:r>
      <w:r w:rsidR="00D0515A">
        <w:rPr>
          <w:rFonts w:ascii="Times New Roman" w:hAnsi="Times New Roman" w:cs="Times New Roman"/>
          <w:sz w:val="24"/>
          <w:szCs w:val="24"/>
        </w:rPr>
        <w:t xml:space="preserve">ool </w:t>
      </w:r>
      <w:r w:rsidR="006F4B1E">
        <w:rPr>
          <w:rFonts w:ascii="Times New Roman" w:hAnsi="Times New Roman" w:cs="Times New Roman"/>
          <w:sz w:val="24"/>
          <w:szCs w:val="24"/>
        </w:rPr>
        <w:t>(</w:t>
      </w:r>
      <w:r w:rsidR="009E34AA">
        <w:rPr>
          <w:rFonts w:ascii="Times New Roman" w:hAnsi="Times New Roman" w:cs="Times New Roman"/>
          <w:sz w:val="24"/>
          <w:szCs w:val="24"/>
        </w:rPr>
        <w:t>including</w:t>
      </w:r>
      <w:r w:rsidR="006F4B1E">
        <w:rPr>
          <w:rFonts w:ascii="Times New Roman" w:hAnsi="Times New Roman" w:cs="Times New Roman"/>
          <w:sz w:val="24"/>
          <w:szCs w:val="24"/>
        </w:rPr>
        <w:t xml:space="preserve"> the permanent core allocation)</w:t>
      </w:r>
      <w:r w:rsidR="006F4B1E" w:rsidRPr="00917772">
        <w:rPr>
          <w:rFonts w:ascii="Times New Roman" w:hAnsi="Times New Roman" w:cs="Times New Roman"/>
          <w:sz w:val="24"/>
          <w:szCs w:val="24"/>
        </w:rPr>
        <w:t xml:space="preserve"> </w:t>
      </w:r>
      <w:r w:rsidR="00D0515A">
        <w:rPr>
          <w:rFonts w:ascii="Times New Roman" w:hAnsi="Times New Roman" w:cs="Times New Roman"/>
          <w:sz w:val="24"/>
          <w:szCs w:val="24"/>
        </w:rPr>
        <w:t xml:space="preserve">after </w:t>
      </w:r>
      <w:r w:rsidR="00BF1AEA">
        <w:rPr>
          <w:rFonts w:ascii="Times New Roman" w:hAnsi="Times New Roman" w:cs="Times New Roman"/>
          <w:sz w:val="24"/>
          <w:szCs w:val="24"/>
        </w:rPr>
        <w:t>paying banking and investment management fees</w:t>
      </w:r>
      <w:r w:rsidR="006F4B1E">
        <w:rPr>
          <w:rFonts w:ascii="Times New Roman" w:hAnsi="Times New Roman" w:cs="Times New Roman"/>
          <w:sz w:val="24"/>
          <w:szCs w:val="24"/>
        </w:rPr>
        <w:t>.</w:t>
      </w:r>
      <w:r w:rsidR="00485D0C">
        <w:rPr>
          <w:rFonts w:ascii="Times New Roman" w:hAnsi="Times New Roman" w:cs="Times New Roman"/>
          <w:sz w:val="24"/>
          <w:szCs w:val="24"/>
        </w:rPr>
        <w:t xml:space="preserve"> </w:t>
      </w:r>
    </w:p>
    <w:p w14:paraId="2732BA65" w14:textId="736CD363" w:rsidR="006C3DDA" w:rsidRPr="006C3DDA" w:rsidRDefault="006C3DDA" w:rsidP="006C3DDA">
      <w:pPr>
        <w:spacing w:after="240"/>
        <w:rPr>
          <w:rFonts w:ascii="Times New Roman" w:hAnsi="Times New Roman" w:cs="Times New Roman"/>
          <w:b/>
          <w:sz w:val="28"/>
          <w:szCs w:val="28"/>
        </w:rPr>
      </w:pPr>
      <w:r w:rsidRPr="006C3DDA">
        <w:rPr>
          <w:rFonts w:ascii="Times New Roman" w:hAnsi="Times New Roman" w:cs="Times New Roman"/>
          <w:b/>
          <w:sz w:val="28"/>
          <w:szCs w:val="28"/>
        </w:rPr>
        <w:t>Asset Allocation</w:t>
      </w:r>
    </w:p>
    <w:p w14:paraId="72F6055F" w14:textId="39D338BD" w:rsidR="00015C23" w:rsidRDefault="003554A7" w:rsidP="00015C23">
      <w:pPr>
        <w:rPr>
          <w:rFonts w:ascii="Times New Roman" w:hAnsi="Times New Roman" w:cs="Times New Roman"/>
          <w:sz w:val="24"/>
          <w:szCs w:val="24"/>
        </w:rPr>
      </w:pPr>
      <w:r>
        <w:rPr>
          <w:rFonts w:ascii="Times New Roman" w:hAnsi="Times New Roman" w:cs="Times New Roman"/>
          <w:sz w:val="24"/>
          <w:szCs w:val="24"/>
        </w:rPr>
        <w:t>Operating pool</w:t>
      </w:r>
      <w:r w:rsidR="00015C23" w:rsidRPr="00917772">
        <w:rPr>
          <w:rFonts w:ascii="Times New Roman" w:hAnsi="Times New Roman" w:cs="Times New Roman"/>
          <w:sz w:val="24"/>
          <w:szCs w:val="24"/>
        </w:rPr>
        <w:t xml:space="preserve"> assets are invested in </w:t>
      </w:r>
      <w:r w:rsidR="00BC0956">
        <w:rPr>
          <w:rFonts w:ascii="Times New Roman" w:hAnsi="Times New Roman" w:cs="Times New Roman"/>
          <w:sz w:val="24"/>
          <w:szCs w:val="24"/>
        </w:rPr>
        <w:t>fixed-income</w:t>
      </w:r>
      <w:r w:rsidR="00015C23" w:rsidRPr="00917772">
        <w:rPr>
          <w:rFonts w:ascii="Times New Roman" w:hAnsi="Times New Roman" w:cs="Times New Roman"/>
          <w:sz w:val="24"/>
          <w:szCs w:val="24"/>
        </w:rPr>
        <w:t xml:space="preserve"> securities and cash equivale</w:t>
      </w:r>
      <w:r w:rsidR="00485D0C">
        <w:rPr>
          <w:rFonts w:ascii="Times New Roman" w:hAnsi="Times New Roman" w:cs="Times New Roman"/>
          <w:sz w:val="24"/>
          <w:szCs w:val="24"/>
        </w:rPr>
        <w:t>nts</w:t>
      </w:r>
      <w:r w:rsidR="006F4B1E">
        <w:rPr>
          <w:rFonts w:ascii="Times New Roman" w:hAnsi="Times New Roman" w:cs="Times New Roman"/>
          <w:sz w:val="24"/>
          <w:szCs w:val="24"/>
        </w:rPr>
        <w:t xml:space="preserve">. </w:t>
      </w:r>
      <w:r w:rsidR="00015C23" w:rsidRPr="00917772">
        <w:rPr>
          <w:rFonts w:ascii="Times New Roman" w:hAnsi="Times New Roman" w:cs="Times New Roman"/>
          <w:sz w:val="24"/>
          <w:szCs w:val="24"/>
        </w:rPr>
        <w:t>The assets are allocated by liquidity layer. Investment managers within a given liquidity layer follow fundamentally consistent investment guidelines that set forth restrictions on duration, credit quality, diversification, performance benchmarks</w:t>
      </w:r>
      <w:r w:rsidR="003A534A">
        <w:rPr>
          <w:rFonts w:ascii="Times New Roman" w:hAnsi="Times New Roman" w:cs="Times New Roman"/>
          <w:sz w:val="24"/>
          <w:szCs w:val="24"/>
        </w:rPr>
        <w:t>,</w:t>
      </w:r>
      <w:r w:rsidR="00015C23" w:rsidRPr="00917772">
        <w:rPr>
          <w:rFonts w:ascii="Times New Roman" w:hAnsi="Times New Roman" w:cs="Times New Roman"/>
          <w:sz w:val="24"/>
          <w:szCs w:val="24"/>
        </w:rPr>
        <w:t xml:space="preserve"> and permissible security types, among</w:t>
      </w:r>
      <w:r w:rsidR="008D3210">
        <w:rPr>
          <w:rFonts w:ascii="Times New Roman" w:hAnsi="Times New Roman" w:cs="Times New Roman"/>
          <w:sz w:val="24"/>
          <w:szCs w:val="24"/>
        </w:rPr>
        <w:t>st</w:t>
      </w:r>
      <w:r w:rsidR="00015C23" w:rsidRPr="00917772">
        <w:rPr>
          <w:rFonts w:ascii="Times New Roman" w:hAnsi="Times New Roman" w:cs="Times New Roman"/>
          <w:sz w:val="24"/>
          <w:szCs w:val="24"/>
        </w:rPr>
        <w:t xml:space="preserve"> others. </w:t>
      </w:r>
      <w:r w:rsidR="009E6275">
        <w:rPr>
          <w:rFonts w:ascii="Times New Roman" w:hAnsi="Times New Roman" w:cs="Times New Roman"/>
          <w:sz w:val="24"/>
          <w:szCs w:val="24"/>
        </w:rPr>
        <w:t>Provided that</w:t>
      </w:r>
      <w:r w:rsidR="00015C23" w:rsidRPr="00917772">
        <w:rPr>
          <w:rFonts w:ascii="Times New Roman" w:hAnsi="Times New Roman" w:cs="Times New Roman"/>
          <w:sz w:val="24"/>
          <w:szCs w:val="24"/>
        </w:rPr>
        <w:t xml:space="preserve"> state regulation does not allow the System to b</w:t>
      </w:r>
      <w:r w:rsidR="00485D0C">
        <w:rPr>
          <w:rFonts w:ascii="Times New Roman" w:hAnsi="Times New Roman" w:cs="Times New Roman"/>
          <w:sz w:val="24"/>
          <w:szCs w:val="24"/>
        </w:rPr>
        <w:t>orrow for working capital, the operating p</w:t>
      </w:r>
      <w:r w:rsidR="00015C23" w:rsidRPr="00917772">
        <w:rPr>
          <w:rFonts w:ascii="Times New Roman" w:hAnsi="Times New Roman" w:cs="Times New Roman"/>
          <w:sz w:val="24"/>
          <w:szCs w:val="24"/>
        </w:rPr>
        <w:t>ool</w:t>
      </w:r>
      <w:r w:rsidR="00015C23" w:rsidRPr="00917772">
        <w:rPr>
          <w:rFonts w:ascii="Times New Roman" w:hAnsi="Times New Roman" w:cs="Times New Roman"/>
          <w:i/>
          <w:sz w:val="24"/>
          <w:szCs w:val="24"/>
        </w:rPr>
        <w:t xml:space="preserve"> </w:t>
      </w:r>
      <w:r w:rsidR="006C4493">
        <w:rPr>
          <w:rFonts w:ascii="Times New Roman" w:hAnsi="Times New Roman" w:cs="Times New Roman"/>
          <w:sz w:val="24"/>
          <w:szCs w:val="24"/>
        </w:rPr>
        <w:t>has ample</w:t>
      </w:r>
      <w:r w:rsidR="00015C23" w:rsidRPr="00917772" w:rsidDel="00FE7DC0">
        <w:rPr>
          <w:rFonts w:ascii="Times New Roman" w:hAnsi="Times New Roman" w:cs="Times New Roman"/>
          <w:sz w:val="24"/>
          <w:szCs w:val="24"/>
        </w:rPr>
        <w:t xml:space="preserve"> </w:t>
      </w:r>
      <w:r w:rsidR="00015C23" w:rsidRPr="00917772">
        <w:rPr>
          <w:rFonts w:ascii="Times New Roman" w:hAnsi="Times New Roman" w:cs="Times New Roman"/>
          <w:sz w:val="24"/>
          <w:szCs w:val="24"/>
        </w:rPr>
        <w:t>liquid</w:t>
      </w:r>
      <w:r w:rsidR="006C4493">
        <w:rPr>
          <w:rFonts w:ascii="Times New Roman" w:hAnsi="Times New Roman" w:cs="Times New Roman"/>
          <w:sz w:val="24"/>
          <w:szCs w:val="24"/>
        </w:rPr>
        <w:t>ity</w:t>
      </w:r>
      <w:r w:rsidR="00BF1AEA">
        <w:rPr>
          <w:rFonts w:ascii="Times New Roman" w:hAnsi="Times New Roman" w:cs="Times New Roman"/>
          <w:sz w:val="24"/>
          <w:szCs w:val="24"/>
        </w:rPr>
        <w:t>. It is</w:t>
      </w:r>
      <w:r w:rsidR="006C4493">
        <w:rPr>
          <w:rFonts w:ascii="Times New Roman" w:hAnsi="Times New Roman" w:cs="Times New Roman"/>
          <w:sz w:val="24"/>
          <w:szCs w:val="24"/>
        </w:rPr>
        <w:t xml:space="preserve"> </w:t>
      </w:r>
      <w:r w:rsidR="00015C23" w:rsidRPr="00917772">
        <w:rPr>
          <w:rFonts w:ascii="Times New Roman" w:hAnsi="Times New Roman" w:cs="Times New Roman"/>
          <w:sz w:val="24"/>
          <w:szCs w:val="24"/>
        </w:rPr>
        <w:t>of high quality with a</w:t>
      </w:r>
      <w:r w:rsidR="00CB1F4A">
        <w:rPr>
          <w:rFonts w:ascii="Times New Roman" w:hAnsi="Times New Roman" w:cs="Times New Roman"/>
          <w:sz w:val="24"/>
          <w:szCs w:val="24"/>
        </w:rPr>
        <w:t>n</w:t>
      </w:r>
      <w:r w:rsidR="00015C23" w:rsidRPr="00917772">
        <w:rPr>
          <w:rFonts w:ascii="Times New Roman" w:hAnsi="Times New Roman" w:cs="Times New Roman"/>
          <w:sz w:val="24"/>
          <w:szCs w:val="24"/>
        </w:rPr>
        <w:t xml:space="preserve"> </w:t>
      </w:r>
      <w:r w:rsidR="00015C23" w:rsidRPr="00B859DB">
        <w:rPr>
          <w:rFonts w:ascii="Times New Roman" w:hAnsi="Times New Roman" w:cs="Times New Roman"/>
          <w:sz w:val="24"/>
          <w:szCs w:val="24"/>
        </w:rPr>
        <w:t>averag</w:t>
      </w:r>
      <w:r w:rsidR="00CB1F4A" w:rsidRPr="00B859DB">
        <w:rPr>
          <w:rFonts w:ascii="Times New Roman" w:hAnsi="Times New Roman" w:cs="Times New Roman"/>
          <w:sz w:val="24"/>
          <w:szCs w:val="24"/>
        </w:rPr>
        <w:t xml:space="preserve">e </w:t>
      </w:r>
      <w:r w:rsidR="005F684D" w:rsidRPr="00B859DB">
        <w:rPr>
          <w:rFonts w:ascii="Times New Roman" w:hAnsi="Times New Roman" w:cs="Times New Roman"/>
          <w:sz w:val="24"/>
          <w:szCs w:val="24"/>
        </w:rPr>
        <w:t>AA</w:t>
      </w:r>
      <w:r w:rsidR="00B859DB" w:rsidRPr="00B859DB">
        <w:rPr>
          <w:rFonts w:ascii="Times New Roman" w:hAnsi="Times New Roman" w:cs="Times New Roman"/>
          <w:sz w:val="24"/>
          <w:szCs w:val="24"/>
        </w:rPr>
        <w:t>-</w:t>
      </w:r>
      <w:r w:rsidR="006C3DDA" w:rsidRPr="00B859DB">
        <w:rPr>
          <w:rFonts w:ascii="Times New Roman" w:hAnsi="Times New Roman" w:cs="Times New Roman"/>
          <w:sz w:val="24"/>
          <w:szCs w:val="24"/>
        </w:rPr>
        <w:t xml:space="preserve"> credit</w:t>
      </w:r>
      <w:r w:rsidR="006C3DDA">
        <w:rPr>
          <w:rFonts w:ascii="Times New Roman" w:hAnsi="Times New Roman" w:cs="Times New Roman"/>
          <w:sz w:val="24"/>
          <w:szCs w:val="24"/>
        </w:rPr>
        <w:t xml:space="preserve"> rating. </w:t>
      </w:r>
      <w:r w:rsidR="0065474B">
        <w:rPr>
          <w:rFonts w:ascii="Times New Roman" w:hAnsi="Times New Roman" w:cs="Times New Roman"/>
          <w:sz w:val="24"/>
          <w:szCs w:val="24"/>
        </w:rPr>
        <w:t>Figure</w:t>
      </w:r>
      <w:r w:rsidR="00A60FBD">
        <w:rPr>
          <w:rFonts w:ascii="Times New Roman" w:hAnsi="Times New Roman" w:cs="Times New Roman"/>
          <w:sz w:val="24"/>
          <w:szCs w:val="24"/>
        </w:rPr>
        <w:t xml:space="preserve"> </w:t>
      </w:r>
      <w:r w:rsidR="008D66D1">
        <w:rPr>
          <w:rFonts w:ascii="Times New Roman" w:hAnsi="Times New Roman" w:cs="Times New Roman"/>
          <w:sz w:val="24"/>
          <w:szCs w:val="24"/>
        </w:rPr>
        <w:t>8</w:t>
      </w:r>
      <w:r w:rsidR="00015C23" w:rsidRPr="00917772">
        <w:rPr>
          <w:rFonts w:ascii="Times New Roman" w:hAnsi="Times New Roman" w:cs="Times New Roman"/>
          <w:sz w:val="24"/>
          <w:szCs w:val="24"/>
        </w:rPr>
        <w:t xml:space="preserve"> </w:t>
      </w:r>
      <w:r w:rsidR="006C3DDA">
        <w:rPr>
          <w:rFonts w:ascii="Times New Roman" w:hAnsi="Times New Roman" w:cs="Times New Roman"/>
          <w:sz w:val="24"/>
          <w:szCs w:val="24"/>
        </w:rPr>
        <w:t xml:space="preserve">demonstrates the </w:t>
      </w:r>
      <w:r w:rsidR="00485D0C">
        <w:rPr>
          <w:rFonts w:ascii="Times New Roman" w:hAnsi="Times New Roman" w:cs="Times New Roman"/>
          <w:sz w:val="24"/>
          <w:szCs w:val="24"/>
        </w:rPr>
        <w:t>operating p</w:t>
      </w:r>
      <w:r w:rsidR="00907C62">
        <w:rPr>
          <w:rFonts w:ascii="Times New Roman" w:hAnsi="Times New Roman" w:cs="Times New Roman"/>
          <w:sz w:val="24"/>
          <w:szCs w:val="24"/>
        </w:rPr>
        <w:t>ool’s</w:t>
      </w:r>
      <w:r w:rsidR="006C3DDA">
        <w:rPr>
          <w:rFonts w:ascii="Times New Roman" w:hAnsi="Times New Roman" w:cs="Times New Roman"/>
          <w:sz w:val="24"/>
          <w:szCs w:val="24"/>
        </w:rPr>
        <w:t xml:space="preserve"> asset allocation </w:t>
      </w:r>
      <w:r w:rsidR="00907C62">
        <w:rPr>
          <w:rFonts w:ascii="Times New Roman" w:hAnsi="Times New Roman" w:cs="Times New Roman"/>
          <w:sz w:val="24"/>
          <w:szCs w:val="24"/>
        </w:rPr>
        <w:t xml:space="preserve">on </w:t>
      </w:r>
      <w:r w:rsidR="00FF12AE">
        <w:rPr>
          <w:rFonts w:ascii="Times New Roman" w:hAnsi="Times New Roman" w:cs="Times New Roman"/>
          <w:sz w:val="24"/>
          <w:szCs w:val="24"/>
        </w:rPr>
        <w:t>June 30, 202</w:t>
      </w:r>
      <w:r w:rsidR="00042761">
        <w:rPr>
          <w:rFonts w:ascii="Times New Roman" w:hAnsi="Times New Roman" w:cs="Times New Roman"/>
          <w:sz w:val="24"/>
          <w:szCs w:val="24"/>
        </w:rPr>
        <w:t>3</w:t>
      </w:r>
      <w:r w:rsidR="00907C62">
        <w:rPr>
          <w:rFonts w:ascii="Times New Roman" w:hAnsi="Times New Roman" w:cs="Times New Roman"/>
          <w:sz w:val="24"/>
          <w:szCs w:val="24"/>
        </w:rPr>
        <w:t xml:space="preserve">, </w:t>
      </w:r>
      <w:r w:rsidR="006C3DDA">
        <w:rPr>
          <w:rFonts w:ascii="Times New Roman" w:hAnsi="Times New Roman" w:cs="Times New Roman"/>
          <w:sz w:val="24"/>
          <w:szCs w:val="24"/>
        </w:rPr>
        <w:t>within the policy ranges by liquidity layer</w:t>
      </w:r>
      <w:r w:rsidR="00015C23" w:rsidRPr="00917772">
        <w:rPr>
          <w:rFonts w:ascii="Times New Roman" w:hAnsi="Times New Roman" w:cs="Times New Roman"/>
          <w:sz w:val="24"/>
          <w:szCs w:val="24"/>
        </w:rPr>
        <w:t xml:space="preserve">. </w:t>
      </w:r>
    </w:p>
    <w:p w14:paraId="21D223B9" w14:textId="28C1BEA4" w:rsidR="00015C23" w:rsidRPr="00015C23" w:rsidRDefault="00D816CE" w:rsidP="00D816CE">
      <w:pPr>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A60FBD" w:rsidRPr="007850CC">
        <w:rPr>
          <w:rFonts w:ascii="Times New Roman" w:hAnsi="Times New Roman" w:cs="Times New Roman"/>
          <w:b/>
          <w:sz w:val="24"/>
          <w:szCs w:val="24"/>
        </w:rPr>
        <w:t>Figure</w:t>
      </w:r>
      <w:r w:rsidR="00C15F97" w:rsidRPr="007850CC">
        <w:rPr>
          <w:rFonts w:ascii="Times New Roman" w:hAnsi="Times New Roman" w:cs="Times New Roman"/>
          <w:b/>
          <w:sz w:val="24"/>
          <w:szCs w:val="24"/>
        </w:rPr>
        <w:t xml:space="preserve"> </w:t>
      </w:r>
      <w:r w:rsidR="008D66D1" w:rsidRPr="007850CC">
        <w:rPr>
          <w:rFonts w:ascii="Times New Roman" w:hAnsi="Times New Roman" w:cs="Times New Roman"/>
          <w:b/>
          <w:sz w:val="24"/>
          <w:szCs w:val="24"/>
        </w:rPr>
        <w:t>8</w:t>
      </w:r>
    </w:p>
    <w:p w14:paraId="0D3986D3" w14:textId="452DE71B" w:rsidR="00015C23" w:rsidRDefault="00FF12AE" w:rsidP="003476E2">
      <w:pPr>
        <w:spacing w:after="0"/>
        <w:jc w:val="center"/>
        <w:rPr>
          <w:rFonts w:ascii="Times New Roman" w:hAnsi="Times New Roman" w:cs="Times New Roman"/>
          <w:sz w:val="24"/>
          <w:szCs w:val="24"/>
        </w:rPr>
      </w:pPr>
      <w:r>
        <w:rPr>
          <w:noProof/>
        </w:rPr>
        <w:drawing>
          <wp:inline distT="0" distB="0" distL="0" distR="0" wp14:anchorId="0D07DF69" wp14:editId="42D2AEF4">
            <wp:extent cx="5248275" cy="2266950"/>
            <wp:effectExtent l="0" t="0" r="9525" b="0"/>
            <wp:docPr id="12" name="Chart 12" descr="Operating pool by liquidity layer policy ranges.  Primary liquidity 0-1 year actual allocation at 50% range form 35 to 100, liquid core 1-3 years actual allocation at 19% range 15 to 45, Core 3-5 years actual allocation at 17% range at 15 to 45 and permanent core 5 or more years actual allocation at 14% range at 5 to 25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81C4CF" w14:textId="77777777" w:rsidR="0016179F" w:rsidRDefault="0016179F">
      <w:pPr>
        <w:rPr>
          <w:rFonts w:ascii="Times New Roman" w:hAnsi="Times New Roman" w:cs="Times New Roman"/>
          <w:b/>
          <w:sz w:val="24"/>
          <w:szCs w:val="24"/>
        </w:rPr>
      </w:pPr>
    </w:p>
    <w:p w14:paraId="74368682" w14:textId="77777777" w:rsidR="00386277" w:rsidRDefault="00386277">
      <w:pPr>
        <w:rPr>
          <w:rFonts w:ascii="Times New Roman" w:hAnsi="Times New Roman" w:cs="Times New Roman"/>
          <w:b/>
          <w:sz w:val="28"/>
          <w:szCs w:val="28"/>
        </w:rPr>
      </w:pPr>
    </w:p>
    <w:p w14:paraId="3F585AD1" w14:textId="77777777" w:rsidR="006F4B1E" w:rsidRDefault="006F4B1E">
      <w:pPr>
        <w:rPr>
          <w:rFonts w:ascii="Times New Roman" w:hAnsi="Times New Roman" w:cs="Times New Roman"/>
          <w:b/>
          <w:sz w:val="28"/>
          <w:szCs w:val="28"/>
        </w:rPr>
      </w:pPr>
    </w:p>
    <w:p w14:paraId="641D3783" w14:textId="77777777" w:rsidR="007A054A" w:rsidRDefault="007A054A">
      <w:pPr>
        <w:rPr>
          <w:rFonts w:ascii="Times New Roman" w:hAnsi="Times New Roman" w:cs="Times New Roman"/>
          <w:b/>
          <w:sz w:val="28"/>
          <w:szCs w:val="28"/>
        </w:rPr>
      </w:pPr>
    </w:p>
    <w:p w14:paraId="2B680D92" w14:textId="6769E258" w:rsidR="0016179F" w:rsidRPr="006C3DDA" w:rsidRDefault="006C3DDA">
      <w:pPr>
        <w:rPr>
          <w:rFonts w:ascii="Times New Roman" w:hAnsi="Times New Roman" w:cs="Times New Roman"/>
          <w:b/>
          <w:sz w:val="28"/>
          <w:szCs w:val="28"/>
        </w:rPr>
      </w:pPr>
      <w:r w:rsidRPr="006C3DDA">
        <w:rPr>
          <w:rFonts w:ascii="Times New Roman" w:hAnsi="Times New Roman" w:cs="Times New Roman"/>
          <w:b/>
          <w:sz w:val="28"/>
          <w:szCs w:val="28"/>
        </w:rPr>
        <w:lastRenderedPageBreak/>
        <w:t>Performance</w:t>
      </w:r>
      <w:r w:rsidR="002C3769">
        <w:rPr>
          <w:rFonts w:ascii="Times New Roman" w:hAnsi="Times New Roman" w:cs="Times New Roman"/>
          <w:b/>
          <w:sz w:val="28"/>
          <w:szCs w:val="28"/>
        </w:rPr>
        <w:t xml:space="preserve"> Measurement</w:t>
      </w:r>
    </w:p>
    <w:p w14:paraId="1A0DA6AD" w14:textId="558C4474" w:rsidR="00CB3AA6" w:rsidRPr="00514814" w:rsidRDefault="00DA1613" w:rsidP="00CB3AA6">
      <w:pPr>
        <w:rPr>
          <w:rFonts w:ascii="Times New Roman" w:hAnsi="Times New Roman" w:cs="Times New Roman"/>
          <w:sz w:val="24"/>
          <w:szCs w:val="24"/>
        </w:rPr>
      </w:pPr>
      <w:r>
        <w:rPr>
          <w:rFonts w:ascii="Times New Roman" w:hAnsi="Times New Roman" w:cs="Times New Roman"/>
          <w:sz w:val="24"/>
          <w:szCs w:val="24"/>
        </w:rPr>
        <w:t>Operating p</w:t>
      </w:r>
      <w:r w:rsidR="006C3DDA">
        <w:rPr>
          <w:rFonts w:ascii="Times New Roman" w:hAnsi="Times New Roman" w:cs="Times New Roman"/>
          <w:sz w:val="24"/>
          <w:szCs w:val="24"/>
        </w:rPr>
        <w:t>ool managers</w:t>
      </w:r>
      <w:r w:rsidR="00470B2F">
        <w:rPr>
          <w:rFonts w:ascii="Times New Roman" w:hAnsi="Times New Roman" w:cs="Times New Roman"/>
          <w:sz w:val="24"/>
          <w:szCs w:val="24"/>
        </w:rPr>
        <w:t xml:space="preserve"> have consistently outperformed the perfo</w:t>
      </w:r>
      <w:r w:rsidR="00A33260">
        <w:rPr>
          <w:rFonts w:ascii="Times New Roman" w:hAnsi="Times New Roman" w:cs="Times New Roman"/>
          <w:sz w:val="24"/>
          <w:szCs w:val="24"/>
        </w:rPr>
        <w:t>rmance benchmark.</w:t>
      </w:r>
      <w:r w:rsidR="007E5089">
        <w:rPr>
          <w:rFonts w:ascii="Times New Roman" w:hAnsi="Times New Roman" w:cs="Times New Roman"/>
          <w:sz w:val="24"/>
          <w:szCs w:val="24"/>
        </w:rPr>
        <w:t xml:space="preserve"> </w:t>
      </w:r>
      <w:r w:rsidR="00A60FBD" w:rsidRPr="00514814">
        <w:rPr>
          <w:rFonts w:ascii="Times New Roman" w:hAnsi="Times New Roman" w:cs="Times New Roman"/>
          <w:sz w:val="24"/>
          <w:szCs w:val="24"/>
        </w:rPr>
        <w:t xml:space="preserve">Historical performance relative to the performance benchmark is displayed in Figure </w:t>
      </w:r>
      <w:r w:rsidR="008D3210">
        <w:rPr>
          <w:rFonts w:ascii="Times New Roman" w:hAnsi="Times New Roman" w:cs="Times New Roman"/>
          <w:sz w:val="24"/>
          <w:szCs w:val="24"/>
        </w:rPr>
        <w:t>9</w:t>
      </w:r>
      <w:r w:rsidR="00A60FBD" w:rsidRPr="00514814">
        <w:rPr>
          <w:rFonts w:ascii="Times New Roman" w:hAnsi="Times New Roman" w:cs="Times New Roman"/>
          <w:sz w:val="24"/>
          <w:szCs w:val="24"/>
        </w:rPr>
        <w:t>.</w:t>
      </w:r>
    </w:p>
    <w:p w14:paraId="6EF2B4D6" w14:textId="16BA61A7" w:rsidR="00593434" w:rsidRPr="00CB3AA6" w:rsidRDefault="00CB3AA6" w:rsidP="00CB3AA6">
      <w:pPr>
        <w:rPr>
          <w:rFonts w:ascii="Times New Roman" w:hAnsi="Times New Roman" w:cs="Times New Roman"/>
          <w:sz w:val="24"/>
          <w:szCs w:val="24"/>
        </w:rPr>
      </w:pPr>
      <w:r w:rsidRPr="00514814">
        <w:rPr>
          <w:rFonts w:ascii="Times New Roman" w:hAnsi="Times New Roman" w:cs="Times New Roman"/>
          <w:sz w:val="24"/>
          <w:szCs w:val="24"/>
        </w:rPr>
        <w:t xml:space="preserve">       </w:t>
      </w:r>
      <w:r w:rsidR="00D816CE">
        <w:rPr>
          <w:rFonts w:ascii="Times New Roman" w:hAnsi="Times New Roman" w:cs="Times New Roman"/>
          <w:sz w:val="24"/>
          <w:szCs w:val="24"/>
        </w:rPr>
        <w:t xml:space="preserve">    </w:t>
      </w:r>
      <w:r w:rsidR="00A60FBD" w:rsidRPr="007850CC">
        <w:rPr>
          <w:rFonts w:ascii="Times New Roman" w:hAnsi="Times New Roman" w:cs="Times New Roman"/>
          <w:b/>
          <w:sz w:val="24"/>
          <w:szCs w:val="24"/>
        </w:rPr>
        <w:t xml:space="preserve">Figure </w:t>
      </w:r>
      <w:r w:rsidR="008D3210" w:rsidRPr="007850CC">
        <w:rPr>
          <w:rFonts w:ascii="Times New Roman" w:hAnsi="Times New Roman" w:cs="Times New Roman"/>
          <w:b/>
          <w:sz w:val="24"/>
          <w:szCs w:val="24"/>
        </w:rPr>
        <w:t>9</w:t>
      </w:r>
      <w:r w:rsidR="00AF0C22">
        <w:rPr>
          <w:rFonts w:ascii="Times New Roman" w:hAnsi="Times New Roman" w:cs="Times New Roman"/>
          <w:b/>
          <w:sz w:val="24"/>
          <w:szCs w:val="24"/>
        </w:rPr>
        <w:t xml:space="preserve"> </w:t>
      </w:r>
    </w:p>
    <w:p w14:paraId="4D670867" w14:textId="4CE25A82" w:rsidR="009565BB" w:rsidRDefault="009565BB" w:rsidP="0016179F">
      <w:pPr>
        <w:jc w:val="center"/>
        <w:rPr>
          <w:rFonts w:ascii="Times New Roman" w:hAnsi="Times New Roman" w:cs="Times New Roman"/>
          <w:i/>
          <w:sz w:val="24"/>
          <w:szCs w:val="24"/>
        </w:rPr>
      </w:pPr>
      <w:r>
        <w:rPr>
          <w:noProof/>
        </w:rPr>
        <w:drawing>
          <wp:inline distT="0" distB="0" distL="0" distR="0" wp14:anchorId="22B708A4" wp14:editId="31C2F530">
            <wp:extent cx="5816009" cy="2619124"/>
            <wp:effectExtent l="0" t="0" r="13335" b="10160"/>
            <wp:docPr id="1" name="Chart 1" descr="Operating Pool Historical Performance Total Pool 3.43 Billion.  Bar chart comparing percentages of pool to benchmark over time spans.  1 year 2.5 pool, 1.8 benchmark  3 year .4 pool, 0 benchmark  5 years 1.7 pool, 1.5 benchmark  10 years 1.3 pool, 1.1 benchmark  since inception in 1989 3..8 pool, 3.6 benchmark">
              <a:extLst xmlns:a="http://schemas.openxmlformats.org/drawingml/2006/main">
                <a:ext uri="{FF2B5EF4-FFF2-40B4-BE49-F238E27FC236}">
                  <a16:creationId xmlns:a16="http://schemas.microsoft.com/office/drawing/2014/main" id="{00000000-0008-0000-08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DD6112" w14:textId="77777777" w:rsidR="00E06ABB" w:rsidRPr="003476E2" w:rsidRDefault="00E06ABB" w:rsidP="00E06ABB">
      <w:pPr>
        <w:spacing w:after="0"/>
        <w:ind w:left="720"/>
        <w:rPr>
          <w:rFonts w:ascii="Times New Roman" w:hAnsi="Times New Roman" w:cs="Times New Roman"/>
          <w:sz w:val="20"/>
          <w:szCs w:val="20"/>
        </w:rPr>
      </w:pPr>
      <w:r w:rsidRPr="003476E2">
        <w:rPr>
          <w:rFonts w:ascii="Times New Roman" w:hAnsi="Times New Roman" w:cs="Times New Roman"/>
          <w:sz w:val="20"/>
          <w:szCs w:val="20"/>
        </w:rPr>
        <w:t xml:space="preserve">*Note: The </w:t>
      </w:r>
      <w:r>
        <w:rPr>
          <w:rFonts w:ascii="Times New Roman" w:hAnsi="Times New Roman" w:cs="Times New Roman"/>
          <w:sz w:val="20"/>
          <w:szCs w:val="20"/>
        </w:rPr>
        <w:t>t</w:t>
      </w:r>
      <w:r w:rsidRPr="003476E2">
        <w:rPr>
          <w:rFonts w:ascii="Times New Roman" w:hAnsi="Times New Roman" w:cs="Times New Roman"/>
          <w:sz w:val="20"/>
          <w:szCs w:val="20"/>
        </w:rPr>
        <w:t xml:space="preserve">otal </w:t>
      </w:r>
      <w:r>
        <w:rPr>
          <w:rFonts w:ascii="Times New Roman" w:hAnsi="Times New Roman" w:cs="Times New Roman"/>
          <w:sz w:val="20"/>
          <w:szCs w:val="20"/>
        </w:rPr>
        <w:t>operating p</w:t>
      </w:r>
      <w:r w:rsidRPr="003476E2">
        <w:rPr>
          <w:rFonts w:ascii="Times New Roman" w:hAnsi="Times New Roman" w:cs="Times New Roman"/>
          <w:sz w:val="20"/>
          <w:szCs w:val="20"/>
        </w:rPr>
        <w:t>ool market value does not inclu</w:t>
      </w:r>
      <w:r>
        <w:rPr>
          <w:rFonts w:ascii="Times New Roman" w:hAnsi="Times New Roman" w:cs="Times New Roman"/>
          <w:sz w:val="20"/>
          <w:szCs w:val="20"/>
        </w:rPr>
        <w:t>de the permanent core allocation</w:t>
      </w:r>
      <w:r w:rsidRPr="003476E2">
        <w:rPr>
          <w:rFonts w:ascii="Times New Roman" w:hAnsi="Times New Roman" w:cs="Times New Roman"/>
          <w:sz w:val="20"/>
          <w:szCs w:val="20"/>
        </w:rPr>
        <w:t>.</w:t>
      </w:r>
      <w:r>
        <w:rPr>
          <w:rFonts w:ascii="Times New Roman" w:hAnsi="Times New Roman" w:cs="Times New Roman"/>
          <w:sz w:val="20"/>
          <w:szCs w:val="20"/>
        </w:rPr>
        <w:t xml:space="preserve"> This allocation is                     included in the endowment pool market value.</w:t>
      </w:r>
    </w:p>
    <w:p w14:paraId="5D377B60" w14:textId="7D996177" w:rsidR="003904AA" w:rsidRDefault="00770C56">
      <w:pPr>
        <w:rPr>
          <w:rFonts w:ascii="Times New Roman" w:hAnsi="Times New Roman" w:cs="Times New Roman"/>
          <w:b/>
          <w:i/>
          <w:sz w:val="24"/>
          <w:szCs w:val="24"/>
        </w:rPr>
      </w:pPr>
      <w:r>
        <w:rPr>
          <w:rFonts w:ascii="Times New Roman" w:hAnsi="Times New Roman" w:cs="Times New Roman"/>
          <w:i/>
          <w:sz w:val="24"/>
          <w:szCs w:val="24"/>
        </w:rPr>
        <w:br w:type="page"/>
      </w:r>
    </w:p>
    <w:p w14:paraId="19AF06D2" w14:textId="21D5D5C1" w:rsidR="00834E84" w:rsidRPr="009565BB" w:rsidRDefault="00386277" w:rsidP="00386277">
      <w:pPr>
        <w:jc w:val="center"/>
        <w:rPr>
          <w:rFonts w:ascii="Times New Roman" w:hAnsi="Times New Roman" w:cs="Times New Roman"/>
          <w:b/>
          <w:sz w:val="32"/>
          <w:szCs w:val="32"/>
        </w:rPr>
      </w:pPr>
      <w:r w:rsidRPr="009565BB">
        <w:rPr>
          <w:rFonts w:ascii="Times New Roman" w:hAnsi="Times New Roman" w:cs="Times New Roman"/>
          <w:b/>
          <w:sz w:val="32"/>
          <w:szCs w:val="32"/>
        </w:rPr>
        <w:lastRenderedPageBreak/>
        <w:t>Financial Impact</w:t>
      </w:r>
    </w:p>
    <w:p w14:paraId="41058D0B" w14:textId="30971BDC" w:rsidR="00714CE6" w:rsidRPr="009565BB" w:rsidRDefault="00DA1613" w:rsidP="00A60FBD">
      <w:pPr>
        <w:spacing w:after="360"/>
        <w:rPr>
          <w:rFonts w:ascii="Times New Roman" w:hAnsi="Times New Roman" w:cs="Times New Roman"/>
          <w:sz w:val="24"/>
          <w:szCs w:val="24"/>
        </w:rPr>
      </w:pPr>
      <w:r w:rsidRPr="009565BB">
        <w:rPr>
          <w:rFonts w:ascii="Times New Roman" w:hAnsi="Times New Roman" w:cs="Times New Roman"/>
          <w:sz w:val="24"/>
          <w:szCs w:val="24"/>
        </w:rPr>
        <w:t>The investment p</w:t>
      </w:r>
      <w:r w:rsidR="00714CE6" w:rsidRPr="009565BB">
        <w:rPr>
          <w:rFonts w:ascii="Times New Roman" w:hAnsi="Times New Roman" w:cs="Times New Roman"/>
          <w:sz w:val="24"/>
          <w:szCs w:val="24"/>
        </w:rPr>
        <w:t>rogram generates investment income, as well as investment management costs</w:t>
      </w:r>
      <w:r w:rsidR="008041A5" w:rsidRPr="009565BB">
        <w:rPr>
          <w:rFonts w:ascii="Times New Roman" w:hAnsi="Times New Roman" w:cs="Times New Roman"/>
          <w:sz w:val="24"/>
          <w:szCs w:val="24"/>
        </w:rPr>
        <w:t>,</w:t>
      </w:r>
      <w:r w:rsidR="00714CE6" w:rsidRPr="009565BB">
        <w:rPr>
          <w:rFonts w:ascii="Times New Roman" w:hAnsi="Times New Roman" w:cs="Times New Roman"/>
          <w:sz w:val="24"/>
          <w:szCs w:val="24"/>
        </w:rPr>
        <w:t xml:space="preserve"> to the University System. </w:t>
      </w:r>
      <w:r w:rsidR="00A60FBD" w:rsidRPr="009565BB">
        <w:rPr>
          <w:rFonts w:ascii="Times New Roman" w:hAnsi="Times New Roman" w:cs="Times New Roman"/>
          <w:sz w:val="24"/>
          <w:szCs w:val="24"/>
        </w:rPr>
        <w:t>All costs are offset or paid directly from investment income. The Investment Office works diligently to maintain the cost structure at a reasonable level.</w:t>
      </w:r>
    </w:p>
    <w:p w14:paraId="679F7E5F" w14:textId="05F9E9EF" w:rsidR="00714CE6" w:rsidRPr="009565BB" w:rsidRDefault="00714CE6">
      <w:pPr>
        <w:rPr>
          <w:rFonts w:ascii="Times New Roman" w:hAnsi="Times New Roman" w:cs="Times New Roman"/>
          <w:b/>
          <w:sz w:val="28"/>
          <w:szCs w:val="28"/>
        </w:rPr>
      </w:pPr>
      <w:r w:rsidRPr="009565BB">
        <w:rPr>
          <w:rFonts w:ascii="Times New Roman" w:hAnsi="Times New Roman" w:cs="Times New Roman"/>
          <w:b/>
          <w:sz w:val="28"/>
          <w:szCs w:val="28"/>
        </w:rPr>
        <w:t>Income Distribution</w:t>
      </w:r>
    </w:p>
    <w:p w14:paraId="4AE8C76B" w14:textId="60563A9F" w:rsidR="00834E84" w:rsidRPr="009565BB" w:rsidRDefault="00986199">
      <w:pPr>
        <w:rPr>
          <w:rFonts w:ascii="Times New Roman" w:hAnsi="Times New Roman" w:cs="Times New Roman"/>
          <w:sz w:val="24"/>
          <w:szCs w:val="24"/>
        </w:rPr>
      </w:pPr>
      <w:r w:rsidRPr="009565BB">
        <w:rPr>
          <w:rFonts w:ascii="Times New Roman" w:hAnsi="Times New Roman" w:cs="Times New Roman"/>
          <w:sz w:val="24"/>
          <w:szCs w:val="24"/>
        </w:rPr>
        <w:t>During the 20</w:t>
      </w:r>
      <w:r w:rsidR="00B14825" w:rsidRPr="009565BB">
        <w:rPr>
          <w:rFonts w:ascii="Times New Roman" w:hAnsi="Times New Roman" w:cs="Times New Roman"/>
          <w:sz w:val="24"/>
          <w:szCs w:val="24"/>
        </w:rPr>
        <w:t>2</w:t>
      </w:r>
      <w:r w:rsidR="00576730">
        <w:rPr>
          <w:rFonts w:ascii="Times New Roman" w:hAnsi="Times New Roman" w:cs="Times New Roman"/>
          <w:sz w:val="24"/>
          <w:szCs w:val="24"/>
        </w:rPr>
        <w:t>3</w:t>
      </w:r>
      <w:r w:rsidR="00AF0C22" w:rsidRPr="009565BB">
        <w:rPr>
          <w:rFonts w:ascii="Times New Roman" w:hAnsi="Times New Roman" w:cs="Times New Roman"/>
          <w:sz w:val="24"/>
          <w:szCs w:val="24"/>
        </w:rPr>
        <w:t xml:space="preserve"> </w:t>
      </w:r>
      <w:r w:rsidR="00982624" w:rsidRPr="009565BB">
        <w:rPr>
          <w:rFonts w:ascii="Times New Roman" w:hAnsi="Times New Roman" w:cs="Times New Roman"/>
          <w:sz w:val="24"/>
          <w:szCs w:val="24"/>
        </w:rPr>
        <w:t>fiscal</w:t>
      </w:r>
      <w:r w:rsidR="00DA1613" w:rsidRPr="009565BB">
        <w:rPr>
          <w:rFonts w:ascii="Times New Roman" w:hAnsi="Times New Roman" w:cs="Times New Roman"/>
          <w:sz w:val="24"/>
          <w:szCs w:val="24"/>
        </w:rPr>
        <w:t xml:space="preserve"> year, the investment p</w:t>
      </w:r>
      <w:r w:rsidR="00834E84" w:rsidRPr="009565BB">
        <w:rPr>
          <w:rFonts w:ascii="Times New Roman" w:hAnsi="Times New Roman" w:cs="Times New Roman"/>
          <w:sz w:val="24"/>
          <w:szCs w:val="24"/>
        </w:rPr>
        <w:t>ro</w:t>
      </w:r>
      <w:r w:rsidR="008041A5" w:rsidRPr="009565BB">
        <w:rPr>
          <w:rFonts w:ascii="Times New Roman" w:hAnsi="Times New Roman" w:cs="Times New Roman"/>
          <w:sz w:val="24"/>
          <w:szCs w:val="24"/>
        </w:rPr>
        <w:t xml:space="preserve">gram distributed income of </w:t>
      </w:r>
      <w:r w:rsidR="005F684D" w:rsidRPr="009565BB">
        <w:rPr>
          <w:rFonts w:ascii="Times New Roman" w:hAnsi="Times New Roman" w:cs="Times New Roman"/>
          <w:sz w:val="24"/>
          <w:szCs w:val="24"/>
        </w:rPr>
        <w:t>$</w:t>
      </w:r>
      <w:r w:rsidR="00674C25">
        <w:rPr>
          <w:rFonts w:ascii="Times New Roman" w:hAnsi="Times New Roman" w:cs="Times New Roman"/>
          <w:sz w:val="24"/>
          <w:szCs w:val="24"/>
        </w:rPr>
        <w:t>12</w:t>
      </w:r>
      <w:r w:rsidR="00E06ABB">
        <w:rPr>
          <w:rFonts w:ascii="Times New Roman" w:hAnsi="Times New Roman" w:cs="Times New Roman"/>
          <w:sz w:val="24"/>
          <w:szCs w:val="24"/>
        </w:rPr>
        <w:t>4</w:t>
      </w:r>
      <w:r w:rsidR="00834E84" w:rsidRPr="009565BB">
        <w:rPr>
          <w:rFonts w:ascii="Times New Roman" w:hAnsi="Times New Roman" w:cs="Times New Roman"/>
          <w:sz w:val="24"/>
          <w:szCs w:val="24"/>
        </w:rPr>
        <w:t xml:space="preserve"> million to units across the University System</w:t>
      </w:r>
      <w:r w:rsidR="001D0B3F" w:rsidRPr="009565BB">
        <w:rPr>
          <w:rFonts w:ascii="Times New Roman" w:hAnsi="Times New Roman" w:cs="Times New Roman"/>
          <w:sz w:val="24"/>
          <w:szCs w:val="24"/>
        </w:rPr>
        <w:t xml:space="preserve"> after paying investment management fees. </w:t>
      </w:r>
      <w:r w:rsidR="00834E84" w:rsidRPr="009565BB">
        <w:rPr>
          <w:rFonts w:ascii="Times New Roman" w:hAnsi="Times New Roman" w:cs="Times New Roman"/>
          <w:sz w:val="24"/>
          <w:szCs w:val="24"/>
        </w:rPr>
        <w:t>The summary of the distributio</w:t>
      </w:r>
      <w:r w:rsidR="005251CC" w:rsidRPr="009565BB">
        <w:rPr>
          <w:rFonts w:ascii="Times New Roman" w:hAnsi="Times New Roman" w:cs="Times New Roman"/>
          <w:sz w:val="24"/>
          <w:szCs w:val="24"/>
        </w:rPr>
        <w:t>n</w:t>
      </w:r>
      <w:r w:rsidR="00851E0C" w:rsidRPr="009565BB">
        <w:rPr>
          <w:rFonts w:ascii="Times New Roman" w:hAnsi="Times New Roman" w:cs="Times New Roman"/>
          <w:sz w:val="24"/>
          <w:szCs w:val="24"/>
        </w:rPr>
        <w:t xml:space="preserve"> by source </w:t>
      </w:r>
      <w:r w:rsidR="00A60FBD" w:rsidRPr="009565BB">
        <w:rPr>
          <w:rFonts w:ascii="Times New Roman" w:hAnsi="Times New Roman" w:cs="Times New Roman"/>
          <w:sz w:val="24"/>
          <w:szCs w:val="24"/>
        </w:rPr>
        <w:t>is shown in Figure 1</w:t>
      </w:r>
      <w:r w:rsidR="008D3210">
        <w:rPr>
          <w:rFonts w:ascii="Times New Roman" w:hAnsi="Times New Roman" w:cs="Times New Roman"/>
          <w:sz w:val="24"/>
          <w:szCs w:val="24"/>
        </w:rPr>
        <w:t>0</w:t>
      </w:r>
      <w:r w:rsidR="00834E84" w:rsidRPr="009565BB">
        <w:rPr>
          <w:rFonts w:ascii="Times New Roman" w:hAnsi="Times New Roman" w:cs="Times New Roman"/>
          <w:sz w:val="24"/>
          <w:szCs w:val="24"/>
        </w:rPr>
        <w:t xml:space="preserve">. </w:t>
      </w:r>
    </w:p>
    <w:p w14:paraId="391FC81F" w14:textId="55DB099B" w:rsidR="00C51922" w:rsidRPr="009565BB" w:rsidRDefault="0016179F" w:rsidP="0016179F">
      <w:pPr>
        <w:rPr>
          <w:rFonts w:ascii="Times New Roman" w:hAnsi="Times New Roman" w:cs="Times New Roman"/>
          <w:b/>
          <w:sz w:val="24"/>
          <w:szCs w:val="24"/>
        </w:rPr>
      </w:pPr>
      <w:r w:rsidRPr="009565BB">
        <w:rPr>
          <w:rFonts w:ascii="Times New Roman" w:hAnsi="Times New Roman" w:cs="Times New Roman"/>
          <w:b/>
          <w:sz w:val="24"/>
          <w:szCs w:val="24"/>
        </w:rPr>
        <w:t xml:space="preserve">  </w:t>
      </w:r>
      <w:r w:rsidR="001D0B3F" w:rsidRPr="009565BB">
        <w:rPr>
          <w:rFonts w:ascii="Times New Roman" w:hAnsi="Times New Roman" w:cs="Times New Roman"/>
          <w:b/>
          <w:sz w:val="24"/>
          <w:szCs w:val="24"/>
        </w:rPr>
        <w:tab/>
      </w:r>
      <w:r w:rsidR="001D0B3F" w:rsidRPr="009565BB">
        <w:rPr>
          <w:rFonts w:ascii="Times New Roman" w:hAnsi="Times New Roman" w:cs="Times New Roman"/>
          <w:b/>
          <w:sz w:val="24"/>
          <w:szCs w:val="24"/>
        </w:rPr>
        <w:tab/>
      </w:r>
      <w:r w:rsidR="001D0B3F" w:rsidRPr="009565BB">
        <w:rPr>
          <w:rFonts w:ascii="Times New Roman" w:hAnsi="Times New Roman" w:cs="Times New Roman"/>
          <w:b/>
          <w:sz w:val="24"/>
          <w:szCs w:val="24"/>
        </w:rPr>
        <w:tab/>
        <w:t xml:space="preserve">     </w:t>
      </w:r>
      <w:r w:rsidR="00A60FBD" w:rsidRPr="009565BB">
        <w:rPr>
          <w:rFonts w:ascii="Times New Roman" w:hAnsi="Times New Roman" w:cs="Times New Roman"/>
          <w:b/>
          <w:sz w:val="24"/>
          <w:szCs w:val="24"/>
        </w:rPr>
        <w:t>Figure 1</w:t>
      </w:r>
      <w:r w:rsidR="008D3210">
        <w:rPr>
          <w:rFonts w:ascii="Times New Roman" w:hAnsi="Times New Roman" w:cs="Times New Roman"/>
          <w:b/>
          <w:sz w:val="24"/>
          <w:szCs w:val="24"/>
        </w:rPr>
        <w:t>0</w:t>
      </w:r>
    </w:p>
    <w:tbl>
      <w:tblPr>
        <w:tblStyle w:val="TableGrid"/>
        <w:tblW w:w="0" w:type="auto"/>
        <w:jc w:val="center"/>
        <w:tblLook w:val="04A0" w:firstRow="1" w:lastRow="0" w:firstColumn="1" w:lastColumn="0" w:noHBand="0" w:noVBand="1"/>
      </w:tblPr>
      <w:tblGrid>
        <w:gridCol w:w="4044"/>
        <w:gridCol w:w="1470"/>
      </w:tblGrid>
      <w:tr w:rsidR="001D0B3F" w:rsidRPr="009565BB" w14:paraId="7C3BCFBE" w14:textId="7EF0DBD0" w:rsidTr="00DA1613">
        <w:trPr>
          <w:jc w:val="center"/>
        </w:trPr>
        <w:tc>
          <w:tcPr>
            <w:tcW w:w="4044" w:type="dxa"/>
            <w:shd w:val="clear" w:color="auto" w:fill="BFBFBF" w:themeFill="background1" w:themeFillShade="BF"/>
          </w:tcPr>
          <w:p w14:paraId="55BEF31C" w14:textId="77777777" w:rsidR="001D0B3F" w:rsidRPr="009565BB" w:rsidRDefault="001D0B3F" w:rsidP="0023756E">
            <w:pPr>
              <w:rPr>
                <w:rFonts w:ascii="Times New Roman" w:hAnsi="Times New Roman" w:cs="Times New Roman"/>
                <w:b/>
                <w:sz w:val="24"/>
                <w:szCs w:val="24"/>
              </w:rPr>
            </w:pPr>
            <w:r w:rsidRPr="009565BB">
              <w:rPr>
                <w:rFonts w:ascii="Times New Roman" w:hAnsi="Times New Roman" w:cs="Times New Roman"/>
                <w:b/>
                <w:sz w:val="24"/>
                <w:szCs w:val="24"/>
              </w:rPr>
              <w:t>($ Millions)</w:t>
            </w:r>
          </w:p>
        </w:tc>
        <w:tc>
          <w:tcPr>
            <w:tcW w:w="1260" w:type="dxa"/>
            <w:shd w:val="clear" w:color="auto" w:fill="BFBFBF" w:themeFill="background1" w:themeFillShade="BF"/>
          </w:tcPr>
          <w:p w14:paraId="792DC926" w14:textId="736149DF" w:rsidR="001D0B3F" w:rsidRPr="009565BB" w:rsidRDefault="001D0B3F" w:rsidP="00917772">
            <w:pPr>
              <w:jc w:val="center"/>
              <w:rPr>
                <w:rFonts w:ascii="Times New Roman" w:hAnsi="Times New Roman" w:cs="Times New Roman"/>
                <w:b/>
                <w:sz w:val="24"/>
                <w:szCs w:val="24"/>
              </w:rPr>
            </w:pPr>
            <w:r w:rsidRPr="009565BB">
              <w:rPr>
                <w:rFonts w:ascii="Times New Roman" w:hAnsi="Times New Roman" w:cs="Times New Roman"/>
                <w:b/>
                <w:sz w:val="24"/>
                <w:szCs w:val="24"/>
              </w:rPr>
              <w:t>Distribution</w:t>
            </w:r>
          </w:p>
        </w:tc>
      </w:tr>
      <w:tr w:rsidR="001D0B3F" w:rsidRPr="009565BB" w14:paraId="4AC2E13A" w14:textId="6C8AAA1E" w:rsidTr="00DA1613">
        <w:trPr>
          <w:jc w:val="center"/>
        </w:trPr>
        <w:tc>
          <w:tcPr>
            <w:tcW w:w="4044" w:type="dxa"/>
          </w:tcPr>
          <w:p w14:paraId="1D9DB9B7" w14:textId="5AA919FD" w:rsidR="001D0B3F" w:rsidRPr="009565BB" w:rsidRDefault="001D0B3F" w:rsidP="0023756E">
            <w:pPr>
              <w:rPr>
                <w:rFonts w:ascii="Times New Roman" w:hAnsi="Times New Roman" w:cs="Times New Roman"/>
                <w:sz w:val="24"/>
                <w:szCs w:val="24"/>
              </w:rPr>
            </w:pPr>
            <w:r w:rsidRPr="009565BB">
              <w:rPr>
                <w:rFonts w:ascii="Times New Roman" w:hAnsi="Times New Roman" w:cs="Times New Roman"/>
                <w:sz w:val="24"/>
                <w:szCs w:val="24"/>
              </w:rPr>
              <w:t>Endowment Pool</w:t>
            </w:r>
          </w:p>
        </w:tc>
        <w:tc>
          <w:tcPr>
            <w:tcW w:w="1260" w:type="dxa"/>
          </w:tcPr>
          <w:p w14:paraId="1EAD2FB8" w14:textId="42863070" w:rsidR="001D0B3F" w:rsidRPr="009565BB" w:rsidRDefault="00576730" w:rsidP="00B14825">
            <w:pPr>
              <w:jc w:val="center"/>
              <w:rPr>
                <w:rFonts w:ascii="Times New Roman" w:hAnsi="Times New Roman" w:cs="Times New Roman"/>
                <w:sz w:val="24"/>
                <w:szCs w:val="24"/>
              </w:rPr>
            </w:pPr>
            <w:r>
              <w:rPr>
                <w:rFonts w:ascii="Times New Roman" w:hAnsi="Times New Roman" w:cs="Times New Roman"/>
                <w:sz w:val="24"/>
                <w:szCs w:val="24"/>
              </w:rPr>
              <w:t>28.3</w:t>
            </w:r>
          </w:p>
        </w:tc>
      </w:tr>
      <w:tr w:rsidR="001D0B3F" w:rsidRPr="009565BB" w14:paraId="38012EC1" w14:textId="750C7231" w:rsidTr="00DA1613">
        <w:trPr>
          <w:jc w:val="center"/>
        </w:trPr>
        <w:tc>
          <w:tcPr>
            <w:tcW w:w="4044" w:type="dxa"/>
          </w:tcPr>
          <w:p w14:paraId="314758B2" w14:textId="195EC0AC" w:rsidR="001D0B3F" w:rsidRPr="009565BB" w:rsidRDefault="001D0B3F" w:rsidP="0023756E">
            <w:pPr>
              <w:rPr>
                <w:rFonts w:ascii="Times New Roman" w:hAnsi="Times New Roman" w:cs="Times New Roman"/>
                <w:sz w:val="24"/>
                <w:szCs w:val="24"/>
              </w:rPr>
            </w:pPr>
            <w:r w:rsidRPr="009565BB">
              <w:rPr>
                <w:rFonts w:ascii="Times New Roman" w:hAnsi="Times New Roman" w:cs="Times New Roman"/>
                <w:sz w:val="24"/>
                <w:szCs w:val="24"/>
              </w:rPr>
              <w:t xml:space="preserve">Operating Pool </w:t>
            </w:r>
          </w:p>
        </w:tc>
        <w:tc>
          <w:tcPr>
            <w:tcW w:w="1260" w:type="dxa"/>
          </w:tcPr>
          <w:p w14:paraId="7985C586" w14:textId="62EA2C2A" w:rsidR="001D0B3F" w:rsidRPr="009565BB" w:rsidRDefault="00576730" w:rsidP="00B14825">
            <w:pPr>
              <w:jc w:val="center"/>
              <w:rPr>
                <w:rFonts w:ascii="Times New Roman" w:hAnsi="Times New Roman" w:cs="Times New Roman"/>
                <w:sz w:val="24"/>
                <w:szCs w:val="24"/>
              </w:rPr>
            </w:pPr>
            <w:r>
              <w:rPr>
                <w:rFonts w:ascii="Times New Roman" w:hAnsi="Times New Roman" w:cs="Times New Roman"/>
                <w:sz w:val="24"/>
                <w:szCs w:val="24"/>
              </w:rPr>
              <w:t>93.9</w:t>
            </w:r>
          </w:p>
        </w:tc>
      </w:tr>
      <w:tr w:rsidR="001D0B3F" w:rsidRPr="009565BB" w14:paraId="488A8B29" w14:textId="77777777" w:rsidTr="00DA1613">
        <w:trPr>
          <w:jc w:val="center"/>
        </w:trPr>
        <w:tc>
          <w:tcPr>
            <w:tcW w:w="4044" w:type="dxa"/>
          </w:tcPr>
          <w:p w14:paraId="7C76B022" w14:textId="26F40A92" w:rsidR="001D0B3F" w:rsidRPr="009565BB" w:rsidRDefault="001D0B3F" w:rsidP="0023756E">
            <w:pPr>
              <w:rPr>
                <w:rFonts w:ascii="Times New Roman" w:hAnsi="Times New Roman" w:cs="Times New Roman"/>
                <w:sz w:val="24"/>
                <w:szCs w:val="24"/>
              </w:rPr>
            </w:pPr>
            <w:r w:rsidRPr="009565BB">
              <w:rPr>
                <w:rFonts w:ascii="Times New Roman" w:hAnsi="Times New Roman" w:cs="Times New Roman"/>
                <w:sz w:val="24"/>
                <w:szCs w:val="24"/>
              </w:rPr>
              <w:t>Endowment Farms</w:t>
            </w:r>
          </w:p>
        </w:tc>
        <w:tc>
          <w:tcPr>
            <w:tcW w:w="1260" w:type="dxa"/>
          </w:tcPr>
          <w:p w14:paraId="705002DB" w14:textId="4F518612" w:rsidR="001D0B3F" w:rsidRPr="009565BB" w:rsidRDefault="008817D5" w:rsidP="00B14825">
            <w:pPr>
              <w:jc w:val="center"/>
              <w:rPr>
                <w:rFonts w:ascii="Times New Roman" w:hAnsi="Times New Roman" w:cs="Times New Roman"/>
                <w:sz w:val="24"/>
                <w:szCs w:val="24"/>
              </w:rPr>
            </w:pPr>
            <w:r w:rsidRPr="00674C25">
              <w:rPr>
                <w:rFonts w:ascii="Times New Roman" w:hAnsi="Times New Roman" w:cs="Times New Roman"/>
                <w:sz w:val="24"/>
                <w:szCs w:val="24"/>
              </w:rPr>
              <w:t>2.</w:t>
            </w:r>
            <w:r w:rsidR="00674C25" w:rsidRPr="00674C25">
              <w:rPr>
                <w:rFonts w:ascii="Times New Roman" w:hAnsi="Times New Roman" w:cs="Times New Roman"/>
                <w:sz w:val="24"/>
                <w:szCs w:val="24"/>
              </w:rPr>
              <w:t>1</w:t>
            </w:r>
          </w:p>
        </w:tc>
      </w:tr>
      <w:tr w:rsidR="001D0B3F" w:rsidRPr="009565BB" w14:paraId="148AD749" w14:textId="11ABAA7B" w:rsidTr="00DA1613">
        <w:trPr>
          <w:jc w:val="center"/>
        </w:trPr>
        <w:tc>
          <w:tcPr>
            <w:tcW w:w="4044" w:type="dxa"/>
            <w:tcBorders>
              <w:bottom w:val="single" w:sz="4" w:space="0" w:color="auto"/>
            </w:tcBorders>
          </w:tcPr>
          <w:p w14:paraId="702B9AE4" w14:textId="77777777" w:rsidR="001D0B3F" w:rsidRPr="009565BB" w:rsidRDefault="001D0B3F" w:rsidP="0023756E">
            <w:pPr>
              <w:rPr>
                <w:rFonts w:ascii="Times New Roman" w:hAnsi="Times New Roman" w:cs="Times New Roman"/>
                <w:b/>
                <w:sz w:val="24"/>
                <w:szCs w:val="24"/>
              </w:rPr>
            </w:pPr>
            <w:r w:rsidRPr="009565BB">
              <w:rPr>
                <w:rFonts w:ascii="Times New Roman" w:hAnsi="Times New Roman" w:cs="Times New Roman"/>
                <w:b/>
                <w:sz w:val="24"/>
                <w:szCs w:val="24"/>
              </w:rPr>
              <w:t>Total Distribution</w:t>
            </w:r>
          </w:p>
        </w:tc>
        <w:tc>
          <w:tcPr>
            <w:tcW w:w="1260" w:type="dxa"/>
          </w:tcPr>
          <w:p w14:paraId="01B7E716" w14:textId="045154FE" w:rsidR="001D0B3F" w:rsidRPr="009565BB" w:rsidRDefault="00674C25" w:rsidP="00B14825">
            <w:pPr>
              <w:jc w:val="center"/>
              <w:rPr>
                <w:rFonts w:ascii="Times New Roman" w:hAnsi="Times New Roman" w:cs="Times New Roman"/>
                <w:b/>
                <w:sz w:val="24"/>
                <w:szCs w:val="24"/>
              </w:rPr>
            </w:pPr>
            <w:r>
              <w:rPr>
                <w:rFonts w:ascii="Times New Roman" w:hAnsi="Times New Roman" w:cs="Times New Roman"/>
                <w:b/>
                <w:sz w:val="24"/>
                <w:szCs w:val="24"/>
              </w:rPr>
              <w:t>124.3</w:t>
            </w:r>
          </w:p>
        </w:tc>
      </w:tr>
    </w:tbl>
    <w:p w14:paraId="31E5BE36" w14:textId="77777777" w:rsidR="00917772" w:rsidRPr="009565BB" w:rsidRDefault="00917772">
      <w:pPr>
        <w:rPr>
          <w:rFonts w:ascii="Times New Roman" w:hAnsi="Times New Roman" w:cs="Times New Roman"/>
          <w:b/>
          <w:sz w:val="24"/>
          <w:szCs w:val="24"/>
        </w:rPr>
      </w:pPr>
    </w:p>
    <w:p w14:paraId="09069503" w14:textId="7A7F8005" w:rsidR="007B4942" w:rsidRPr="009565BB" w:rsidRDefault="00294D2F">
      <w:pPr>
        <w:rPr>
          <w:rFonts w:ascii="Times New Roman" w:hAnsi="Times New Roman" w:cs="Times New Roman"/>
          <w:b/>
          <w:sz w:val="28"/>
          <w:szCs w:val="28"/>
        </w:rPr>
      </w:pPr>
      <w:r w:rsidRPr="009565BB">
        <w:rPr>
          <w:rFonts w:ascii="Times New Roman" w:hAnsi="Times New Roman" w:cs="Times New Roman"/>
          <w:b/>
          <w:sz w:val="28"/>
          <w:szCs w:val="28"/>
        </w:rPr>
        <w:t>Program Costs</w:t>
      </w:r>
      <w:r w:rsidR="004621BC" w:rsidRPr="009565BB">
        <w:rPr>
          <w:rFonts w:ascii="Times New Roman" w:hAnsi="Times New Roman" w:cs="Times New Roman"/>
          <w:b/>
          <w:sz w:val="28"/>
          <w:szCs w:val="28"/>
        </w:rPr>
        <w:t xml:space="preserve"> </w:t>
      </w:r>
    </w:p>
    <w:p w14:paraId="729D97DF" w14:textId="01C9BBD7" w:rsidR="00A407AF" w:rsidRPr="009565BB" w:rsidRDefault="00834304" w:rsidP="00A407AF">
      <w:pPr>
        <w:spacing w:after="360"/>
        <w:rPr>
          <w:rFonts w:ascii="Times New Roman" w:hAnsi="Times New Roman" w:cs="Times New Roman"/>
          <w:sz w:val="24"/>
          <w:szCs w:val="24"/>
        </w:rPr>
      </w:pPr>
      <w:r w:rsidRPr="009565BB">
        <w:rPr>
          <w:rFonts w:ascii="Times New Roman" w:hAnsi="Times New Roman" w:cs="Times New Roman"/>
          <w:sz w:val="24"/>
          <w:szCs w:val="24"/>
        </w:rPr>
        <w:t>The most significant cost</w:t>
      </w:r>
      <w:r w:rsidR="00DA1613" w:rsidRPr="009565BB">
        <w:rPr>
          <w:rFonts w:ascii="Times New Roman" w:hAnsi="Times New Roman" w:cs="Times New Roman"/>
          <w:sz w:val="24"/>
          <w:szCs w:val="24"/>
        </w:rPr>
        <w:t xml:space="preserve"> to the investment p</w:t>
      </w:r>
      <w:r w:rsidR="00C6716C" w:rsidRPr="009565BB">
        <w:rPr>
          <w:rFonts w:ascii="Times New Roman" w:hAnsi="Times New Roman" w:cs="Times New Roman"/>
          <w:sz w:val="24"/>
          <w:szCs w:val="24"/>
        </w:rPr>
        <w:t>rogram is external counterparty (</w:t>
      </w:r>
      <w:r w:rsidR="00C6716C" w:rsidRPr="009565BB">
        <w:rPr>
          <w:rFonts w:ascii="Times New Roman" w:hAnsi="Times New Roman" w:cs="Times New Roman"/>
          <w:i/>
          <w:sz w:val="24"/>
          <w:szCs w:val="24"/>
        </w:rPr>
        <w:t>i.e.,</w:t>
      </w:r>
      <w:r w:rsidR="00C6716C" w:rsidRPr="009565BB">
        <w:rPr>
          <w:rFonts w:ascii="Times New Roman" w:hAnsi="Times New Roman" w:cs="Times New Roman"/>
          <w:sz w:val="24"/>
          <w:szCs w:val="24"/>
        </w:rPr>
        <w:t xml:space="preserve"> investment manager, custody, investmen</w:t>
      </w:r>
      <w:r w:rsidR="00982624" w:rsidRPr="009565BB">
        <w:rPr>
          <w:rFonts w:ascii="Times New Roman" w:hAnsi="Times New Roman" w:cs="Times New Roman"/>
          <w:sz w:val="24"/>
          <w:szCs w:val="24"/>
        </w:rPr>
        <w:t>t consultant) fees. For fiscal</w:t>
      </w:r>
      <w:r w:rsidR="008D4AFA" w:rsidRPr="009565BB">
        <w:rPr>
          <w:rFonts w:ascii="Times New Roman" w:hAnsi="Times New Roman" w:cs="Times New Roman"/>
          <w:sz w:val="24"/>
          <w:szCs w:val="24"/>
        </w:rPr>
        <w:t xml:space="preserve"> year 202</w:t>
      </w:r>
      <w:r w:rsidR="00042761">
        <w:rPr>
          <w:rFonts w:ascii="Times New Roman" w:hAnsi="Times New Roman" w:cs="Times New Roman"/>
          <w:sz w:val="24"/>
          <w:szCs w:val="24"/>
        </w:rPr>
        <w:t>3</w:t>
      </w:r>
      <w:r w:rsidR="009F11D8" w:rsidRPr="009565BB">
        <w:rPr>
          <w:rFonts w:ascii="Times New Roman" w:hAnsi="Times New Roman" w:cs="Times New Roman"/>
          <w:sz w:val="24"/>
          <w:szCs w:val="24"/>
        </w:rPr>
        <w:t xml:space="preserve">, this </w:t>
      </w:r>
      <w:r w:rsidR="009F11D8" w:rsidRPr="00107521">
        <w:rPr>
          <w:rFonts w:ascii="Times New Roman" w:hAnsi="Times New Roman" w:cs="Times New Roman"/>
          <w:sz w:val="24"/>
          <w:szCs w:val="24"/>
        </w:rPr>
        <w:t xml:space="preserve">comprised </w:t>
      </w:r>
      <w:r w:rsidR="00B31A90" w:rsidRPr="00107521">
        <w:rPr>
          <w:rFonts w:ascii="Times New Roman" w:hAnsi="Times New Roman" w:cs="Times New Roman"/>
          <w:sz w:val="24"/>
          <w:szCs w:val="24"/>
        </w:rPr>
        <w:t>$</w:t>
      </w:r>
      <w:r w:rsidR="004E473B" w:rsidRPr="00107521">
        <w:rPr>
          <w:rFonts w:ascii="Times New Roman" w:hAnsi="Times New Roman" w:cs="Times New Roman"/>
          <w:sz w:val="24"/>
          <w:szCs w:val="24"/>
        </w:rPr>
        <w:t>1</w:t>
      </w:r>
      <w:r w:rsidR="00107521" w:rsidRPr="00107521">
        <w:rPr>
          <w:rFonts w:ascii="Times New Roman" w:hAnsi="Times New Roman" w:cs="Times New Roman"/>
          <w:sz w:val="24"/>
          <w:szCs w:val="24"/>
        </w:rPr>
        <w:t>2</w:t>
      </w:r>
      <w:r w:rsidR="006C5062" w:rsidRPr="00107521">
        <w:rPr>
          <w:rFonts w:ascii="Times New Roman" w:hAnsi="Times New Roman" w:cs="Times New Roman"/>
          <w:sz w:val="24"/>
          <w:szCs w:val="24"/>
        </w:rPr>
        <w:t>.6</w:t>
      </w:r>
      <w:r w:rsidR="00DF1F46" w:rsidRPr="00107521">
        <w:rPr>
          <w:rFonts w:ascii="Times New Roman" w:hAnsi="Times New Roman" w:cs="Times New Roman"/>
          <w:sz w:val="24"/>
          <w:szCs w:val="24"/>
        </w:rPr>
        <w:t xml:space="preserve"> million</w:t>
      </w:r>
      <w:r w:rsidR="00DF1F46" w:rsidRPr="009565BB">
        <w:rPr>
          <w:rFonts w:ascii="Times New Roman" w:hAnsi="Times New Roman" w:cs="Times New Roman"/>
          <w:sz w:val="24"/>
          <w:szCs w:val="24"/>
        </w:rPr>
        <w:t xml:space="preserve"> or </w:t>
      </w:r>
      <w:r w:rsidR="00107521">
        <w:rPr>
          <w:rFonts w:ascii="Times New Roman" w:hAnsi="Times New Roman" w:cs="Times New Roman"/>
          <w:sz w:val="24"/>
          <w:szCs w:val="24"/>
        </w:rPr>
        <w:t>28</w:t>
      </w:r>
      <w:r w:rsidR="009F11D8" w:rsidRPr="009565BB">
        <w:rPr>
          <w:rFonts w:ascii="Times New Roman" w:hAnsi="Times New Roman" w:cs="Times New Roman"/>
          <w:sz w:val="24"/>
          <w:szCs w:val="24"/>
        </w:rPr>
        <w:t xml:space="preserve"> basis points of total assets</w:t>
      </w:r>
      <w:r w:rsidR="00A407AF" w:rsidRPr="009565BB">
        <w:rPr>
          <w:rFonts w:ascii="Times New Roman" w:hAnsi="Times New Roman" w:cs="Times New Roman"/>
          <w:sz w:val="24"/>
          <w:szCs w:val="24"/>
        </w:rPr>
        <w:t>. Investment manager</w:t>
      </w:r>
      <w:r w:rsidR="00C6716C" w:rsidRPr="009565BB">
        <w:rPr>
          <w:rFonts w:ascii="Times New Roman" w:hAnsi="Times New Roman" w:cs="Times New Roman"/>
          <w:sz w:val="24"/>
          <w:szCs w:val="24"/>
        </w:rPr>
        <w:t xml:space="preserve"> fees </w:t>
      </w:r>
      <w:r w:rsidR="00A407AF" w:rsidRPr="009565BB">
        <w:rPr>
          <w:rFonts w:ascii="Times New Roman" w:hAnsi="Times New Roman" w:cs="Times New Roman"/>
          <w:sz w:val="24"/>
          <w:szCs w:val="24"/>
        </w:rPr>
        <w:t>are net against performance</w:t>
      </w:r>
      <w:r w:rsidR="00C6716C" w:rsidRPr="009565BB">
        <w:rPr>
          <w:rFonts w:ascii="Times New Roman" w:hAnsi="Times New Roman" w:cs="Times New Roman"/>
          <w:sz w:val="24"/>
          <w:szCs w:val="24"/>
        </w:rPr>
        <w:t xml:space="preserve">. </w:t>
      </w:r>
      <w:r w:rsidR="00D816CE">
        <w:rPr>
          <w:rFonts w:ascii="Times New Roman" w:hAnsi="Times New Roman" w:cs="Times New Roman"/>
          <w:sz w:val="24"/>
          <w:szCs w:val="24"/>
        </w:rPr>
        <w:t>A</w:t>
      </w:r>
      <w:r w:rsidR="00DA1613" w:rsidRPr="009565BB">
        <w:rPr>
          <w:rFonts w:ascii="Times New Roman" w:hAnsi="Times New Roman" w:cs="Times New Roman"/>
          <w:sz w:val="24"/>
          <w:szCs w:val="24"/>
        </w:rPr>
        <w:t xml:space="preserve"> fee schedule is enclose</w:t>
      </w:r>
      <w:r w:rsidR="006F4B1E" w:rsidRPr="009565BB">
        <w:rPr>
          <w:rFonts w:ascii="Times New Roman" w:hAnsi="Times New Roman" w:cs="Times New Roman"/>
          <w:sz w:val="24"/>
          <w:szCs w:val="24"/>
        </w:rPr>
        <w:t>d</w:t>
      </w:r>
      <w:r w:rsidR="00DA1613" w:rsidRPr="009565BB">
        <w:rPr>
          <w:rFonts w:ascii="Times New Roman" w:hAnsi="Times New Roman" w:cs="Times New Roman"/>
          <w:sz w:val="24"/>
          <w:szCs w:val="24"/>
        </w:rPr>
        <w:t xml:space="preserve"> in the appendix</w:t>
      </w:r>
      <w:r w:rsidR="00D816CE">
        <w:rPr>
          <w:rFonts w:ascii="Times New Roman" w:hAnsi="Times New Roman" w:cs="Times New Roman"/>
          <w:sz w:val="24"/>
          <w:szCs w:val="24"/>
        </w:rPr>
        <w:t xml:space="preserve"> to this report</w:t>
      </w:r>
      <w:r w:rsidR="00A407AF" w:rsidRPr="009565BB">
        <w:rPr>
          <w:rFonts w:ascii="Times New Roman" w:hAnsi="Times New Roman" w:cs="Times New Roman"/>
          <w:sz w:val="24"/>
          <w:szCs w:val="24"/>
        </w:rPr>
        <w:t xml:space="preserve">, </w:t>
      </w:r>
      <w:r w:rsidR="00D816CE">
        <w:rPr>
          <w:rFonts w:ascii="Times New Roman" w:hAnsi="Times New Roman" w:cs="Times New Roman"/>
          <w:sz w:val="24"/>
          <w:szCs w:val="24"/>
        </w:rPr>
        <w:t>while the fiscal year 202</w:t>
      </w:r>
      <w:r w:rsidR="00025A47">
        <w:rPr>
          <w:rFonts w:ascii="Times New Roman" w:hAnsi="Times New Roman" w:cs="Times New Roman"/>
          <w:sz w:val="24"/>
          <w:szCs w:val="24"/>
        </w:rPr>
        <w:t>3</w:t>
      </w:r>
      <w:r w:rsidR="00D816CE">
        <w:rPr>
          <w:rFonts w:ascii="Times New Roman" w:hAnsi="Times New Roman" w:cs="Times New Roman"/>
          <w:sz w:val="24"/>
          <w:szCs w:val="24"/>
        </w:rPr>
        <w:t xml:space="preserve"> fee summary </w:t>
      </w:r>
      <w:r w:rsidR="00A407AF" w:rsidRPr="009565BB">
        <w:rPr>
          <w:rFonts w:ascii="Times New Roman" w:hAnsi="Times New Roman" w:cs="Times New Roman"/>
          <w:sz w:val="24"/>
          <w:szCs w:val="24"/>
        </w:rPr>
        <w:t>is included</w:t>
      </w:r>
      <w:r w:rsidR="006F4B1E" w:rsidRPr="009565BB">
        <w:rPr>
          <w:rFonts w:ascii="Times New Roman" w:hAnsi="Times New Roman" w:cs="Times New Roman"/>
          <w:sz w:val="24"/>
          <w:szCs w:val="24"/>
        </w:rPr>
        <w:t xml:space="preserve"> separately</w:t>
      </w:r>
      <w:r w:rsidR="00A407AF" w:rsidRPr="009565BB">
        <w:rPr>
          <w:rFonts w:ascii="Times New Roman" w:hAnsi="Times New Roman" w:cs="Times New Roman"/>
          <w:sz w:val="24"/>
          <w:szCs w:val="24"/>
        </w:rPr>
        <w:t xml:space="preserve"> in </w:t>
      </w:r>
      <w:r w:rsidR="00BC0956">
        <w:rPr>
          <w:rFonts w:ascii="Times New Roman" w:hAnsi="Times New Roman" w:cs="Times New Roman"/>
          <w:sz w:val="24"/>
          <w:szCs w:val="24"/>
        </w:rPr>
        <w:t>BOT</w:t>
      </w:r>
      <w:r w:rsidR="003C2B0F">
        <w:rPr>
          <w:rFonts w:ascii="Times New Roman" w:hAnsi="Times New Roman" w:cs="Times New Roman"/>
          <w:sz w:val="24"/>
          <w:szCs w:val="24"/>
        </w:rPr>
        <w:t xml:space="preserve"> </w:t>
      </w:r>
      <w:r w:rsidR="00A407AF" w:rsidRPr="009565BB">
        <w:rPr>
          <w:rFonts w:ascii="Times New Roman" w:hAnsi="Times New Roman" w:cs="Times New Roman"/>
          <w:sz w:val="24"/>
          <w:szCs w:val="24"/>
        </w:rPr>
        <w:t>materials.</w:t>
      </w:r>
      <w:r w:rsidR="00EE5F9E" w:rsidRPr="009565BB">
        <w:rPr>
          <w:rFonts w:ascii="Times New Roman" w:hAnsi="Times New Roman" w:cs="Times New Roman"/>
          <w:sz w:val="24"/>
          <w:szCs w:val="24"/>
        </w:rPr>
        <w:t xml:space="preserve"> </w:t>
      </w:r>
      <w:r w:rsidR="00C6716C" w:rsidRPr="009565BB">
        <w:rPr>
          <w:rFonts w:ascii="Times New Roman" w:hAnsi="Times New Roman" w:cs="Times New Roman"/>
          <w:sz w:val="24"/>
          <w:szCs w:val="24"/>
        </w:rPr>
        <w:t>Internally, t</w:t>
      </w:r>
      <w:r w:rsidR="00FB58B8" w:rsidRPr="009565BB">
        <w:rPr>
          <w:rFonts w:ascii="Times New Roman" w:hAnsi="Times New Roman" w:cs="Times New Roman"/>
          <w:sz w:val="24"/>
          <w:szCs w:val="24"/>
        </w:rPr>
        <w:t>he</w:t>
      </w:r>
      <w:r w:rsidR="004621BC" w:rsidRPr="009565BB">
        <w:rPr>
          <w:rFonts w:ascii="Times New Roman" w:hAnsi="Times New Roman" w:cs="Times New Roman"/>
          <w:sz w:val="24"/>
          <w:szCs w:val="24"/>
        </w:rPr>
        <w:t xml:space="preserve"> Invest</w:t>
      </w:r>
      <w:r w:rsidR="003904AA" w:rsidRPr="009565BB">
        <w:rPr>
          <w:rFonts w:ascii="Times New Roman" w:hAnsi="Times New Roman" w:cs="Times New Roman"/>
          <w:sz w:val="24"/>
          <w:szCs w:val="24"/>
        </w:rPr>
        <w:t xml:space="preserve">ment Office is comprised of three </w:t>
      </w:r>
      <w:r w:rsidR="00025A47" w:rsidRPr="009565BB">
        <w:rPr>
          <w:rFonts w:ascii="Times New Roman" w:hAnsi="Times New Roman" w:cs="Times New Roman"/>
          <w:sz w:val="24"/>
          <w:szCs w:val="24"/>
        </w:rPr>
        <w:t>full-time</w:t>
      </w:r>
      <w:r w:rsidR="003904AA" w:rsidRPr="009565BB">
        <w:rPr>
          <w:rFonts w:ascii="Times New Roman" w:hAnsi="Times New Roman" w:cs="Times New Roman"/>
          <w:sz w:val="24"/>
          <w:szCs w:val="24"/>
        </w:rPr>
        <w:t xml:space="preserve"> employees</w:t>
      </w:r>
      <w:r w:rsidR="004621BC" w:rsidRPr="009565BB">
        <w:rPr>
          <w:rFonts w:ascii="Times New Roman" w:hAnsi="Times New Roman" w:cs="Times New Roman"/>
          <w:sz w:val="24"/>
          <w:szCs w:val="24"/>
        </w:rPr>
        <w:t xml:space="preserve"> with </w:t>
      </w:r>
      <w:r w:rsidR="001742C3">
        <w:rPr>
          <w:rFonts w:ascii="Times New Roman" w:hAnsi="Times New Roman" w:cs="Times New Roman"/>
          <w:sz w:val="24"/>
          <w:szCs w:val="24"/>
        </w:rPr>
        <w:t>a fiscal year 2023</w:t>
      </w:r>
      <w:r w:rsidR="004621BC" w:rsidRPr="009565BB">
        <w:rPr>
          <w:rFonts w:ascii="Times New Roman" w:hAnsi="Times New Roman" w:cs="Times New Roman"/>
          <w:sz w:val="24"/>
          <w:szCs w:val="24"/>
        </w:rPr>
        <w:t xml:space="preserve"> sal</w:t>
      </w:r>
      <w:r w:rsidRPr="009565BB">
        <w:rPr>
          <w:rFonts w:ascii="Times New Roman" w:hAnsi="Times New Roman" w:cs="Times New Roman"/>
          <w:sz w:val="24"/>
          <w:szCs w:val="24"/>
        </w:rPr>
        <w:t xml:space="preserve">ary cost to </w:t>
      </w:r>
      <w:r w:rsidR="008B0048" w:rsidRPr="009565BB">
        <w:rPr>
          <w:rFonts w:ascii="Times New Roman" w:hAnsi="Times New Roman" w:cs="Times New Roman"/>
          <w:sz w:val="24"/>
          <w:szCs w:val="24"/>
        </w:rPr>
        <w:t>the System of</w:t>
      </w:r>
      <w:r w:rsidR="00A407AF" w:rsidRPr="009565BB">
        <w:rPr>
          <w:rFonts w:ascii="Times New Roman" w:hAnsi="Times New Roman" w:cs="Times New Roman"/>
          <w:sz w:val="24"/>
          <w:szCs w:val="24"/>
        </w:rPr>
        <w:t xml:space="preserve"> approximately $</w:t>
      </w:r>
      <w:r w:rsidR="007D3475" w:rsidRPr="009565BB">
        <w:rPr>
          <w:rFonts w:ascii="Times New Roman" w:hAnsi="Times New Roman" w:cs="Times New Roman"/>
          <w:sz w:val="24"/>
          <w:szCs w:val="24"/>
        </w:rPr>
        <w:t>3</w:t>
      </w:r>
      <w:r w:rsidR="00E22096">
        <w:rPr>
          <w:rFonts w:ascii="Times New Roman" w:hAnsi="Times New Roman" w:cs="Times New Roman"/>
          <w:sz w:val="24"/>
          <w:szCs w:val="24"/>
        </w:rPr>
        <w:t>7</w:t>
      </w:r>
      <w:r w:rsidR="009C69BA">
        <w:rPr>
          <w:rFonts w:ascii="Times New Roman" w:hAnsi="Times New Roman" w:cs="Times New Roman"/>
          <w:sz w:val="24"/>
          <w:szCs w:val="24"/>
        </w:rPr>
        <w:t>0</w:t>
      </w:r>
      <w:r w:rsidRPr="009565BB">
        <w:rPr>
          <w:rFonts w:ascii="Times New Roman" w:hAnsi="Times New Roman" w:cs="Times New Roman"/>
          <w:sz w:val="24"/>
          <w:szCs w:val="24"/>
        </w:rPr>
        <w:t xml:space="preserve">k </w:t>
      </w:r>
      <w:r w:rsidR="00BC3017">
        <w:rPr>
          <w:rFonts w:ascii="Times New Roman" w:hAnsi="Times New Roman" w:cs="Times New Roman"/>
          <w:sz w:val="24"/>
          <w:szCs w:val="24"/>
        </w:rPr>
        <w:t>and</w:t>
      </w:r>
      <w:r w:rsidRPr="009565BB">
        <w:rPr>
          <w:rFonts w:ascii="Times New Roman" w:hAnsi="Times New Roman" w:cs="Times New Roman"/>
          <w:sz w:val="24"/>
          <w:szCs w:val="24"/>
        </w:rPr>
        <w:t xml:space="preserve"> </w:t>
      </w:r>
      <w:r w:rsidR="007D3475" w:rsidRPr="009565BB">
        <w:rPr>
          <w:rFonts w:ascii="Times New Roman" w:hAnsi="Times New Roman" w:cs="Times New Roman"/>
          <w:sz w:val="24"/>
          <w:szCs w:val="24"/>
        </w:rPr>
        <w:t>additional budgetary expenses (</w:t>
      </w:r>
      <w:r w:rsidR="007D3475" w:rsidRPr="009565BB">
        <w:rPr>
          <w:rFonts w:ascii="Times New Roman" w:hAnsi="Times New Roman" w:cs="Times New Roman"/>
          <w:i/>
          <w:iCs/>
          <w:sz w:val="24"/>
          <w:szCs w:val="24"/>
        </w:rPr>
        <w:t>i.e.,</w:t>
      </w:r>
      <w:r w:rsidR="007D3475" w:rsidRPr="009565BB">
        <w:rPr>
          <w:rFonts w:ascii="Times New Roman" w:hAnsi="Times New Roman" w:cs="Times New Roman"/>
          <w:sz w:val="24"/>
          <w:szCs w:val="24"/>
        </w:rPr>
        <w:t xml:space="preserve"> travel, technology, training) totaling</w:t>
      </w:r>
      <w:r w:rsidRPr="009565BB">
        <w:rPr>
          <w:rFonts w:ascii="Times New Roman" w:hAnsi="Times New Roman" w:cs="Times New Roman"/>
          <w:sz w:val="24"/>
          <w:szCs w:val="24"/>
        </w:rPr>
        <w:t xml:space="preserve"> </w:t>
      </w:r>
      <w:r w:rsidR="001742C3">
        <w:rPr>
          <w:rFonts w:ascii="Times New Roman" w:hAnsi="Times New Roman" w:cs="Times New Roman"/>
          <w:sz w:val="24"/>
          <w:szCs w:val="24"/>
        </w:rPr>
        <w:t xml:space="preserve">approximately </w:t>
      </w:r>
      <w:r w:rsidR="00514814" w:rsidRPr="009565BB">
        <w:rPr>
          <w:rFonts w:ascii="Times New Roman" w:hAnsi="Times New Roman" w:cs="Times New Roman"/>
          <w:sz w:val="24"/>
          <w:szCs w:val="24"/>
        </w:rPr>
        <w:t>$</w:t>
      </w:r>
      <w:r w:rsidR="001742C3">
        <w:rPr>
          <w:rFonts w:ascii="Times New Roman" w:hAnsi="Times New Roman" w:cs="Times New Roman"/>
          <w:sz w:val="24"/>
          <w:szCs w:val="24"/>
        </w:rPr>
        <w:t>9</w:t>
      </w:r>
      <w:r w:rsidR="00025A47">
        <w:rPr>
          <w:rFonts w:ascii="Times New Roman" w:hAnsi="Times New Roman" w:cs="Times New Roman"/>
          <w:sz w:val="24"/>
          <w:szCs w:val="24"/>
        </w:rPr>
        <w:t>0</w:t>
      </w:r>
      <w:r w:rsidRPr="009565BB">
        <w:rPr>
          <w:rFonts w:ascii="Times New Roman" w:hAnsi="Times New Roman" w:cs="Times New Roman"/>
          <w:sz w:val="24"/>
          <w:szCs w:val="24"/>
        </w:rPr>
        <w:t>k.</w:t>
      </w:r>
      <w:r w:rsidR="001742C3">
        <w:rPr>
          <w:rFonts w:ascii="Times New Roman" w:hAnsi="Times New Roman" w:cs="Times New Roman"/>
          <w:sz w:val="24"/>
          <w:szCs w:val="24"/>
        </w:rPr>
        <w:t xml:space="preserve"> In total, investment office expenses comprised </w:t>
      </w:r>
      <w:r w:rsidR="00BF1AEA">
        <w:rPr>
          <w:rFonts w:ascii="Times New Roman" w:hAnsi="Times New Roman" w:cs="Times New Roman"/>
          <w:sz w:val="24"/>
          <w:szCs w:val="24"/>
        </w:rPr>
        <w:t xml:space="preserve">one </w:t>
      </w:r>
      <w:r w:rsidR="001742C3">
        <w:rPr>
          <w:rFonts w:ascii="Times New Roman" w:hAnsi="Times New Roman" w:cs="Times New Roman"/>
          <w:sz w:val="24"/>
          <w:szCs w:val="24"/>
        </w:rPr>
        <w:t>basis point (0.01%) of total assets</w:t>
      </w:r>
      <w:r w:rsidR="000147BD">
        <w:rPr>
          <w:rFonts w:ascii="Times New Roman" w:hAnsi="Times New Roman" w:cs="Times New Roman"/>
          <w:sz w:val="24"/>
          <w:szCs w:val="24"/>
        </w:rPr>
        <w:t xml:space="preserve"> or less than </w:t>
      </w:r>
      <w:r w:rsidR="00BF1AEA">
        <w:rPr>
          <w:rFonts w:ascii="Times New Roman" w:hAnsi="Times New Roman" w:cs="Times New Roman"/>
          <w:sz w:val="24"/>
          <w:szCs w:val="24"/>
        </w:rPr>
        <w:t xml:space="preserve">five </w:t>
      </w:r>
      <w:r w:rsidR="000147BD">
        <w:rPr>
          <w:rFonts w:ascii="Times New Roman" w:hAnsi="Times New Roman" w:cs="Times New Roman"/>
          <w:sz w:val="24"/>
          <w:szCs w:val="24"/>
        </w:rPr>
        <w:t>basis points (0.05%) of endowment assets</w:t>
      </w:r>
      <w:r w:rsidR="001742C3">
        <w:rPr>
          <w:rFonts w:ascii="Times New Roman" w:hAnsi="Times New Roman" w:cs="Times New Roman"/>
          <w:sz w:val="24"/>
          <w:szCs w:val="24"/>
        </w:rPr>
        <w:t xml:space="preserve">. </w:t>
      </w:r>
    </w:p>
    <w:p w14:paraId="5B2F19C0" w14:textId="5DE412A7" w:rsidR="009E6275" w:rsidRPr="009565BB" w:rsidRDefault="00A407AF" w:rsidP="00A407AF">
      <w:pPr>
        <w:spacing w:after="360"/>
        <w:rPr>
          <w:rFonts w:ascii="Times New Roman" w:hAnsi="Times New Roman" w:cs="Times New Roman"/>
          <w:sz w:val="24"/>
          <w:szCs w:val="24"/>
        </w:rPr>
      </w:pPr>
      <w:r w:rsidRPr="009565BB">
        <w:rPr>
          <w:rFonts w:ascii="Times New Roman" w:hAnsi="Times New Roman" w:cs="Times New Roman"/>
          <w:sz w:val="24"/>
          <w:szCs w:val="24"/>
        </w:rPr>
        <w:t xml:space="preserve">The </w:t>
      </w:r>
      <w:r w:rsidR="00D816CE">
        <w:rPr>
          <w:rFonts w:ascii="Times New Roman" w:hAnsi="Times New Roman" w:cs="Times New Roman"/>
          <w:sz w:val="24"/>
          <w:szCs w:val="24"/>
        </w:rPr>
        <w:t>fiscal year 202</w:t>
      </w:r>
      <w:r w:rsidR="00025A47">
        <w:rPr>
          <w:rFonts w:ascii="Times New Roman" w:hAnsi="Times New Roman" w:cs="Times New Roman"/>
          <w:sz w:val="24"/>
          <w:szCs w:val="24"/>
        </w:rPr>
        <w:t>3</w:t>
      </w:r>
      <w:r w:rsidRPr="009565BB">
        <w:rPr>
          <w:rFonts w:ascii="Times New Roman" w:hAnsi="Times New Roman" w:cs="Times New Roman"/>
          <w:sz w:val="24"/>
          <w:szCs w:val="24"/>
        </w:rPr>
        <w:t xml:space="preserve"> </w:t>
      </w:r>
      <w:r w:rsidR="00D816CE">
        <w:rPr>
          <w:rFonts w:ascii="Times New Roman" w:hAnsi="Times New Roman" w:cs="Times New Roman"/>
          <w:sz w:val="24"/>
          <w:szCs w:val="24"/>
        </w:rPr>
        <w:t>s</w:t>
      </w:r>
      <w:r w:rsidR="006F4B1E" w:rsidRPr="009565BB">
        <w:rPr>
          <w:rFonts w:ascii="Times New Roman" w:hAnsi="Times New Roman" w:cs="Times New Roman"/>
          <w:sz w:val="24"/>
          <w:szCs w:val="24"/>
        </w:rPr>
        <w:t xml:space="preserve">ecurity </w:t>
      </w:r>
      <w:r w:rsidR="00D816CE">
        <w:rPr>
          <w:rFonts w:ascii="Times New Roman" w:hAnsi="Times New Roman" w:cs="Times New Roman"/>
          <w:sz w:val="24"/>
          <w:szCs w:val="24"/>
        </w:rPr>
        <w:t>l</w:t>
      </w:r>
      <w:r w:rsidR="006F4B1E" w:rsidRPr="009565BB">
        <w:rPr>
          <w:rFonts w:ascii="Times New Roman" w:hAnsi="Times New Roman" w:cs="Times New Roman"/>
          <w:sz w:val="24"/>
          <w:szCs w:val="24"/>
        </w:rPr>
        <w:t>isting and</w:t>
      </w:r>
      <w:r w:rsidRPr="009565BB">
        <w:rPr>
          <w:rFonts w:ascii="Times New Roman" w:hAnsi="Times New Roman" w:cs="Times New Roman"/>
          <w:sz w:val="24"/>
          <w:szCs w:val="24"/>
        </w:rPr>
        <w:t xml:space="preserve"> </w:t>
      </w:r>
      <w:r w:rsidR="00D816CE">
        <w:rPr>
          <w:rFonts w:ascii="Times New Roman" w:hAnsi="Times New Roman" w:cs="Times New Roman"/>
          <w:sz w:val="24"/>
          <w:szCs w:val="24"/>
        </w:rPr>
        <w:t>e</w:t>
      </w:r>
      <w:r w:rsidRPr="009565BB">
        <w:rPr>
          <w:rFonts w:ascii="Times New Roman" w:hAnsi="Times New Roman" w:cs="Times New Roman"/>
          <w:sz w:val="24"/>
          <w:szCs w:val="24"/>
        </w:rPr>
        <w:t xml:space="preserve">ndowment </w:t>
      </w:r>
      <w:r w:rsidR="00D816CE">
        <w:rPr>
          <w:rFonts w:ascii="Times New Roman" w:hAnsi="Times New Roman" w:cs="Times New Roman"/>
          <w:sz w:val="24"/>
          <w:szCs w:val="24"/>
        </w:rPr>
        <w:t>t</w:t>
      </w:r>
      <w:r w:rsidRPr="009565BB">
        <w:rPr>
          <w:rFonts w:ascii="Times New Roman" w:hAnsi="Times New Roman" w:cs="Times New Roman"/>
          <w:sz w:val="24"/>
          <w:szCs w:val="24"/>
        </w:rPr>
        <w:t xml:space="preserve">ransaction </w:t>
      </w:r>
      <w:r w:rsidR="00D816CE">
        <w:rPr>
          <w:rFonts w:ascii="Times New Roman" w:hAnsi="Times New Roman" w:cs="Times New Roman"/>
          <w:sz w:val="24"/>
          <w:szCs w:val="24"/>
        </w:rPr>
        <w:t>r</w:t>
      </w:r>
      <w:r w:rsidRPr="009565BB">
        <w:rPr>
          <w:rFonts w:ascii="Times New Roman" w:hAnsi="Times New Roman" w:cs="Times New Roman"/>
          <w:sz w:val="24"/>
          <w:szCs w:val="24"/>
        </w:rPr>
        <w:t xml:space="preserve">eport have also been included </w:t>
      </w:r>
      <w:r w:rsidR="008807AF" w:rsidRPr="009565BB">
        <w:rPr>
          <w:rFonts w:ascii="Times New Roman" w:hAnsi="Times New Roman" w:cs="Times New Roman"/>
          <w:sz w:val="24"/>
          <w:szCs w:val="24"/>
        </w:rPr>
        <w:t xml:space="preserve">as separate attachments </w:t>
      </w:r>
      <w:r w:rsidR="00D063D2" w:rsidRPr="009565BB">
        <w:rPr>
          <w:rFonts w:ascii="Times New Roman" w:hAnsi="Times New Roman" w:cs="Times New Roman"/>
          <w:sz w:val="24"/>
          <w:szCs w:val="24"/>
        </w:rPr>
        <w:t>in</w:t>
      </w:r>
      <w:r w:rsidRPr="009565BB">
        <w:rPr>
          <w:rFonts w:ascii="Times New Roman" w:hAnsi="Times New Roman" w:cs="Times New Roman"/>
          <w:sz w:val="24"/>
          <w:szCs w:val="24"/>
        </w:rPr>
        <w:t xml:space="preserve"> the board materials. </w:t>
      </w:r>
    </w:p>
    <w:p w14:paraId="0305E3DB" w14:textId="77777777" w:rsidR="00E1022B" w:rsidRPr="009565BB" w:rsidRDefault="00E1022B">
      <w:pPr>
        <w:rPr>
          <w:rFonts w:ascii="Times New Roman" w:hAnsi="Times New Roman" w:cs="Times New Roman"/>
          <w:b/>
          <w:sz w:val="24"/>
          <w:szCs w:val="24"/>
        </w:rPr>
      </w:pPr>
    </w:p>
    <w:p w14:paraId="18FAA429" w14:textId="061A00A0" w:rsidR="00770C56" w:rsidRPr="009565BB" w:rsidRDefault="00770C56">
      <w:pPr>
        <w:rPr>
          <w:rStyle w:val="Hyperlink"/>
          <w:rFonts w:ascii="Times New Roman" w:hAnsi="Times New Roman" w:cs="Times New Roman"/>
          <w:sz w:val="24"/>
          <w:szCs w:val="24"/>
        </w:rPr>
      </w:pPr>
      <w:r w:rsidRPr="009565BB">
        <w:rPr>
          <w:rStyle w:val="Hyperlink"/>
          <w:rFonts w:ascii="Times New Roman" w:hAnsi="Times New Roman" w:cs="Times New Roman"/>
          <w:sz w:val="24"/>
          <w:szCs w:val="24"/>
        </w:rPr>
        <w:br w:type="page"/>
      </w:r>
    </w:p>
    <w:p w14:paraId="742C1105" w14:textId="4F59DBE8" w:rsidR="00E91C7F" w:rsidRPr="009565BB" w:rsidRDefault="00BF1AEA" w:rsidP="00E91C7F">
      <w:pPr>
        <w:pStyle w:val="Heading1"/>
        <w:spacing w:before="0"/>
        <w:jc w:val="center"/>
        <w:rPr>
          <w:rFonts w:ascii="Times New Roman" w:hAnsi="Times New Roman"/>
          <w:sz w:val="28"/>
          <w:szCs w:val="28"/>
        </w:rPr>
      </w:pPr>
      <w:r>
        <w:rPr>
          <w:rFonts w:ascii="Times New Roman" w:hAnsi="Times New Roman"/>
          <w:sz w:val="28"/>
          <w:szCs w:val="28"/>
        </w:rPr>
        <w:lastRenderedPageBreak/>
        <w:t xml:space="preserve">Appendix A. </w:t>
      </w:r>
      <w:r w:rsidR="00E91C7F" w:rsidRPr="009565BB">
        <w:rPr>
          <w:rFonts w:ascii="Times New Roman" w:hAnsi="Times New Roman"/>
          <w:sz w:val="28"/>
          <w:szCs w:val="28"/>
        </w:rPr>
        <w:t xml:space="preserve">University of Illinois System </w:t>
      </w:r>
    </w:p>
    <w:p w14:paraId="5995DEC8" w14:textId="77777777" w:rsidR="00E91C7F" w:rsidRPr="009565BB" w:rsidRDefault="00E91C7F" w:rsidP="00E91C7F">
      <w:pPr>
        <w:pStyle w:val="Heading1"/>
        <w:jc w:val="center"/>
        <w:rPr>
          <w:rFonts w:ascii="Times New Roman" w:hAnsi="Times New Roman"/>
          <w:sz w:val="28"/>
          <w:szCs w:val="28"/>
        </w:rPr>
      </w:pPr>
      <w:r w:rsidRPr="009565BB">
        <w:rPr>
          <w:rFonts w:ascii="Times New Roman" w:hAnsi="Times New Roman"/>
          <w:sz w:val="28"/>
          <w:szCs w:val="28"/>
        </w:rPr>
        <w:t>Investment Fee Schedule – Traditional Investments</w:t>
      </w:r>
    </w:p>
    <w:p w14:paraId="65908322" w14:textId="77777777" w:rsidR="00E91C7F" w:rsidRPr="009565BB" w:rsidRDefault="00E91C7F" w:rsidP="00E91C7F">
      <w:pPr>
        <w:ind w:hanging="630"/>
        <w:rPr>
          <w:rFonts w:ascii="Times New Roman" w:hAnsi="Times New Roman" w:cs="Times New Roman"/>
          <w:b/>
        </w:rPr>
      </w:pPr>
    </w:p>
    <w:p w14:paraId="74039F71" w14:textId="77777777" w:rsidR="00E91C7F" w:rsidRPr="009565BB" w:rsidRDefault="00E91C7F" w:rsidP="00E91C7F">
      <w:pPr>
        <w:rPr>
          <w:rFonts w:ascii="Times New Roman" w:hAnsi="Times New Roman" w:cs="Times New Roman"/>
          <w:b/>
        </w:rPr>
      </w:pPr>
      <w:r w:rsidRPr="009565BB">
        <w:rPr>
          <w:rFonts w:ascii="Times New Roman" w:hAnsi="Times New Roman" w:cs="Times New Roman"/>
          <w:b/>
        </w:rPr>
        <w:t>Firm</w:t>
      </w:r>
      <w:r w:rsidRPr="009565BB">
        <w:rPr>
          <w:rFonts w:ascii="Times New Roman" w:hAnsi="Times New Roman" w:cs="Times New Roman"/>
          <w:b/>
        </w:rPr>
        <w:tab/>
      </w:r>
      <w:r w:rsidRPr="009565BB">
        <w:rPr>
          <w:rFonts w:ascii="Times New Roman" w:hAnsi="Times New Roman" w:cs="Times New Roman"/>
        </w:rPr>
        <w:tab/>
      </w:r>
      <w:r w:rsidRPr="009565BB">
        <w:rPr>
          <w:rFonts w:ascii="Times New Roman" w:hAnsi="Times New Roman" w:cs="Times New Roman"/>
        </w:rPr>
        <w:tab/>
      </w:r>
      <w:r w:rsidRPr="009565BB">
        <w:rPr>
          <w:rFonts w:ascii="Times New Roman" w:hAnsi="Times New Roman" w:cs="Times New Roman"/>
        </w:rPr>
        <w:tab/>
      </w:r>
      <w:r w:rsidRPr="009565BB">
        <w:rPr>
          <w:rFonts w:ascii="Times New Roman" w:hAnsi="Times New Roman" w:cs="Times New Roman"/>
        </w:rPr>
        <w:tab/>
      </w:r>
      <w:r w:rsidRPr="009565BB">
        <w:rPr>
          <w:rFonts w:ascii="Times New Roman" w:hAnsi="Times New Roman" w:cs="Times New Roman"/>
        </w:rPr>
        <w:tab/>
      </w:r>
      <w:r w:rsidRPr="009565BB">
        <w:rPr>
          <w:rFonts w:ascii="Times New Roman" w:hAnsi="Times New Roman" w:cs="Times New Roman"/>
        </w:rPr>
        <w:tab/>
      </w:r>
      <w:r w:rsidRPr="009565BB">
        <w:rPr>
          <w:rFonts w:ascii="Times New Roman" w:hAnsi="Times New Roman" w:cs="Times New Roman"/>
          <w:b/>
        </w:rPr>
        <w:t>Terms</w:t>
      </w:r>
    </w:p>
    <w:p w14:paraId="4A08A810" w14:textId="77777777" w:rsidR="00E91C7F" w:rsidRPr="009565BB" w:rsidRDefault="00E91C7F" w:rsidP="00E91C7F">
      <w:pPr>
        <w:rPr>
          <w:rFonts w:ascii="Times New Roman" w:hAnsi="Times New Roman" w:cs="Times New Roman"/>
        </w:rPr>
      </w:pPr>
      <w:r w:rsidRPr="009565BB">
        <w:rPr>
          <w:rFonts w:ascii="Times New Roman" w:hAnsi="Times New Roman" w:cs="Times New Roman"/>
          <w:u w:val="single"/>
        </w:rPr>
        <w:t>Money Market Funds</w:t>
      </w:r>
      <w:r w:rsidRPr="009565BB">
        <w:rPr>
          <w:rFonts w:ascii="Times New Roman" w:hAnsi="Times New Roman" w:cs="Times New Roman"/>
        </w:rPr>
        <w:tab/>
      </w:r>
      <w:r w:rsidRPr="009565BB">
        <w:rPr>
          <w:rFonts w:ascii="Times New Roman" w:hAnsi="Times New Roman" w:cs="Times New Roman"/>
        </w:rPr>
        <w:tab/>
      </w:r>
      <w:r w:rsidRPr="009565BB">
        <w:rPr>
          <w:rFonts w:ascii="Times New Roman" w:hAnsi="Times New Roman" w:cs="Times New Roman"/>
        </w:rPr>
        <w:tab/>
      </w:r>
      <w:r w:rsidRPr="009565BB">
        <w:rPr>
          <w:rFonts w:ascii="Times New Roman" w:hAnsi="Times New Roman" w:cs="Times New Roman"/>
        </w:rPr>
        <w:tab/>
      </w:r>
      <w:r w:rsidRPr="009565BB">
        <w:rPr>
          <w:rFonts w:ascii="Times New Roman" w:hAnsi="Times New Roman" w:cs="Times New Roman"/>
        </w:rPr>
        <w:tab/>
      </w:r>
      <w:r w:rsidRPr="009565BB">
        <w:rPr>
          <w:rFonts w:ascii="Times New Roman" w:hAnsi="Times New Roman" w:cs="Times New Roman"/>
          <w:u w:val="single"/>
        </w:rPr>
        <w:t>Management Fee</w:t>
      </w:r>
    </w:p>
    <w:p w14:paraId="49244AF3" w14:textId="77777777" w:rsidR="00E91C7F" w:rsidRPr="009565BB" w:rsidRDefault="00E91C7F" w:rsidP="00E91C7F">
      <w:pPr>
        <w:pStyle w:val="NoSpacing"/>
        <w:rPr>
          <w:rFonts w:ascii="Times New Roman" w:hAnsi="Times New Roman"/>
        </w:rPr>
      </w:pPr>
      <w:r w:rsidRPr="009565BB">
        <w:rPr>
          <w:rFonts w:ascii="Times New Roman" w:hAnsi="Times New Roman"/>
        </w:rPr>
        <w:t>JP Morgan</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0.18%</w:t>
      </w:r>
    </w:p>
    <w:p w14:paraId="54E54FDB" w14:textId="77777777" w:rsidR="00E13DB8" w:rsidRDefault="00E91C7F" w:rsidP="00E91C7F">
      <w:pPr>
        <w:pStyle w:val="NoSpacing"/>
        <w:rPr>
          <w:rFonts w:ascii="Times New Roman" w:hAnsi="Times New Roman"/>
        </w:rPr>
      </w:pPr>
      <w:r w:rsidRPr="009565BB">
        <w:rPr>
          <w:rFonts w:ascii="Times New Roman" w:hAnsi="Times New Roman"/>
        </w:rPr>
        <w:t>(U.S. Government Money Market Fund</w:t>
      </w:r>
      <w:r w:rsidR="00E13DB8">
        <w:rPr>
          <w:rFonts w:ascii="Times New Roman" w:hAnsi="Times New Roman"/>
        </w:rPr>
        <w:t xml:space="preserve"> &amp;</w:t>
      </w:r>
    </w:p>
    <w:p w14:paraId="105C1DA7" w14:textId="757C52E1" w:rsidR="00E91C7F" w:rsidRPr="009565BB" w:rsidRDefault="00E13DB8" w:rsidP="00E91C7F">
      <w:pPr>
        <w:pStyle w:val="NoSpacing"/>
        <w:rPr>
          <w:rFonts w:ascii="Times New Roman" w:hAnsi="Times New Roman"/>
        </w:rPr>
      </w:pPr>
      <w:r>
        <w:rPr>
          <w:rFonts w:ascii="Times New Roman" w:hAnsi="Times New Roman"/>
        </w:rPr>
        <w:t>JP Morgan Prime Money Market Fund</w:t>
      </w:r>
      <w:r w:rsidR="00E91C7F" w:rsidRPr="009565BB">
        <w:rPr>
          <w:rFonts w:ascii="Times New Roman" w:hAnsi="Times New Roman"/>
        </w:rPr>
        <w:t>)</w:t>
      </w:r>
      <w:r w:rsidR="00E91C7F" w:rsidRPr="009565BB">
        <w:rPr>
          <w:rFonts w:ascii="Times New Roman" w:hAnsi="Times New Roman"/>
        </w:rPr>
        <w:tab/>
      </w:r>
    </w:p>
    <w:p w14:paraId="38EA4D2F" w14:textId="77777777" w:rsidR="00E91C7F" w:rsidRPr="009565BB" w:rsidRDefault="00E91C7F" w:rsidP="00E91C7F">
      <w:pPr>
        <w:pStyle w:val="NoSpacing"/>
        <w:ind w:hanging="630"/>
        <w:rPr>
          <w:rFonts w:ascii="Times New Roman" w:hAnsi="Times New Roman"/>
        </w:rPr>
      </w:pPr>
    </w:p>
    <w:p w14:paraId="0F9FE2C9" w14:textId="77777777" w:rsidR="00E91C7F" w:rsidRPr="009565BB" w:rsidRDefault="00E91C7F" w:rsidP="00E91C7F">
      <w:pPr>
        <w:pStyle w:val="NoSpacing"/>
        <w:rPr>
          <w:rFonts w:ascii="Times New Roman" w:hAnsi="Times New Roman"/>
        </w:rPr>
      </w:pPr>
      <w:r w:rsidRPr="009565BB">
        <w:rPr>
          <w:rFonts w:ascii="Times New Roman" w:hAnsi="Times New Roman"/>
        </w:rPr>
        <w:t>Northern Trust</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0.20%</w:t>
      </w:r>
    </w:p>
    <w:p w14:paraId="4B8FC6B7" w14:textId="1BD39668" w:rsidR="00B663FF" w:rsidRDefault="00B663FF" w:rsidP="00B663FF">
      <w:pPr>
        <w:pStyle w:val="NoSpacing"/>
        <w:rPr>
          <w:rFonts w:ascii="Times New Roman" w:hAnsi="Times New Roman"/>
        </w:rPr>
      </w:pPr>
      <w:r w:rsidRPr="003207A5">
        <w:rPr>
          <w:rFonts w:ascii="Times New Roman" w:hAnsi="Times New Roman"/>
        </w:rPr>
        <w:t>(</w:t>
      </w:r>
      <w:r>
        <w:rPr>
          <w:rFonts w:ascii="Times New Roman" w:hAnsi="Times New Roman"/>
        </w:rPr>
        <w:t>U.S.</w:t>
      </w:r>
      <w:r w:rsidRPr="003207A5">
        <w:rPr>
          <w:rFonts w:ascii="Times New Roman" w:hAnsi="Times New Roman"/>
        </w:rPr>
        <w:t xml:space="preserve"> Government Select</w:t>
      </w:r>
    </w:p>
    <w:p w14:paraId="65C74241" w14:textId="77777777" w:rsidR="00B663FF" w:rsidRPr="003207A5" w:rsidRDefault="00B663FF" w:rsidP="00B663FF">
      <w:pPr>
        <w:pStyle w:val="NoSpacing"/>
        <w:rPr>
          <w:rFonts w:ascii="Times New Roman" w:hAnsi="Times New Roman"/>
        </w:rPr>
      </w:pPr>
      <w:r>
        <w:rPr>
          <w:rFonts w:ascii="Times New Roman" w:hAnsi="Times New Roman"/>
        </w:rPr>
        <w:t>Siebert Williams Shank Shares)</w:t>
      </w:r>
    </w:p>
    <w:p w14:paraId="44A66E7E" w14:textId="77777777" w:rsidR="00E91C7F" w:rsidRPr="009565BB" w:rsidRDefault="00E91C7F" w:rsidP="00E91C7F">
      <w:pPr>
        <w:pStyle w:val="NoSpacing"/>
        <w:rPr>
          <w:rFonts w:ascii="Times New Roman" w:hAnsi="Times New Roman"/>
        </w:rPr>
      </w:pPr>
    </w:p>
    <w:p w14:paraId="05384FBA" w14:textId="17EADC99" w:rsidR="00E91C7F" w:rsidRPr="009565BB" w:rsidRDefault="00E91C7F" w:rsidP="00E91C7F">
      <w:pPr>
        <w:pStyle w:val="NoSpacing"/>
        <w:rPr>
          <w:rFonts w:ascii="Times New Roman" w:hAnsi="Times New Roman"/>
        </w:rPr>
      </w:pPr>
      <w:r w:rsidRPr="009565BB">
        <w:rPr>
          <w:rFonts w:ascii="Times New Roman" w:hAnsi="Times New Roman"/>
        </w:rPr>
        <w:t>Illinois Funds</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0.05% (plus administrative expenses)</w:t>
      </w:r>
    </w:p>
    <w:p w14:paraId="5C573B8E" w14:textId="77777777" w:rsidR="00E91C7F" w:rsidRPr="009565BB" w:rsidRDefault="00E91C7F" w:rsidP="00E91C7F">
      <w:pPr>
        <w:pStyle w:val="NoSpacing"/>
        <w:ind w:hanging="630"/>
        <w:rPr>
          <w:rFonts w:ascii="Times New Roman" w:hAnsi="Times New Roman"/>
          <w:u w:val="single"/>
        </w:rPr>
      </w:pPr>
    </w:p>
    <w:p w14:paraId="19949E24" w14:textId="77777777" w:rsidR="00E91C7F" w:rsidRPr="009565BB" w:rsidRDefault="00E91C7F" w:rsidP="00E91C7F">
      <w:pPr>
        <w:pStyle w:val="NoSpacing"/>
        <w:rPr>
          <w:rFonts w:ascii="Times New Roman" w:hAnsi="Times New Roman"/>
        </w:rPr>
      </w:pPr>
      <w:r w:rsidRPr="009565BB">
        <w:rPr>
          <w:rFonts w:ascii="Times New Roman" w:hAnsi="Times New Roman"/>
          <w:u w:val="single"/>
        </w:rPr>
        <w:t>Fixed Income</w:t>
      </w:r>
      <w:r w:rsidRPr="009565BB">
        <w:rPr>
          <w:rFonts w:ascii="Times New Roman" w:hAnsi="Times New Roman"/>
        </w:rPr>
        <w:tab/>
      </w:r>
    </w:p>
    <w:p w14:paraId="75837F9A" w14:textId="77777777" w:rsidR="00E91C7F" w:rsidRPr="009565BB" w:rsidRDefault="00E91C7F" w:rsidP="00E91C7F">
      <w:pPr>
        <w:pStyle w:val="NoSpacing"/>
        <w:ind w:hanging="630"/>
        <w:rPr>
          <w:rFonts w:ascii="Times New Roman" w:hAnsi="Times New Roman"/>
        </w:rPr>
      </w:pP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p>
    <w:p w14:paraId="50C31D72" w14:textId="77777777" w:rsidR="00E91C7F" w:rsidRPr="009565BB" w:rsidRDefault="00E91C7F" w:rsidP="00E91C7F">
      <w:pPr>
        <w:pStyle w:val="NoSpacing"/>
        <w:ind w:left="720" w:hanging="720"/>
        <w:rPr>
          <w:rFonts w:ascii="Times New Roman" w:hAnsi="Times New Roman"/>
        </w:rPr>
      </w:pPr>
      <w:r w:rsidRPr="009565BB">
        <w:rPr>
          <w:rFonts w:ascii="Times New Roman" w:hAnsi="Times New Roman"/>
        </w:rPr>
        <w:t>Galliard Capital Management</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0.18% - first $200 million</w:t>
      </w:r>
    </w:p>
    <w:p w14:paraId="684D8AD5" w14:textId="77777777" w:rsidR="00E91C7F" w:rsidRPr="009565BB" w:rsidRDefault="00E91C7F" w:rsidP="00E91C7F">
      <w:pPr>
        <w:pStyle w:val="NoSpacing"/>
        <w:ind w:left="720" w:hanging="720"/>
        <w:rPr>
          <w:rFonts w:ascii="Times New Roman" w:hAnsi="Times New Roman"/>
        </w:rPr>
      </w:pPr>
      <w:r w:rsidRPr="009565BB">
        <w:rPr>
          <w:rFonts w:ascii="Times New Roman" w:hAnsi="Times New Roman"/>
        </w:rPr>
        <w:t>(Short Duration)</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0.15% - balance</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p>
    <w:p w14:paraId="01D40737" w14:textId="77777777" w:rsidR="00E91C7F" w:rsidRPr="009565BB" w:rsidRDefault="00E91C7F" w:rsidP="00E91C7F">
      <w:pPr>
        <w:pStyle w:val="NoSpacing"/>
        <w:rPr>
          <w:rFonts w:ascii="Times New Roman" w:hAnsi="Times New Roman"/>
        </w:rPr>
      </w:pP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p>
    <w:p w14:paraId="3E2589CB" w14:textId="77777777" w:rsidR="00E91C7F" w:rsidRPr="009565BB" w:rsidRDefault="00E91C7F" w:rsidP="00E91C7F">
      <w:pPr>
        <w:pStyle w:val="NoSpacing"/>
        <w:ind w:left="720" w:hanging="720"/>
        <w:rPr>
          <w:rFonts w:ascii="Times New Roman" w:hAnsi="Times New Roman"/>
        </w:rPr>
      </w:pPr>
      <w:r w:rsidRPr="009565BB">
        <w:rPr>
          <w:rFonts w:ascii="Times New Roman" w:hAnsi="Times New Roman"/>
        </w:rPr>
        <w:t>Income Research + Management</w:t>
      </w:r>
      <w:r w:rsidRPr="009565BB">
        <w:rPr>
          <w:rFonts w:ascii="Times New Roman" w:hAnsi="Times New Roman"/>
        </w:rPr>
        <w:tab/>
      </w:r>
      <w:r w:rsidRPr="009565BB">
        <w:rPr>
          <w:rFonts w:ascii="Times New Roman" w:hAnsi="Times New Roman"/>
        </w:rPr>
        <w:tab/>
      </w:r>
      <w:r w:rsidRPr="009565BB">
        <w:rPr>
          <w:rFonts w:ascii="Times New Roman" w:hAnsi="Times New Roman"/>
        </w:rPr>
        <w:tab/>
        <w:t>0.21% - first $100 million</w:t>
      </w:r>
    </w:p>
    <w:p w14:paraId="41240F29" w14:textId="77777777" w:rsidR="00E91C7F" w:rsidRPr="009565BB" w:rsidRDefault="00E91C7F" w:rsidP="00E91C7F">
      <w:pPr>
        <w:pStyle w:val="NoSpacing"/>
        <w:ind w:left="720" w:hanging="720"/>
        <w:rPr>
          <w:rFonts w:ascii="Times New Roman" w:hAnsi="Times New Roman"/>
        </w:rPr>
      </w:pPr>
      <w:r w:rsidRPr="009565BB">
        <w:rPr>
          <w:rFonts w:ascii="Times New Roman" w:hAnsi="Times New Roman"/>
        </w:rPr>
        <w:t>(Short Duration and Intermediate)</w:t>
      </w:r>
      <w:r w:rsidRPr="009565BB">
        <w:rPr>
          <w:rFonts w:ascii="Times New Roman" w:hAnsi="Times New Roman"/>
        </w:rPr>
        <w:tab/>
      </w:r>
      <w:r w:rsidRPr="009565BB">
        <w:rPr>
          <w:rFonts w:ascii="Times New Roman" w:hAnsi="Times New Roman"/>
        </w:rPr>
        <w:tab/>
      </w:r>
      <w:r w:rsidRPr="009565BB">
        <w:rPr>
          <w:rFonts w:ascii="Times New Roman" w:hAnsi="Times New Roman"/>
        </w:rPr>
        <w:tab/>
        <w:t>0.18% - next $100 million</w:t>
      </w:r>
    </w:p>
    <w:p w14:paraId="1F665D48" w14:textId="452F87B5" w:rsidR="00E91C7F" w:rsidRPr="009565BB" w:rsidRDefault="00E91C7F" w:rsidP="00E91C7F">
      <w:pPr>
        <w:pStyle w:val="NoSpacing"/>
        <w:ind w:left="720" w:hanging="1350"/>
        <w:rPr>
          <w:rFonts w:ascii="Times New Roman" w:hAnsi="Times New Roman"/>
        </w:rPr>
      </w:pP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 xml:space="preserve">0.15% - balance </w:t>
      </w:r>
    </w:p>
    <w:p w14:paraId="22C573A1" w14:textId="77777777" w:rsidR="00E91C7F" w:rsidRPr="009565BB" w:rsidRDefault="00E91C7F" w:rsidP="00E91C7F">
      <w:pPr>
        <w:pStyle w:val="NoSpacing"/>
        <w:rPr>
          <w:rFonts w:ascii="Times New Roman" w:hAnsi="Times New Roman"/>
        </w:rPr>
      </w:pPr>
    </w:p>
    <w:p w14:paraId="0D68B956" w14:textId="6955FC85" w:rsidR="00E91C7F" w:rsidRPr="009565BB" w:rsidRDefault="00E91C7F" w:rsidP="00E91C7F">
      <w:pPr>
        <w:pStyle w:val="NoSpacing"/>
        <w:rPr>
          <w:rFonts w:ascii="Times New Roman" w:hAnsi="Times New Roman"/>
        </w:rPr>
      </w:pPr>
      <w:r w:rsidRPr="009565BB">
        <w:rPr>
          <w:rFonts w:ascii="Times New Roman" w:hAnsi="Times New Roman"/>
        </w:rPr>
        <w:t>JP Morgan</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0.15% - first $50 million</w:t>
      </w:r>
    </w:p>
    <w:p w14:paraId="059ACCEC" w14:textId="77777777" w:rsidR="00E91C7F" w:rsidRPr="009565BB" w:rsidRDefault="00E91C7F" w:rsidP="00E91C7F">
      <w:pPr>
        <w:pStyle w:val="NoSpacing"/>
        <w:rPr>
          <w:rFonts w:ascii="Times New Roman" w:hAnsi="Times New Roman"/>
        </w:rPr>
      </w:pPr>
      <w:r w:rsidRPr="009565BB">
        <w:rPr>
          <w:rFonts w:ascii="Times New Roman" w:hAnsi="Times New Roman"/>
        </w:rPr>
        <w:t>(Managed Reserves)</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0.125% - next $50 million</w:t>
      </w:r>
    </w:p>
    <w:p w14:paraId="1EB42173" w14:textId="4B760EC8" w:rsidR="00E91C7F" w:rsidRPr="009565BB" w:rsidRDefault="00E91C7F" w:rsidP="00E91C7F">
      <w:pPr>
        <w:pStyle w:val="NoSpacing"/>
        <w:ind w:left="720" w:hanging="1350"/>
        <w:rPr>
          <w:rFonts w:ascii="Times New Roman" w:hAnsi="Times New Roman"/>
        </w:rPr>
      </w:pP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0.10% - next $100 million</w:t>
      </w:r>
    </w:p>
    <w:p w14:paraId="7F73F697" w14:textId="0B21FB4E" w:rsidR="00E91C7F" w:rsidRPr="009565BB" w:rsidRDefault="00E91C7F" w:rsidP="00E91C7F">
      <w:pPr>
        <w:pStyle w:val="NoSpacing"/>
        <w:ind w:left="720" w:hanging="1350"/>
        <w:rPr>
          <w:rFonts w:ascii="Times New Roman" w:hAnsi="Times New Roman"/>
        </w:rPr>
      </w:pP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0.08% - next $100 million</w:t>
      </w:r>
    </w:p>
    <w:p w14:paraId="1EC7F971" w14:textId="77777777" w:rsidR="00E91C7F" w:rsidRPr="009565BB" w:rsidRDefault="00E91C7F" w:rsidP="00E91C7F">
      <w:pPr>
        <w:pStyle w:val="NoSpacing"/>
        <w:rPr>
          <w:rFonts w:ascii="Times New Roman" w:hAnsi="Times New Roman"/>
        </w:rPr>
      </w:pPr>
    </w:p>
    <w:p w14:paraId="78B91DD1" w14:textId="77777777" w:rsidR="00E91C7F" w:rsidRPr="009565BB" w:rsidRDefault="00E91C7F" w:rsidP="00E91C7F">
      <w:pPr>
        <w:pStyle w:val="NoSpacing"/>
        <w:ind w:left="720" w:hanging="720"/>
        <w:rPr>
          <w:rFonts w:ascii="Times New Roman" w:hAnsi="Times New Roman"/>
        </w:rPr>
      </w:pPr>
      <w:r w:rsidRPr="009565BB">
        <w:rPr>
          <w:rFonts w:ascii="Times New Roman" w:hAnsi="Times New Roman"/>
        </w:rPr>
        <w:t>Neuberger Berman</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0.175% - first $50 million</w:t>
      </w:r>
    </w:p>
    <w:p w14:paraId="70B9DCD9" w14:textId="77777777" w:rsidR="00E91C7F" w:rsidRPr="009565BB" w:rsidRDefault="00E91C7F" w:rsidP="00E91C7F">
      <w:pPr>
        <w:pStyle w:val="NoSpacing"/>
        <w:ind w:left="720" w:hanging="720"/>
        <w:rPr>
          <w:rFonts w:ascii="Times New Roman" w:hAnsi="Times New Roman"/>
        </w:rPr>
      </w:pPr>
      <w:r w:rsidRPr="009565BB">
        <w:rPr>
          <w:rFonts w:ascii="Times New Roman" w:hAnsi="Times New Roman"/>
        </w:rPr>
        <w:t>(Enhanced Cash)</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0.15% - next $50 million</w:t>
      </w:r>
    </w:p>
    <w:p w14:paraId="255A6FD6" w14:textId="0BF19DE4" w:rsidR="00E91C7F" w:rsidRPr="009565BB" w:rsidRDefault="00E91C7F" w:rsidP="00E91C7F">
      <w:pPr>
        <w:pStyle w:val="NoSpacing"/>
        <w:ind w:left="720" w:hanging="1350"/>
        <w:rPr>
          <w:rFonts w:ascii="Times New Roman" w:hAnsi="Times New Roman"/>
        </w:rPr>
      </w:pP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0.12% - next $150 million</w:t>
      </w:r>
    </w:p>
    <w:p w14:paraId="19813A17" w14:textId="4F42E25C" w:rsidR="00E91C7F" w:rsidRPr="009565BB" w:rsidRDefault="00E91C7F" w:rsidP="00E91C7F">
      <w:pPr>
        <w:pStyle w:val="NoSpacing"/>
        <w:ind w:left="720" w:hanging="1350"/>
        <w:rPr>
          <w:rFonts w:ascii="Times New Roman" w:hAnsi="Times New Roman"/>
        </w:rPr>
      </w:pP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(10% rebate on total fee)</w:t>
      </w:r>
    </w:p>
    <w:p w14:paraId="0D9E3390" w14:textId="77777777" w:rsidR="00E91C7F" w:rsidRPr="009565BB" w:rsidRDefault="00E91C7F" w:rsidP="00E91C7F">
      <w:pPr>
        <w:pStyle w:val="NoSpacing"/>
        <w:ind w:left="720" w:hanging="1350"/>
        <w:rPr>
          <w:rFonts w:ascii="Times New Roman" w:hAnsi="Times New Roman"/>
        </w:rPr>
      </w:pPr>
    </w:p>
    <w:p w14:paraId="092CDF6D" w14:textId="77777777" w:rsidR="00E91C7F" w:rsidRPr="009565BB" w:rsidRDefault="00E91C7F" w:rsidP="00E91C7F">
      <w:pPr>
        <w:pStyle w:val="NoSpacing"/>
        <w:ind w:left="720" w:hanging="720"/>
        <w:rPr>
          <w:rFonts w:ascii="Times New Roman" w:hAnsi="Times New Roman"/>
        </w:rPr>
      </w:pPr>
      <w:r w:rsidRPr="009565BB">
        <w:rPr>
          <w:rFonts w:ascii="Times New Roman" w:hAnsi="Times New Roman"/>
        </w:rPr>
        <w:t>Neuberger Berman</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0.20% - flat fee</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p>
    <w:p w14:paraId="19841059" w14:textId="77777777" w:rsidR="00E91C7F" w:rsidRPr="009565BB" w:rsidRDefault="00E91C7F" w:rsidP="00E91C7F">
      <w:pPr>
        <w:pStyle w:val="NoSpacing"/>
        <w:ind w:left="720" w:hanging="720"/>
        <w:rPr>
          <w:rFonts w:ascii="Times New Roman" w:hAnsi="Times New Roman"/>
        </w:rPr>
      </w:pPr>
      <w:r w:rsidRPr="009565BB">
        <w:rPr>
          <w:rFonts w:ascii="Times New Roman" w:hAnsi="Times New Roman"/>
        </w:rPr>
        <w:t>(Intermediate)</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(10% rebate on total fee)</w:t>
      </w:r>
    </w:p>
    <w:p w14:paraId="7A73DF33" w14:textId="77777777" w:rsidR="00E91C7F" w:rsidRPr="009565BB" w:rsidRDefault="00E91C7F" w:rsidP="00E91C7F">
      <w:pPr>
        <w:pStyle w:val="NoSpacing"/>
        <w:ind w:left="720" w:hanging="1350"/>
        <w:rPr>
          <w:rFonts w:ascii="Times New Roman" w:hAnsi="Times New Roman"/>
        </w:rPr>
      </w:pPr>
    </w:p>
    <w:p w14:paraId="4A46A28F" w14:textId="77777777" w:rsidR="00E91C7F" w:rsidRPr="009565BB" w:rsidRDefault="00E91C7F" w:rsidP="00E91C7F">
      <w:pPr>
        <w:pStyle w:val="NoSpacing"/>
        <w:ind w:left="720" w:hanging="720"/>
        <w:rPr>
          <w:rFonts w:ascii="Times New Roman" w:hAnsi="Times New Roman"/>
        </w:rPr>
      </w:pPr>
      <w:r w:rsidRPr="009565BB">
        <w:rPr>
          <w:rFonts w:ascii="Times New Roman" w:hAnsi="Times New Roman"/>
        </w:rPr>
        <w:t>Northern Trust</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0.20% - first $100 million</w:t>
      </w:r>
    </w:p>
    <w:p w14:paraId="12D72BAF" w14:textId="77777777" w:rsidR="00E91C7F" w:rsidRPr="009565BB" w:rsidRDefault="00E91C7F" w:rsidP="00E91C7F">
      <w:pPr>
        <w:pStyle w:val="NoSpacing"/>
        <w:ind w:left="720" w:hanging="720"/>
        <w:rPr>
          <w:rFonts w:ascii="Times New Roman" w:hAnsi="Times New Roman"/>
        </w:rPr>
      </w:pPr>
      <w:r w:rsidRPr="009565BB">
        <w:rPr>
          <w:rFonts w:ascii="Times New Roman" w:hAnsi="Times New Roman"/>
        </w:rPr>
        <w:t>(Short Duration)</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0.18% - balance</w:t>
      </w:r>
    </w:p>
    <w:p w14:paraId="63B382FB" w14:textId="77777777" w:rsidR="00E91C7F" w:rsidRPr="009565BB" w:rsidRDefault="00E91C7F" w:rsidP="00E91C7F">
      <w:pPr>
        <w:pStyle w:val="NoSpacing"/>
        <w:ind w:left="720" w:hanging="1350"/>
        <w:rPr>
          <w:rFonts w:ascii="Times New Roman" w:hAnsi="Times New Roman"/>
        </w:rPr>
      </w:pPr>
    </w:p>
    <w:p w14:paraId="78B4D00A" w14:textId="77779B6E" w:rsidR="00E91C7F" w:rsidRPr="009565BB" w:rsidRDefault="00151527" w:rsidP="00E91C7F">
      <w:pPr>
        <w:pStyle w:val="NoSpacing"/>
        <w:ind w:left="720" w:hanging="720"/>
        <w:rPr>
          <w:rFonts w:ascii="Times New Roman" w:hAnsi="Times New Roman"/>
        </w:rPr>
      </w:pPr>
      <w:r>
        <w:rPr>
          <w:rFonts w:ascii="Times New Roman" w:hAnsi="Times New Roman"/>
        </w:rPr>
        <w:t>Allspring Global Investments</w:t>
      </w:r>
      <w:r>
        <w:rPr>
          <w:rFonts w:ascii="Times New Roman" w:hAnsi="Times New Roman"/>
        </w:rPr>
        <w:tab/>
      </w:r>
      <w:r w:rsidR="00E91C7F" w:rsidRPr="009565BB">
        <w:rPr>
          <w:rFonts w:ascii="Times New Roman" w:hAnsi="Times New Roman"/>
        </w:rPr>
        <w:tab/>
      </w:r>
      <w:r w:rsidR="00E91C7F" w:rsidRPr="009565BB">
        <w:rPr>
          <w:rFonts w:ascii="Times New Roman" w:hAnsi="Times New Roman"/>
        </w:rPr>
        <w:tab/>
      </w:r>
      <w:r w:rsidR="00E91C7F" w:rsidRPr="009565BB">
        <w:rPr>
          <w:rFonts w:ascii="Times New Roman" w:hAnsi="Times New Roman"/>
        </w:rPr>
        <w:tab/>
        <w:t>0.09% - first $100 million</w:t>
      </w:r>
    </w:p>
    <w:p w14:paraId="4B9E0F4F" w14:textId="77777777" w:rsidR="00E91C7F" w:rsidRPr="009565BB" w:rsidRDefault="00E91C7F" w:rsidP="00E91C7F">
      <w:pPr>
        <w:pStyle w:val="NoSpacing"/>
        <w:ind w:left="720" w:hanging="720"/>
        <w:rPr>
          <w:rFonts w:ascii="Times New Roman" w:hAnsi="Times New Roman"/>
        </w:rPr>
      </w:pPr>
      <w:r w:rsidRPr="009565BB">
        <w:rPr>
          <w:rFonts w:ascii="Times New Roman" w:hAnsi="Times New Roman"/>
        </w:rPr>
        <w:t>(Conservative Income and Short Duration)</w:t>
      </w:r>
      <w:r w:rsidRPr="009565BB">
        <w:rPr>
          <w:rFonts w:ascii="Times New Roman" w:hAnsi="Times New Roman"/>
        </w:rPr>
        <w:tab/>
      </w:r>
      <w:r w:rsidRPr="009565BB">
        <w:rPr>
          <w:rFonts w:ascii="Times New Roman" w:hAnsi="Times New Roman"/>
        </w:rPr>
        <w:tab/>
        <w:t>0.07% - balance</w:t>
      </w:r>
    </w:p>
    <w:p w14:paraId="09BE3753" w14:textId="77777777" w:rsidR="00E91C7F" w:rsidRPr="009565BB" w:rsidRDefault="00E91C7F" w:rsidP="00E91C7F">
      <w:pPr>
        <w:pStyle w:val="NoSpacing"/>
        <w:ind w:left="720" w:hanging="1350"/>
        <w:rPr>
          <w:rFonts w:ascii="Times New Roman" w:hAnsi="Times New Roman"/>
        </w:rPr>
      </w:pPr>
    </w:p>
    <w:p w14:paraId="0430F294" w14:textId="1E69D273" w:rsidR="00130A9B" w:rsidRDefault="00E91C7F" w:rsidP="00E91C7F">
      <w:pPr>
        <w:pStyle w:val="NoSpacing"/>
        <w:ind w:left="720" w:hanging="720"/>
        <w:rPr>
          <w:rFonts w:ascii="Times New Roman" w:hAnsi="Times New Roman"/>
        </w:rPr>
      </w:pPr>
      <w:r w:rsidRPr="009565BB">
        <w:rPr>
          <w:rFonts w:ascii="Times New Roman" w:hAnsi="Times New Roman"/>
        </w:rPr>
        <w:t xml:space="preserve">Attucks Asset Management </w:t>
      </w:r>
      <w:r w:rsidR="00130A9B">
        <w:rPr>
          <w:rFonts w:ascii="Times New Roman" w:hAnsi="Times New Roman"/>
        </w:rPr>
        <w:t>(Operating)</w:t>
      </w:r>
      <w:r w:rsidR="00130A9B">
        <w:rPr>
          <w:rFonts w:ascii="Times New Roman" w:hAnsi="Times New Roman"/>
        </w:rPr>
        <w:tab/>
      </w:r>
      <w:r w:rsidRPr="009565BB">
        <w:rPr>
          <w:rFonts w:ascii="Times New Roman" w:hAnsi="Times New Roman"/>
        </w:rPr>
        <w:tab/>
      </w:r>
      <w:r w:rsidRPr="009565BB">
        <w:rPr>
          <w:rFonts w:ascii="Times New Roman" w:hAnsi="Times New Roman"/>
        </w:rPr>
        <w:tab/>
      </w:r>
      <w:r w:rsidR="00130A9B">
        <w:rPr>
          <w:rFonts w:ascii="Times New Roman" w:hAnsi="Times New Roman"/>
        </w:rPr>
        <w:t>0.26% - flat fee</w:t>
      </w:r>
    </w:p>
    <w:p w14:paraId="1DD5AB7E" w14:textId="77777777" w:rsidR="00130A9B" w:rsidRDefault="00130A9B" w:rsidP="00E91C7F">
      <w:pPr>
        <w:pStyle w:val="NoSpacing"/>
        <w:ind w:left="720" w:hanging="720"/>
        <w:rPr>
          <w:rFonts w:ascii="Times New Roman" w:hAnsi="Times New Roman"/>
        </w:rPr>
      </w:pPr>
    </w:p>
    <w:p w14:paraId="615D14A9" w14:textId="55644C2B" w:rsidR="00E91C7F" w:rsidRPr="009565BB" w:rsidRDefault="00E91C7F" w:rsidP="00E91C7F">
      <w:pPr>
        <w:pStyle w:val="NoSpacing"/>
        <w:ind w:left="720" w:hanging="720"/>
        <w:rPr>
          <w:rFonts w:ascii="Times New Roman" w:hAnsi="Times New Roman"/>
        </w:rPr>
      </w:pPr>
      <w:r w:rsidRPr="009565BB">
        <w:rPr>
          <w:rFonts w:ascii="Times New Roman" w:hAnsi="Times New Roman"/>
        </w:rPr>
        <w:tab/>
      </w:r>
      <w:r w:rsidRPr="009565BB">
        <w:rPr>
          <w:rFonts w:ascii="Times New Roman" w:hAnsi="Times New Roman"/>
        </w:rPr>
        <w:tab/>
      </w:r>
      <w:r w:rsidRPr="009565BB">
        <w:rPr>
          <w:rFonts w:ascii="Times New Roman" w:hAnsi="Times New Roman"/>
        </w:rPr>
        <w:tab/>
      </w:r>
    </w:p>
    <w:p w14:paraId="4AEE895C" w14:textId="77777777" w:rsidR="00E91C7F" w:rsidRPr="009565BB" w:rsidRDefault="00E91C7F" w:rsidP="00E91C7F">
      <w:pPr>
        <w:pStyle w:val="NoSpacing"/>
        <w:ind w:left="720" w:hanging="1350"/>
        <w:rPr>
          <w:rFonts w:ascii="Times New Roman" w:hAnsi="Times New Roman"/>
        </w:rPr>
      </w:pP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p>
    <w:p w14:paraId="3C1872D4" w14:textId="77777777" w:rsidR="00E91C7F" w:rsidRPr="009565BB" w:rsidRDefault="00E91C7F" w:rsidP="00E91C7F">
      <w:pPr>
        <w:pStyle w:val="Heading1"/>
        <w:spacing w:before="0"/>
        <w:jc w:val="center"/>
        <w:rPr>
          <w:rFonts w:ascii="Times New Roman" w:hAnsi="Times New Roman"/>
          <w:sz w:val="28"/>
          <w:szCs w:val="28"/>
        </w:rPr>
      </w:pPr>
      <w:r w:rsidRPr="009565BB">
        <w:rPr>
          <w:rFonts w:ascii="Times New Roman" w:hAnsi="Times New Roman"/>
          <w:sz w:val="28"/>
          <w:szCs w:val="28"/>
        </w:rPr>
        <w:lastRenderedPageBreak/>
        <w:t xml:space="preserve">University of Illinois System </w:t>
      </w:r>
    </w:p>
    <w:p w14:paraId="10F9F1C8" w14:textId="77777777" w:rsidR="00E91C7F" w:rsidRPr="009565BB" w:rsidRDefault="00E91C7F" w:rsidP="00E91C7F">
      <w:pPr>
        <w:pStyle w:val="Heading1"/>
        <w:jc w:val="center"/>
        <w:rPr>
          <w:rFonts w:ascii="Times New Roman" w:hAnsi="Times New Roman"/>
          <w:sz w:val="28"/>
          <w:szCs w:val="28"/>
        </w:rPr>
      </w:pPr>
      <w:r w:rsidRPr="009565BB">
        <w:rPr>
          <w:rFonts w:ascii="Times New Roman" w:hAnsi="Times New Roman"/>
          <w:sz w:val="28"/>
          <w:szCs w:val="28"/>
        </w:rPr>
        <w:t>Investment Fee Schedule – Traditional Investments</w:t>
      </w:r>
    </w:p>
    <w:p w14:paraId="5FBD3310" w14:textId="77777777" w:rsidR="00E91C7F" w:rsidRPr="009565BB" w:rsidRDefault="00E91C7F" w:rsidP="00E91C7F">
      <w:pPr>
        <w:ind w:hanging="630"/>
        <w:rPr>
          <w:rFonts w:ascii="Times New Roman" w:hAnsi="Times New Roman" w:cs="Times New Roman"/>
          <w:b/>
        </w:rPr>
      </w:pPr>
    </w:p>
    <w:p w14:paraId="785CC97F" w14:textId="77777777" w:rsidR="00E91C7F" w:rsidRPr="009565BB" w:rsidRDefault="00E91C7F" w:rsidP="00E91C7F">
      <w:pPr>
        <w:rPr>
          <w:rFonts w:ascii="Times New Roman" w:hAnsi="Times New Roman" w:cs="Times New Roman"/>
        </w:rPr>
      </w:pPr>
      <w:r w:rsidRPr="009565BB">
        <w:rPr>
          <w:rFonts w:ascii="Times New Roman" w:hAnsi="Times New Roman" w:cs="Times New Roman"/>
          <w:b/>
        </w:rPr>
        <w:t>Firm</w:t>
      </w:r>
      <w:r w:rsidRPr="009565BB">
        <w:rPr>
          <w:rFonts w:ascii="Times New Roman" w:hAnsi="Times New Roman" w:cs="Times New Roman"/>
          <w:b/>
        </w:rPr>
        <w:tab/>
      </w:r>
      <w:r w:rsidRPr="009565BB">
        <w:rPr>
          <w:rFonts w:ascii="Times New Roman" w:hAnsi="Times New Roman" w:cs="Times New Roman"/>
        </w:rPr>
        <w:tab/>
      </w:r>
      <w:r w:rsidRPr="009565BB">
        <w:rPr>
          <w:rFonts w:ascii="Times New Roman" w:hAnsi="Times New Roman" w:cs="Times New Roman"/>
        </w:rPr>
        <w:tab/>
      </w:r>
      <w:r w:rsidRPr="009565BB">
        <w:rPr>
          <w:rFonts w:ascii="Times New Roman" w:hAnsi="Times New Roman" w:cs="Times New Roman"/>
        </w:rPr>
        <w:tab/>
      </w:r>
      <w:r w:rsidRPr="009565BB">
        <w:rPr>
          <w:rFonts w:ascii="Times New Roman" w:hAnsi="Times New Roman" w:cs="Times New Roman"/>
        </w:rPr>
        <w:tab/>
      </w:r>
      <w:r w:rsidRPr="009565BB">
        <w:rPr>
          <w:rFonts w:ascii="Times New Roman" w:hAnsi="Times New Roman" w:cs="Times New Roman"/>
        </w:rPr>
        <w:tab/>
      </w:r>
      <w:r w:rsidRPr="009565BB">
        <w:rPr>
          <w:rFonts w:ascii="Times New Roman" w:hAnsi="Times New Roman" w:cs="Times New Roman"/>
        </w:rPr>
        <w:tab/>
      </w:r>
      <w:r w:rsidRPr="009565BB">
        <w:rPr>
          <w:rFonts w:ascii="Times New Roman" w:hAnsi="Times New Roman" w:cs="Times New Roman"/>
          <w:b/>
        </w:rPr>
        <w:t>Terms</w:t>
      </w:r>
    </w:p>
    <w:p w14:paraId="1AAB016E" w14:textId="099E4B8C" w:rsidR="00E91C7F" w:rsidRPr="009565BB" w:rsidRDefault="00E91C7F" w:rsidP="00E91C7F">
      <w:pPr>
        <w:pStyle w:val="NoSpacing"/>
        <w:ind w:left="720" w:hanging="720"/>
        <w:rPr>
          <w:rFonts w:ascii="Times New Roman" w:hAnsi="Times New Roman"/>
        </w:rPr>
      </w:pPr>
      <w:r w:rsidRPr="009565BB">
        <w:rPr>
          <w:rFonts w:ascii="Times New Roman" w:hAnsi="Times New Roman"/>
          <w:u w:val="single"/>
        </w:rPr>
        <w:t>Fixed Income (Continued</w:t>
      </w:r>
      <w:r w:rsidR="00E13DB8">
        <w:rPr>
          <w:rFonts w:ascii="Times New Roman" w:hAnsi="Times New Roman"/>
          <w:u w:val="single"/>
        </w:rPr>
        <w:t>)</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u w:val="single"/>
        </w:rPr>
        <w:t>Management Fee</w:t>
      </w:r>
    </w:p>
    <w:p w14:paraId="39E8A202" w14:textId="77777777" w:rsidR="00130A9B" w:rsidRDefault="00130A9B" w:rsidP="00130A9B">
      <w:pPr>
        <w:pStyle w:val="NoSpacing"/>
        <w:rPr>
          <w:rFonts w:ascii="Times New Roman" w:hAnsi="Times New Roman"/>
        </w:rPr>
      </w:pPr>
      <w:r>
        <w:rPr>
          <w:rFonts w:ascii="Times New Roman" w:hAnsi="Times New Roman"/>
        </w:rPr>
        <w:t>Attucks Asset Management (Endowment)</w:t>
      </w:r>
      <w:r>
        <w:rPr>
          <w:rFonts w:ascii="Times New Roman" w:hAnsi="Times New Roman"/>
        </w:rPr>
        <w:tab/>
      </w:r>
      <w:r>
        <w:rPr>
          <w:rFonts w:ascii="Times New Roman" w:hAnsi="Times New Roman"/>
        </w:rPr>
        <w:tab/>
      </w:r>
      <w:r w:rsidRPr="009565BB">
        <w:rPr>
          <w:rFonts w:ascii="Times New Roman" w:hAnsi="Times New Roman"/>
        </w:rPr>
        <w:t xml:space="preserve">0.35% </w:t>
      </w:r>
      <w:r>
        <w:rPr>
          <w:rFonts w:ascii="Times New Roman" w:hAnsi="Times New Roman"/>
        </w:rPr>
        <w:t>- first $50 million</w:t>
      </w:r>
    </w:p>
    <w:p w14:paraId="2C9BEDAF" w14:textId="77777777" w:rsidR="00130A9B" w:rsidRDefault="00130A9B" w:rsidP="00130A9B">
      <w:pPr>
        <w:pStyle w:val="NoSpacing"/>
        <w:ind w:left="720"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0.30% - next $50 million</w:t>
      </w:r>
    </w:p>
    <w:p w14:paraId="74FA2CEF" w14:textId="77777777" w:rsidR="00130A9B" w:rsidRDefault="00130A9B" w:rsidP="00130A9B">
      <w:pPr>
        <w:pStyle w:val="NoSpacing"/>
        <w:ind w:left="720"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0.27% - next $50 million</w:t>
      </w:r>
    </w:p>
    <w:p w14:paraId="3C9ACF46" w14:textId="77777777" w:rsidR="00130A9B" w:rsidRDefault="00130A9B" w:rsidP="00130A9B">
      <w:pPr>
        <w:pStyle w:val="NoSpacing"/>
        <w:ind w:left="720"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0.25% - next $100 million</w:t>
      </w:r>
    </w:p>
    <w:p w14:paraId="19D96EA5" w14:textId="1A0E936A" w:rsidR="00130A9B" w:rsidRDefault="00130A9B" w:rsidP="00130A9B">
      <w:pPr>
        <w:pStyle w:val="NoSpacing"/>
        <w:ind w:left="720"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0.22% - over $250 million</w:t>
      </w:r>
    </w:p>
    <w:p w14:paraId="6D126C09" w14:textId="77777777" w:rsidR="00130A9B" w:rsidRDefault="00130A9B" w:rsidP="00E91C7F">
      <w:pPr>
        <w:pStyle w:val="NoSpacing"/>
        <w:ind w:left="720" w:hanging="720"/>
        <w:rPr>
          <w:rFonts w:ascii="Times New Roman" w:hAnsi="Times New Roman"/>
        </w:rPr>
      </w:pPr>
    </w:p>
    <w:p w14:paraId="2D6288D7" w14:textId="3C39FAF6" w:rsidR="00E91C7F" w:rsidRDefault="00E91C7F" w:rsidP="00E91C7F">
      <w:pPr>
        <w:pStyle w:val="NoSpacing"/>
        <w:ind w:left="720" w:hanging="720"/>
        <w:rPr>
          <w:rFonts w:ascii="Times New Roman" w:hAnsi="Times New Roman"/>
        </w:rPr>
      </w:pPr>
      <w:r w:rsidRPr="009565BB">
        <w:rPr>
          <w:rFonts w:ascii="Times New Roman" w:hAnsi="Times New Roman"/>
        </w:rPr>
        <w:t>Vanguard Total Bond Market Index</w:t>
      </w:r>
      <w:r w:rsidRPr="009565BB">
        <w:rPr>
          <w:rFonts w:ascii="Times New Roman" w:hAnsi="Times New Roman"/>
        </w:rPr>
        <w:tab/>
      </w:r>
      <w:r w:rsidRPr="009565BB">
        <w:rPr>
          <w:rFonts w:ascii="Times New Roman" w:hAnsi="Times New Roman"/>
        </w:rPr>
        <w:tab/>
      </w:r>
      <w:r w:rsidRPr="009565BB">
        <w:rPr>
          <w:rFonts w:ascii="Times New Roman" w:hAnsi="Times New Roman"/>
        </w:rPr>
        <w:tab/>
        <w:t>0.05% flat fee</w:t>
      </w:r>
    </w:p>
    <w:p w14:paraId="175D84B7" w14:textId="79B90FAF" w:rsidR="00130A9B" w:rsidRDefault="00130A9B" w:rsidP="00E91C7F">
      <w:pPr>
        <w:pStyle w:val="NoSpacing"/>
        <w:ind w:left="720" w:hanging="720"/>
        <w:rPr>
          <w:rFonts w:ascii="Times New Roman" w:hAnsi="Times New Roman"/>
        </w:rPr>
      </w:pPr>
    </w:p>
    <w:p w14:paraId="4B9B970C" w14:textId="7351752B" w:rsidR="00130A9B" w:rsidRPr="009565BB" w:rsidRDefault="00130A9B" w:rsidP="00E91C7F">
      <w:pPr>
        <w:pStyle w:val="NoSpacing"/>
        <w:ind w:left="720" w:hanging="720"/>
        <w:rPr>
          <w:rFonts w:ascii="Times New Roman" w:hAnsi="Times New Roman"/>
        </w:rPr>
      </w:pPr>
      <w:r>
        <w:rPr>
          <w:rFonts w:ascii="Times New Roman" w:hAnsi="Times New Roman"/>
        </w:rPr>
        <w:t>Artisan High Income Fund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0.85% flat fee</w:t>
      </w:r>
    </w:p>
    <w:p w14:paraId="18D2700F" w14:textId="253F0C4E" w:rsidR="00E91C7F" w:rsidRPr="009565BB" w:rsidRDefault="00E91C7F" w:rsidP="00B663FF">
      <w:pPr>
        <w:pStyle w:val="NoSpacing"/>
        <w:rPr>
          <w:rFonts w:ascii="Times New Roman" w:hAnsi="Times New Roman"/>
        </w:rPr>
      </w:pPr>
      <w:r w:rsidRPr="009565BB">
        <w:rPr>
          <w:rFonts w:ascii="Times New Roman" w:hAnsi="Times New Roman"/>
        </w:rPr>
        <w:tab/>
      </w:r>
      <w:r w:rsidRPr="009565BB">
        <w:rPr>
          <w:rFonts w:ascii="Times New Roman" w:hAnsi="Times New Roman"/>
        </w:rPr>
        <w:tab/>
      </w:r>
    </w:p>
    <w:p w14:paraId="5C21A46C" w14:textId="77777777" w:rsidR="00E91C7F" w:rsidRPr="009565BB" w:rsidRDefault="00E91C7F" w:rsidP="00E91C7F">
      <w:pPr>
        <w:pStyle w:val="NoSpacing"/>
        <w:ind w:left="720" w:hanging="720"/>
        <w:rPr>
          <w:rFonts w:ascii="Times New Roman" w:hAnsi="Times New Roman"/>
          <w:u w:val="single"/>
        </w:rPr>
      </w:pPr>
      <w:r w:rsidRPr="009565BB">
        <w:rPr>
          <w:rFonts w:ascii="Times New Roman" w:hAnsi="Times New Roman"/>
          <w:u w:val="single"/>
        </w:rPr>
        <w:t>Equity</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p>
    <w:p w14:paraId="71088090" w14:textId="77777777" w:rsidR="00E91C7F" w:rsidRPr="009565BB" w:rsidRDefault="00E91C7F" w:rsidP="009155DE">
      <w:pPr>
        <w:pStyle w:val="NoSpacing"/>
        <w:rPr>
          <w:rFonts w:ascii="Times New Roman" w:hAnsi="Times New Roman"/>
        </w:rPr>
      </w:pPr>
    </w:p>
    <w:p w14:paraId="6E39108B" w14:textId="77777777" w:rsidR="00E91C7F" w:rsidRPr="009565BB" w:rsidRDefault="00E91C7F" w:rsidP="00E91C7F">
      <w:pPr>
        <w:pStyle w:val="NoSpacing"/>
        <w:ind w:left="720" w:hanging="720"/>
        <w:rPr>
          <w:rFonts w:ascii="Times New Roman" w:hAnsi="Times New Roman"/>
        </w:rPr>
      </w:pPr>
      <w:r w:rsidRPr="009565BB">
        <w:rPr>
          <w:rFonts w:ascii="Times New Roman" w:hAnsi="Times New Roman"/>
        </w:rPr>
        <w:t>BlackRock</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0.055% flat fee</w:t>
      </w:r>
    </w:p>
    <w:p w14:paraId="1E3C84A2" w14:textId="0D45C155" w:rsidR="00E91C7F" w:rsidRPr="009565BB" w:rsidRDefault="00E91C7F" w:rsidP="00E91C7F">
      <w:pPr>
        <w:pStyle w:val="NoSpacing"/>
        <w:ind w:left="720" w:hanging="720"/>
        <w:rPr>
          <w:rFonts w:ascii="Times New Roman" w:hAnsi="Times New Roman"/>
        </w:rPr>
      </w:pPr>
      <w:r w:rsidRPr="009565BB">
        <w:rPr>
          <w:rFonts w:ascii="Times New Roman" w:hAnsi="Times New Roman"/>
        </w:rPr>
        <w:t>(ESG U.S. All Cap Equity)</w:t>
      </w:r>
    </w:p>
    <w:p w14:paraId="12B8F021" w14:textId="77777777" w:rsidR="00E91C7F" w:rsidRPr="009565BB" w:rsidRDefault="00E91C7F" w:rsidP="00E91C7F">
      <w:pPr>
        <w:pStyle w:val="NoSpacing"/>
        <w:ind w:left="720" w:hanging="1350"/>
        <w:rPr>
          <w:rFonts w:ascii="Times New Roman" w:hAnsi="Times New Roman"/>
        </w:rPr>
      </w:pPr>
    </w:p>
    <w:p w14:paraId="0873EF81" w14:textId="62B7E59A" w:rsidR="00130A9B" w:rsidRPr="009565BB" w:rsidRDefault="00151527" w:rsidP="00130A9B">
      <w:pPr>
        <w:pStyle w:val="NoSpacing"/>
        <w:ind w:left="720" w:hanging="720"/>
        <w:rPr>
          <w:rFonts w:ascii="Times New Roman" w:hAnsi="Times New Roman"/>
        </w:rPr>
      </w:pPr>
      <w:r w:rsidRPr="009565BB">
        <w:rPr>
          <w:rFonts w:ascii="Times New Roman" w:hAnsi="Times New Roman"/>
        </w:rPr>
        <w:t>BlackRock</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w:t>
      </w:r>
      <w:r w:rsidR="00130A9B">
        <w:rPr>
          <w:rFonts w:ascii="Times New Roman" w:hAnsi="Times New Roman"/>
        </w:rPr>
        <w:t>12</w:t>
      </w:r>
      <w:r w:rsidRPr="009565BB">
        <w:rPr>
          <w:rFonts w:ascii="Times New Roman" w:hAnsi="Times New Roman"/>
        </w:rPr>
        <w:t>% flat fee</w:t>
      </w:r>
    </w:p>
    <w:p w14:paraId="2BA40298" w14:textId="43F0388F" w:rsidR="00151527" w:rsidRDefault="00151527" w:rsidP="00151527">
      <w:pPr>
        <w:pStyle w:val="NoSpacing"/>
        <w:ind w:left="720" w:hanging="720"/>
        <w:rPr>
          <w:rFonts w:ascii="Times New Roman" w:hAnsi="Times New Roman"/>
        </w:rPr>
      </w:pPr>
      <w:r w:rsidRPr="009565BB">
        <w:rPr>
          <w:rFonts w:ascii="Times New Roman" w:hAnsi="Times New Roman"/>
        </w:rPr>
        <w:t>(</w:t>
      </w:r>
      <w:r w:rsidR="00130A9B">
        <w:rPr>
          <w:rFonts w:ascii="Times New Roman" w:hAnsi="Times New Roman"/>
        </w:rPr>
        <w:t>ESG Insights World ex-USA</w:t>
      </w:r>
      <w:r w:rsidRPr="009565BB">
        <w:rPr>
          <w:rFonts w:ascii="Times New Roman" w:hAnsi="Times New Roman"/>
        </w:rPr>
        <w:t>)</w:t>
      </w:r>
    </w:p>
    <w:p w14:paraId="71B6AA33" w14:textId="07AC6815" w:rsidR="00130A9B" w:rsidRDefault="00130A9B" w:rsidP="00151527">
      <w:pPr>
        <w:pStyle w:val="NoSpacing"/>
        <w:ind w:left="720" w:hanging="720"/>
        <w:rPr>
          <w:rFonts w:ascii="Times New Roman" w:hAnsi="Times New Roman"/>
        </w:rPr>
      </w:pPr>
    </w:p>
    <w:p w14:paraId="7C21A359" w14:textId="71C146C9" w:rsidR="00130A9B" w:rsidRDefault="00130A9B" w:rsidP="00151527">
      <w:pPr>
        <w:pStyle w:val="NoSpacing"/>
        <w:ind w:left="720" w:hanging="720"/>
        <w:rPr>
          <w:rFonts w:ascii="Times New Roman" w:hAnsi="Times New Roman"/>
        </w:rPr>
      </w:pPr>
      <w:r>
        <w:rPr>
          <w:rFonts w:ascii="Times New Roman" w:hAnsi="Times New Roman"/>
        </w:rPr>
        <w:t xml:space="preserve">BlackRock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0.08% flat fee</w:t>
      </w:r>
    </w:p>
    <w:p w14:paraId="3BF8D367" w14:textId="77B43854" w:rsidR="00130A9B" w:rsidRPr="009565BB" w:rsidRDefault="00130A9B" w:rsidP="00151527">
      <w:pPr>
        <w:pStyle w:val="NoSpacing"/>
        <w:ind w:left="720" w:hanging="720"/>
        <w:rPr>
          <w:rFonts w:ascii="Times New Roman" w:hAnsi="Times New Roman"/>
        </w:rPr>
      </w:pPr>
      <w:r>
        <w:rPr>
          <w:rFonts w:ascii="Times New Roman" w:hAnsi="Times New Roman"/>
        </w:rPr>
        <w:t>(MSCI Emerging Markets Free Fund)</w:t>
      </w:r>
      <w:r>
        <w:rPr>
          <w:rFonts w:ascii="Times New Roman" w:hAnsi="Times New Roman"/>
        </w:rPr>
        <w:tab/>
      </w:r>
    </w:p>
    <w:p w14:paraId="13D931A8" w14:textId="77777777" w:rsidR="00151527" w:rsidRDefault="00151527" w:rsidP="00E91C7F">
      <w:pPr>
        <w:pStyle w:val="NoSpacing"/>
        <w:ind w:left="720" w:hanging="720"/>
        <w:rPr>
          <w:rFonts w:ascii="Times New Roman" w:hAnsi="Times New Roman"/>
        </w:rPr>
      </w:pPr>
    </w:p>
    <w:p w14:paraId="5BE0DB15" w14:textId="4E043E5C" w:rsidR="00E91C7F" w:rsidRPr="009565BB" w:rsidRDefault="00E91C7F" w:rsidP="00E91C7F">
      <w:pPr>
        <w:pStyle w:val="NoSpacing"/>
        <w:ind w:left="720" w:hanging="720"/>
        <w:rPr>
          <w:rFonts w:ascii="Times New Roman" w:hAnsi="Times New Roman"/>
        </w:rPr>
      </w:pPr>
      <w:r w:rsidRPr="009565BB">
        <w:rPr>
          <w:rFonts w:ascii="Times New Roman" w:hAnsi="Times New Roman"/>
        </w:rPr>
        <w:t>Ariel Capital Management</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1.00% - first $10 million</w:t>
      </w:r>
    </w:p>
    <w:p w14:paraId="5C419E34" w14:textId="77777777" w:rsidR="00E91C7F" w:rsidRPr="009565BB" w:rsidRDefault="00E91C7F" w:rsidP="00E91C7F">
      <w:pPr>
        <w:pStyle w:val="NoSpacing"/>
        <w:ind w:left="720" w:hanging="720"/>
        <w:rPr>
          <w:rFonts w:ascii="Times New Roman" w:hAnsi="Times New Roman"/>
        </w:rPr>
      </w:pPr>
      <w:r w:rsidRPr="009565BB">
        <w:rPr>
          <w:rFonts w:ascii="Times New Roman" w:hAnsi="Times New Roman"/>
        </w:rPr>
        <w:t>(Small Mid Cap Value)</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0.75% - next $10 million</w:t>
      </w:r>
    </w:p>
    <w:p w14:paraId="5C5F081B" w14:textId="1ACE02BE" w:rsidR="00E91C7F" w:rsidRPr="009565BB" w:rsidRDefault="00E91C7F" w:rsidP="00E91C7F">
      <w:pPr>
        <w:pStyle w:val="NoSpacing"/>
        <w:ind w:left="720" w:hanging="1350"/>
        <w:rPr>
          <w:rFonts w:ascii="Times New Roman" w:hAnsi="Times New Roman"/>
        </w:rPr>
      </w:pP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0.50% - balance</w:t>
      </w:r>
    </w:p>
    <w:p w14:paraId="1C1FDC74" w14:textId="77777777" w:rsidR="00E91C7F" w:rsidRPr="009565BB" w:rsidRDefault="00E91C7F" w:rsidP="00E91C7F">
      <w:pPr>
        <w:pStyle w:val="NoSpacing"/>
        <w:rPr>
          <w:rFonts w:ascii="Times New Roman" w:hAnsi="Times New Roman"/>
        </w:rPr>
      </w:pPr>
    </w:p>
    <w:p w14:paraId="0D591267" w14:textId="77777777" w:rsidR="00E91C7F" w:rsidRPr="009565BB" w:rsidRDefault="00E91C7F" w:rsidP="00E91C7F">
      <w:pPr>
        <w:pStyle w:val="NoSpacing"/>
        <w:ind w:left="720" w:hanging="720"/>
        <w:rPr>
          <w:rFonts w:ascii="Times New Roman" w:hAnsi="Times New Roman"/>
          <w:u w:val="single"/>
        </w:rPr>
      </w:pPr>
      <w:r w:rsidRPr="009565BB">
        <w:rPr>
          <w:rFonts w:ascii="Times New Roman" w:hAnsi="Times New Roman"/>
          <w:u w:val="single"/>
        </w:rPr>
        <w:t>Real Estate Investment Trust</w:t>
      </w:r>
    </w:p>
    <w:p w14:paraId="2D23BF1A" w14:textId="77777777" w:rsidR="00E91C7F" w:rsidRPr="009565BB" w:rsidRDefault="00E91C7F" w:rsidP="00E91C7F">
      <w:pPr>
        <w:pStyle w:val="NoSpacing"/>
        <w:ind w:left="720" w:hanging="720"/>
        <w:rPr>
          <w:rFonts w:ascii="Times New Roman" w:hAnsi="Times New Roman"/>
        </w:rPr>
      </w:pPr>
      <w:r w:rsidRPr="009565BB">
        <w:rPr>
          <w:rFonts w:ascii="Times New Roman" w:hAnsi="Times New Roman"/>
        </w:rPr>
        <w:t>Vanguard</w:t>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r>
      <w:r w:rsidRPr="009565BB">
        <w:rPr>
          <w:rFonts w:ascii="Times New Roman" w:hAnsi="Times New Roman"/>
        </w:rPr>
        <w:tab/>
        <w:t>0.09% flat fee</w:t>
      </w:r>
    </w:p>
    <w:p w14:paraId="4F671F70" w14:textId="77777777" w:rsidR="00E91C7F" w:rsidRPr="009565BB" w:rsidRDefault="00E91C7F" w:rsidP="00E91C7F">
      <w:pPr>
        <w:pStyle w:val="NoSpacing"/>
        <w:ind w:left="720" w:hanging="720"/>
        <w:rPr>
          <w:rFonts w:ascii="Times New Roman" w:hAnsi="Times New Roman"/>
        </w:rPr>
      </w:pPr>
      <w:r w:rsidRPr="009565BB">
        <w:rPr>
          <w:rFonts w:ascii="Times New Roman" w:hAnsi="Times New Roman"/>
        </w:rPr>
        <w:t>(Real Estate Investment Trust Index Fund)</w:t>
      </w:r>
    </w:p>
    <w:p w14:paraId="422DE11B" w14:textId="77777777" w:rsidR="00E91C7F" w:rsidRPr="009565BB" w:rsidRDefault="00E91C7F" w:rsidP="00E91C7F">
      <w:pPr>
        <w:pStyle w:val="NoSpacing"/>
        <w:ind w:left="720" w:hanging="1350"/>
        <w:rPr>
          <w:rFonts w:ascii="Times New Roman" w:hAnsi="Times New Roman"/>
        </w:rPr>
      </w:pPr>
      <w:r w:rsidRPr="009565BB">
        <w:rPr>
          <w:rFonts w:ascii="Times New Roman" w:hAnsi="Times New Roman"/>
        </w:rPr>
        <w:tab/>
      </w:r>
    </w:p>
    <w:p w14:paraId="7521A558" w14:textId="77777777" w:rsidR="00E91C7F" w:rsidRDefault="00E91C7F" w:rsidP="00E91C7F">
      <w:pPr>
        <w:pStyle w:val="NoSpacing"/>
        <w:ind w:left="720" w:hanging="1350"/>
      </w:pPr>
    </w:p>
    <w:p w14:paraId="26D10753" w14:textId="77777777" w:rsidR="00E91C7F" w:rsidRDefault="00E91C7F" w:rsidP="00E91C7F">
      <w:pPr>
        <w:pStyle w:val="NoSpacing"/>
        <w:ind w:left="720" w:hanging="1350"/>
      </w:pPr>
    </w:p>
    <w:p w14:paraId="3C12B36D" w14:textId="77777777" w:rsidR="00E91C7F" w:rsidRDefault="00E91C7F" w:rsidP="00E91C7F">
      <w:pPr>
        <w:pStyle w:val="NoSpacing"/>
        <w:ind w:left="720" w:hanging="1350"/>
      </w:pPr>
    </w:p>
    <w:p w14:paraId="347A1FE2" w14:textId="77777777" w:rsidR="00E91C7F" w:rsidRDefault="00E91C7F" w:rsidP="00E91C7F">
      <w:pPr>
        <w:pStyle w:val="NoSpacing"/>
        <w:ind w:left="720" w:hanging="1350"/>
      </w:pPr>
    </w:p>
    <w:p w14:paraId="4C25FF49" w14:textId="77777777" w:rsidR="00E91C7F" w:rsidRDefault="00E91C7F" w:rsidP="00E91C7F">
      <w:pPr>
        <w:pStyle w:val="NoSpacing"/>
        <w:ind w:left="720" w:hanging="1350"/>
      </w:pPr>
    </w:p>
    <w:p w14:paraId="68BF79B8" w14:textId="77777777" w:rsidR="00E91C7F" w:rsidRDefault="00E91C7F" w:rsidP="00E91C7F">
      <w:pPr>
        <w:pStyle w:val="NoSpacing"/>
        <w:ind w:left="720" w:hanging="1350"/>
      </w:pPr>
    </w:p>
    <w:p w14:paraId="14AD7EC2" w14:textId="77777777" w:rsidR="00E91C7F" w:rsidRDefault="00E91C7F" w:rsidP="00E91C7F">
      <w:pPr>
        <w:pStyle w:val="Heading1"/>
        <w:spacing w:before="0" w:after="0"/>
        <w:rPr>
          <w:sz w:val="28"/>
          <w:szCs w:val="28"/>
        </w:rPr>
      </w:pPr>
      <w:r>
        <w:rPr>
          <w:b w:val="0"/>
          <w:bCs w:val="0"/>
          <w:sz w:val="28"/>
          <w:szCs w:val="28"/>
        </w:rPr>
        <w:br w:type="page"/>
      </w:r>
    </w:p>
    <w:p w14:paraId="5EE49611" w14:textId="77777777" w:rsidR="00E91C7F" w:rsidRPr="00591E16" w:rsidRDefault="00E91C7F" w:rsidP="00E91C7F">
      <w:pPr>
        <w:pStyle w:val="Heading1"/>
        <w:spacing w:before="0" w:after="0"/>
        <w:jc w:val="center"/>
        <w:rPr>
          <w:rFonts w:ascii="Times New Roman" w:hAnsi="Times New Roman"/>
          <w:sz w:val="28"/>
          <w:szCs w:val="28"/>
        </w:rPr>
      </w:pPr>
      <w:r w:rsidRPr="00591E16">
        <w:rPr>
          <w:rFonts w:ascii="Times New Roman" w:hAnsi="Times New Roman"/>
          <w:sz w:val="28"/>
          <w:szCs w:val="28"/>
        </w:rPr>
        <w:lastRenderedPageBreak/>
        <w:t>University of Illinois System</w:t>
      </w:r>
    </w:p>
    <w:p w14:paraId="025DEFDC" w14:textId="77777777" w:rsidR="00E91C7F" w:rsidRPr="00591E16" w:rsidRDefault="00E91C7F" w:rsidP="00E91C7F">
      <w:pPr>
        <w:pStyle w:val="Heading1"/>
        <w:jc w:val="center"/>
        <w:rPr>
          <w:rFonts w:ascii="Times New Roman" w:hAnsi="Times New Roman"/>
          <w:sz w:val="28"/>
          <w:szCs w:val="28"/>
        </w:rPr>
      </w:pPr>
      <w:r w:rsidRPr="00591E16">
        <w:rPr>
          <w:rFonts w:ascii="Times New Roman" w:hAnsi="Times New Roman"/>
          <w:sz w:val="28"/>
          <w:szCs w:val="28"/>
        </w:rPr>
        <w:t>Investment Fee Schedule – Alternative Investments</w:t>
      </w:r>
    </w:p>
    <w:p w14:paraId="68C76AB0" w14:textId="77777777" w:rsidR="00E91C7F" w:rsidRPr="00591E16" w:rsidRDefault="00E91C7F" w:rsidP="00E91C7F">
      <w:pPr>
        <w:rPr>
          <w:rFonts w:ascii="Times New Roman" w:hAnsi="Times New Roman" w:cs="Times New Roman"/>
        </w:rPr>
      </w:pPr>
    </w:p>
    <w:p w14:paraId="4554E2BE" w14:textId="77777777" w:rsidR="00E91C7F" w:rsidRPr="00591E16" w:rsidRDefault="00E91C7F" w:rsidP="00E91C7F">
      <w:pPr>
        <w:rPr>
          <w:rFonts w:ascii="Times New Roman" w:hAnsi="Times New Roman" w:cs="Times New Roman"/>
        </w:rPr>
      </w:pPr>
      <w:r w:rsidRPr="00591E16">
        <w:rPr>
          <w:rFonts w:ascii="Times New Roman" w:hAnsi="Times New Roman" w:cs="Times New Roman"/>
          <w:b/>
        </w:rPr>
        <w:t>Firm</w:t>
      </w:r>
      <w:r w:rsidRPr="00591E16">
        <w:rPr>
          <w:rFonts w:ascii="Times New Roman" w:hAnsi="Times New Roman" w:cs="Times New Roman"/>
          <w:b/>
        </w:rPr>
        <w:tab/>
      </w:r>
      <w:r w:rsidRPr="00591E16">
        <w:rPr>
          <w:rFonts w:ascii="Times New Roman" w:hAnsi="Times New Roman" w:cs="Times New Roman"/>
        </w:rPr>
        <w:tab/>
      </w:r>
      <w:r w:rsidRPr="00591E16">
        <w:rPr>
          <w:rFonts w:ascii="Times New Roman" w:hAnsi="Times New Roman" w:cs="Times New Roman"/>
        </w:rPr>
        <w:tab/>
      </w:r>
      <w:r w:rsidRPr="00591E16">
        <w:rPr>
          <w:rFonts w:ascii="Times New Roman" w:hAnsi="Times New Roman" w:cs="Times New Roman"/>
        </w:rPr>
        <w:tab/>
      </w:r>
      <w:r w:rsidRPr="00591E16">
        <w:rPr>
          <w:rFonts w:ascii="Times New Roman" w:hAnsi="Times New Roman" w:cs="Times New Roman"/>
        </w:rPr>
        <w:tab/>
      </w:r>
      <w:r w:rsidRPr="00591E16">
        <w:rPr>
          <w:rFonts w:ascii="Times New Roman" w:hAnsi="Times New Roman" w:cs="Times New Roman"/>
        </w:rPr>
        <w:tab/>
      </w:r>
      <w:r w:rsidRPr="00591E16">
        <w:rPr>
          <w:rFonts w:ascii="Times New Roman" w:hAnsi="Times New Roman" w:cs="Times New Roman"/>
        </w:rPr>
        <w:tab/>
      </w:r>
      <w:r w:rsidRPr="00591E16">
        <w:rPr>
          <w:rFonts w:ascii="Times New Roman" w:hAnsi="Times New Roman" w:cs="Times New Roman"/>
          <w:b/>
        </w:rPr>
        <w:t>Terms</w:t>
      </w:r>
    </w:p>
    <w:p w14:paraId="648B66B7" w14:textId="73980466" w:rsidR="00E91C7F" w:rsidRPr="00591E16" w:rsidRDefault="00E91C7F" w:rsidP="00E91C7F">
      <w:pPr>
        <w:pStyle w:val="NoSpacing"/>
        <w:rPr>
          <w:rFonts w:ascii="Times New Roman" w:hAnsi="Times New Roman"/>
        </w:rPr>
      </w:pPr>
      <w:r w:rsidRPr="00591E16">
        <w:rPr>
          <w:rFonts w:ascii="Times New Roman" w:hAnsi="Times New Roman"/>
          <w:u w:val="single"/>
        </w:rPr>
        <w:t xml:space="preserve">Private </w:t>
      </w:r>
      <w:r w:rsidR="009C69BA">
        <w:rPr>
          <w:rFonts w:ascii="Times New Roman" w:hAnsi="Times New Roman"/>
          <w:u w:val="single"/>
        </w:rPr>
        <w:t>Equity</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u w:val="single"/>
        </w:rPr>
        <w:t>Management Fee</w:t>
      </w:r>
      <w:r w:rsidRPr="00591E16">
        <w:rPr>
          <w:rFonts w:ascii="Times New Roman" w:hAnsi="Times New Roman"/>
        </w:rPr>
        <w:tab/>
      </w:r>
      <w:r w:rsidRPr="00591E16">
        <w:rPr>
          <w:rFonts w:ascii="Times New Roman" w:hAnsi="Times New Roman"/>
        </w:rPr>
        <w:tab/>
      </w:r>
      <w:r w:rsidRPr="00591E16">
        <w:rPr>
          <w:rFonts w:ascii="Times New Roman" w:hAnsi="Times New Roman"/>
          <w:u w:val="single"/>
        </w:rPr>
        <w:t>Carried Interest</w:t>
      </w:r>
    </w:p>
    <w:p w14:paraId="52F07690" w14:textId="77777777" w:rsidR="00E91C7F" w:rsidRPr="00591E16" w:rsidRDefault="00E91C7F" w:rsidP="00E91C7F">
      <w:pPr>
        <w:pStyle w:val="NoSpacing"/>
        <w:ind w:hanging="630"/>
        <w:rPr>
          <w:rFonts w:ascii="Times New Roman" w:hAnsi="Times New Roman"/>
        </w:rPr>
      </w:pP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p>
    <w:p w14:paraId="6E01445B" w14:textId="77777777" w:rsidR="00E91C7F" w:rsidRPr="00591E16" w:rsidRDefault="00E91C7F" w:rsidP="00E91C7F">
      <w:pPr>
        <w:pStyle w:val="NoSpacing"/>
        <w:rPr>
          <w:rFonts w:ascii="Times New Roman" w:hAnsi="Times New Roman"/>
        </w:rPr>
      </w:pPr>
      <w:r w:rsidRPr="00591E16">
        <w:rPr>
          <w:rFonts w:ascii="Times New Roman" w:hAnsi="Times New Roman"/>
        </w:rPr>
        <w:t>Adams Street Partners</w:t>
      </w:r>
    </w:p>
    <w:p w14:paraId="41A8534A" w14:textId="77777777"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2004 U.S.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0.00%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71901E03" w14:textId="77777777"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2004 Non-U.S.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0.00%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40DC5B04" w14:textId="77777777" w:rsidR="00E91C7F" w:rsidRPr="00591E16" w:rsidRDefault="00E91C7F" w:rsidP="00E91C7F">
      <w:pPr>
        <w:pStyle w:val="NoSpacing"/>
        <w:ind w:left="720" w:hanging="1350"/>
        <w:rPr>
          <w:rFonts w:ascii="Times New Roman" w:hAnsi="Times New Roman"/>
        </w:rPr>
      </w:pPr>
    </w:p>
    <w:p w14:paraId="609C8117" w14:textId="25678027"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2006 U.S.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B663FF">
        <w:rPr>
          <w:rFonts w:ascii="Times New Roman" w:hAnsi="Times New Roman"/>
        </w:rPr>
        <w:t>0</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6F114AFC" w14:textId="7D5AFBAA"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2006 Non-U.S.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B663FF">
        <w:rPr>
          <w:rFonts w:ascii="Times New Roman" w:hAnsi="Times New Roman"/>
        </w:rPr>
        <w:t>0</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05769A84" w14:textId="77777777"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2006 Direct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0.00%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w:t>
      </w:r>
    </w:p>
    <w:p w14:paraId="32125BE6" w14:textId="77777777" w:rsidR="00E91C7F" w:rsidRPr="00591E16" w:rsidRDefault="00E91C7F" w:rsidP="00E91C7F">
      <w:pPr>
        <w:pStyle w:val="NoSpacing"/>
        <w:ind w:left="720" w:hanging="1350"/>
        <w:rPr>
          <w:rFonts w:ascii="Times New Roman" w:hAnsi="Times New Roman"/>
        </w:rPr>
      </w:pPr>
    </w:p>
    <w:p w14:paraId="055C44E6" w14:textId="4F501855"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2007 U.S.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0</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3FCBE3D4" w14:textId="0ECBA099"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2007 Non-U.S.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0</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0BEFFF4E" w14:textId="141DCBAB"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2007 Direct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0</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w:t>
      </w:r>
    </w:p>
    <w:p w14:paraId="11220B29" w14:textId="77777777" w:rsidR="00E91C7F" w:rsidRPr="00591E16" w:rsidRDefault="00E91C7F" w:rsidP="00E91C7F">
      <w:pPr>
        <w:pStyle w:val="NoSpacing"/>
        <w:ind w:left="720" w:hanging="1350"/>
        <w:rPr>
          <w:rFonts w:ascii="Times New Roman" w:hAnsi="Times New Roman"/>
        </w:rPr>
      </w:pPr>
    </w:p>
    <w:p w14:paraId="6212E3BB" w14:textId="6757ACBE"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2008 U.S.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1</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09B773D9" w14:textId="524AAB1D"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2008 Non-U.S.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1</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5DE4096C" w14:textId="27BEAE09"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2008 Direct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00</w:t>
      </w:r>
      <w:r w:rsidRPr="00591E16">
        <w:rPr>
          <w:rFonts w:ascii="Times New Roman" w:hAnsi="Times New Roman"/>
        </w:rPr>
        <w:t>%</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w:t>
      </w:r>
    </w:p>
    <w:p w14:paraId="104A59EA" w14:textId="77777777" w:rsidR="00E91C7F" w:rsidRPr="00591E16" w:rsidRDefault="00E91C7F" w:rsidP="00E91C7F">
      <w:pPr>
        <w:pStyle w:val="NoSpacing"/>
        <w:ind w:left="720" w:hanging="1350"/>
        <w:rPr>
          <w:rFonts w:ascii="Times New Roman" w:hAnsi="Times New Roman"/>
        </w:rPr>
      </w:pPr>
    </w:p>
    <w:p w14:paraId="0F682C25" w14:textId="5485B08C"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2009 U.S.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2</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2A723B85" w14:textId="5B9FFAE5"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2009 Non-U.S. Developed Fund</w:t>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2</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7B621A01" w14:textId="126E97A7"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2009 Non-U.S. Emerging Markets Fund</w:t>
      </w:r>
      <w:r w:rsidRPr="00591E16">
        <w:rPr>
          <w:rFonts w:ascii="Times New Roman" w:hAnsi="Times New Roman"/>
        </w:rPr>
        <w:tab/>
      </w:r>
      <w:r w:rsidRPr="00591E16">
        <w:rPr>
          <w:rFonts w:ascii="Times New Roman" w:hAnsi="Times New Roman"/>
        </w:rPr>
        <w:tab/>
        <w:t>0.</w:t>
      </w:r>
      <w:r w:rsidR="00E13DB8">
        <w:rPr>
          <w:rFonts w:ascii="Times New Roman" w:hAnsi="Times New Roman"/>
        </w:rPr>
        <w:t>2</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7D8C9D82" w14:textId="59CF114F"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2009 Direct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1</w:t>
      </w:r>
      <w:r w:rsidRPr="00591E16">
        <w:rPr>
          <w:rFonts w:ascii="Times New Roman" w:hAnsi="Times New Roman"/>
        </w:rPr>
        <w:t>9%</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w:t>
      </w:r>
    </w:p>
    <w:p w14:paraId="16837BE4" w14:textId="77777777" w:rsidR="00E91C7F" w:rsidRPr="00591E16" w:rsidRDefault="00E91C7F" w:rsidP="00E91C7F">
      <w:pPr>
        <w:pStyle w:val="NoSpacing"/>
        <w:ind w:left="720" w:hanging="1350"/>
        <w:rPr>
          <w:rFonts w:ascii="Times New Roman" w:hAnsi="Times New Roman"/>
        </w:rPr>
      </w:pPr>
    </w:p>
    <w:p w14:paraId="4D349073" w14:textId="382DF3DE"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2010 U.S.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3</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74967593" w14:textId="284B0408"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2010 Non-U.S. Developed Fund</w:t>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3</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4B297486" w14:textId="057E75B8"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2010 Non-U.S. Emerging Markets Fund</w:t>
      </w:r>
      <w:r w:rsidRPr="00591E16">
        <w:rPr>
          <w:rFonts w:ascii="Times New Roman" w:hAnsi="Times New Roman"/>
        </w:rPr>
        <w:tab/>
      </w:r>
      <w:r w:rsidRPr="00591E16">
        <w:rPr>
          <w:rFonts w:ascii="Times New Roman" w:hAnsi="Times New Roman"/>
        </w:rPr>
        <w:tab/>
        <w:t>0.</w:t>
      </w:r>
      <w:r w:rsidR="00E13DB8">
        <w:rPr>
          <w:rFonts w:ascii="Times New Roman" w:hAnsi="Times New Roman"/>
        </w:rPr>
        <w:t>3</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106816B8" w14:textId="69F4B007"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2010 Direct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3</w:t>
      </w:r>
      <w:r w:rsidRPr="00591E16">
        <w:rPr>
          <w:rFonts w:ascii="Times New Roman" w:hAnsi="Times New Roman"/>
        </w:rPr>
        <w:t>9%</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w:t>
      </w:r>
    </w:p>
    <w:p w14:paraId="043C42C0" w14:textId="77777777" w:rsidR="00E91C7F" w:rsidRPr="00591E16" w:rsidRDefault="00E91C7F" w:rsidP="00E91C7F">
      <w:pPr>
        <w:pStyle w:val="NoSpacing"/>
        <w:ind w:left="720" w:hanging="1350"/>
        <w:rPr>
          <w:rFonts w:ascii="Times New Roman" w:hAnsi="Times New Roman"/>
        </w:rPr>
      </w:pPr>
    </w:p>
    <w:p w14:paraId="16D9722E" w14:textId="2BBE0133"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2011 U.S.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4</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2EFE0B8E" w14:textId="56E51C95"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2011 Non-U.S. Developed Fund</w:t>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4</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630E0CF1" w14:textId="7541793A"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2011 Non-U.S. Emerging Markets Fund</w:t>
      </w:r>
      <w:r w:rsidRPr="00591E16">
        <w:rPr>
          <w:rFonts w:ascii="Times New Roman" w:hAnsi="Times New Roman"/>
        </w:rPr>
        <w:tab/>
      </w:r>
      <w:r w:rsidRPr="00591E16">
        <w:rPr>
          <w:rFonts w:ascii="Times New Roman" w:hAnsi="Times New Roman"/>
        </w:rPr>
        <w:tab/>
        <w:t>0.</w:t>
      </w:r>
      <w:r w:rsidR="00E13DB8">
        <w:rPr>
          <w:rFonts w:ascii="Times New Roman" w:hAnsi="Times New Roman"/>
        </w:rPr>
        <w:t>4</w:t>
      </w:r>
      <w:r w:rsidRPr="00591E16">
        <w:rPr>
          <w:rFonts w:ascii="Times New Roman" w:hAnsi="Times New Roman"/>
        </w:rPr>
        <w:t>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on Secondary</w:t>
      </w:r>
    </w:p>
    <w:p w14:paraId="2D1368E5" w14:textId="54BFC26C" w:rsidR="00E91C7F" w:rsidRPr="00591E16" w:rsidRDefault="00E91C7F" w:rsidP="00E91C7F">
      <w:pPr>
        <w:pStyle w:val="NoSpacing"/>
        <w:ind w:left="720" w:hanging="720"/>
        <w:rPr>
          <w:rFonts w:ascii="Times New Roman" w:hAnsi="Times New Roman"/>
        </w:rPr>
      </w:pPr>
      <w:r w:rsidRPr="00591E16">
        <w:rPr>
          <w:rFonts w:ascii="Times New Roman" w:hAnsi="Times New Roman"/>
        </w:rPr>
        <w:t>ASP 2011 Direct Fund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5</w:t>
      </w:r>
      <w:r w:rsidRPr="00591E16">
        <w:rPr>
          <w:rFonts w:ascii="Times New Roman" w:hAnsi="Times New Roman"/>
        </w:rPr>
        <w:t>9%</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 xml:space="preserve">20% </w:t>
      </w:r>
    </w:p>
    <w:p w14:paraId="5CABEFE2" w14:textId="77777777" w:rsidR="00E91C7F" w:rsidRPr="00591E16" w:rsidRDefault="00E91C7F" w:rsidP="00E91C7F">
      <w:pPr>
        <w:pStyle w:val="NoSpacing"/>
        <w:ind w:left="720" w:hanging="1350"/>
        <w:rPr>
          <w:rFonts w:ascii="Times New Roman" w:hAnsi="Times New Roman"/>
        </w:rPr>
      </w:pPr>
    </w:p>
    <w:p w14:paraId="4B1E9102" w14:textId="3BCB2E54" w:rsidR="00E91C7F" w:rsidRPr="00591E16" w:rsidRDefault="00E91C7F" w:rsidP="00E91C7F">
      <w:pPr>
        <w:pStyle w:val="NoSpacing"/>
        <w:ind w:left="4320" w:hanging="4320"/>
        <w:rPr>
          <w:rFonts w:ascii="Times New Roman" w:hAnsi="Times New Roman"/>
        </w:rPr>
      </w:pPr>
      <w:r w:rsidRPr="00591E16">
        <w:rPr>
          <w:rFonts w:ascii="Times New Roman" w:hAnsi="Times New Roman"/>
        </w:rPr>
        <w:t>ASP 2013 Global Fund</w:t>
      </w:r>
      <w:r w:rsidRPr="00591E16">
        <w:rPr>
          <w:rFonts w:ascii="Times New Roman" w:hAnsi="Times New Roman"/>
        </w:rPr>
        <w:tab/>
      </w:r>
      <w:r w:rsidRPr="00591E16">
        <w:rPr>
          <w:rFonts w:ascii="Times New Roman" w:hAnsi="Times New Roman"/>
        </w:rPr>
        <w:tab/>
        <w:t>0.</w:t>
      </w:r>
      <w:r w:rsidR="00E13DB8">
        <w:rPr>
          <w:rFonts w:ascii="Times New Roman" w:hAnsi="Times New Roman"/>
        </w:rPr>
        <w:t>64</w:t>
      </w:r>
      <w:r w:rsidRPr="00591E16">
        <w:rPr>
          <w:rFonts w:ascii="Times New Roman" w:hAnsi="Times New Roman"/>
        </w:rPr>
        <w:t>%</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 xml:space="preserve">10% - Secondary &amp; Co-           </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Investment, 20% Direct</w:t>
      </w:r>
    </w:p>
    <w:p w14:paraId="6EADE6BF" w14:textId="77777777" w:rsidR="00E91C7F" w:rsidRPr="00591E16" w:rsidRDefault="00E91C7F" w:rsidP="00E91C7F">
      <w:pPr>
        <w:pStyle w:val="NoSpacing"/>
        <w:ind w:left="720" w:hanging="1350"/>
        <w:rPr>
          <w:rFonts w:ascii="Times New Roman" w:hAnsi="Times New Roman"/>
        </w:rPr>
      </w:pPr>
    </w:p>
    <w:p w14:paraId="207A123E" w14:textId="7C89E45A" w:rsidR="00E91C7F" w:rsidRDefault="00E91C7F" w:rsidP="00E91C7F">
      <w:pPr>
        <w:pStyle w:val="NoSpacing"/>
        <w:ind w:left="1440" w:hanging="1620"/>
        <w:rPr>
          <w:rFonts w:ascii="Times New Roman" w:hAnsi="Times New Roman"/>
        </w:rPr>
      </w:pPr>
      <w:r w:rsidRPr="00591E16">
        <w:rPr>
          <w:rFonts w:ascii="Times New Roman" w:hAnsi="Times New Roman"/>
        </w:rPr>
        <w:t>ASP Co-Investment Fund III</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w:t>
      </w:r>
      <w:r w:rsidR="00E13DB8">
        <w:rPr>
          <w:rFonts w:ascii="Times New Roman" w:hAnsi="Times New Roman"/>
        </w:rPr>
        <w:t>6</w:t>
      </w:r>
      <w:r w:rsidRPr="00591E16">
        <w:rPr>
          <w:rFonts w:ascii="Times New Roman" w:hAnsi="Times New Roman"/>
        </w:rPr>
        <w:t>3%</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 xml:space="preserve">10% </w:t>
      </w:r>
    </w:p>
    <w:p w14:paraId="1597BD3D" w14:textId="77777777" w:rsidR="00151527" w:rsidRPr="00591E16" w:rsidRDefault="00151527" w:rsidP="00E91C7F">
      <w:pPr>
        <w:pStyle w:val="NoSpacing"/>
        <w:ind w:left="1440" w:hanging="1620"/>
        <w:rPr>
          <w:rFonts w:ascii="Times New Roman" w:hAnsi="Times New Roman"/>
        </w:rPr>
      </w:pPr>
    </w:p>
    <w:p w14:paraId="061A9AE3" w14:textId="77777777" w:rsidR="00E91C7F" w:rsidRPr="00591E16" w:rsidRDefault="00E91C7F" w:rsidP="00E91C7F">
      <w:pPr>
        <w:pStyle w:val="NoSpacing"/>
        <w:numPr>
          <w:ilvl w:val="0"/>
          <w:numId w:val="25"/>
        </w:numPr>
        <w:ind w:left="-180" w:hanging="450"/>
        <w:rPr>
          <w:rFonts w:ascii="Times New Roman" w:hAnsi="Times New Roman"/>
          <w:sz w:val="18"/>
          <w:szCs w:val="18"/>
        </w:rPr>
      </w:pPr>
      <w:r w:rsidRPr="00591E16">
        <w:rPr>
          <w:rFonts w:ascii="Times New Roman" w:hAnsi="Times New Roman"/>
          <w:sz w:val="18"/>
          <w:szCs w:val="18"/>
        </w:rPr>
        <w:t xml:space="preserve">Fee Tail Down:  Fees above reflect reduction to 90% of the management fee in year eight of a subscription, 80% in year nine, 70% in year ten, etc. The tail down begins in year seven for direct funds. </w:t>
      </w:r>
    </w:p>
    <w:p w14:paraId="68A842F4" w14:textId="77777777" w:rsidR="00591E16" w:rsidRDefault="00591E16">
      <w:pPr>
        <w:rPr>
          <w:rFonts w:ascii="Times New Roman" w:eastAsia="Times New Roman" w:hAnsi="Times New Roman" w:cs="Times New Roman"/>
          <w:b/>
          <w:bCs/>
          <w:kern w:val="32"/>
          <w:sz w:val="28"/>
          <w:szCs w:val="28"/>
        </w:rPr>
      </w:pPr>
      <w:r>
        <w:rPr>
          <w:rFonts w:ascii="Times New Roman" w:hAnsi="Times New Roman"/>
          <w:sz w:val="28"/>
          <w:szCs w:val="28"/>
        </w:rPr>
        <w:br w:type="page"/>
      </w:r>
    </w:p>
    <w:p w14:paraId="45B49915" w14:textId="4512432F" w:rsidR="00E91C7F" w:rsidRPr="00591E16" w:rsidRDefault="00E91C7F" w:rsidP="00E91C7F">
      <w:pPr>
        <w:pStyle w:val="Heading1"/>
        <w:spacing w:before="0" w:after="0"/>
        <w:jc w:val="center"/>
        <w:rPr>
          <w:rFonts w:ascii="Times New Roman" w:hAnsi="Times New Roman"/>
          <w:sz w:val="28"/>
          <w:szCs w:val="28"/>
        </w:rPr>
      </w:pPr>
      <w:r w:rsidRPr="00591E16">
        <w:rPr>
          <w:rFonts w:ascii="Times New Roman" w:hAnsi="Times New Roman"/>
          <w:sz w:val="28"/>
          <w:szCs w:val="28"/>
        </w:rPr>
        <w:lastRenderedPageBreak/>
        <w:t>University of Illinois System</w:t>
      </w:r>
    </w:p>
    <w:p w14:paraId="3C619152" w14:textId="77777777" w:rsidR="00E91C7F" w:rsidRPr="00591E16" w:rsidRDefault="00E91C7F" w:rsidP="00E91C7F">
      <w:pPr>
        <w:pStyle w:val="Heading1"/>
        <w:jc w:val="center"/>
        <w:rPr>
          <w:rFonts w:ascii="Times New Roman" w:hAnsi="Times New Roman"/>
          <w:sz w:val="28"/>
          <w:szCs w:val="28"/>
        </w:rPr>
      </w:pPr>
      <w:r w:rsidRPr="00591E16">
        <w:rPr>
          <w:rFonts w:ascii="Times New Roman" w:hAnsi="Times New Roman"/>
          <w:sz w:val="28"/>
          <w:szCs w:val="28"/>
        </w:rPr>
        <w:t>Investment Fee Schedule – Alternative Investments</w:t>
      </w:r>
    </w:p>
    <w:p w14:paraId="0610D6B3" w14:textId="77777777" w:rsidR="00E91C7F" w:rsidRPr="00591E16" w:rsidRDefault="00E91C7F" w:rsidP="00E91C7F">
      <w:pPr>
        <w:rPr>
          <w:rFonts w:ascii="Times New Roman" w:hAnsi="Times New Roman" w:cs="Times New Roman"/>
        </w:rPr>
      </w:pPr>
    </w:p>
    <w:p w14:paraId="4F0957AF" w14:textId="77777777" w:rsidR="00E91C7F" w:rsidRPr="00591E16" w:rsidRDefault="00E91C7F" w:rsidP="00E91C7F">
      <w:pPr>
        <w:rPr>
          <w:rFonts w:ascii="Times New Roman" w:hAnsi="Times New Roman" w:cs="Times New Roman"/>
        </w:rPr>
      </w:pPr>
      <w:r w:rsidRPr="00591E16">
        <w:rPr>
          <w:rFonts w:ascii="Times New Roman" w:hAnsi="Times New Roman" w:cs="Times New Roman"/>
          <w:b/>
        </w:rPr>
        <w:t>Firm</w:t>
      </w:r>
      <w:r w:rsidRPr="00591E16">
        <w:rPr>
          <w:rFonts w:ascii="Times New Roman" w:hAnsi="Times New Roman" w:cs="Times New Roman"/>
          <w:b/>
        </w:rPr>
        <w:tab/>
      </w:r>
      <w:r w:rsidRPr="00591E16">
        <w:rPr>
          <w:rFonts w:ascii="Times New Roman" w:hAnsi="Times New Roman" w:cs="Times New Roman"/>
        </w:rPr>
        <w:tab/>
      </w:r>
      <w:r w:rsidRPr="00591E16">
        <w:rPr>
          <w:rFonts w:ascii="Times New Roman" w:hAnsi="Times New Roman" w:cs="Times New Roman"/>
        </w:rPr>
        <w:tab/>
      </w:r>
      <w:r w:rsidRPr="00591E16">
        <w:rPr>
          <w:rFonts w:ascii="Times New Roman" w:hAnsi="Times New Roman" w:cs="Times New Roman"/>
        </w:rPr>
        <w:tab/>
      </w:r>
      <w:r w:rsidRPr="00591E16">
        <w:rPr>
          <w:rFonts w:ascii="Times New Roman" w:hAnsi="Times New Roman" w:cs="Times New Roman"/>
        </w:rPr>
        <w:tab/>
      </w:r>
      <w:r w:rsidRPr="00591E16">
        <w:rPr>
          <w:rFonts w:ascii="Times New Roman" w:hAnsi="Times New Roman" w:cs="Times New Roman"/>
        </w:rPr>
        <w:tab/>
      </w:r>
      <w:r w:rsidRPr="00591E16">
        <w:rPr>
          <w:rFonts w:ascii="Times New Roman" w:hAnsi="Times New Roman" w:cs="Times New Roman"/>
        </w:rPr>
        <w:tab/>
      </w:r>
      <w:r w:rsidRPr="00591E16">
        <w:rPr>
          <w:rFonts w:ascii="Times New Roman" w:hAnsi="Times New Roman" w:cs="Times New Roman"/>
          <w:b/>
        </w:rPr>
        <w:t>Terms</w:t>
      </w:r>
    </w:p>
    <w:p w14:paraId="3475B96E" w14:textId="62403B01" w:rsidR="00E91C7F" w:rsidRPr="00591E16" w:rsidRDefault="00E91C7F" w:rsidP="00E91C7F">
      <w:pPr>
        <w:pStyle w:val="NoSpacing"/>
        <w:rPr>
          <w:rFonts w:ascii="Times New Roman" w:hAnsi="Times New Roman"/>
        </w:rPr>
      </w:pPr>
      <w:r w:rsidRPr="00591E16">
        <w:rPr>
          <w:rFonts w:ascii="Times New Roman" w:hAnsi="Times New Roman"/>
          <w:u w:val="single"/>
        </w:rPr>
        <w:t xml:space="preserve">Private </w:t>
      </w:r>
      <w:r w:rsidR="00C35665">
        <w:rPr>
          <w:rFonts w:ascii="Times New Roman" w:hAnsi="Times New Roman"/>
          <w:u w:val="single"/>
        </w:rPr>
        <w:t>Equity</w:t>
      </w:r>
      <w:r w:rsidRPr="00591E16">
        <w:rPr>
          <w:rFonts w:ascii="Times New Roman" w:hAnsi="Times New Roman"/>
          <w:u w:val="single"/>
        </w:rPr>
        <w:t xml:space="preserve"> (continued)</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u w:val="single"/>
        </w:rPr>
        <w:t>Management Fee</w:t>
      </w:r>
      <w:r w:rsidRPr="00591E16">
        <w:rPr>
          <w:rFonts w:ascii="Times New Roman" w:hAnsi="Times New Roman"/>
        </w:rPr>
        <w:tab/>
      </w:r>
      <w:r w:rsidRPr="00591E16">
        <w:rPr>
          <w:rFonts w:ascii="Times New Roman" w:hAnsi="Times New Roman"/>
        </w:rPr>
        <w:tab/>
      </w:r>
      <w:r w:rsidRPr="00591E16">
        <w:rPr>
          <w:rFonts w:ascii="Times New Roman" w:hAnsi="Times New Roman"/>
          <w:u w:val="single"/>
        </w:rPr>
        <w:t>Carried Interest</w:t>
      </w:r>
      <w:r w:rsidRPr="00591E16">
        <w:rPr>
          <w:rFonts w:ascii="Times New Roman" w:hAnsi="Times New Roman"/>
        </w:rPr>
        <w:tab/>
      </w:r>
      <w:r w:rsidRPr="00591E16">
        <w:rPr>
          <w:rFonts w:ascii="Times New Roman" w:hAnsi="Times New Roman"/>
        </w:rPr>
        <w:tab/>
      </w:r>
    </w:p>
    <w:p w14:paraId="2357772C" w14:textId="77777777" w:rsidR="00E91C7F" w:rsidRPr="00591E16" w:rsidRDefault="00E91C7F" w:rsidP="00E91C7F">
      <w:pPr>
        <w:pStyle w:val="NoSpacing"/>
        <w:ind w:hanging="630"/>
        <w:rPr>
          <w:rFonts w:ascii="Times New Roman" w:hAnsi="Times New Roman"/>
        </w:rPr>
      </w:pP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p>
    <w:p w14:paraId="6D838E07" w14:textId="77777777" w:rsidR="00E91C7F" w:rsidRPr="00591E16" w:rsidRDefault="00E91C7F" w:rsidP="00E91C7F">
      <w:pPr>
        <w:pStyle w:val="NoSpacing"/>
        <w:rPr>
          <w:rFonts w:ascii="Times New Roman" w:hAnsi="Times New Roman"/>
        </w:rPr>
      </w:pPr>
      <w:r w:rsidRPr="00591E16">
        <w:rPr>
          <w:rFonts w:ascii="Times New Roman" w:hAnsi="Times New Roman"/>
        </w:rPr>
        <w:t>Clearlake Capital Partners IV</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w:t>
      </w:r>
      <w:r w:rsidRPr="00591E16">
        <w:rPr>
          <w:rFonts w:ascii="Times New Roman" w:hAnsi="Times New Roman"/>
        </w:rPr>
        <w:tab/>
      </w:r>
      <w:r w:rsidRPr="00591E16">
        <w:rPr>
          <w:rFonts w:ascii="Times New Roman" w:hAnsi="Times New Roman"/>
        </w:rPr>
        <w:tab/>
      </w:r>
      <w:r w:rsidRPr="00591E16">
        <w:rPr>
          <w:rFonts w:ascii="Times New Roman" w:hAnsi="Times New Roman"/>
        </w:rPr>
        <w:tab/>
        <w:t xml:space="preserve">     </w:t>
      </w:r>
      <w:r w:rsidRPr="00591E16">
        <w:rPr>
          <w:rFonts w:ascii="Times New Roman" w:hAnsi="Times New Roman"/>
        </w:rPr>
        <w:tab/>
        <w:t>20% (8% hurdle rate)</w:t>
      </w:r>
    </w:p>
    <w:p w14:paraId="6AEC817A" w14:textId="77777777" w:rsidR="00E91C7F" w:rsidRPr="00591E16" w:rsidRDefault="00E91C7F" w:rsidP="00E91C7F">
      <w:pPr>
        <w:pStyle w:val="NoSpacing"/>
        <w:ind w:right="-356" w:hanging="630"/>
        <w:rPr>
          <w:rFonts w:ascii="Times New Roman" w:hAnsi="Times New Roman"/>
        </w:rPr>
      </w:pPr>
    </w:p>
    <w:p w14:paraId="0E30048F" w14:textId="77777777" w:rsidR="00E91C7F" w:rsidRPr="00591E16" w:rsidRDefault="00E91C7F" w:rsidP="00E91C7F">
      <w:pPr>
        <w:pStyle w:val="NoSpacing"/>
        <w:rPr>
          <w:rFonts w:ascii="Times New Roman" w:hAnsi="Times New Roman"/>
        </w:rPr>
      </w:pPr>
      <w:r w:rsidRPr="00591E16">
        <w:rPr>
          <w:rFonts w:ascii="Times New Roman" w:hAnsi="Times New Roman"/>
        </w:rPr>
        <w:t xml:space="preserve">Clearlake Opportunities Fund </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1.75%</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 xml:space="preserve">20% (8% hurdle rate) </w:t>
      </w:r>
    </w:p>
    <w:p w14:paraId="632B9054" w14:textId="77777777" w:rsidR="00E91C7F" w:rsidRPr="00591E16" w:rsidRDefault="00E91C7F" w:rsidP="00E91C7F">
      <w:pPr>
        <w:pStyle w:val="NoSpacing"/>
        <w:ind w:hanging="630"/>
        <w:rPr>
          <w:rFonts w:ascii="Times New Roman" w:hAnsi="Times New Roman"/>
        </w:rPr>
      </w:pPr>
    </w:p>
    <w:p w14:paraId="194CD111" w14:textId="77777777" w:rsidR="00E91C7F" w:rsidRPr="00591E16" w:rsidRDefault="00E91C7F" w:rsidP="00E91C7F">
      <w:pPr>
        <w:pStyle w:val="NoSpacing"/>
        <w:rPr>
          <w:rFonts w:ascii="Times New Roman" w:hAnsi="Times New Roman"/>
        </w:rPr>
      </w:pPr>
      <w:r w:rsidRPr="00591E16">
        <w:rPr>
          <w:rFonts w:ascii="Times New Roman" w:hAnsi="Times New Roman"/>
        </w:rPr>
        <w:t>Clearlake Capital Partners V</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1.75%</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 (8% hurdle rate)</w:t>
      </w:r>
    </w:p>
    <w:p w14:paraId="32FD37E4" w14:textId="77777777" w:rsidR="00E91C7F" w:rsidRPr="00591E16" w:rsidRDefault="00E91C7F" w:rsidP="00E91C7F">
      <w:pPr>
        <w:pStyle w:val="NoSpacing"/>
        <w:ind w:hanging="630"/>
        <w:rPr>
          <w:rFonts w:ascii="Times New Roman" w:hAnsi="Times New Roman"/>
        </w:rPr>
      </w:pPr>
    </w:p>
    <w:p w14:paraId="375600F1" w14:textId="6A3DDD9F" w:rsidR="00E91C7F" w:rsidRDefault="00E91C7F" w:rsidP="00E91C7F">
      <w:pPr>
        <w:pStyle w:val="NoSpacing"/>
        <w:rPr>
          <w:rFonts w:ascii="Times New Roman" w:hAnsi="Times New Roman"/>
        </w:rPr>
      </w:pPr>
      <w:r w:rsidRPr="00591E16">
        <w:rPr>
          <w:rFonts w:ascii="Times New Roman" w:hAnsi="Times New Roman"/>
        </w:rPr>
        <w:t>Clearlake Capital Partners VI</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1.75%                                          20% (8% hurdle rate)</w:t>
      </w:r>
    </w:p>
    <w:p w14:paraId="626C1AF0" w14:textId="685264E4" w:rsidR="00E13DB8" w:rsidRDefault="00E13DB8" w:rsidP="00E91C7F">
      <w:pPr>
        <w:pStyle w:val="NoSpacing"/>
        <w:rPr>
          <w:rFonts w:ascii="Times New Roman" w:hAnsi="Times New Roman"/>
        </w:rPr>
      </w:pPr>
    </w:p>
    <w:p w14:paraId="3BF57AC3" w14:textId="5BE84F3E" w:rsidR="00E13DB8" w:rsidRPr="00591E16" w:rsidRDefault="00E13DB8" w:rsidP="00E91C7F">
      <w:pPr>
        <w:pStyle w:val="NoSpacing"/>
        <w:rPr>
          <w:rFonts w:ascii="Times New Roman" w:hAnsi="Times New Roman"/>
        </w:rPr>
      </w:pPr>
      <w:r>
        <w:rPr>
          <w:rFonts w:ascii="Times New Roman" w:hAnsi="Times New Roman"/>
        </w:rPr>
        <w:t>Clearlake Capital Partners VII</w:t>
      </w:r>
      <w:r w:rsidR="00130A9B">
        <w:rPr>
          <w:rFonts w:ascii="Times New Roman" w:hAnsi="Times New Roman"/>
        </w:rPr>
        <w:tab/>
      </w:r>
      <w:r w:rsidR="00130A9B">
        <w:rPr>
          <w:rFonts w:ascii="Times New Roman" w:hAnsi="Times New Roman"/>
        </w:rPr>
        <w:tab/>
      </w:r>
      <w:r w:rsidR="00130A9B">
        <w:rPr>
          <w:rFonts w:ascii="Times New Roman" w:hAnsi="Times New Roman"/>
        </w:rPr>
        <w:tab/>
      </w:r>
      <w:r w:rsidR="00130A9B">
        <w:rPr>
          <w:rFonts w:ascii="Times New Roman" w:hAnsi="Times New Roman"/>
        </w:rPr>
        <w:tab/>
        <w:t>1.70%</w:t>
      </w:r>
      <w:r w:rsidR="00130A9B">
        <w:rPr>
          <w:rFonts w:ascii="Times New Roman" w:hAnsi="Times New Roman"/>
        </w:rPr>
        <w:tab/>
      </w:r>
      <w:r w:rsidR="00130A9B">
        <w:rPr>
          <w:rFonts w:ascii="Times New Roman" w:hAnsi="Times New Roman"/>
        </w:rPr>
        <w:tab/>
      </w:r>
      <w:r w:rsidR="00130A9B">
        <w:rPr>
          <w:rFonts w:ascii="Times New Roman" w:hAnsi="Times New Roman"/>
        </w:rPr>
        <w:tab/>
      </w:r>
      <w:r w:rsidR="00130A9B">
        <w:rPr>
          <w:rFonts w:ascii="Times New Roman" w:hAnsi="Times New Roman"/>
        </w:rPr>
        <w:tab/>
      </w:r>
      <w:r w:rsidR="00130A9B" w:rsidRPr="00591E16">
        <w:rPr>
          <w:rFonts w:ascii="Times New Roman" w:hAnsi="Times New Roman"/>
        </w:rPr>
        <w:t>20% (8% hurdle rate)</w:t>
      </w:r>
    </w:p>
    <w:p w14:paraId="436AED97" w14:textId="7829956A" w:rsidR="003460C3" w:rsidRPr="00591E16" w:rsidRDefault="003460C3" w:rsidP="00E91C7F">
      <w:pPr>
        <w:pStyle w:val="NoSpacing"/>
        <w:rPr>
          <w:rFonts w:ascii="Times New Roman" w:hAnsi="Times New Roman"/>
        </w:rPr>
      </w:pPr>
    </w:p>
    <w:p w14:paraId="6E56025C" w14:textId="04A60AE8" w:rsidR="003460C3" w:rsidRPr="00591E16" w:rsidRDefault="003460C3" w:rsidP="00E91C7F">
      <w:pPr>
        <w:pStyle w:val="NoSpacing"/>
        <w:rPr>
          <w:rFonts w:ascii="Times New Roman" w:hAnsi="Times New Roman"/>
        </w:rPr>
      </w:pPr>
      <w:r w:rsidRPr="00591E16">
        <w:rPr>
          <w:rFonts w:ascii="Times New Roman" w:hAnsi="Times New Roman"/>
        </w:rPr>
        <w:t>Clearlake Flagship Plus</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1.25%</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 (8% hurdle rate)</w:t>
      </w:r>
    </w:p>
    <w:p w14:paraId="796EF297" w14:textId="77777777" w:rsidR="00E91C7F" w:rsidRPr="00591E16" w:rsidRDefault="00E91C7F" w:rsidP="00E91C7F">
      <w:pPr>
        <w:pStyle w:val="NoSpacing"/>
        <w:ind w:hanging="630"/>
        <w:rPr>
          <w:rFonts w:ascii="Times New Roman" w:hAnsi="Times New Roman"/>
        </w:rPr>
      </w:pPr>
    </w:p>
    <w:p w14:paraId="305D9147" w14:textId="54360B6F" w:rsidR="00E91C7F" w:rsidRPr="00591E16" w:rsidRDefault="00E91C7F" w:rsidP="00E91C7F">
      <w:pPr>
        <w:pStyle w:val="NoSpacing"/>
        <w:rPr>
          <w:rFonts w:ascii="Times New Roman" w:hAnsi="Times New Roman"/>
        </w:rPr>
      </w:pPr>
      <w:r w:rsidRPr="00591E16">
        <w:rPr>
          <w:rFonts w:ascii="Times New Roman" w:hAnsi="Times New Roman"/>
        </w:rPr>
        <w:t>Clearlake I</w:t>
      </w:r>
      <w:r w:rsidR="00E13DB8">
        <w:rPr>
          <w:rFonts w:ascii="Times New Roman" w:hAnsi="Times New Roman"/>
        </w:rPr>
        <w:t>con</w:t>
      </w:r>
      <w:r w:rsidRPr="00591E16">
        <w:rPr>
          <w:rFonts w:ascii="Times New Roman" w:hAnsi="Times New Roman"/>
        </w:rPr>
        <w:tab/>
        <w:t xml:space="preserve"> </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 (8% hurdle rate)</w:t>
      </w:r>
    </w:p>
    <w:p w14:paraId="2FB015DE" w14:textId="77777777" w:rsidR="00E91C7F" w:rsidRPr="00591E16" w:rsidRDefault="00E91C7F" w:rsidP="009216DC">
      <w:pPr>
        <w:pStyle w:val="NoSpacing"/>
        <w:rPr>
          <w:rFonts w:ascii="Times New Roman" w:hAnsi="Times New Roman"/>
        </w:rPr>
      </w:pPr>
    </w:p>
    <w:p w14:paraId="016527C8" w14:textId="0DB9E3FB" w:rsidR="00C35665" w:rsidRPr="003207A5" w:rsidRDefault="00C35665" w:rsidP="00C35665">
      <w:pPr>
        <w:pStyle w:val="NoSpacing"/>
        <w:rPr>
          <w:rFonts w:ascii="Times New Roman" w:hAnsi="Times New Roman"/>
        </w:rPr>
      </w:pPr>
      <w:r w:rsidRPr="003207A5">
        <w:rPr>
          <w:rFonts w:ascii="Times New Roman" w:hAnsi="Times New Roman"/>
        </w:rPr>
        <w:t>Clearlake I</w:t>
      </w:r>
      <w:r w:rsidR="00E13DB8">
        <w:rPr>
          <w:rFonts w:ascii="Times New Roman" w:hAnsi="Times New Roman"/>
        </w:rPr>
        <w:t>con</w:t>
      </w:r>
      <w:r w:rsidRPr="003207A5">
        <w:rPr>
          <w:rFonts w:ascii="Times New Roman" w:hAnsi="Times New Roman"/>
        </w:rPr>
        <w:t xml:space="preserve"> II</w:t>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t>1.0%</w:t>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t xml:space="preserve">15%-25% step </w:t>
      </w:r>
      <w:proofErr w:type="gramStart"/>
      <w:r w:rsidRPr="003207A5">
        <w:rPr>
          <w:rFonts w:ascii="Times New Roman" w:hAnsi="Times New Roman"/>
        </w:rPr>
        <w:t>up</w:t>
      </w:r>
      <w:proofErr w:type="gramEnd"/>
    </w:p>
    <w:p w14:paraId="20B3DB55" w14:textId="20052FB5" w:rsidR="00C35665" w:rsidRPr="003207A5" w:rsidRDefault="00C35665" w:rsidP="00C35665">
      <w:pPr>
        <w:pStyle w:val="NoSpacing"/>
        <w:ind w:hanging="630"/>
        <w:rPr>
          <w:rFonts w:ascii="Times New Roman" w:hAnsi="Times New Roman"/>
        </w:rPr>
      </w:pP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Pr>
          <w:rFonts w:ascii="Times New Roman" w:hAnsi="Times New Roman"/>
        </w:rPr>
        <w:tab/>
      </w:r>
      <w:r w:rsidRPr="003207A5">
        <w:rPr>
          <w:rFonts w:ascii="Times New Roman" w:hAnsi="Times New Roman"/>
        </w:rPr>
        <w:t>(8% hurdle rate)</w:t>
      </w:r>
    </w:p>
    <w:p w14:paraId="2EF1FDC9" w14:textId="77777777" w:rsidR="00C35665" w:rsidRPr="003207A5" w:rsidRDefault="00C35665" w:rsidP="00C35665">
      <w:pPr>
        <w:pStyle w:val="NoSpacing"/>
        <w:ind w:hanging="630"/>
        <w:rPr>
          <w:rFonts w:ascii="Times New Roman" w:hAnsi="Times New Roman"/>
        </w:rPr>
      </w:pPr>
    </w:p>
    <w:p w14:paraId="14A1C5F3" w14:textId="38A77448" w:rsidR="00C35665" w:rsidRPr="003207A5" w:rsidRDefault="00C35665" w:rsidP="00C35665">
      <w:pPr>
        <w:pStyle w:val="NoSpacing"/>
        <w:rPr>
          <w:rFonts w:ascii="Times New Roman" w:hAnsi="Times New Roman"/>
        </w:rPr>
      </w:pPr>
      <w:r w:rsidRPr="003207A5">
        <w:rPr>
          <w:rFonts w:ascii="Times New Roman" w:hAnsi="Times New Roman"/>
        </w:rPr>
        <w:t>Clearlake I</w:t>
      </w:r>
      <w:r w:rsidR="00E13DB8">
        <w:rPr>
          <w:rFonts w:ascii="Times New Roman" w:hAnsi="Times New Roman"/>
        </w:rPr>
        <w:t>con</w:t>
      </w:r>
      <w:r w:rsidRPr="003207A5">
        <w:rPr>
          <w:rFonts w:ascii="Times New Roman" w:hAnsi="Times New Roman"/>
        </w:rPr>
        <w:t xml:space="preserve"> IV</w:t>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t>1.0%</w:t>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t xml:space="preserve">15%-25% step </w:t>
      </w:r>
      <w:proofErr w:type="gramStart"/>
      <w:r w:rsidRPr="003207A5">
        <w:rPr>
          <w:rFonts w:ascii="Times New Roman" w:hAnsi="Times New Roman"/>
        </w:rPr>
        <w:t>up</w:t>
      </w:r>
      <w:proofErr w:type="gramEnd"/>
    </w:p>
    <w:p w14:paraId="1D33C6C5" w14:textId="6D44D8D7" w:rsidR="00C35665" w:rsidRDefault="00C35665" w:rsidP="00C35665">
      <w:pPr>
        <w:pStyle w:val="NoSpacing"/>
        <w:ind w:hanging="630"/>
        <w:rPr>
          <w:rFonts w:ascii="Times New Roman" w:hAnsi="Times New Roman"/>
        </w:rPr>
      </w:pP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Pr>
          <w:rFonts w:ascii="Times New Roman" w:hAnsi="Times New Roman"/>
        </w:rPr>
        <w:tab/>
      </w:r>
      <w:r w:rsidRPr="003207A5">
        <w:rPr>
          <w:rFonts w:ascii="Times New Roman" w:hAnsi="Times New Roman"/>
        </w:rPr>
        <w:t>(8% hurdle rate)</w:t>
      </w:r>
    </w:p>
    <w:p w14:paraId="6A44C78F" w14:textId="7B0F922A" w:rsidR="00E91C7F" w:rsidRPr="00591E16" w:rsidRDefault="00E91C7F" w:rsidP="00C35665">
      <w:pPr>
        <w:pStyle w:val="NoSpacing"/>
        <w:rPr>
          <w:rFonts w:ascii="Times New Roman" w:hAnsi="Times New Roman"/>
        </w:rPr>
      </w:pPr>
    </w:p>
    <w:p w14:paraId="6BA8BBEC" w14:textId="77777777" w:rsidR="00E91C7F" w:rsidRPr="00591E16" w:rsidRDefault="00E91C7F" w:rsidP="00E91C7F">
      <w:pPr>
        <w:pStyle w:val="NoSpacing"/>
        <w:rPr>
          <w:rFonts w:ascii="Times New Roman" w:hAnsi="Times New Roman"/>
        </w:rPr>
      </w:pPr>
      <w:proofErr w:type="spellStart"/>
      <w:r w:rsidRPr="00591E16">
        <w:rPr>
          <w:rFonts w:ascii="Times New Roman" w:hAnsi="Times New Roman"/>
        </w:rPr>
        <w:t>Centana</w:t>
      </w:r>
      <w:proofErr w:type="spellEnd"/>
      <w:r w:rsidRPr="00591E16">
        <w:rPr>
          <w:rFonts w:ascii="Times New Roman" w:hAnsi="Times New Roman"/>
        </w:rPr>
        <w:t xml:space="preserve"> Growth Partners II</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2.5% with scale down</w:t>
      </w:r>
      <w:r w:rsidRPr="00591E16">
        <w:rPr>
          <w:rFonts w:ascii="Times New Roman" w:hAnsi="Times New Roman"/>
        </w:rPr>
        <w:tab/>
      </w:r>
      <w:r w:rsidRPr="00591E16">
        <w:rPr>
          <w:rFonts w:ascii="Times New Roman" w:hAnsi="Times New Roman"/>
        </w:rPr>
        <w:tab/>
        <w:t>20% (8% hurdle rate)</w:t>
      </w:r>
    </w:p>
    <w:p w14:paraId="433E3A0E" w14:textId="1063FFE7" w:rsidR="00E91C7F" w:rsidRPr="00591E16" w:rsidRDefault="00E91C7F" w:rsidP="00E91C7F">
      <w:pPr>
        <w:pStyle w:val="NoSpacing"/>
        <w:ind w:hanging="630"/>
        <w:rPr>
          <w:rFonts w:ascii="Times New Roman" w:hAnsi="Times New Roman"/>
        </w:rPr>
      </w:pP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to 2.0% after 5</w:t>
      </w:r>
      <w:r w:rsidRPr="00591E16">
        <w:rPr>
          <w:rFonts w:ascii="Times New Roman" w:hAnsi="Times New Roman"/>
          <w:vertAlign w:val="superscript"/>
        </w:rPr>
        <w:t>th</w:t>
      </w:r>
      <w:r w:rsidRPr="00591E16">
        <w:rPr>
          <w:rFonts w:ascii="Times New Roman" w:hAnsi="Times New Roman"/>
        </w:rPr>
        <w:t xml:space="preserve"> year</w:t>
      </w:r>
      <w:r w:rsidRPr="00591E16">
        <w:rPr>
          <w:rFonts w:ascii="Times New Roman" w:hAnsi="Times New Roman"/>
        </w:rPr>
        <w:tab/>
      </w:r>
    </w:p>
    <w:p w14:paraId="2B77B315" w14:textId="77777777" w:rsidR="00E91C7F" w:rsidRPr="00591E16" w:rsidRDefault="00E91C7F" w:rsidP="009155DE">
      <w:pPr>
        <w:pStyle w:val="NoSpacing"/>
        <w:rPr>
          <w:rFonts w:ascii="Times New Roman" w:hAnsi="Times New Roman"/>
        </w:rPr>
      </w:pPr>
    </w:p>
    <w:p w14:paraId="2A1DFDDA" w14:textId="79983B52" w:rsidR="00E91C7F" w:rsidRPr="00591E16" w:rsidRDefault="00E91C7F" w:rsidP="00E91C7F">
      <w:pPr>
        <w:pStyle w:val="NoSpacing"/>
        <w:rPr>
          <w:rFonts w:ascii="Times New Roman" w:hAnsi="Times New Roman"/>
        </w:rPr>
      </w:pPr>
      <w:r w:rsidRPr="00591E16">
        <w:rPr>
          <w:rFonts w:ascii="Times New Roman" w:hAnsi="Times New Roman"/>
        </w:rPr>
        <w:t>Illinois Ventures IETF III</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2.5%</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w:t>
      </w:r>
    </w:p>
    <w:p w14:paraId="5BA06A23" w14:textId="77777777" w:rsidR="00E91C7F" w:rsidRPr="00591E16" w:rsidRDefault="00E91C7F" w:rsidP="00E91C7F">
      <w:pPr>
        <w:pStyle w:val="NoSpacing"/>
        <w:ind w:hanging="630"/>
        <w:rPr>
          <w:rFonts w:ascii="Times New Roman" w:hAnsi="Times New Roman"/>
        </w:rPr>
      </w:pPr>
    </w:p>
    <w:p w14:paraId="3414A7AB" w14:textId="77777777" w:rsidR="00E91C7F" w:rsidRPr="00591E16" w:rsidRDefault="00E91C7F" w:rsidP="00E91C7F">
      <w:pPr>
        <w:pStyle w:val="NoSpacing"/>
        <w:rPr>
          <w:rFonts w:ascii="Times New Roman" w:hAnsi="Times New Roman"/>
        </w:rPr>
      </w:pPr>
      <w:r w:rsidRPr="00591E16">
        <w:rPr>
          <w:rFonts w:ascii="Times New Roman" w:hAnsi="Times New Roman"/>
        </w:rPr>
        <w:t>Oaktree Opportunities Fund X</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1.6%</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 (8% hurdle rate)</w:t>
      </w:r>
    </w:p>
    <w:p w14:paraId="177114A1" w14:textId="77777777" w:rsidR="00E91C7F" w:rsidRPr="00591E16" w:rsidRDefault="00E91C7F" w:rsidP="00E91C7F">
      <w:pPr>
        <w:pStyle w:val="NoSpacing"/>
        <w:ind w:hanging="630"/>
        <w:rPr>
          <w:rFonts w:ascii="Times New Roman" w:hAnsi="Times New Roman"/>
        </w:rPr>
      </w:pPr>
    </w:p>
    <w:p w14:paraId="68311F3B" w14:textId="77777777" w:rsidR="00E91C7F" w:rsidRPr="00591E16" w:rsidRDefault="00E91C7F" w:rsidP="00E91C7F">
      <w:pPr>
        <w:pStyle w:val="NoSpacing"/>
        <w:rPr>
          <w:rFonts w:ascii="Times New Roman" w:hAnsi="Times New Roman"/>
        </w:rPr>
      </w:pPr>
      <w:r w:rsidRPr="00591E16">
        <w:rPr>
          <w:rFonts w:ascii="Times New Roman" w:hAnsi="Times New Roman"/>
        </w:rPr>
        <w:t>Oaktree Opportunities Fund X(b)</w:t>
      </w:r>
      <w:r w:rsidRPr="00591E16">
        <w:rPr>
          <w:rFonts w:ascii="Times New Roman" w:hAnsi="Times New Roman"/>
        </w:rPr>
        <w:tab/>
      </w:r>
      <w:r w:rsidRPr="00591E16">
        <w:rPr>
          <w:rFonts w:ascii="Times New Roman" w:hAnsi="Times New Roman"/>
        </w:rPr>
        <w:tab/>
      </w:r>
      <w:r w:rsidRPr="00591E16">
        <w:rPr>
          <w:rFonts w:ascii="Times New Roman" w:hAnsi="Times New Roman"/>
        </w:rPr>
        <w:tab/>
        <w:t>1.6%</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 (8% hurdle rate)</w:t>
      </w:r>
    </w:p>
    <w:p w14:paraId="3F8803DC" w14:textId="77777777" w:rsidR="00E91C7F" w:rsidRPr="00591E16" w:rsidRDefault="00E91C7F" w:rsidP="00E91C7F">
      <w:pPr>
        <w:pStyle w:val="NoSpacing"/>
        <w:ind w:hanging="630"/>
        <w:rPr>
          <w:rFonts w:ascii="Times New Roman" w:hAnsi="Times New Roman"/>
        </w:rPr>
      </w:pPr>
    </w:p>
    <w:p w14:paraId="165EDB25" w14:textId="77777777" w:rsidR="00E91C7F" w:rsidRPr="00591E16" w:rsidRDefault="00E91C7F" w:rsidP="00E91C7F">
      <w:pPr>
        <w:pStyle w:val="NoSpacing"/>
        <w:rPr>
          <w:rFonts w:ascii="Times New Roman" w:hAnsi="Times New Roman"/>
        </w:rPr>
      </w:pPr>
      <w:proofErr w:type="spellStart"/>
      <w:r w:rsidRPr="00591E16">
        <w:rPr>
          <w:rFonts w:ascii="Times New Roman" w:hAnsi="Times New Roman"/>
        </w:rPr>
        <w:t>ParkerGale</w:t>
      </w:r>
      <w:proofErr w:type="spellEnd"/>
      <w:r w:rsidRPr="00591E16">
        <w:rPr>
          <w:rFonts w:ascii="Times New Roman" w:hAnsi="Times New Roman"/>
        </w:rPr>
        <w:t xml:space="preserve"> Capital II, L.P.</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 (8% hurdle rate)</w:t>
      </w:r>
    </w:p>
    <w:p w14:paraId="5009E299" w14:textId="77777777" w:rsidR="00E91C7F" w:rsidRPr="00591E16" w:rsidRDefault="00E91C7F" w:rsidP="00E91C7F">
      <w:pPr>
        <w:pStyle w:val="NoSpacing"/>
        <w:ind w:hanging="630"/>
        <w:rPr>
          <w:rFonts w:ascii="Times New Roman" w:hAnsi="Times New Roman"/>
        </w:rPr>
      </w:pPr>
    </w:p>
    <w:p w14:paraId="4A772A65" w14:textId="77777777" w:rsidR="00E91C7F" w:rsidRPr="00591E16" w:rsidRDefault="00E91C7F" w:rsidP="00C35665">
      <w:pPr>
        <w:pStyle w:val="NoSpacing"/>
        <w:rPr>
          <w:rFonts w:ascii="Times New Roman" w:hAnsi="Times New Roman"/>
        </w:rPr>
      </w:pPr>
    </w:p>
    <w:p w14:paraId="58A24DBD" w14:textId="7A34F2EF" w:rsidR="00E91C7F" w:rsidRDefault="00E91C7F" w:rsidP="00E91C7F">
      <w:pPr>
        <w:pStyle w:val="NoSpacing"/>
        <w:rPr>
          <w:rFonts w:ascii="Times New Roman" w:hAnsi="Times New Roman"/>
        </w:rPr>
      </w:pPr>
      <w:r w:rsidRPr="00591E16">
        <w:rPr>
          <w:rFonts w:ascii="Times New Roman" w:hAnsi="Times New Roman"/>
        </w:rPr>
        <w:t>Varsity Healthcare III</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 (8% hurdle rate)</w:t>
      </w:r>
    </w:p>
    <w:p w14:paraId="5C58ACDD" w14:textId="50EC85CE" w:rsidR="00130A9B" w:rsidRDefault="00130A9B" w:rsidP="00E91C7F">
      <w:pPr>
        <w:pStyle w:val="NoSpacing"/>
        <w:rPr>
          <w:rFonts w:ascii="Times New Roman" w:hAnsi="Times New Roman"/>
        </w:rPr>
      </w:pPr>
    </w:p>
    <w:p w14:paraId="045E87E9" w14:textId="579EFDE2" w:rsidR="00130A9B" w:rsidRDefault="00130A9B" w:rsidP="00130A9B">
      <w:pPr>
        <w:pStyle w:val="NoSpacing"/>
        <w:rPr>
          <w:rFonts w:ascii="Times New Roman" w:hAnsi="Times New Roman"/>
        </w:rPr>
      </w:pPr>
      <w:r w:rsidRPr="00591E16">
        <w:rPr>
          <w:rFonts w:ascii="Times New Roman" w:hAnsi="Times New Roman"/>
        </w:rPr>
        <w:t>Varsity Healthcare I</w:t>
      </w:r>
      <w:r>
        <w:rPr>
          <w:rFonts w:ascii="Times New Roman" w:hAnsi="Times New Roman"/>
        </w:rPr>
        <w:t>V</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 (8% hurdle rate)</w:t>
      </w:r>
    </w:p>
    <w:p w14:paraId="3445AEB7" w14:textId="6A9D2CEE" w:rsidR="009E3F82" w:rsidRDefault="009E3F82" w:rsidP="00C35665">
      <w:pPr>
        <w:pStyle w:val="Heading1"/>
        <w:spacing w:before="0" w:after="0"/>
        <w:rPr>
          <w:rFonts w:ascii="Times New Roman" w:hAnsi="Times New Roman"/>
          <w:sz w:val="28"/>
          <w:szCs w:val="28"/>
        </w:rPr>
      </w:pPr>
    </w:p>
    <w:p w14:paraId="480A9865" w14:textId="5C4550E9" w:rsidR="00C35665" w:rsidRPr="00591E16" w:rsidRDefault="00E13DB8" w:rsidP="00C35665">
      <w:pPr>
        <w:pStyle w:val="NoSpacing"/>
        <w:rPr>
          <w:rFonts w:ascii="Times New Roman" w:hAnsi="Times New Roman"/>
        </w:rPr>
      </w:pPr>
      <w:r>
        <w:rPr>
          <w:rFonts w:ascii="Times New Roman" w:hAnsi="Times New Roman"/>
        </w:rPr>
        <w:t xml:space="preserve">FEG Select </w:t>
      </w:r>
      <w:r w:rsidR="00C35665" w:rsidRPr="00591E16">
        <w:rPr>
          <w:rFonts w:ascii="Times New Roman" w:hAnsi="Times New Roman"/>
        </w:rPr>
        <w:t>Tiger Global Private</w:t>
      </w:r>
      <w:r w:rsidR="00C35665" w:rsidRPr="00591E16">
        <w:rPr>
          <w:rFonts w:ascii="Times New Roman" w:hAnsi="Times New Roman"/>
        </w:rPr>
        <w:tab/>
      </w:r>
      <w:r w:rsidR="00C35665" w:rsidRPr="00591E16">
        <w:rPr>
          <w:rFonts w:ascii="Times New Roman" w:hAnsi="Times New Roman"/>
        </w:rPr>
        <w:tab/>
      </w:r>
      <w:r>
        <w:rPr>
          <w:rFonts w:ascii="Times New Roman" w:hAnsi="Times New Roman"/>
        </w:rPr>
        <w:tab/>
      </w:r>
      <w:r>
        <w:rPr>
          <w:rFonts w:ascii="Times New Roman" w:hAnsi="Times New Roman"/>
        </w:rPr>
        <w:tab/>
      </w:r>
      <w:r w:rsidR="00C35665" w:rsidRPr="00591E16">
        <w:rPr>
          <w:rFonts w:ascii="Times New Roman" w:hAnsi="Times New Roman"/>
        </w:rPr>
        <w:t>2.0% (0.07% average</w:t>
      </w:r>
      <w:r w:rsidR="00C35665" w:rsidRPr="00591E16">
        <w:rPr>
          <w:rFonts w:ascii="Times New Roman" w:hAnsi="Times New Roman"/>
        </w:rPr>
        <w:tab/>
      </w:r>
      <w:r w:rsidR="00C35665" w:rsidRPr="00591E16">
        <w:rPr>
          <w:rFonts w:ascii="Times New Roman" w:hAnsi="Times New Roman"/>
        </w:rPr>
        <w:tab/>
        <w:t>20-25% step up</w:t>
      </w:r>
    </w:p>
    <w:p w14:paraId="59853979" w14:textId="617EE5DE" w:rsidR="00C35665" w:rsidRPr="00591E16" w:rsidRDefault="00E13DB8" w:rsidP="00C35665">
      <w:pPr>
        <w:pStyle w:val="NoSpacing"/>
        <w:rPr>
          <w:rFonts w:ascii="Times New Roman" w:hAnsi="Times New Roman"/>
        </w:rPr>
      </w:pPr>
      <w:r w:rsidRPr="00591E16">
        <w:rPr>
          <w:rFonts w:ascii="Times New Roman" w:hAnsi="Times New Roman"/>
        </w:rPr>
        <w:t>Investment Partners XIV</w:t>
      </w:r>
      <w:r w:rsidR="00C35665" w:rsidRPr="00591E16">
        <w:rPr>
          <w:rFonts w:ascii="Times New Roman" w:hAnsi="Times New Roman"/>
        </w:rPr>
        <w:tab/>
      </w:r>
      <w:r w:rsidR="00C35665" w:rsidRPr="00591E16">
        <w:rPr>
          <w:rFonts w:ascii="Times New Roman" w:hAnsi="Times New Roman"/>
        </w:rPr>
        <w:tab/>
      </w:r>
      <w:r w:rsidR="00C35665" w:rsidRPr="00591E16">
        <w:rPr>
          <w:rFonts w:ascii="Times New Roman" w:hAnsi="Times New Roman"/>
        </w:rPr>
        <w:tab/>
      </w:r>
      <w:r>
        <w:rPr>
          <w:rFonts w:ascii="Times New Roman" w:hAnsi="Times New Roman"/>
        </w:rPr>
        <w:tab/>
      </w:r>
      <w:r w:rsidR="00C35665" w:rsidRPr="00591E16">
        <w:rPr>
          <w:rFonts w:ascii="Times New Roman" w:hAnsi="Times New Roman"/>
        </w:rPr>
        <w:t>FEG Select fee)</w:t>
      </w:r>
    </w:p>
    <w:p w14:paraId="3E8FA6E3" w14:textId="77777777" w:rsidR="009E3F82" w:rsidRPr="00591E16" w:rsidRDefault="009E3F82" w:rsidP="00E91C7F">
      <w:pPr>
        <w:pStyle w:val="Heading1"/>
        <w:spacing w:before="0" w:after="0"/>
        <w:jc w:val="center"/>
        <w:rPr>
          <w:rFonts w:ascii="Times New Roman" w:hAnsi="Times New Roman"/>
          <w:sz w:val="28"/>
          <w:szCs w:val="28"/>
        </w:rPr>
      </w:pPr>
    </w:p>
    <w:p w14:paraId="05B99597" w14:textId="77777777" w:rsidR="00591E16" w:rsidRDefault="00591E16">
      <w:pPr>
        <w:rPr>
          <w:rFonts w:ascii="Times New Roman" w:eastAsia="Times New Roman" w:hAnsi="Times New Roman" w:cs="Times New Roman"/>
          <w:b/>
          <w:bCs/>
          <w:kern w:val="32"/>
          <w:sz w:val="28"/>
          <w:szCs w:val="28"/>
        </w:rPr>
      </w:pPr>
      <w:r>
        <w:rPr>
          <w:rFonts w:ascii="Times New Roman" w:hAnsi="Times New Roman"/>
          <w:sz w:val="28"/>
          <w:szCs w:val="28"/>
        </w:rPr>
        <w:br w:type="page"/>
      </w:r>
    </w:p>
    <w:p w14:paraId="658D3ED3" w14:textId="13177393" w:rsidR="00E91C7F" w:rsidRPr="00591E16" w:rsidRDefault="00E91C7F" w:rsidP="00E91C7F">
      <w:pPr>
        <w:pStyle w:val="Heading1"/>
        <w:spacing w:before="0" w:after="0"/>
        <w:jc w:val="center"/>
        <w:rPr>
          <w:rFonts w:ascii="Times New Roman" w:hAnsi="Times New Roman"/>
          <w:sz w:val="28"/>
          <w:szCs w:val="28"/>
        </w:rPr>
      </w:pPr>
      <w:r w:rsidRPr="00591E16">
        <w:rPr>
          <w:rFonts w:ascii="Times New Roman" w:hAnsi="Times New Roman"/>
          <w:sz w:val="28"/>
          <w:szCs w:val="28"/>
        </w:rPr>
        <w:lastRenderedPageBreak/>
        <w:t>University of Illinois System</w:t>
      </w:r>
    </w:p>
    <w:p w14:paraId="76B00575" w14:textId="77777777" w:rsidR="00E91C7F" w:rsidRPr="00591E16" w:rsidRDefault="00E91C7F" w:rsidP="00E91C7F">
      <w:pPr>
        <w:pStyle w:val="Heading1"/>
        <w:jc w:val="center"/>
        <w:rPr>
          <w:rFonts w:ascii="Times New Roman" w:hAnsi="Times New Roman"/>
          <w:sz w:val="28"/>
          <w:szCs w:val="28"/>
        </w:rPr>
      </w:pPr>
      <w:r w:rsidRPr="00591E16">
        <w:rPr>
          <w:rFonts w:ascii="Times New Roman" w:hAnsi="Times New Roman"/>
          <w:sz w:val="28"/>
          <w:szCs w:val="28"/>
        </w:rPr>
        <w:t>Investment Fee Schedule – Alternative Investments</w:t>
      </w:r>
    </w:p>
    <w:p w14:paraId="59CE4D6B" w14:textId="77777777" w:rsidR="00E91C7F" w:rsidRPr="00591E16" w:rsidRDefault="00E91C7F" w:rsidP="00E91C7F">
      <w:pPr>
        <w:rPr>
          <w:rFonts w:ascii="Times New Roman" w:hAnsi="Times New Roman" w:cs="Times New Roman"/>
        </w:rPr>
      </w:pPr>
    </w:p>
    <w:p w14:paraId="5A7CDBB5" w14:textId="77777777" w:rsidR="00E91C7F" w:rsidRPr="00591E16" w:rsidRDefault="00E91C7F" w:rsidP="00E91C7F">
      <w:pPr>
        <w:pStyle w:val="NoSpacing"/>
        <w:rPr>
          <w:rFonts w:ascii="Times New Roman" w:hAnsi="Times New Roman"/>
          <w:b/>
        </w:rPr>
      </w:pPr>
      <w:r w:rsidRPr="00591E16">
        <w:rPr>
          <w:rFonts w:ascii="Times New Roman" w:hAnsi="Times New Roman"/>
          <w:b/>
        </w:rPr>
        <w:t>Firm</w:t>
      </w:r>
      <w:r w:rsidRPr="00591E16">
        <w:rPr>
          <w:rFonts w:ascii="Times New Roman" w:hAnsi="Times New Roman"/>
          <w:b/>
        </w:rPr>
        <w:tab/>
      </w:r>
      <w:r w:rsidRPr="00591E16">
        <w:rPr>
          <w:rFonts w:ascii="Times New Roman" w:hAnsi="Times New Roman"/>
          <w:b/>
        </w:rPr>
        <w:tab/>
      </w:r>
      <w:r w:rsidRPr="00591E16">
        <w:rPr>
          <w:rFonts w:ascii="Times New Roman" w:hAnsi="Times New Roman"/>
          <w:b/>
        </w:rPr>
        <w:tab/>
      </w:r>
      <w:r w:rsidRPr="00591E16">
        <w:rPr>
          <w:rFonts w:ascii="Times New Roman" w:hAnsi="Times New Roman"/>
          <w:b/>
        </w:rPr>
        <w:tab/>
      </w:r>
      <w:r w:rsidRPr="00591E16">
        <w:rPr>
          <w:rFonts w:ascii="Times New Roman" w:hAnsi="Times New Roman"/>
          <w:b/>
        </w:rPr>
        <w:tab/>
      </w:r>
      <w:r w:rsidRPr="00591E16">
        <w:rPr>
          <w:rFonts w:ascii="Times New Roman" w:hAnsi="Times New Roman"/>
          <w:b/>
        </w:rPr>
        <w:tab/>
      </w:r>
      <w:r w:rsidRPr="00591E16">
        <w:rPr>
          <w:rFonts w:ascii="Times New Roman" w:hAnsi="Times New Roman"/>
          <w:b/>
        </w:rPr>
        <w:tab/>
        <w:t>Terms</w:t>
      </w:r>
      <w:r w:rsidRPr="00591E16">
        <w:rPr>
          <w:rFonts w:ascii="Times New Roman" w:hAnsi="Times New Roman"/>
          <w:b/>
        </w:rPr>
        <w:tab/>
      </w:r>
      <w:r w:rsidRPr="00591E16">
        <w:rPr>
          <w:rFonts w:ascii="Times New Roman" w:hAnsi="Times New Roman"/>
          <w:b/>
        </w:rPr>
        <w:tab/>
      </w:r>
      <w:r w:rsidRPr="00591E16">
        <w:rPr>
          <w:rFonts w:ascii="Times New Roman" w:hAnsi="Times New Roman"/>
          <w:b/>
        </w:rPr>
        <w:tab/>
      </w:r>
      <w:r w:rsidRPr="00591E16">
        <w:rPr>
          <w:rFonts w:ascii="Times New Roman" w:hAnsi="Times New Roman"/>
          <w:b/>
        </w:rPr>
        <w:tab/>
      </w:r>
    </w:p>
    <w:p w14:paraId="0305A6CB" w14:textId="77777777" w:rsidR="00E91C7F" w:rsidRPr="00591E16" w:rsidRDefault="00E91C7F" w:rsidP="00E91C7F">
      <w:pPr>
        <w:pStyle w:val="NoSpacing"/>
        <w:ind w:left="-630"/>
        <w:rPr>
          <w:rFonts w:ascii="Times New Roman" w:hAnsi="Times New Roman"/>
          <w:u w:val="single"/>
        </w:rPr>
      </w:pPr>
    </w:p>
    <w:p w14:paraId="0ADC6CC7" w14:textId="5D9C54A7" w:rsidR="00E91C7F" w:rsidRPr="00591E16" w:rsidRDefault="00E91C7F" w:rsidP="00E91C7F">
      <w:pPr>
        <w:pStyle w:val="NoSpacing"/>
        <w:ind w:left="-630" w:firstLine="630"/>
        <w:rPr>
          <w:rFonts w:ascii="Times New Roman" w:hAnsi="Times New Roman"/>
          <w:u w:val="single"/>
        </w:rPr>
      </w:pPr>
      <w:r w:rsidRPr="00591E16">
        <w:rPr>
          <w:rFonts w:ascii="Times New Roman" w:hAnsi="Times New Roman"/>
          <w:u w:val="single"/>
        </w:rPr>
        <w:t xml:space="preserve">Private </w:t>
      </w:r>
      <w:r w:rsidR="00130A9B">
        <w:rPr>
          <w:rFonts w:ascii="Times New Roman" w:hAnsi="Times New Roman"/>
          <w:u w:val="single"/>
        </w:rPr>
        <w:t>Fixed Income</w:t>
      </w:r>
      <w:r w:rsidR="00C35665" w:rsidRPr="00C35665">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u w:val="single"/>
        </w:rPr>
        <w:t>Management Fee</w:t>
      </w:r>
      <w:proofErr w:type="gramStart"/>
      <w:r w:rsidRPr="00591E16">
        <w:rPr>
          <w:rFonts w:ascii="Times New Roman" w:hAnsi="Times New Roman"/>
        </w:rPr>
        <w:tab/>
        <w:t xml:space="preserve">  </w:t>
      </w:r>
      <w:r w:rsidRPr="00591E16">
        <w:rPr>
          <w:rFonts w:ascii="Times New Roman" w:hAnsi="Times New Roman"/>
        </w:rPr>
        <w:tab/>
      </w:r>
      <w:proofErr w:type="gramEnd"/>
      <w:r w:rsidRPr="00591E16">
        <w:rPr>
          <w:rFonts w:ascii="Times New Roman" w:hAnsi="Times New Roman"/>
          <w:u w:val="single"/>
        </w:rPr>
        <w:t>Carried Interest</w:t>
      </w:r>
    </w:p>
    <w:p w14:paraId="52BD7844" w14:textId="77777777" w:rsidR="00E91C7F" w:rsidRPr="00591E16" w:rsidRDefault="00E91C7F" w:rsidP="00C35665">
      <w:pPr>
        <w:pStyle w:val="NoSpacing"/>
        <w:rPr>
          <w:rFonts w:ascii="Times New Roman" w:hAnsi="Times New Roman"/>
        </w:rPr>
      </w:pPr>
    </w:p>
    <w:p w14:paraId="23231546" w14:textId="4F77E861" w:rsidR="00C35665" w:rsidRPr="00591E16" w:rsidRDefault="00C35665" w:rsidP="00C35665">
      <w:pPr>
        <w:pStyle w:val="NoSpacing"/>
        <w:rPr>
          <w:rFonts w:ascii="Times New Roman" w:hAnsi="Times New Roman"/>
        </w:rPr>
      </w:pPr>
      <w:r w:rsidRPr="00591E16">
        <w:rPr>
          <w:rFonts w:ascii="Times New Roman" w:hAnsi="Times New Roman"/>
        </w:rPr>
        <w:t xml:space="preserve">Oaktree </w:t>
      </w:r>
      <w:r w:rsidR="00130A9B">
        <w:rPr>
          <w:rFonts w:ascii="Times New Roman" w:hAnsi="Times New Roman"/>
        </w:rPr>
        <w:t xml:space="preserve">Opportunities </w:t>
      </w:r>
      <w:r w:rsidRPr="00591E16">
        <w:rPr>
          <w:rFonts w:ascii="Times New Roman" w:hAnsi="Times New Roman"/>
        </w:rPr>
        <w:t>X</w:t>
      </w:r>
      <w:r w:rsidR="00130A9B">
        <w:rPr>
          <w:rFonts w:ascii="Times New Roman" w:hAnsi="Times New Roman"/>
        </w:rPr>
        <w:t>I</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1.44%</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 (8% hurdle rate)</w:t>
      </w:r>
    </w:p>
    <w:p w14:paraId="0E29E78A" w14:textId="7FB7F0F3" w:rsidR="00C35665" w:rsidRDefault="00C35665" w:rsidP="00E91C7F">
      <w:pPr>
        <w:pStyle w:val="NoSpacing"/>
        <w:rPr>
          <w:rFonts w:ascii="Times New Roman" w:hAnsi="Times New Roman"/>
          <w:u w:val="single"/>
        </w:rPr>
      </w:pPr>
    </w:p>
    <w:p w14:paraId="72A9F230" w14:textId="51687B82" w:rsidR="00C35665" w:rsidRDefault="00C35665" w:rsidP="00C35665">
      <w:pPr>
        <w:pStyle w:val="NoSpacing"/>
        <w:rPr>
          <w:rFonts w:ascii="Times New Roman" w:hAnsi="Times New Roman"/>
        </w:rPr>
      </w:pPr>
      <w:r w:rsidRPr="00591E16">
        <w:rPr>
          <w:rFonts w:ascii="Times New Roman" w:hAnsi="Times New Roman"/>
        </w:rPr>
        <w:t>Merit Mezzanine Fund VI</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1.75%</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 (8% hurdle rate)</w:t>
      </w:r>
    </w:p>
    <w:p w14:paraId="30571932" w14:textId="186E6D61" w:rsidR="00130A9B" w:rsidRDefault="00130A9B" w:rsidP="00C35665">
      <w:pPr>
        <w:pStyle w:val="NoSpacing"/>
        <w:rPr>
          <w:rFonts w:ascii="Times New Roman" w:hAnsi="Times New Roman"/>
        </w:rPr>
      </w:pPr>
    </w:p>
    <w:p w14:paraId="09CEB5A3" w14:textId="45FF9AEF" w:rsidR="00130A9B" w:rsidRDefault="00130A9B" w:rsidP="00130A9B">
      <w:pPr>
        <w:pStyle w:val="NoSpacing"/>
        <w:rPr>
          <w:rFonts w:ascii="Times New Roman" w:hAnsi="Times New Roman"/>
        </w:rPr>
      </w:pPr>
      <w:r w:rsidRPr="00591E16">
        <w:rPr>
          <w:rFonts w:ascii="Times New Roman" w:hAnsi="Times New Roman"/>
        </w:rPr>
        <w:t xml:space="preserve">Merit </w:t>
      </w:r>
      <w:r w:rsidR="004804E1">
        <w:rPr>
          <w:rFonts w:ascii="Times New Roman" w:hAnsi="Times New Roman"/>
        </w:rPr>
        <w:t>Capital</w:t>
      </w:r>
      <w:r w:rsidRPr="00591E16">
        <w:rPr>
          <w:rFonts w:ascii="Times New Roman" w:hAnsi="Times New Roman"/>
        </w:rPr>
        <w:t xml:space="preserve"> Fund VI</w:t>
      </w:r>
      <w:r w:rsidR="004804E1">
        <w:rPr>
          <w:rFonts w:ascii="Times New Roman" w:hAnsi="Times New Roman"/>
        </w:rPr>
        <w:t xml:space="preserve">I      </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1.75%</w:t>
      </w:r>
      <w:r>
        <w:rPr>
          <w:rFonts w:ascii="Times New Roman" w:hAnsi="Times New Roman"/>
        </w:rPr>
        <w:t xml:space="preserve"> during investment</w:t>
      </w:r>
      <w:r w:rsidRPr="00591E16">
        <w:rPr>
          <w:rFonts w:ascii="Times New Roman" w:hAnsi="Times New Roman"/>
        </w:rPr>
        <w:tab/>
        <w:t>20% (8% hurdle rate)</w:t>
      </w:r>
    </w:p>
    <w:p w14:paraId="73360719" w14:textId="542A3374" w:rsidR="00130A9B" w:rsidRDefault="00130A9B" w:rsidP="00130A9B">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Period, 1.50% thereafter</w:t>
      </w:r>
    </w:p>
    <w:p w14:paraId="5F66F063" w14:textId="5A1AE85C" w:rsidR="00130A9B" w:rsidRDefault="00130A9B" w:rsidP="00C35665">
      <w:pPr>
        <w:pStyle w:val="NoSpacing"/>
        <w:rPr>
          <w:rFonts w:ascii="Times New Roman" w:hAnsi="Times New Roman"/>
        </w:rPr>
      </w:pPr>
    </w:p>
    <w:p w14:paraId="5550E976" w14:textId="2F97B168" w:rsidR="00130A9B" w:rsidRPr="00591E16" w:rsidRDefault="00130A9B" w:rsidP="00C35665">
      <w:pPr>
        <w:pStyle w:val="NoSpacing"/>
        <w:rPr>
          <w:rFonts w:ascii="Times New Roman" w:hAnsi="Times New Roman"/>
        </w:rPr>
      </w:pPr>
      <w:r>
        <w:rPr>
          <w:rFonts w:ascii="Times New Roman" w:hAnsi="Times New Roman"/>
        </w:rPr>
        <w:t>Antares Senior Loan Fund II</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w:t>
      </w:r>
      <w:r>
        <w:rPr>
          <w:rFonts w:ascii="Times New Roman" w:hAnsi="Times New Roman"/>
        </w:rPr>
        <w:t>0</w:t>
      </w:r>
      <w:r w:rsidRPr="00591E16">
        <w:rPr>
          <w:rFonts w:ascii="Times New Roman" w:hAnsi="Times New Roman"/>
        </w:rPr>
        <w:t>%</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Pr>
          <w:rFonts w:ascii="Times New Roman" w:hAnsi="Times New Roman"/>
        </w:rPr>
        <w:t>1</w:t>
      </w:r>
      <w:r w:rsidRPr="00591E16">
        <w:rPr>
          <w:rFonts w:ascii="Times New Roman" w:hAnsi="Times New Roman"/>
        </w:rPr>
        <w:t>0% (</w:t>
      </w:r>
      <w:r>
        <w:rPr>
          <w:rFonts w:ascii="Times New Roman" w:hAnsi="Times New Roman"/>
        </w:rPr>
        <w:t>5</w:t>
      </w:r>
      <w:r w:rsidRPr="00591E16">
        <w:rPr>
          <w:rFonts w:ascii="Times New Roman" w:hAnsi="Times New Roman"/>
        </w:rPr>
        <w:t>% hurdle rate)</w:t>
      </w:r>
    </w:p>
    <w:p w14:paraId="4EA3881F" w14:textId="77777777" w:rsidR="00C35665" w:rsidRDefault="00C35665" w:rsidP="00E91C7F">
      <w:pPr>
        <w:pStyle w:val="NoSpacing"/>
        <w:rPr>
          <w:rFonts w:ascii="Times New Roman" w:hAnsi="Times New Roman"/>
          <w:u w:val="single"/>
        </w:rPr>
      </w:pPr>
    </w:p>
    <w:p w14:paraId="49BB99DA" w14:textId="6DE25076" w:rsidR="00E91C7F" w:rsidRPr="00591E16" w:rsidRDefault="00F15056" w:rsidP="00E91C7F">
      <w:pPr>
        <w:pStyle w:val="NoSpacing"/>
        <w:rPr>
          <w:rFonts w:ascii="Times New Roman" w:hAnsi="Times New Roman"/>
          <w:u w:val="single"/>
        </w:rPr>
      </w:pPr>
      <w:r>
        <w:rPr>
          <w:rFonts w:ascii="Times New Roman" w:hAnsi="Times New Roman"/>
          <w:u w:val="single"/>
        </w:rPr>
        <w:t>Diversifying Strategies</w:t>
      </w:r>
    </w:p>
    <w:p w14:paraId="3D0A0F2C" w14:textId="77777777" w:rsidR="00E91C7F" w:rsidRPr="00591E16" w:rsidRDefault="00E91C7F" w:rsidP="00E91C7F">
      <w:pPr>
        <w:pStyle w:val="NoSpacing"/>
        <w:ind w:hanging="630"/>
        <w:rPr>
          <w:rFonts w:ascii="Times New Roman" w:hAnsi="Times New Roman"/>
        </w:rPr>
      </w:pPr>
    </w:p>
    <w:p w14:paraId="45F4CFB2" w14:textId="77777777" w:rsidR="00E91C7F" w:rsidRPr="00591E16" w:rsidRDefault="00E91C7F" w:rsidP="00E91C7F">
      <w:pPr>
        <w:pStyle w:val="NoSpacing"/>
        <w:rPr>
          <w:rFonts w:ascii="Times New Roman" w:hAnsi="Times New Roman"/>
        </w:rPr>
      </w:pPr>
      <w:r w:rsidRPr="00591E16">
        <w:rPr>
          <w:rFonts w:ascii="Times New Roman" w:hAnsi="Times New Roman"/>
        </w:rPr>
        <w:t>Davidson Kempner International</w:t>
      </w:r>
      <w:r w:rsidRPr="00591E16">
        <w:rPr>
          <w:rFonts w:ascii="Times New Roman" w:hAnsi="Times New Roman"/>
        </w:rPr>
        <w:tab/>
      </w:r>
      <w:r w:rsidRPr="00591E16">
        <w:rPr>
          <w:rFonts w:ascii="Times New Roman" w:hAnsi="Times New Roman"/>
        </w:rPr>
        <w:tab/>
      </w:r>
      <w:r w:rsidRPr="00591E16">
        <w:rPr>
          <w:rFonts w:ascii="Times New Roman" w:hAnsi="Times New Roman"/>
        </w:rPr>
        <w:tab/>
        <w:t>1.5%</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 xml:space="preserve">20% </w:t>
      </w:r>
    </w:p>
    <w:p w14:paraId="5BD0A8CB" w14:textId="77777777" w:rsidR="00E91C7F" w:rsidRPr="00591E16" w:rsidRDefault="00E91C7F" w:rsidP="00E91C7F">
      <w:pPr>
        <w:pStyle w:val="NoSpacing"/>
        <w:ind w:hanging="630"/>
        <w:rPr>
          <w:rFonts w:ascii="Times New Roman" w:hAnsi="Times New Roman"/>
        </w:rPr>
      </w:pPr>
    </w:p>
    <w:p w14:paraId="6EE8585F" w14:textId="77777777" w:rsidR="00E91C7F" w:rsidRPr="00591E16" w:rsidRDefault="00E91C7F" w:rsidP="00E91C7F">
      <w:pPr>
        <w:pStyle w:val="NoSpacing"/>
        <w:rPr>
          <w:rFonts w:ascii="Times New Roman" w:hAnsi="Times New Roman"/>
        </w:rPr>
      </w:pPr>
      <w:r w:rsidRPr="00591E16">
        <w:rPr>
          <w:rFonts w:ascii="Times New Roman" w:hAnsi="Times New Roman"/>
        </w:rPr>
        <w:t>Elliott International</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1.5%</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w:t>
      </w:r>
    </w:p>
    <w:p w14:paraId="52E8CC78" w14:textId="77777777" w:rsidR="00E91C7F" w:rsidRPr="00591E16" w:rsidRDefault="00E91C7F" w:rsidP="009155DE">
      <w:pPr>
        <w:pStyle w:val="NoSpacing"/>
        <w:rPr>
          <w:rFonts w:ascii="Times New Roman" w:hAnsi="Times New Roman"/>
        </w:rPr>
      </w:pPr>
    </w:p>
    <w:p w14:paraId="47F8F913" w14:textId="77777777" w:rsidR="00E91C7F" w:rsidRPr="00591E16" w:rsidRDefault="00E91C7F" w:rsidP="00E91C7F">
      <w:pPr>
        <w:pStyle w:val="NoSpacing"/>
        <w:rPr>
          <w:rFonts w:ascii="Times New Roman" w:hAnsi="Times New Roman"/>
        </w:rPr>
      </w:pPr>
      <w:r w:rsidRPr="00591E16">
        <w:rPr>
          <w:rFonts w:ascii="Times New Roman" w:hAnsi="Times New Roman"/>
        </w:rPr>
        <w:t>Hudson Bay</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 with high water mark</w:t>
      </w:r>
    </w:p>
    <w:p w14:paraId="357833CE" w14:textId="77777777" w:rsidR="00E91C7F" w:rsidRPr="00591E16" w:rsidRDefault="00E91C7F" w:rsidP="00E91C7F">
      <w:pPr>
        <w:pStyle w:val="NoSpacing"/>
        <w:ind w:hanging="630"/>
        <w:rPr>
          <w:rFonts w:ascii="Times New Roman" w:hAnsi="Times New Roman"/>
        </w:rPr>
      </w:pPr>
    </w:p>
    <w:p w14:paraId="5358001E" w14:textId="697D9FC5" w:rsidR="00C35665" w:rsidRDefault="00C35665" w:rsidP="00C35665">
      <w:pPr>
        <w:pStyle w:val="NoSpacing"/>
        <w:rPr>
          <w:rFonts w:ascii="Times New Roman" w:hAnsi="Times New Roman"/>
        </w:rPr>
      </w:pPr>
      <w:r w:rsidRPr="00591E16">
        <w:rPr>
          <w:rFonts w:ascii="Times New Roman" w:hAnsi="Times New Roman"/>
        </w:rPr>
        <w:t>BlackRock Multi-Alternative Opportunities Fund</w:t>
      </w:r>
      <w:r w:rsidRPr="00591E16">
        <w:rPr>
          <w:rFonts w:ascii="Times New Roman" w:hAnsi="Times New Roman"/>
        </w:rPr>
        <w:tab/>
        <w:t>1.5%</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20% (8% hurdle rate)</w:t>
      </w:r>
    </w:p>
    <w:p w14:paraId="1367433A" w14:textId="7B8AC8CE" w:rsidR="00130A9B" w:rsidRDefault="00130A9B" w:rsidP="00C35665">
      <w:pPr>
        <w:pStyle w:val="NoSpacing"/>
        <w:rPr>
          <w:rFonts w:ascii="Times New Roman" w:hAnsi="Times New Roman"/>
        </w:rPr>
      </w:pPr>
    </w:p>
    <w:p w14:paraId="164684A5" w14:textId="0F34E00F" w:rsidR="00130A9B" w:rsidRPr="00591E16" w:rsidRDefault="00130A9B" w:rsidP="00C35665">
      <w:pPr>
        <w:pStyle w:val="NoSpacing"/>
        <w:rPr>
          <w:rFonts w:ascii="Times New Roman" w:hAnsi="Times New Roman"/>
        </w:rPr>
      </w:pPr>
      <w:r>
        <w:rPr>
          <w:rFonts w:ascii="Times New Roman" w:hAnsi="Times New Roman"/>
        </w:rPr>
        <w:t>BAM Atlas Enhanced Fund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1.75%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20% with high water </w:t>
      </w:r>
      <w:proofErr w:type="gramStart"/>
      <w:r>
        <w:rPr>
          <w:rFonts w:ascii="Times New Roman" w:hAnsi="Times New Roman"/>
        </w:rPr>
        <w:t>mark</w:t>
      </w:r>
      <w:proofErr w:type="gramEnd"/>
    </w:p>
    <w:p w14:paraId="3F2A4CF7" w14:textId="77777777" w:rsidR="00F15056" w:rsidRDefault="00F15056" w:rsidP="00F15056">
      <w:pPr>
        <w:rPr>
          <w:rFonts w:ascii="Times New Roman" w:hAnsi="Times New Roman"/>
          <w:u w:val="single"/>
        </w:rPr>
      </w:pPr>
    </w:p>
    <w:p w14:paraId="3D8D9F73" w14:textId="577EA9AC" w:rsidR="00E91C7F" w:rsidRPr="00FA584E" w:rsidRDefault="00E91C7F" w:rsidP="00FA584E">
      <w:pPr>
        <w:rPr>
          <w:rFonts w:ascii="Times New Roman" w:eastAsia="Calibri" w:hAnsi="Times New Roman" w:cs="Times New Roman"/>
          <w:u w:val="single"/>
        </w:rPr>
      </w:pPr>
      <w:r w:rsidRPr="00591E16">
        <w:rPr>
          <w:rFonts w:ascii="Times New Roman" w:hAnsi="Times New Roman"/>
          <w:u w:val="single"/>
        </w:rPr>
        <w:t xml:space="preserve">Real </w:t>
      </w:r>
      <w:r w:rsidR="00F15056">
        <w:rPr>
          <w:rFonts w:ascii="Times New Roman" w:hAnsi="Times New Roman"/>
          <w:u w:val="single"/>
        </w:rPr>
        <w:t>Assets</w:t>
      </w:r>
    </w:p>
    <w:p w14:paraId="7D2AE2F4" w14:textId="77777777" w:rsidR="00E91C7F" w:rsidRPr="00591E16" w:rsidRDefault="00E91C7F" w:rsidP="00E91C7F">
      <w:pPr>
        <w:pStyle w:val="NoSpacing"/>
        <w:rPr>
          <w:rFonts w:ascii="Times New Roman" w:hAnsi="Times New Roman"/>
        </w:rPr>
      </w:pPr>
      <w:r w:rsidRPr="00591E16">
        <w:rPr>
          <w:rFonts w:ascii="Times New Roman" w:hAnsi="Times New Roman"/>
        </w:rPr>
        <w:t>Heitman HART</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1.1% - first $10 million</w:t>
      </w:r>
      <w:r w:rsidRPr="00591E16">
        <w:rPr>
          <w:rFonts w:ascii="Times New Roman" w:hAnsi="Times New Roman"/>
        </w:rPr>
        <w:tab/>
      </w:r>
      <w:r w:rsidRPr="00591E16">
        <w:rPr>
          <w:rFonts w:ascii="Times New Roman" w:hAnsi="Times New Roman"/>
        </w:rPr>
        <w:tab/>
        <w:t>NA</w:t>
      </w:r>
    </w:p>
    <w:p w14:paraId="7151A538" w14:textId="7F1478AF" w:rsidR="00E91C7F" w:rsidRPr="00591E16" w:rsidRDefault="00E91C7F" w:rsidP="00E91C7F">
      <w:pPr>
        <w:pStyle w:val="NoSpacing"/>
        <w:rPr>
          <w:rFonts w:ascii="Times New Roman" w:hAnsi="Times New Roman"/>
        </w:rPr>
      </w:pP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 next $15 million</w:t>
      </w:r>
    </w:p>
    <w:p w14:paraId="643C5BD7" w14:textId="77777777" w:rsidR="00E91C7F" w:rsidRPr="00591E16" w:rsidRDefault="00E91C7F" w:rsidP="00E91C7F">
      <w:pPr>
        <w:pStyle w:val="NoSpacing"/>
        <w:rPr>
          <w:rFonts w:ascii="Times New Roman" w:hAnsi="Times New Roman"/>
        </w:rPr>
      </w:pPr>
    </w:p>
    <w:p w14:paraId="7A9C22BD" w14:textId="50EC9774" w:rsidR="00E91C7F" w:rsidRPr="00591E16" w:rsidRDefault="00E91C7F" w:rsidP="00E91C7F">
      <w:pPr>
        <w:pStyle w:val="NoSpacing"/>
        <w:ind w:left="-630" w:firstLine="630"/>
        <w:rPr>
          <w:rFonts w:ascii="Times New Roman" w:hAnsi="Times New Roman"/>
        </w:rPr>
      </w:pPr>
      <w:r w:rsidRPr="00591E16">
        <w:rPr>
          <w:rFonts w:ascii="Times New Roman" w:hAnsi="Times New Roman"/>
        </w:rPr>
        <w:t xml:space="preserve">Prudential PRISA </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1.0% - first $10</w:t>
      </w:r>
      <w:r w:rsidR="00F15056">
        <w:rPr>
          <w:rFonts w:ascii="Times New Roman" w:hAnsi="Times New Roman"/>
        </w:rPr>
        <w:t xml:space="preserve"> </w:t>
      </w:r>
      <w:r w:rsidRPr="00591E16">
        <w:rPr>
          <w:rFonts w:ascii="Times New Roman" w:hAnsi="Times New Roman"/>
        </w:rPr>
        <w:t>million</w:t>
      </w:r>
      <w:r w:rsidRPr="00591E16">
        <w:rPr>
          <w:rFonts w:ascii="Times New Roman" w:hAnsi="Times New Roman"/>
        </w:rPr>
        <w:tab/>
      </w:r>
      <w:r w:rsidRPr="00591E16">
        <w:rPr>
          <w:rFonts w:ascii="Times New Roman" w:hAnsi="Times New Roman"/>
        </w:rPr>
        <w:tab/>
        <w:t xml:space="preserve">3% Operating Cash Flow </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0.95% - $10M to $25M</w:t>
      </w:r>
      <w:r w:rsidRPr="00591E16">
        <w:rPr>
          <w:rFonts w:ascii="Times New Roman" w:hAnsi="Times New Roman"/>
        </w:rPr>
        <w:tab/>
      </w:r>
      <w:r w:rsidRPr="00591E16">
        <w:rPr>
          <w:rFonts w:ascii="Times New Roman" w:hAnsi="Times New Roman"/>
        </w:rPr>
        <w:tab/>
        <w:t>0.10% Cash Balance</w:t>
      </w:r>
    </w:p>
    <w:p w14:paraId="52EDB27B" w14:textId="4F66DA78" w:rsidR="00E91C7F" w:rsidRPr="00591E16" w:rsidRDefault="00E91C7F" w:rsidP="00E91C7F">
      <w:pPr>
        <w:pStyle w:val="NoSpacing"/>
        <w:ind w:left="-630"/>
        <w:rPr>
          <w:rFonts w:ascii="Times New Roman" w:hAnsi="Times New Roman"/>
        </w:rPr>
      </w:pP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(1.20% Maximum Annual Fee)</w:t>
      </w:r>
    </w:p>
    <w:p w14:paraId="4DED96E8" w14:textId="77777777" w:rsidR="00E91C7F" w:rsidRPr="00591E16" w:rsidRDefault="00E91C7F" w:rsidP="009155DE">
      <w:pPr>
        <w:pStyle w:val="NoSpacing"/>
        <w:rPr>
          <w:rFonts w:ascii="Times New Roman" w:hAnsi="Times New Roman"/>
        </w:rPr>
      </w:pPr>
    </w:p>
    <w:p w14:paraId="2EC31335" w14:textId="77777777" w:rsidR="00E91C7F" w:rsidRPr="00591E16" w:rsidRDefault="00E91C7F" w:rsidP="00E91C7F">
      <w:pPr>
        <w:pStyle w:val="NoSpacing"/>
        <w:ind w:left="-630" w:firstLine="630"/>
        <w:rPr>
          <w:rFonts w:ascii="Times New Roman" w:hAnsi="Times New Roman"/>
        </w:rPr>
      </w:pPr>
      <w:r w:rsidRPr="00591E16">
        <w:rPr>
          <w:rFonts w:ascii="Times New Roman" w:hAnsi="Times New Roman"/>
        </w:rPr>
        <w:t>Farallon Real Estate Partners III</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1.5% (reduced by 15% of</w:t>
      </w:r>
      <w:r w:rsidRPr="00591E16">
        <w:rPr>
          <w:rFonts w:ascii="Times New Roman" w:hAnsi="Times New Roman"/>
        </w:rPr>
        <w:tab/>
        <w:t>20% (6% hurdle rate)</w:t>
      </w:r>
    </w:p>
    <w:p w14:paraId="0CC49254" w14:textId="37D8020A" w:rsidR="00E91C7F" w:rsidRPr="00591E16" w:rsidRDefault="00E91C7F" w:rsidP="00E91C7F">
      <w:pPr>
        <w:pStyle w:val="NoSpacing"/>
        <w:ind w:left="-630"/>
        <w:rPr>
          <w:rFonts w:ascii="Times New Roman" w:hAnsi="Times New Roman"/>
        </w:rPr>
      </w:pP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commitments for reserve)</w:t>
      </w:r>
      <w:r w:rsidRPr="00591E16">
        <w:rPr>
          <w:rFonts w:ascii="Times New Roman" w:hAnsi="Times New Roman"/>
        </w:rPr>
        <w:tab/>
      </w:r>
    </w:p>
    <w:p w14:paraId="28D9090E" w14:textId="1F674667" w:rsidR="00593434" w:rsidRDefault="00593434" w:rsidP="003460C3">
      <w:pPr>
        <w:rPr>
          <w:rStyle w:val="Hyperlink"/>
          <w:rFonts w:ascii="Times New Roman" w:eastAsia="Times New Roman" w:hAnsi="Times New Roman" w:cs="Times New Roman"/>
          <w:b/>
          <w:bCs/>
          <w:kern w:val="32"/>
          <w:sz w:val="24"/>
          <w:szCs w:val="24"/>
        </w:rPr>
      </w:pPr>
    </w:p>
    <w:p w14:paraId="4F7ED1D1" w14:textId="453A5BD6" w:rsidR="00F15056" w:rsidRPr="003207A5" w:rsidRDefault="00F15056" w:rsidP="00F15056">
      <w:pPr>
        <w:pStyle w:val="NoSpacing"/>
        <w:ind w:left="-630"/>
        <w:rPr>
          <w:rFonts w:ascii="Times New Roman" w:hAnsi="Times New Roman"/>
        </w:rPr>
      </w:pPr>
      <w:r>
        <w:rPr>
          <w:rFonts w:ascii="Times New Roman" w:hAnsi="Times New Roman"/>
        </w:rPr>
        <w:t xml:space="preserve">            </w:t>
      </w:r>
      <w:r w:rsidRPr="003207A5">
        <w:rPr>
          <w:rFonts w:ascii="Times New Roman" w:hAnsi="Times New Roman"/>
        </w:rPr>
        <w:t>Singerman Real Estate Opportunity Fund IV</w:t>
      </w:r>
      <w:r w:rsidRPr="003207A5">
        <w:rPr>
          <w:rFonts w:ascii="Times New Roman" w:hAnsi="Times New Roman"/>
        </w:rPr>
        <w:tab/>
      </w:r>
      <w:r w:rsidRPr="003207A5">
        <w:rPr>
          <w:rFonts w:ascii="Times New Roman" w:hAnsi="Times New Roman"/>
        </w:rPr>
        <w:tab/>
        <w:t>1.5% on commitments during</w:t>
      </w:r>
      <w:r w:rsidRPr="003207A5">
        <w:rPr>
          <w:rFonts w:ascii="Times New Roman" w:hAnsi="Times New Roman"/>
        </w:rPr>
        <w:tab/>
        <w:t>20% (8% hurdle rate)</w:t>
      </w:r>
    </w:p>
    <w:p w14:paraId="4F441218" w14:textId="6AE1F4E2" w:rsidR="00F15056" w:rsidRPr="003207A5" w:rsidRDefault="00F15056" w:rsidP="00F15056">
      <w:pPr>
        <w:pStyle w:val="NoSpacing"/>
        <w:ind w:left="-630"/>
        <w:rPr>
          <w:rFonts w:ascii="Times New Roman" w:hAnsi="Times New Roman"/>
        </w:rPr>
      </w:pP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Pr>
          <w:rFonts w:ascii="Times New Roman" w:hAnsi="Times New Roman"/>
        </w:rPr>
        <w:tab/>
      </w:r>
      <w:r w:rsidRPr="003207A5">
        <w:rPr>
          <w:rFonts w:ascii="Times New Roman" w:hAnsi="Times New Roman"/>
        </w:rPr>
        <w:t xml:space="preserve">investment period; 1.5% on </w:t>
      </w:r>
    </w:p>
    <w:p w14:paraId="5055E27F" w14:textId="56B421B9" w:rsidR="00F15056" w:rsidRDefault="00F15056" w:rsidP="00FA584E">
      <w:pPr>
        <w:pStyle w:val="NoSpacing"/>
        <w:ind w:left="-630"/>
        <w:rPr>
          <w:rFonts w:ascii="Times New Roman" w:hAnsi="Times New Roman"/>
        </w:rPr>
      </w:pP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r>
      <w:r>
        <w:rPr>
          <w:rFonts w:ascii="Times New Roman" w:hAnsi="Times New Roman"/>
        </w:rPr>
        <w:tab/>
      </w:r>
      <w:r w:rsidRPr="003207A5">
        <w:rPr>
          <w:rFonts w:ascii="Times New Roman" w:hAnsi="Times New Roman"/>
        </w:rPr>
        <w:t>unreturned contributions</w:t>
      </w:r>
      <w:r w:rsidR="00FA584E">
        <w:rPr>
          <w:rFonts w:ascii="Times New Roman" w:hAnsi="Times New Roman"/>
        </w:rPr>
        <w:t xml:space="preserve"> </w:t>
      </w:r>
      <w:r w:rsidRPr="003207A5">
        <w:rPr>
          <w:rFonts w:ascii="Times New Roman" w:hAnsi="Times New Roman"/>
        </w:rPr>
        <w:t>thereafter</w:t>
      </w:r>
    </w:p>
    <w:p w14:paraId="00630930" w14:textId="77777777" w:rsidR="00F15056" w:rsidRDefault="00F15056" w:rsidP="00C35665">
      <w:pPr>
        <w:pStyle w:val="NoSpacing"/>
        <w:rPr>
          <w:rFonts w:ascii="Times New Roman" w:hAnsi="Times New Roman"/>
        </w:rPr>
      </w:pPr>
    </w:p>
    <w:p w14:paraId="43D5603E" w14:textId="6D4B64B3" w:rsidR="00C35665" w:rsidRPr="00591E16" w:rsidRDefault="00C35665" w:rsidP="00C35665">
      <w:pPr>
        <w:pStyle w:val="NoSpacing"/>
        <w:rPr>
          <w:rFonts w:ascii="Times New Roman" w:hAnsi="Times New Roman"/>
        </w:rPr>
      </w:pPr>
      <w:r w:rsidRPr="00591E16">
        <w:rPr>
          <w:rFonts w:ascii="Times New Roman" w:hAnsi="Times New Roman"/>
        </w:rPr>
        <w:t>Homestead Capital USA Farmland Fund III, L.P.</w:t>
      </w:r>
      <w:r w:rsidRPr="00591E16">
        <w:rPr>
          <w:rFonts w:ascii="Times New Roman" w:hAnsi="Times New Roman"/>
        </w:rPr>
        <w:tab/>
        <w:t>1.5%</w:t>
      </w:r>
      <w:r w:rsidRPr="00591E16">
        <w:rPr>
          <w:rFonts w:ascii="Times New Roman" w:hAnsi="Times New Roman"/>
        </w:rPr>
        <w:tab/>
      </w:r>
      <w:r w:rsidRPr="00591E16">
        <w:rPr>
          <w:rFonts w:ascii="Times New Roman" w:hAnsi="Times New Roman"/>
        </w:rPr>
        <w:tab/>
      </w:r>
      <w:r w:rsidRPr="00591E16">
        <w:rPr>
          <w:rFonts w:ascii="Times New Roman" w:hAnsi="Times New Roman"/>
        </w:rPr>
        <w:tab/>
      </w:r>
      <w:r w:rsidRPr="00591E16">
        <w:rPr>
          <w:rFonts w:ascii="Times New Roman" w:hAnsi="Times New Roman"/>
        </w:rPr>
        <w:tab/>
        <w:t>15% (6% hurdle rate)</w:t>
      </w:r>
    </w:p>
    <w:p w14:paraId="58049BAF" w14:textId="548635F3" w:rsidR="00C35665" w:rsidRDefault="00C35665" w:rsidP="003460C3">
      <w:pPr>
        <w:rPr>
          <w:rStyle w:val="Hyperlink"/>
          <w:rFonts w:ascii="Times New Roman" w:eastAsia="Times New Roman" w:hAnsi="Times New Roman" w:cs="Times New Roman"/>
          <w:b/>
          <w:bCs/>
          <w:kern w:val="32"/>
          <w:sz w:val="24"/>
          <w:szCs w:val="24"/>
        </w:rPr>
      </w:pPr>
    </w:p>
    <w:p w14:paraId="4CDCBB8C" w14:textId="7D0CA4C0" w:rsidR="00F15056" w:rsidRPr="00D85430" w:rsidRDefault="00F15056" w:rsidP="00F15056">
      <w:pPr>
        <w:pStyle w:val="NoSpacing"/>
        <w:rPr>
          <w:rStyle w:val="Hyperlink"/>
          <w:rFonts w:ascii="Times New Roman" w:hAnsi="Times New Roman"/>
          <w:color w:val="auto"/>
          <w:u w:val="none"/>
        </w:rPr>
      </w:pPr>
      <w:r w:rsidRPr="003207A5">
        <w:rPr>
          <w:rFonts w:ascii="Times New Roman" w:hAnsi="Times New Roman"/>
        </w:rPr>
        <w:t>Tembo Capital Mining Fund III</w:t>
      </w:r>
      <w:r w:rsidRPr="003207A5">
        <w:rPr>
          <w:rFonts w:ascii="Times New Roman" w:hAnsi="Times New Roman"/>
        </w:rPr>
        <w:tab/>
      </w:r>
      <w:r w:rsidRPr="003207A5">
        <w:rPr>
          <w:rFonts w:ascii="Times New Roman" w:hAnsi="Times New Roman"/>
        </w:rPr>
        <w:tab/>
      </w:r>
      <w:r w:rsidRPr="003207A5">
        <w:rPr>
          <w:rFonts w:ascii="Times New Roman" w:hAnsi="Times New Roman"/>
        </w:rPr>
        <w:tab/>
      </w:r>
      <w:r>
        <w:rPr>
          <w:rFonts w:ascii="Times New Roman" w:hAnsi="Times New Roman"/>
        </w:rPr>
        <w:tab/>
      </w:r>
      <w:r w:rsidRPr="003207A5">
        <w:rPr>
          <w:rFonts w:ascii="Times New Roman" w:hAnsi="Times New Roman"/>
        </w:rPr>
        <w:t>2.0%</w:t>
      </w:r>
      <w:r w:rsidRPr="003207A5">
        <w:rPr>
          <w:rFonts w:ascii="Times New Roman" w:hAnsi="Times New Roman"/>
        </w:rPr>
        <w:tab/>
      </w:r>
      <w:r w:rsidRPr="003207A5">
        <w:rPr>
          <w:rFonts w:ascii="Times New Roman" w:hAnsi="Times New Roman"/>
        </w:rPr>
        <w:tab/>
      </w:r>
      <w:r w:rsidRPr="003207A5">
        <w:rPr>
          <w:rFonts w:ascii="Times New Roman" w:hAnsi="Times New Roman"/>
        </w:rPr>
        <w:tab/>
      </w:r>
      <w:r w:rsidRPr="003207A5">
        <w:rPr>
          <w:rFonts w:ascii="Times New Roman" w:hAnsi="Times New Roman"/>
        </w:rPr>
        <w:tab/>
        <w:t>15% (8% hurdle rate)</w:t>
      </w:r>
    </w:p>
    <w:sectPr w:rsidR="00F15056" w:rsidRPr="00D85430" w:rsidSect="008B1F2C">
      <w:footerReference w:type="default" r:id="rId18"/>
      <w:footerReference w:type="first" r:id="rId19"/>
      <w:pgSz w:w="12240" w:h="15840"/>
      <w:pgMar w:top="1080" w:right="864" w:bottom="1080" w:left="86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6242" w14:textId="77777777" w:rsidR="008475DA" w:rsidRDefault="008475DA" w:rsidP="00E461D5">
      <w:pPr>
        <w:spacing w:after="0" w:line="240" w:lineRule="auto"/>
      </w:pPr>
      <w:r>
        <w:separator/>
      </w:r>
    </w:p>
  </w:endnote>
  <w:endnote w:type="continuationSeparator" w:id="0">
    <w:p w14:paraId="57FE4EA2" w14:textId="77777777" w:rsidR="008475DA" w:rsidRDefault="008475DA" w:rsidP="00E4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065004"/>
      <w:docPartObj>
        <w:docPartGallery w:val="Page Numbers (Bottom of Page)"/>
        <w:docPartUnique/>
      </w:docPartObj>
    </w:sdtPr>
    <w:sdtEndPr>
      <w:rPr>
        <w:noProof/>
      </w:rPr>
    </w:sdtEndPr>
    <w:sdtContent>
      <w:p w14:paraId="28C2938A" w14:textId="0FC84988" w:rsidR="00DA1613" w:rsidRDefault="00DA1613" w:rsidP="006248EC">
        <w:pPr>
          <w:pStyle w:val="Footer"/>
          <w:jc w:val="right"/>
        </w:pPr>
        <w:r>
          <w:ptab w:relativeTo="indent" w:alignment="center" w:leader="none"/>
        </w:r>
        <w:r>
          <w:ptab w:relativeTo="indent" w:alignment="right" w:leader="none"/>
        </w:r>
        <w:r>
          <w:fldChar w:fldCharType="begin"/>
        </w:r>
        <w:r>
          <w:instrText xml:space="preserve"> PAGE   \* MERGEFORMAT </w:instrText>
        </w:r>
        <w:r>
          <w:fldChar w:fldCharType="separate"/>
        </w:r>
        <w:r w:rsidR="00FE77F9">
          <w:rPr>
            <w:noProof/>
          </w:rPr>
          <w:t>17</w:t>
        </w:r>
        <w:r>
          <w:rPr>
            <w:noProof/>
          </w:rPr>
          <w:fldChar w:fldCharType="end"/>
        </w:r>
        <w:r>
          <w:rPr>
            <w:noProof/>
          </w:rPr>
          <w:t xml:space="preserve"> </w:t>
        </w:r>
      </w:p>
    </w:sdtContent>
  </w:sdt>
  <w:p w14:paraId="4BA2D9B1" w14:textId="77777777" w:rsidR="00DA1613" w:rsidRDefault="00DA1613" w:rsidP="008132C6">
    <w:pPr>
      <w:pStyle w:val="Footer"/>
      <w:jc w:val="center"/>
    </w:pPr>
    <w:r>
      <w:rPr>
        <w:noProof/>
      </w:rPr>
      <w:drawing>
        <wp:inline distT="0" distB="0" distL="0" distR="0" wp14:anchorId="7131CC17" wp14:editId="60A0F2D6">
          <wp:extent cx="3178175" cy="365125"/>
          <wp:effectExtent l="0" t="0" r="3175" b="0"/>
          <wp:docPr id="27" name="Picture 6" descr="University of Illinoi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 descr="University of Illinois System"/>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817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319A" w14:textId="4886033C" w:rsidR="00DA1613" w:rsidRDefault="00DA1613">
    <w:pPr>
      <w:pStyle w:val="Footer"/>
      <w:jc w:val="center"/>
    </w:pPr>
  </w:p>
  <w:p w14:paraId="6E28C8AB" w14:textId="274F4E5E" w:rsidR="00DA1613" w:rsidRDefault="00DA1613" w:rsidP="003D18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E28C" w14:textId="77777777" w:rsidR="008475DA" w:rsidRDefault="008475DA" w:rsidP="00E461D5">
      <w:pPr>
        <w:spacing w:after="0" w:line="240" w:lineRule="auto"/>
      </w:pPr>
      <w:r>
        <w:separator/>
      </w:r>
    </w:p>
  </w:footnote>
  <w:footnote w:type="continuationSeparator" w:id="0">
    <w:p w14:paraId="407F54A3" w14:textId="77777777" w:rsidR="008475DA" w:rsidRDefault="008475DA" w:rsidP="00E46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30E"/>
    <w:multiLevelType w:val="hybridMultilevel"/>
    <w:tmpl w:val="6A827738"/>
    <w:lvl w:ilvl="0" w:tplc="65106DA8">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25FE"/>
    <w:multiLevelType w:val="hybridMultilevel"/>
    <w:tmpl w:val="CE1CBD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B30B6"/>
    <w:multiLevelType w:val="hybridMultilevel"/>
    <w:tmpl w:val="1B248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A0B18"/>
    <w:multiLevelType w:val="hybridMultilevel"/>
    <w:tmpl w:val="7090C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144C3"/>
    <w:multiLevelType w:val="hybridMultilevel"/>
    <w:tmpl w:val="815AD5F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5" w15:restartNumberingAfterBreak="0">
    <w:nsid w:val="1CE94BE1"/>
    <w:multiLevelType w:val="hybridMultilevel"/>
    <w:tmpl w:val="5CD23A56"/>
    <w:lvl w:ilvl="0" w:tplc="65106DA8">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F7549"/>
    <w:multiLevelType w:val="hybridMultilevel"/>
    <w:tmpl w:val="2CD2F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C6A40"/>
    <w:multiLevelType w:val="hybridMultilevel"/>
    <w:tmpl w:val="4AA85D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944DDF"/>
    <w:multiLevelType w:val="hybridMultilevel"/>
    <w:tmpl w:val="2AE01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C3F26"/>
    <w:multiLevelType w:val="hybridMultilevel"/>
    <w:tmpl w:val="26A4A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27386F"/>
    <w:multiLevelType w:val="hybridMultilevel"/>
    <w:tmpl w:val="B3426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84219"/>
    <w:multiLevelType w:val="hybridMultilevel"/>
    <w:tmpl w:val="6F0CA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214E3"/>
    <w:multiLevelType w:val="hybridMultilevel"/>
    <w:tmpl w:val="3A9CD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06AA4"/>
    <w:multiLevelType w:val="hybridMultilevel"/>
    <w:tmpl w:val="D1CAC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7D5EEA"/>
    <w:multiLevelType w:val="hybridMultilevel"/>
    <w:tmpl w:val="BF7EF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4753F"/>
    <w:multiLevelType w:val="hybridMultilevel"/>
    <w:tmpl w:val="BFC0AC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5223B47"/>
    <w:multiLevelType w:val="hybridMultilevel"/>
    <w:tmpl w:val="46708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B54BD"/>
    <w:multiLevelType w:val="hybridMultilevel"/>
    <w:tmpl w:val="3BD00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A7310"/>
    <w:multiLevelType w:val="hybridMultilevel"/>
    <w:tmpl w:val="68EA3A9C"/>
    <w:lvl w:ilvl="0" w:tplc="06A403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85579F"/>
    <w:multiLevelType w:val="hybridMultilevel"/>
    <w:tmpl w:val="84E4B4C2"/>
    <w:lvl w:ilvl="0" w:tplc="1890C5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A412CA"/>
    <w:multiLevelType w:val="hybridMultilevel"/>
    <w:tmpl w:val="A5E82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B5010"/>
    <w:multiLevelType w:val="hybridMultilevel"/>
    <w:tmpl w:val="CAFCDECA"/>
    <w:lvl w:ilvl="0" w:tplc="4874E07E">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7F76A0"/>
    <w:multiLevelType w:val="hybridMultilevel"/>
    <w:tmpl w:val="C172E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02D98"/>
    <w:multiLevelType w:val="hybridMultilevel"/>
    <w:tmpl w:val="FD0E9C5A"/>
    <w:lvl w:ilvl="0" w:tplc="AFCEF8D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2217072">
    <w:abstractNumId w:val="0"/>
  </w:num>
  <w:num w:numId="2" w16cid:durableId="1079207311">
    <w:abstractNumId w:val="5"/>
  </w:num>
  <w:num w:numId="3" w16cid:durableId="1948002566">
    <w:abstractNumId w:val="4"/>
  </w:num>
  <w:num w:numId="4" w16cid:durableId="1807774947">
    <w:abstractNumId w:val="23"/>
  </w:num>
  <w:num w:numId="5" w16cid:durableId="1943025509">
    <w:abstractNumId w:val="13"/>
  </w:num>
  <w:num w:numId="6" w16cid:durableId="535317964">
    <w:abstractNumId w:val="15"/>
  </w:num>
  <w:num w:numId="7" w16cid:durableId="1408576693">
    <w:abstractNumId w:val="9"/>
  </w:num>
  <w:num w:numId="8" w16cid:durableId="1457332748">
    <w:abstractNumId w:val="10"/>
  </w:num>
  <w:num w:numId="9" w16cid:durableId="435059762">
    <w:abstractNumId w:val="22"/>
  </w:num>
  <w:num w:numId="10" w16cid:durableId="537737464">
    <w:abstractNumId w:val="3"/>
  </w:num>
  <w:num w:numId="11" w16cid:durableId="911239857">
    <w:abstractNumId w:val="1"/>
  </w:num>
  <w:num w:numId="12" w16cid:durableId="697895589">
    <w:abstractNumId w:val="19"/>
  </w:num>
  <w:num w:numId="13" w16cid:durableId="1856185885">
    <w:abstractNumId w:val="11"/>
  </w:num>
  <w:num w:numId="14" w16cid:durableId="275218392">
    <w:abstractNumId w:val="14"/>
  </w:num>
  <w:num w:numId="15" w16cid:durableId="394669648">
    <w:abstractNumId w:val="17"/>
  </w:num>
  <w:num w:numId="16" w16cid:durableId="924458573">
    <w:abstractNumId w:val="6"/>
  </w:num>
  <w:num w:numId="17" w16cid:durableId="112094521">
    <w:abstractNumId w:val="20"/>
  </w:num>
  <w:num w:numId="18" w16cid:durableId="951134391">
    <w:abstractNumId w:val="18"/>
  </w:num>
  <w:num w:numId="19" w16cid:durableId="518928044">
    <w:abstractNumId w:val="2"/>
  </w:num>
  <w:num w:numId="20" w16cid:durableId="374887730">
    <w:abstractNumId w:val="21"/>
  </w:num>
  <w:num w:numId="21" w16cid:durableId="697895558">
    <w:abstractNumId w:val="12"/>
  </w:num>
  <w:num w:numId="22" w16cid:durableId="645818534">
    <w:abstractNumId w:val="16"/>
  </w:num>
  <w:num w:numId="23" w16cid:durableId="789855237">
    <w:abstractNumId w:val="8"/>
  </w:num>
  <w:num w:numId="24" w16cid:durableId="1027439502">
    <w:abstractNumId w:val="7"/>
  </w:num>
  <w:num w:numId="25" w16cid:durableId="2132674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3MjYyMTU2NTQ2NTNT0lEKTi0uzszPAykwrAUAqQ4DQiwAAAA="/>
  </w:docVars>
  <w:rsids>
    <w:rsidRoot w:val="00875FE6"/>
    <w:rsid w:val="00003676"/>
    <w:rsid w:val="00004929"/>
    <w:rsid w:val="00007210"/>
    <w:rsid w:val="000147BD"/>
    <w:rsid w:val="000149AE"/>
    <w:rsid w:val="00015A18"/>
    <w:rsid w:val="00015C23"/>
    <w:rsid w:val="00024D67"/>
    <w:rsid w:val="00025A47"/>
    <w:rsid w:val="00025E49"/>
    <w:rsid w:val="0003021F"/>
    <w:rsid w:val="0003477A"/>
    <w:rsid w:val="00041089"/>
    <w:rsid w:val="00042761"/>
    <w:rsid w:val="000431B2"/>
    <w:rsid w:val="00044B67"/>
    <w:rsid w:val="000470E9"/>
    <w:rsid w:val="00053230"/>
    <w:rsid w:val="000562F9"/>
    <w:rsid w:val="00060FB1"/>
    <w:rsid w:val="00061A44"/>
    <w:rsid w:val="00065B5C"/>
    <w:rsid w:val="00065CC2"/>
    <w:rsid w:val="00065E08"/>
    <w:rsid w:val="00076D8B"/>
    <w:rsid w:val="00082AFF"/>
    <w:rsid w:val="00083CB5"/>
    <w:rsid w:val="00087735"/>
    <w:rsid w:val="00092415"/>
    <w:rsid w:val="000927B6"/>
    <w:rsid w:val="0009417B"/>
    <w:rsid w:val="000A0B0C"/>
    <w:rsid w:val="000A1FAA"/>
    <w:rsid w:val="000A295C"/>
    <w:rsid w:val="000A3C09"/>
    <w:rsid w:val="000A3FCE"/>
    <w:rsid w:val="000A48BC"/>
    <w:rsid w:val="000A50BE"/>
    <w:rsid w:val="000B05F2"/>
    <w:rsid w:val="000B24B6"/>
    <w:rsid w:val="000B5DC7"/>
    <w:rsid w:val="000C2213"/>
    <w:rsid w:val="000C41E5"/>
    <w:rsid w:val="000D0E26"/>
    <w:rsid w:val="000D4FA3"/>
    <w:rsid w:val="000E0F96"/>
    <w:rsid w:val="000E1CBF"/>
    <w:rsid w:val="000E37B1"/>
    <w:rsid w:val="000F2A36"/>
    <w:rsid w:val="00100C72"/>
    <w:rsid w:val="0010727A"/>
    <w:rsid w:val="00107347"/>
    <w:rsid w:val="00107521"/>
    <w:rsid w:val="00113A2D"/>
    <w:rsid w:val="001151AD"/>
    <w:rsid w:val="001158AE"/>
    <w:rsid w:val="00117367"/>
    <w:rsid w:val="0012134C"/>
    <w:rsid w:val="00121FD3"/>
    <w:rsid w:val="00122D74"/>
    <w:rsid w:val="0013035C"/>
    <w:rsid w:val="00130A9B"/>
    <w:rsid w:val="00131DEF"/>
    <w:rsid w:val="001409F3"/>
    <w:rsid w:val="00144AB0"/>
    <w:rsid w:val="00151527"/>
    <w:rsid w:val="001557AC"/>
    <w:rsid w:val="00157577"/>
    <w:rsid w:val="00160787"/>
    <w:rsid w:val="00161714"/>
    <w:rsid w:val="0016179F"/>
    <w:rsid w:val="001645DB"/>
    <w:rsid w:val="001676F6"/>
    <w:rsid w:val="00171A1C"/>
    <w:rsid w:val="001742C3"/>
    <w:rsid w:val="00175AF7"/>
    <w:rsid w:val="001779EF"/>
    <w:rsid w:val="00182480"/>
    <w:rsid w:val="00186967"/>
    <w:rsid w:val="00195557"/>
    <w:rsid w:val="00195648"/>
    <w:rsid w:val="0019709E"/>
    <w:rsid w:val="00197538"/>
    <w:rsid w:val="001A0030"/>
    <w:rsid w:val="001A391A"/>
    <w:rsid w:val="001B49BF"/>
    <w:rsid w:val="001C4314"/>
    <w:rsid w:val="001C4547"/>
    <w:rsid w:val="001C4BBB"/>
    <w:rsid w:val="001D0B3F"/>
    <w:rsid w:val="001D268D"/>
    <w:rsid w:val="001D2C17"/>
    <w:rsid w:val="001D751D"/>
    <w:rsid w:val="001D7C85"/>
    <w:rsid w:val="001E7740"/>
    <w:rsid w:val="001F2C2D"/>
    <w:rsid w:val="001F3283"/>
    <w:rsid w:val="001F3F6D"/>
    <w:rsid w:val="001F73DF"/>
    <w:rsid w:val="0020185A"/>
    <w:rsid w:val="002112A5"/>
    <w:rsid w:val="00216524"/>
    <w:rsid w:val="0022073E"/>
    <w:rsid w:val="00221628"/>
    <w:rsid w:val="00222DC5"/>
    <w:rsid w:val="00224D3D"/>
    <w:rsid w:val="00230833"/>
    <w:rsid w:val="002338DB"/>
    <w:rsid w:val="0023756E"/>
    <w:rsid w:val="00242C7E"/>
    <w:rsid w:val="00243F52"/>
    <w:rsid w:val="00251B8B"/>
    <w:rsid w:val="002531AC"/>
    <w:rsid w:val="00254639"/>
    <w:rsid w:val="00254DC5"/>
    <w:rsid w:val="0025621B"/>
    <w:rsid w:val="00256A52"/>
    <w:rsid w:val="00257026"/>
    <w:rsid w:val="002626D3"/>
    <w:rsid w:val="00263FAB"/>
    <w:rsid w:val="0027151B"/>
    <w:rsid w:val="00274F5D"/>
    <w:rsid w:val="00275970"/>
    <w:rsid w:val="00276187"/>
    <w:rsid w:val="002867BA"/>
    <w:rsid w:val="00286A78"/>
    <w:rsid w:val="00290082"/>
    <w:rsid w:val="00294D2F"/>
    <w:rsid w:val="00296296"/>
    <w:rsid w:val="00296A4A"/>
    <w:rsid w:val="002A2409"/>
    <w:rsid w:val="002A2C1E"/>
    <w:rsid w:val="002A4BBD"/>
    <w:rsid w:val="002A4FA7"/>
    <w:rsid w:val="002A7CF6"/>
    <w:rsid w:val="002B1B90"/>
    <w:rsid w:val="002B2068"/>
    <w:rsid w:val="002B58F2"/>
    <w:rsid w:val="002C097C"/>
    <w:rsid w:val="002C0A92"/>
    <w:rsid w:val="002C3769"/>
    <w:rsid w:val="002C48FC"/>
    <w:rsid w:val="002C5CD9"/>
    <w:rsid w:val="002C6602"/>
    <w:rsid w:val="002F0F20"/>
    <w:rsid w:val="002F275B"/>
    <w:rsid w:val="002F2CD9"/>
    <w:rsid w:val="002F32E1"/>
    <w:rsid w:val="002F3944"/>
    <w:rsid w:val="002F6B6E"/>
    <w:rsid w:val="003014AD"/>
    <w:rsid w:val="00303E95"/>
    <w:rsid w:val="0030664D"/>
    <w:rsid w:val="00307B62"/>
    <w:rsid w:val="003114AA"/>
    <w:rsid w:val="00311975"/>
    <w:rsid w:val="00314526"/>
    <w:rsid w:val="003153D7"/>
    <w:rsid w:val="00315A94"/>
    <w:rsid w:val="0031608A"/>
    <w:rsid w:val="00316BB9"/>
    <w:rsid w:val="00322FDC"/>
    <w:rsid w:val="00332BF6"/>
    <w:rsid w:val="00336402"/>
    <w:rsid w:val="0033793D"/>
    <w:rsid w:val="00337EEF"/>
    <w:rsid w:val="00341A39"/>
    <w:rsid w:val="00341BBC"/>
    <w:rsid w:val="0034262A"/>
    <w:rsid w:val="00342F64"/>
    <w:rsid w:val="003460C3"/>
    <w:rsid w:val="003476E2"/>
    <w:rsid w:val="003502AE"/>
    <w:rsid w:val="00351B73"/>
    <w:rsid w:val="003554A7"/>
    <w:rsid w:val="00362DE6"/>
    <w:rsid w:val="003707AC"/>
    <w:rsid w:val="00370E2C"/>
    <w:rsid w:val="00371960"/>
    <w:rsid w:val="003741D2"/>
    <w:rsid w:val="003743F3"/>
    <w:rsid w:val="00375199"/>
    <w:rsid w:val="00375255"/>
    <w:rsid w:val="00376814"/>
    <w:rsid w:val="003769B9"/>
    <w:rsid w:val="0038344D"/>
    <w:rsid w:val="003857E4"/>
    <w:rsid w:val="00386277"/>
    <w:rsid w:val="003904AA"/>
    <w:rsid w:val="003918CD"/>
    <w:rsid w:val="00393251"/>
    <w:rsid w:val="003938E4"/>
    <w:rsid w:val="003A2BD5"/>
    <w:rsid w:val="003A36DB"/>
    <w:rsid w:val="003A4B10"/>
    <w:rsid w:val="003A534A"/>
    <w:rsid w:val="003A572D"/>
    <w:rsid w:val="003B0B84"/>
    <w:rsid w:val="003B2815"/>
    <w:rsid w:val="003B3DF9"/>
    <w:rsid w:val="003B40D1"/>
    <w:rsid w:val="003B4B3F"/>
    <w:rsid w:val="003B4EA7"/>
    <w:rsid w:val="003C06BF"/>
    <w:rsid w:val="003C2B0F"/>
    <w:rsid w:val="003C40D9"/>
    <w:rsid w:val="003C5AD3"/>
    <w:rsid w:val="003D18BC"/>
    <w:rsid w:val="003D3062"/>
    <w:rsid w:val="003D43E5"/>
    <w:rsid w:val="003D6A8B"/>
    <w:rsid w:val="003E1E61"/>
    <w:rsid w:val="003E6CD5"/>
    <w:rsid w:val="00403E69"/>
    <w:rsid w:val="00404B66"/>
    <w:rsid w:val="00405F0A"/>
    <w:rsid w:val="00410600"/>
    <w:rsid w:val="004154B4"/>
    <w:rsid w:val="0041638C"/>
    <w:rsid w:val="004307B4"/>
    <w:rsid w:val="00433E9A"/>
    <w:rsid w:val="00436737"/>
    <w:rsid w:val="00440B4F"/>
    <w:rsid w:val="00440ED7"/>
    <w:rsid w:val="004420D2"/>
    <w:rsid w:val="0044264E"/>
    <w:rsid w:val="004479A3"/>
    <w:rsid w:val="00447A57"/>
    <w:rsid w:val="0045240F"/>
    <w:rsid w:val="00453019"/>
    <w:rsid w:val="00460E4D"/>
    <w:rsid w:val="004621BC"/>
    <w:rsid w:val="0046237A"/>
    <w:rsid w:val="0046305B"/>
    <w:rsid w:val="00463653"/>
    <w:rsid w:val="00465C01"/>
    <w:rsid w:val="004663AB"/>
    <w:rsid w:val="004672B1"/>
    <w:rsid w:val="00470300"/>
    <w:rsid w:val="00470B2F"/>
    <w:rsid w:val="004711B2"/>
    <w:rsid w:val="00474036"/>
    <w:rsid w:val="004742E8"/>
    <w:rsid w:val="00474FEB"/>
    <w:rsid w:val="00475C60"/>
    <w:rsid w:val="004804E1"/>
    <w:rsid w:val="00483123"/>
    <w:rsid w:val="004838A8"/>
    <w:rsid w:val="00485D0C"/>
    <w:rsid w:val="00486CFF"/>
    <w:rsid w:val="00490825"/>
    <w:rsid w:val="00490EED"/>
    <w:rsid w:val="0049289C"/>
    <w:rsid w:val="00494317"/>
    <w:rsid w:val="00495577"/>
    <w:rsid w:val="00497B3E"/>
    <w:rsid w:val="004A1959"/>
    <w:rsid w:val="004A40CA"/>
    <w:rsid w:val="004B04E3"/>
    <w:rsid w:val="004B0A0D"/>
    <w:rsid w:val="004C04C6"/>
    <w:rsid w:val="004C0A87"/>
    <w:rsid w:val="004C111B"/>
    <w:rsid w:val="004C2AC4"/>
    <w:rsid w:val="004C414F"/>
    <w:rsid w:val="004D20F5"/>
    <w:rsid w:val="004D403D"/>
    <w:rsid w:val="004D5927"/>
    <w:rsid w:val="004D62E8"/>
    <w:rsid w:val="004E3DEC"/>
    <w:rsid w:val="004E473B"/>
    <w:rsid w:val="004E5816"/>
    <w:rsid w:val="004F35DD"/>
    <w:rsid w:val="0050048F"/>
    <w:rsid w:val="00500719"/>
    <w:rsid w:val="00501248"/>
    <w:rsid w:val="0051114B"/>
    <w:rsid w:val="005113A9"/>
    <w:rsid w:val="0051146E"/>
    <w:rsid w:val="00514379"/>
    <w:rsid w:val="00514814"/>
    <w:rsid w:val="00516080"/>
    <w:rsid w:val="00517B1D"/>
    <w:rsid w:val="005251CC"/>
    <w:rsid w:val="00525B92"/>
    <w:rsid w:val="00525C5A"/>
    <w:rsid w:val="00526989"/>
    <w:rsid w:val="00536860"/>
    <w:rsid w:val="00537DC3"/>
    <w:rsid w:val="005442CA"/>
    <w:rsid w:val="00545C8D"/>
    <w:rsid w:val="00556C49"/>
    <w:rsid w:val="00560785"/>
    <w:rsid w:val="00562BCC"/>
    <w:rsid w:val="00563D3D"/>
    <w:rsid w:val="00574D9C"/>
    <w:rsid w:val="00576730"/>
    <w:rsid w:val="005801DE"/>
    <w:rsid w:val="00581381"/>
    <w:rsid w:val="00583249"/>
    <w:rsid w:val="005834F9"/>
    <w:rsid w:val="00586759"/>
    <w:rsid w:val="00590F6F"/>
    <w:rsid w:val="00591E16"/>
    <w:rsid w:val="00593434"/>
    <w:rsid w:val="00597733"/>
    <w:rsid w:val="005A197E"/>
    <w:rsid w:val="005A209F"/>
    <w:rsid w:val="005A4913"/>
    <w:rsid w:val="005A7A7B"/>
    <w:rsid w:val="005B6A70"/>
    <w:rsid w:val="005C1F2F"/>
    <w:rsid w:val="005C2AAF"/>
    <w:rsid w:val="005C4872"/>
    <w:rsid w:val="005C6270"/>
    <w:rsid w:val="005C6E99"/>
    <w:rsid w:val="005D1290"/>
    <w:rsid w:val="005D1FB5"/>
    <w:rsid w:val="005E3BD2"/>
    <w:rsid w:val="005E426B"/>
    <w:rsid w:val="005E56CC"/>
    <w:rsid w:val="005F2DCF"/>
    <w:rsid w:val="005F684D"/>
    <w:rsid w:val="0060066C"/>
    <w:rsid w:val="0060292A"/>
    <w:rsid w:val="00603CAC"/>
    <w:rsid w:val="00606DF2"/>
    <w:rsid w:val="00607F64"/>
    <w:rsid w:val="006136AC"/>
    <w:rsid w:val="00616602"/>
    <w:rsid w:val="00620C81"/>
    <w:rsid w:val="00621A03"/>
    <w:rsid w:val="0062329C"/>
    <w:rsid w:val="006248EC"/>
    <w:rsid w:val="006329F5"/>
    <w:rsid w:val="00633081"/>
    <w:rsid w:val="0063405D"/>
    <w:rsid w:val="00635B63"/>
    <w:rsid w:val="00643D26"/>
    <w:rsid w:val="00647DAF"/>
    <w:rsid w:val="006521C8"/>
    <w:rsid w:val="006527F3"/>
    <w:rsid w:val="00652C86"/>
    <w:rsid w:val="0065442E"/>
    <w:rsid w:val="0065474B"/>
    <w:rsid w:val="00656226"/>
    <w:rsid w:val="00656844"/>
    <w:rsid w:val="00657EB2"/>
    <w:rsid w:val="00660227"/>
    <w:rsid w:val="0066269D"/>
    <w:rsid w:val="00663B36"/>
    <w:rsid w:val="00664256"/>
    <w:rsid w:val="0066497F"/>
    <w:rsid w:val="00673E9D"/>
    <w:rsid w:val="006742F8"/>
    <w:rsid w:val="00674C25"/>
    <w:rsid w:val="00675B50"/>
    <w:rsid w:val="00680CC9"/>
    <w:rsid w:val="00681B03"/>
    <w:rsid w:val="0068575C"/>
    <w:rsid w:val="00686478"/>
    <w:rsid w:val="00687B43"/>
    <w:rsid w:val="00691DB0"/>
    <w:rsid w:val="00695B04"/>
    <w:rsid w:val="0069661B"/>
    <w:rsid w:val="006A0E52"/>
    <w:rsid w:val="006A22FB"/>
    <w:rsid w:val="006A403F"/>
    <w:rsid w:val="006B0FF3"/>
    <w:rsid w:val="006B25F0"/>
    <w:rsid w:val="006B6807"/>
    <w:rsid w:val="006B7B1B"/>
    <w:rsid w:val="006C3873"/>
    <w:rsid w:val="006C3DDA"/>
    <w:rsid w:val="006C4493"/>
    <w:rsid w:val="006C5062"/>
    <w:rsid w:val="006C5331"/>
    <w:rsid w:val="006D0702"/>
    <w:rsid w:val="006D3A07"/>
    <w:rsid w:val="006D55EB"/>
    <w:rsid w:val="006E5261"/>
    <w:rsid w:val="006E7811"/>
    <w:rsid w:val="006F4B1E"/>
    <w:rsid w:val="0070008A"/>
    <w:rsid w:val="00700430"/>
    <w:rsid w:val="00701379"/>
    <w:rsid w:val="00701AAB"/>
    <w:rsid w:val="00706B36"/>
    <w:rsid w:val="00714CE6"/>
    <w:rsid w:val="00715B10"/>
    <w:rsid w:val="0072037E"/>
    <w:rsid w:val="00721D8D"/>
    <w:rsid w:val="00722284"/>
    <w:rsid w:val="00723844"/>
    <w:rsid w:val="0072605E"/>
    <w:rsid w:val="00726128"/>
    <w:rsid w:val="00730199"/>
    <w:rsid w:val="007346A1"/>
    <w:rsid w:val="00735236"/>
    <w:rsid w:val="00744182"/>
    <w:rsid w:val="00754C47"/>
    <w:rsid w:val="0075579A"/>
    <w:rsid w:val="00762F2F"/>
    <w:rsid w:val="007669D7"/>
    <w:rsid w:val="00766A64"/>
    <w:rsid w:val="00770C56"/>
    <w:rsid w:val="0078154C"/>
    <w:rsid w:val="0078169E"/>
    <w:rsid w:val="007850CC"/>
    <w:rsid w:val="00785C28"/>
    <w:rsid w:val="007942E6"/>
    <w:rsid w:val="007978C7"/>
    <w:rsid w:val="007A054A"/>
    <w:rsid w:val="007A2841"/>
    <w:rsid w:val="007A7DDE"/>
    <w:rsid w:val="007B41F1"/>
    <w:rsid w:val="007B4942"/>
    <w:rsid w:val="007C2F57"/>
    <w:rsid w:val="007D144B"/>
    <w:rsid w:val="007D1C3B"/>
    <w:rsid w:val="007D3475"/>
    <w:rsid w:val="007E1DC6"/>
    <w:rsid w:val="007E34A6"/>
    <w:rsid w:val="007E4EDE"/>
    <w:rsid w:val="007E5089"/>
    <w:rsid w:val="007F0E35"/>
    <w:rsid w:val="007F125C"/>
    <w:rsid w:val="007F50E9"/>
    <w:rsid w:val="007F5CD0"/>
    <w:rsid w:val="007F7476"/>
    <w:rsid w:val="007F7CBE"/>
    <w:rsid w:val="008013AD"/>
    <w:rsid w:val="008024AF"/>
    <w:rsid w:val="008041A5"/>
    <w:rsid w:val="008132C6"/>
    <w:rsid w:val="00813494"/>
    <w:rsid w:val="008171B1"/>
    <w:rsid w:val="0082209F"/>
    <w:rsid w:val="00822E2A"/>
    <w:rsid w:val="008302F7"/>
    <w:rsid w:val="008305E1"/>
    <w:rsid w:val="00831F88"/>
    <w:rsid w:val="00834304"/>
    <w:rsid w:val="00834C7C"/>
    <w:rsid w:val="00834E84"/>
    <w:rsid w:val="0083539C"/>
    <w:rsid w:val="00836A9E"/>
    <w:rsid w:val="00842302"/>
    <w:rsid w:val="00842ECC"/>
    <w:rsid w:val="008475DA"/>
    <w:rsid w:val="00851E0C"/>
    <w:rsid w:val="00856F38"/>
    <w:rsid w:val="008573B1"/>
    <w:rsid w:val="00861B0F"/>
    <w:rsid w:val="00863A0E"/>
    <w:rsid w:val="00863F2E"/>
    <w:rsid w:val="00865A66"/>
    <w:rsid w:val="00866FE2"/>
    <w:rsid w:val="00875FE6"/>
    <w:rsid w:val="008807AF"/>
    <w:rsid w:val="00881020"/>
    <w:rsid w:val="008817D5"/>
    <w:rsid w:val="00885B11"/>
    <w:rsid w:val="008939DE"/>
    <w:rsid w:val="008943C3"/>
    <w:rsid w:val="00895399"/>
    <w:rsid w:val="00895E37"/>
    <w:rsid w:val="008A25EC"/>
    <w:rsid w:val="008A3C96"/>
    <w:rsid w:val="008A3D46"/>
    <w:rsid w:val="008B0048"/>
    <w:rsid w:val="008B1F2C"/>
    <w:rsid w:val="008C102D"/>
    <w:rsid w:val="008C57CB"/>
    <w:rsid w:val="008C788E"/>
    <w:rsid w:val="008D3210"/>
    <w:rsid w:val="008D4AFA"/>
    <w:rsid w:val="008D4B55"/>
    <w:rsid w:val="008D66D1"/>
    <w:rsid w:val="008E1A03"/>
    <w:rsid w:val="008E2796"/>
    <w:rsid w:val="008E3BF3"/>
    <w:rsid w:val="008E3F25"/>
    <w:rsid w:val="008E432C"/>
    <w:rsid w:val="008E5CF6"/>
    <w:rsid w:val="008E6B27"/>
    <w:rsid w:val="008E6DC0"/>
    <w:rsid w:val="008F0513"/>
    <w:rsid w:val="008F6493"/>
    <w:rsid w:val="008F6A57"/>
    <w:rsid w:val="00903DF4"/>
    <w:rsid w:val="00907C62"/>
    <w:rsid w:val="009116C1"/>
    <w:rsid w:val="009131BA"/>
    <w:rsid w:val="009152AB"/>
    <w:rsid w:val="009155DE"/>
    <w:rsid w:val="00915CE8"/>
    <w:rsid w:val="00917273"/>
    <w:rsid w:val="00917772"/>
    <w:rsid w:val="009216DC"/>
    <w:rsid w:val="00925665"/>
    <w:rsid w:val="0092657E"/>
    <w:rsid w:val="00927B37"/>
    <w:rsid w:val="00934BC7"/>
    <w:rsid w:val="009415CC"/>
    <w:rsid w:val="00945DEC"/>
    <w:rsid w:val="00947907"/>
    <w:rsid w:val="00950F34"/>
    <w:rsid w:val="00951A23"/>
    <w:rsid w:val="00952311"/>
    <w:rsid w:val="00954BA6"/>
    <w:rsid w:val="0095581D"/>
    <w:rsid w:val="009565BB"/>
    <w:rsid w:val="00957E8A"/>
    <w:rsid w:val="0096064C"/>
    <w:rsid w:val="00962EF0"/>
    <w:rsid w:val="0096407B"/>
    <w:rsid w:val="00964F7E"/>
    <w:rsid w:val="00966280"/>
    <w:rsid w:val="009711F9"/>
    <w:rsid w:val="0097272A"/>
    <w:rsid w:val="00972975"/>
    <w:rsid w:val="0097449E"/>
    <w:rsid w:val="00976EEF"/>
    <w:rsid w:val="00982624"/>
    <w:rsid w:val="00984ADD"/>
    <w:rsid w:val="00986199"/>
    <w:rsid w:val="00990379"/>
    <w:rsid w:val="00991080"/>
    <w:rsid w:val="00991C94"/>
    <w:rsid w:val="009978D2"/>
    <w:rsid w:val="009A108F"/>
    <w:rsid w:val="009A50C2"/>
    <w:rsid w:val="009A6970"/>
    <w:rsid w:val="009C22D3"/>
    <w:rsid w:val="009C238B"/>
    <w:rsid w:val="009C69BA"/>
    <w:rsid w:val="009D361A"/>
    <w:rsid w:val="009D6672"/>
    <w:rsid w:val="009D769B"/>
    <w:rsid w:val="009E2B48"/>
    <w:rsid w:val="009E31AD"/>
    <w:rsid w:val="009E342A"/>
    <w:rsid w:val="009E34AA"/>
    <w:rsid w:val="009E3F82"/>
    <w:rsid w:val="009E6275"/>
    <w:rsid w:val="009F11D8"/>
    <w:rsid w:val="009F27F6"/>
    <w:rsid w:val="009F39D2"/>
    <w:rsid w:val="00A121BD"/>
    <w:rsid w:val="00A1406B"/>
    <w:rsid w:val="00A14BA9"/>
    <w:rsid w:val="00A151AC"/>
    <w:rsid w:val="00A21063"/>
    <w:rsid w:val="00A22315"/>
    <w:rsid w:val="00A25BD2"/>
    <w:rsid w:val="00A25FED"/>
    <w:rsid w:val="00A312F4"/>
    <w:rsid w:val="00A323BF"/>
    <w:rsid w:val="00A32948"/>
    <w:rsid w:val="00A33260"/>
    <w:rsid w:val="00A34D5C"/>
    <w:rsid w:val="00A40689"/>
    <w:rsid w:val="00A407AF"/>
    <w:rsid w:val="00A40CD9"/>
    <w:rsid w:val="00A45967"/>
    <w:rsid w:val="00A45A7B"/>
    <w:rsid w:val="00A47992"/>
    <w:rsid w:val="00A47F5A"/>
    <w:rsid w:val="00A51A75"/>
    <w:rsid w:val="00A60FBD"/>
    <w:rsid w:val="00A61701"/>
    <w:rsid w:val="00A640E6"/>
    <w:rsid w:val="00A64170"/>
    <w:rsid w:val="00A6454E"/>
    <w:rsid w:val="00A67550"/>
    <w:rsid w:val="00A67D59"/>
    <w:rsid w:val="00A75066"/>
    <w:rsid w:val="00A83D4E"/>
    <w:rsid w:val="00A85D14"/>
    <w:rsid w:val="00A907B9"/>
    <w:rsid w:val="00A96E09"/>
    <w:rsid w:val="00A97232"/>
    <w:rsid w:val="00AA3F59"/>
    <w:rsid w:val="00AA7CC4"/>
    <w:rsid w:val="00AB1AC4"/>
    <w:rsid w:val="00AB42D0"/>
    <w:rsid w:val="00AB4477"/>
    <w:rsid w:val="00AC50BD"/>
    <w:rsid w:val="00AC51E0"/>
    <w:rsid w:val="00AD02DE"/>
    <w:rsid w:val="00AD2B83"/>
    <w:rsid w:val="00AD5175"/>
    <w:rsid w:val="00AD671E"/>
    <w:rsid w:val="00AF0C22"/>
    <w:rsid w:val="00AF0DD0"/>
    <w:rsid w:val="00AF13E9"/>
    <w:rsid w:val="00AF3984"/>
    <w:rsid w:val="00B051D5"/>
    <w:rsid w:val="00B065AB"/>
    <w:rsid w:val="00B075E5"/>
    <w:rsid w:val="00B100D0"/>
    <w:rsid w:val="00B1247E"/>
    <w:rsid w:val="00B12FE2"/>
    <w:rsid w:val="00B14825"/>
    <w:rsid w:val="00B16B0D"/>
    <w:rsid w:val="00B17533"/>
    <w:rsid w:val="00B30D0D"/>
    <w:rsid w:val="00B31A90"/>
    <w:rsid w:val="00B31B5B"/>
    <w:rsid w:val="00B43424"/>
    <w:rsid w:val="00B435E6"/>
    <w:rsid w:val="00B47798"/>
    <w:rsid w:val="00B50214"/>
    <w:rsid w:val="00B52922"/>
    <w:rsid w:val="00B539F7"/>
    <w:rsid w:val="00B578E6"/>
    <w:rsid w:val="00B646F0"/>
    <w:rsid w:val="00B659FA"/>
    <w:rsid w:val="00B663FF"/>
    <w:rsid w:val="00B66773"/>
    <w:rsid w:val="00B71C6F"/>
    <w:rsid w:val="00B74A3C"/>
    <w:rsid w:val="00B76234"/>
    <w:rsid w:val="00B767B2"/>
    <w:rsid w:val="00B80881"/>
    <w:rsid w:val="00B84039"/>
    <w:rsid w:val="00B8531A"/>
    <w:rsid w:val="00B859DB"/>
    <w:rsid w:val="00BA5EAD"/>
    <w:rsid w:val="00BA61A0"/>
    <w:rsid w:val="00BB08CA"/>
    <w:rsid w:val="00BB4347"/>
    <w:rsid w:val="00BC0956"/>
    <w:rsid w:val="00BC3017"/>
    <w:rsid w:val="00BC3B47"/>
    <w:rsid w:val="00BC56A7"/>
    <w:rsid w:val="00BC6185"/>
    <w:rsid w:val="00BD0F23"/>
    <w:rsid w:val="00BD3958"/>
    <w:rsid w:val="00BE3A80"/>
    <w:rsid w:val="00BE3BFB"/>
    <w:rsid w:val="00BE5644"/>
    <w:rsid w:val="00BE6010"/>
    <w:rsid w:val="00BF1AEA"/>
    <w:rsid w:val="00BF2529"/>
    <w:rsid w:val="00BF3059"/>
    <w:rsid w:val="00BF5824"/>
    <w:rsid w:val="00BF7115"/>
    <w:rsid w:val="00C0143D"/>
    <w:rsid w:val="00C037CC"/>
    <w:rsid w:val="00C06767"/>
    <w:rsid w:val="00C076CF"/>
    <w:rsid w:val="00C0798A"/>
    <w:rsid w:val="00C119EB"/>
    <w:rsid w:val="00C15F97"/>
    <w:rsid w:val="00C16351"/>
    <w:rsid w:val="00C20CE0"/>
    <w:rsid w:val="00C23A83"/>
    <w:rsid w:val="00C246E8"/>
    <w:rsid w:val="00C259F8"/>
    <w:rsid w:val="00C278C5"/>
    <w:rsid w:val="00C34EE2"/>
    <w:rsid w:val="00C35665"/>
    <w:rsid w:val="00C37569"/>
    <w:rsid w:val="00C4081D"/>
    <w:rsid w:val="00C409D2"/>
    <w:rsid w:val="00C41A2D"/>
    <w:rsid w:val="00C456BB"/>
    <w:rsid w:val="00C45BF9"/>
    <w:rsid w:val="00C51922"/>
    <w:rsid w:val="00C51BCB"/>
    <w:rsid w:val="00C63C34"/>
    <w:rsid w:val="00C6716C"/>
    <w:rsid w:val="00C72EEC"/>
    <w:rsid w:val="00C756AB"/>
    <w:rsid w:val="00C84FE5"/>
    <w:rsid w:val="00C87286"/>
    <w:rsid w:val="00C941BE"/>
    <w:rsid w:val="00C96869"/>
    <w:rsid w:val="00C96B5A"/>
    <w:rsid w:val="00C97E2C"/>
    <w:rsid w:val="00CA1322"/>
    <w:rsid w:val="00CA18DE"/>
    <w:rsid w:val="00CB14FD"/>
    <w:rsid w:val="00CB1D7F"/>
    <w:rsid w:val="00CB1F4A"/>
    <w:rsid w:val="00CB3AA6"/>
    <w:rsid w:val="00CB3DEC"/>
    <w:rsid w:val="00CB7E3D"/>
    <w:rsid w:val="00CC3F0F"/>
    <w:rsid w:val="00CC4F1A"/>
    <w:rsid w:val="00CC61BC"/>
    <w:rsid w:val="00CD1D9B"/>
    <w:rsid w:val="00CD2343"/>
    <w:rsid w:val="00CD2547"/>
    <w:rsid w:val="00CD2CDD"/>
    <w:rsid w:val="00CD336D"/>
    <w:rsid w:val="00CD3C44"/>
    <w:rsid w:val="00CD46B9"/>
    <w:rsid w:val="00CD4AA6"/>
    <w:rsid w:val="00CD7DFA"/>
    <w:rsid w:val="00CE2B1D"/>
    <w:rsid w:val="00CE2B33"/>
    <w:rsid w:val="00CE33CA"/>
    <w:rsid w:val="00CF454D"/>
    <w:rsid w:val="00CF479F"/>
    <w:rsid w:val="00CF7228"/>
    <w:rsid w:val="00D00788"/>
    <w:rsid w:val="00D0282A"/>
    <w:rsid w:val="00D04ED0"/>
    <w:rsid w:val="00D0515A"/>
    <w:rsid w:val="00D05FDF"/>
    <w:rsid w:val="00D063D2"/>
    <w:rsid w:val="00D10F2B"/>
    <w:rsid w:val="00D12632"/>
    <w:rsid w:val="00D1427F"/>
    <w:rsid w:val="00D14E7A"/>
    <w:rsid w:val="00D17CCC"/>
    <w:rsid w:val="00D2269C"/>
    <w:rsid w:val="00D24897"/>
    <w:rsid w:val="00D25174"/>
    <w:rsid w:val="00D375D1"/>
    <w:rsid w:val="00D46554"/>
    <w:rsid w:val="00D510BF"/>
    <w:rsid w:val="00D518B1"/>
    <w:rsid w:val="00D5709B"/>
    <w:rsid w:val="00D57636"/>
    <w:rsid w:val="00D579CD"/>
    <w:rsid w:val="00D616D5"/>
    <w:rsid w:val="00D64B0C"/>
    <w:rsid w:val="00D65DDA"/>
    <w:rsid w:val="00D663EA"/>
    <w:rsid w:val="00D7058A"/>
    <w:rsid w:val="00D716A8"/>
    <w:rsid w:val="00D75110"/>
    <w:rsid w:val="00D752B8"/>
    <w:rsid w:val="00D77366"/>
    <w:rsid w:val="00D775A8"/>
    <w:rsid w:val="00D8065F"/>
    <w:rsid w:val="00D816CE"/>
    <w:rsid w:val="00D831B2"/>
    <w:rsid w:val="00D83437"/>
    <w:rsid w:val="00D84095"/>
    <w:rsid w:val="00D87E03"/>
    <w:rsid w:val="00D93D7A"/>
    <w:rsid w:val="00D94F54"/>
    <w:rsid w:val="00D9723A"/>
    <w:rsid w:val="00D97EFD"/>
    <w:rsid w:val="00DA0724"/>
    <w:rsid w:val="00DA1402"/>
    <w:rsid w:val="00DA1613"/>
    <w:rsid w:val="00DA1C16"/>
    <w:rsid w:val="00DA2724"/>
    <w:rsid w:val="00DB2471"/>
    <w:rsid w:val="00DB30AF"/>
    <w:rsid w:val="00DB3F89"/>
    <w:rsid w:val="00DB4037"/>
    <w:rsid w:val="00DB5B98"/>
    <w:rsid w:val="00DB766B"/>
    <w:rsid w:val="00DC1AE3"/>
    <w:rsid w:val="00DC2301"/>
    <w:rsid w:val="00DC416B"/>
    <w:rsid w:val="00DD198E"/>
    <w:rsid w:val="00DD3080"/>
    <w:rsid w:val="00DD3F6E"/>
    <w:rsid w:val="00DD548B"/>
    <w:rsid w:val="00DE3768"/>
    <w:rsid w:val="00DE5B9E"/>
    <w:rsid w:val="00DE6364"/>
    <w:rsid w:val="00DE6D4C"/>
    <w:rsid w:val="00DE7AEF"/>
    <w:rsid w:val="00DF1782"/>
    <w:rsid w:val="00DF1B65"/>
    <w:rsid w:val="00DF1F46"/>
    <w:rsid w:val="00DF2355"/>
    <w:rsid w:val="00DF3F59"/>
    <w:rsid w:val="00E04838"/>
    <w:rsid w:val="00E05923"/>
    <w:rsid w:val="00E06ABB"/>
    <w:rsid w:val="00E1022B"/>
    <w:rsid w:val="00E10CD1"/>
    <w:rsid w:val="00E12422"/>
    <w:rsid w:val="00E13DB8"/>
    <w:rsid w:val="00E170C9"/>
    <w:rsid w:val="00E22096"/>
    <w:rsid w:val="00E22A15"/>
    <w:rsid w:val="00E307A7"/>
    <w:rsid w:val="00E30884"/>
    <w:rsid w:val="00E34CD3"/>
    <w:rsid w:val="00E353E5"/>
    <w:rsid w:val="00E3792C"/>
    <w:rsid w:val="00E44981"/>
    <w:rsid w:val="00E45F92"/>
    <w:rsid w:val="00E461D5"/>
    <w:rsid w:val="00E50E9B"/>
    <w:rsid w:val="00E51CA7"/>
    <w:rsid w:val="00E52CB4"/>
    <w:rsid w:val="00E57397"/>
    <w:rsid w:val="00E65389"/>
    <w:rsid w:val="00E71C12"/>
    <w:rsid w:val="00E72F84"/>
    <w:rsid w:val="00E75484"/>
    <w:rsid w:val="00E76451"/>
    <w:rsid w:val="00E76FAF"/>
    <w:rsid w:val="00E80082"/>
    <w:rsid w:val="00E82A29"/>
    <w:rsid w:val="00E84D90"/>
    <w:rsid w:val="00E91C7F"/>
    <w:rsid w:val="00E9483F"/>
    <w:rsid w:val="00EA0983"/>
    <w:rsid w:val="00EA1F0E"/>
    <w:rsid w:val="00EA7699"/>
    <w:rsid w:val="00EB42B4"/>
    <w:rsid w:val="00EB4E4A"/>
    <w:rsid w:val="00EC11FE"/>
    <w:rsid w:val="00EC4A3F"/>
    <w:rsid w:val="00EC78D8"/>
    <w:rsid w:val="00ED09BA"/>
    <w:rsid w:val="00ED11BB"/>
    <w:rsid w:val="00ED1E6D"/>
    <w:rsid w:val="00ED20A2"/>
    <w:rsid w:val="00ED49F1"/>
    <w:rsid w:val="00ED7348"/>
    <w:rsid w:val="00EE1CB4"/>
    <w:rsid w:val="00EE5B44"/>
    <w:rsid w:val="00EE5F9E"/>
    <w:rsid w:val="00EE7076"/>
    <w:rsid w:val="00EF1815"/>
    <w:rsid w:val="00EF3078"/>
    <w:rsid w:val="00F0151D"/>
    <w:rsid w:val="00F027B6"/>
    <w:rsid w:val="00F02D77"/>
    <w:rsid w:val="00F04B1F"/>
    <w:rsid w:val="00F07B9E"/>
    <w:rsid w:val="00F15056"/>
    <w:rsid w:val="00F15774"/>
    <w:rsid w:val="00F20B94"/>
    <w:rsid w:val="00F22508"/>
    <w:rsid w:val="00F41052"/>
    <w:rsid w:val="00F41115"/>
    <w:rsid w:val="00F411F8"/>
    <w:rsid w:val="00F436FD"/>
    <w:rsid w:val="00F44187"/>
    <w:rsid w:val="00F4463D"/>
    <w:rsid w:val="00F44F00"/>
    <w:rsid w:val="00F45F9E"/>
    <w:rsid w:val="00F47234"/>
    <w:rsid w:val="00F5377A"/>
    <w:rsid w:val="00F5378F"/>
    <w:rsid w:val="00F651A2"/>
    <w:rsid w:val="00F65311"/>
    <w:rsid w:val="00F67198"/>
    <w:rsid w:val="00F701FA"/>
    <w:rsid w:val="00F7069E"/>
    <w:rsid w:val="00F70824"/>
    <w:rsid w:val="00F71320"/>
    <w:rsid w:val="00F836C1"/>
    <w:rsid w:val="00F86120"/>
    <w:rsid w:val="00F87908"/>
    <w:rsid w:val="00F87C9B"/>
    <w:rsid w:val="00F940B8"/>
    <w:rsid w:val="00F94443"/>
    <w:rsid w:val="00F94B09"/>
    <w:rsid w:val="00F96C7B"/>
    <w:rsid w:val="00F96DAB"/>
    <w:rsid w:val="00FA26DE"/>
    <w:rsid w:val="00FA36FB"/>
    <w:rsid w:val="00FA46B8"/>
    <w:rsid w:val="00FA584E"/>
    <w:rsid w:val="00FA662F"/>
    <w:rsid w:val="00FB4A5D"/>
    <w:rsid w:val="00FB58B8"/>
    <w:rsid w:val="00FB673B"/>
    <w:rsid w:val="00FC492B"/>
    <w:rsid w:val="00FC624C"/>
    <w:rsid w:val="00FD60C1"/>
    <w:rsid w:val="00FD76C0"/>
    <w:rsid w:val="00FE540F"/>
    <w:rsid w:val="00FE77F9"/>
    <w:rsid w:val="00FE7DC0"/>
    <w:rsid w:val="00FF12AE"/>
    <w:rsid w:val="00FF2015"/>
    <w:rsid w:val="00FF64D0"/>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54856"/>
  <w15:docId w15:val="{3F75C6F7-5E15-4BF9-AE8E-49B53BEC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C56"/>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D4E"/>
    <w:rPr>
      <w:color w:val="0563C1" w:themeColor="hyperlink"/>
      <w:u w:val="single"/>
    </w:rPr>
  </w:style>
  <w:style w:type="paragraph" w:styleId="ListParagraph">
    <w:name w:val="List Paragraph"/>
    <w:basedOn w:val="Normal"/>
    <w:uiPriority w:val="34"/>
    <w:qFormat/>
    <w:rsid w:val="00A83D4E"/>
    <w:pPr>
      <w:ind w:left="720"/>
      <w:contextualSpacing/>
    </w:pPr>
  </w:style>
  <w:style w:type="paragraph" w:styleId="Header">
    <w:name w:val="header"/>
    <w:basedOn w:val="Normal"/>
    <w:link w:val="HeaderChar"/>
    <w:uiPriority w:val="99"/>
    <w:unhideWhenUsed/>
    <w:rsid w:val="00E46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1D5"/>
  </w:style>
  <w:style w:type="paragraph" w:styleId="Footer">
    <w:name w:val="footer"/>
    <w:basedOn w:val="Normal"/>
    <w:link w:val="FooterChar"/>
    <w:uiPriority w:val="99"/>
    <w:unhideWhenUsed/>
    <w:qFormat/>
    <w:rsid w:val="00E46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1D5"/>
  </w:style>
  <w:style w:type="paragraph" w:styleId="BalloonText">
    <w:name w:val="Balloon Text"/>
    <w:basedOn w:val="Normal"/>
    <w:link w:val="BalloonTextChar"/>
    <w:uiPriority w:val="99"/>
    <w:semiHidden/>
    <w:unhideWhenUsed/>
    <w:rsid w:val="007C2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F57"/>
    <w:rPr>
      <w:rFonts w:ascii="Segoe UI" w:hAnsi="Segoe UI" w:cs="Segoe UI"/>
      <w:sz w:val="18"/>
      <w:szCs w:val="18"/>
    </w:rPr>
  </w:style>
  <w:style w:type="character" w:styleId="CommentReference">
    <w:name w:val="annotation reference"/>
    <w:basedOn w:val="DefaultParagraphFont"/>
    <w:uiPriority w:val="99"/>
    <w:semiHidden/>
    <w:unhideWhenUsed/>
    <w:rsid w:val="00F71320"/>
    <w:rPr>
      <w:sz w:val="16"/>
      <w:szCs w:val="16"/>
    </w:rPr>
  </w:style>
  <w:style w:type="paragraph" w:styleId="CommentText">
    <w:name w:val="annotation text"/>
    <w:basedOn w:val="Normal"/>
    <w:link w:val="CommentTextChar"/>
    <w:uiPriority w:val="99"/>
    <w:semiHidden/>
    <w:unhideWhenUsed/>
    <w:rsid w:val="00F71320"/>
    <w:pPr>
      <w:spacing w:line="240" w:lineRule="auto"/>
    </w:pPr>
    <w:rPr>
      <w:sz w:val="20"/>
      <w:szCs w:val="20"/>
    </w:rPr>
  </w:style>
  <w:style w:type="character" w:customStyle="1" w:styleId="CommentTextChar">
    <w:name w:val="Comment Text Char"/>
    <w:basedOn w:val="DefaultParagraphFont"/>
    <w:link w:val="CommentText"/>
    <w:uiPriority w:val="99"/>
    <w:semiHidden/>
    <w:rsid w:val="00F71320"/>
    <w:rPr>
      <w:sz w:val="20"/>
      <w:szCs w:val="20"/>
    </w:rPr>
  </w:style>
  <w:style w:type="paragraph" w:styleId="CommentSubject">
    <w:name w:val="annotation subject"/>
    <w:basedOn w:val="CommentText"/>
    <w:next w:val="CommentText"/>
    <w:link w:val="CommentSubjectChar"/>
    <w:uiPriority w:val="99"/>
    <w:semiHidden/>
    <w:unhideWhenUsed/>
    <w:rsid w:val="00F71320"/>
    <w:rPr>
      <w:b/>
      <w:bCs/>
    </w:rPr>
  </w:style>
  <w:style w:type="character" w:customStyle="1" w:styleId="CommentSubjectChar">
    <w:name w:val="Comment Subject Char"/>
    <w:basedOn w:val="CommentTextChar"/>
    <w:link w:val="CommentSubject"/>
    <w:uiPriority w:val="99"/>
    <w:semiHidden/>
    <w:rsid w:val="00F71320"/>
    <w:rPr>
      <w:b/>
      <w:bCs/>
      <w:sz w:val="20"/>
      <w:szCs w:val="20"/>
    </w:rPr>
  </w:style>
  <w:style w:type="character" w:styleId="FollowedHyperlink">
    <w:name w:val="FollowedHyperlink"/>
    <w:basedOn w:val="DefaultParagraphFont"/>
    <w:uiPriority w:val="99"/>
    <w:semiHidden/>
    <w:unhideWhenUsed/>
    <w:rsid w:val="004154B4"/>
    <w:rPr>
      <w:color w:val="954F72" w:themeColor="followedHyperlink"/>
      <w:u w:val="single"/>
    </w:rPr>
  </w:style>
  <w:style w:type="table" w:styleId="TableGrid">
    <w:name w:val="Table Grid"/>
    <w:basedOn w:val="TableNormal"/>
    <w:uiPriority w:val="39"/>
    <w:rsid w:val="00A2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367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770C56"/>
    <w:rPr>
      <w:rFonts w:ascii="Cambria" w:eastAsia="Times New Roman" w:hAnsi="Cambria" w:cs="Times New Roman"/>
      <w:b/>
      <w:bCs/>
      <w:kern w:val="32"/>
      <w:sz w:val="32"/>
      <w:szCs w:val="32"/>
    </w:rPr>
  </w:style>
  <w:style w:type="paragraph" w:styleId="NoSpacing">
    <w:name w:val="No Spacing"/>
    <w:uiPriority w:val="1"/>
    <w:qFormat/>
    <w:rsid w:val="00770C56"/>
    <w:pPr>
      <w:spacing w:after="0" w:line="240" w:lineRule="auto"/>
    </w:pPr>
    <w:rPr>
      <w:rFonts w:ascii="Calibri" w:eastAsia="Calibri" w:hAnsi="Calibri" w:cs="Times New Roman"/>
    </w:rPr>
  </w:style>
  <w:style w:type="paragraph" w:styleId="Revision">
    <w:name w:val="Revision"/>
    <w:hidden/>
    <w:uiPriority w:val="99"/>
    <w:semiHidden/>
    <w:rsid w:val="00BC0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51318">
      <w:bodyDiv w:val="1"/>
      <w:marLeft w:val="0"/>
      <w:marRight w:val="0"/>
      <w:marTop w:val="0"/>
      <w:marBottom w:val="0"/>
      <w:divBdr>
        <w:top w:val="none" w:sz="0" w:space="0" w:color="auto"/>
        <w:left w:val="none" w:sz="0" w:space="0" w:color="auto"/>
        <w:bottom w:val="none" w:sz="0" w:space="0" w:color="auto"/>
        <w:right w:val="none" w:sz="0" w:space="0" w:color="auto"/>
      </w:divBdr>
    </w:div>
    <w:div w:id="497162503">
      <w:bodyDiv w:val="1"/>
      <w:marLeft w:val="0"/>
      <w:marRight w:val="0"/>
      <w:marTop w:val="0"/>
      <w:marBottom w:val="0"/>
      <w:divBdr>
        <w:top w:val="none" w:sz="0" w:space="0" w:color="auto"/>
        <w:left w:val="none" w:sz="0" w:space="0" w:color="auto"/>
        <w:bottom w:val="none" w:sz="0" w:space="0" w:color="auto"/>
        <w:right w:val="none" w:sz="0" w:space="0" w:color="auto"/>
      </w:divBdr>
    </w:div>
    <w:div w:id="741148916">
      <w:bodyDiv w:val="1"/>
      <w:marLeft w:val="0"/>
      <w:marRight w:val="0"/>
      <w:marTop w:val="0"/>
      <w:marBottom w:val="0"/>
      <w:divBdr>
        <w:top w:val="none" w:sz="0" w:space="0" w:color="auto"/>
        <w:left w:val="none" w:sz="0" w:space="0" w:color="auto"/>
        <w:bottom w:val="none" w:sz="0" w:space="0" w:color="auto"/>
        <w:right w:val="none" w:sz="0" w:space="0" w:color="auto"/>
      </w:divBdr>
    </w:div>
    <w:div w:id="744762529">
      <w:bodyDiv w:val="1"/>
      <w:marLeft w:val="0"/>
      <w:marRight w:val="0"/>
      <w:marTop w:val="0"/>
      <w:marBottom w:val="0"/>
      <w:divBdr>
        <w:top w:val="none" w:sz="0" w:space="0" w:color="auto"/>
        <w:left w:val="none" w:sz="0" w:space="0" w:color="auto"/>
        <w:bottom w:val="none" w:sz="0" w:space="0" w:color="auto"/>
        <w:right w:val="none" w:sz="0" w:space="0" w:color="auto"/>
      </w:divBdr>
    </w:div>
    <w:div w:id="748692923">
      <w:bodyDiv w:val="1"/>
      <w:marLeft w:val="0"/>
      <w:marRight w:val="0"/>
      <w:marTop w:val="0"/>
      <w:marBottom w:val="0"/>
      <w:divBdr>
        <w:top w:val="none" w:sz="0" w:space="0" w:color="auto"/>
        <w:left w:val="none" w:sz="0" w:space="0" w:color="auto"/>
        <w:bottom w:val="none" w:sz="0" w:space="0" w:color="auto"/>
        <w:right w:val="none" w:sz="0" w:space="0" w:color="auto"/>
      </w:divBdr>
    </w:div>
    <w:div w:id="828328962">
      <w:bodyDiv w:val="1"/>
      <w:marLeft w:val="0"/>
      <w:marRight w:val="0"/>
      <w:marTop w:val="0"/>
      <w:marBottom w:val="0"/>
      <w:divBdr>
        <w:top w:val="none" w:sz="0" w:space="0" w:color="auto"/>
        <w:left w:val="none" w:sz="0" w:space="0" w:color="auto"/>
        <w:bottom w:val="none" w:sz="0" w:space="0" w:color="auto"/>
        <w:right w:val="none" w:sz="0" w:space="0" w:color="auto"/>
      </w:divBdr>
    </w:div>
    <w:div w:id="1095057034">
      <w:bodyDiv w:val="1"/>
      <w:marLeft w:val="0"/>
      <w:marRight w:val="0"/>
      <w:marTop w:val="0"/>
      <w:marBottom w:val="0"/>
      <w:divBdr>
        <w:top w:val="none" w:sz="0" w:space="0" w:color="auto"/>
        <w:left w:val="none" w:sz="0" w:space="0" w:color="auto"/>
        <w:bottom w:val="none" w:sz="0" w:space="0" w:color="auto"/>
        <w:right w:val="none" w:sz="0" w:space="0" w:color="auto"/>
      </w:divBdr>
    </w:div>
    <w:div w:id="1272660807">
      <w:bodyDiv w:val="1"/>
      <w:marLeft w:val="0"/>
      <w:marRight w:val="0"/>
      <w:marTop w:val="0"/>
      <w:marBottom w:val="0"/>
      <w:divBdr>
        <w:top w:val="none" w:sz="0" w:space="0" w:color="auto"/>
        <w:left w:val="none" w:sz="0" w:space="0" w:color="auto"/>
        <w:bottom w:val="none" w:sz="0" w:space="0" w:color="auto"/>
        <w:right w:val="none" w:sz="0" w:space="0" w:color="auto"/>
      </w:divBdr>
    </w:div>
    <w:div w:id="1687096978">
      <w:bodyDiv w:val="1"/>
      <w:marLeft w:val="0"/>
      <w:marRight w:val="0"/>
      <w:marTop w:val="0"/>
      <w:marBottom w:val="0"/>
      <w:divBdr>
        <w:top w:val="none" w:sz="0" w:space="0" w:color="auto"/>
        <w:left w:val="none" w:sz="0" w:space="0" w:color="auto"/>
        <w:bottom w:val="none" w:sz="0" w:space="0" w:color="auto"/>
        <w:right w:val="none" w:sz="0" w:space="0" w:color="auto"/>
      </w:divBdr>
    </w:div>
    <w:div w:id="1696031918">
      <w:bodyDiv w:val="1"/>
      <w:marLeft w:val="0"/>
      <w:marRight w:val="0"/>
      <w:marTop w:val="0"/>
      <w:marBottom w:val="0"/>
      <w:divBdr>
        <w:top w:val="none" w:sz="0" w:space="0" w:color="auto"/>
        <w:left w:val="none" w:sz="0" w:space="0" w:color="auto"/>
        <w:bottom w:val="none" w:sz="0" w:space="0" w:color="auto"/>
        <w:right w:val="none" w:sz="0" w:space="0" w:color="auto"/>
      </w:divBdr>
    </w:div>
    <w:div w:id="1776368739">
      <w:bodyDiv w:val="1"/>
      <w:marLeft w:val="0"/>
      <w:marRight w:val="0"/>
      <w:marTop w:val="0"/>
      <w:marBottom w:val="0"/>
      <w:divBdr>
        <w:top w:val="none" w:sz="0" w:space="0" w:color="auto"/>
        <w:left w:val="none" w:sz="0" w:space="0" w:color="auto"/>
        <w:bottom w:val="none" w:sz="0" w:space="0" w:color="auto"/>
        <w:right w:val="none" w:sz="0" w:space="0" w:color="auto"/>
      </w:divBdr>
    </w:div>
    <w:div w:id="19907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i.uillinois.edu\obfs\files\Treasury\Investments\Administration\Source%20Data\Source%20Data_6.3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minfile1\obfs_treasury\Investments\Administration\Source%20Data\Source%20Data_6.30.20.xlsx" TargetMode="External"/><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ui.uillinois.edu\obfs\files\Treasury\Investments\Administration\Source%20Data\Source%20Data_6.30.20.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adminfile1\obfs_treasury\Investments\Administration\Source%20Data\Source%20Data_6.30.20.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oleObject" Target="file:///\\ui.uillinois.edu\obfs\files\Treasury\Investments\Administration\Source%20Data\Source%20Data_3.31.22.xlsx" TargetMode="External"/><Relationship Id="rId2" Type="http://schemas.microsoft.com/office/2011/relationships/chartColorStyle" Target="colors7.xml"/><Relationship Id="rId1" Type="http://schemas.microsoft.com/office/2011/relationships/chartStyle" Target="style7.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ui.uillinois.edu\obfs\files\Treasury\Investments\Administration\Source%20Data\Source%20Data_6.3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Lato" panose="020F0502020204030203" pitchFamily="34" charset="0"/>
                <a:ea typeface="Lato" panose="020F0502020204030203" pitchFamily="34" charset="0"/>
                <a:cs typeface="Lato" panose="020F0502020204030203" pitchFamily="34" charset="0"/>
              </a:defRPr>
            </a:pPr>
            <a:r>
              <a:rPr lang="en-US" sz="1200" b="1">
                <a:latin typeface="Times New Roman" panose="02020603050405020304" pitchFamily="18" charset="0"/>
                <a:cs typeface="Times New Roman" panose="02020603050405020304" pitchFamily="18" charset="0"/>
              </a:rPr>
              <a:t>System</a:t>
            </a:r>
            <a:r>
              <a:rPr lang="en-US" sz="1200" b="1" baseline="0">
                <a:latin typeface="Times New Roman" panose="02020603050405020304" pitchFamily="18" charset="0"/>
                <a:cs typeface="Times New Roman" panose="02020603050405020304" pitchFamily="18" charset="0"/>
              </a:rPr>
              <a:t> Financial Assets</a:t>
            </a:r>
          </a:p>
          <a:p>
            <a:pPr>
              <a:defRPr/>
            </a:pPr>
            <a:r>
              <a:rPr lang="en-US" sz="1100" baseline="0">
                <a:latin typeface="Times New Roman" panose="02020603050405020304" pitchFamily="18" charset="0"/>
                <a:cs typeface="Times New Roman" panose="02020603050405020304" pitchFamily="18" charset="0"/>
              </a:rPr>
              <a:t>$4.57 Billion</a:t>
            </a:r>
            <a:endParaRPr lang="en-US" sz="1100">
              <a:latin typeface="Times New Roman" panose="02020603050405020304" pitchFamily="18" charset="0"/>
              <a:cs typeface="Times New Roman" panose="02020603050405020304" pitchFamily="18" charset="0"/>
            </a:endParaRPr>
          </a:p>
        </c:rich>
      </c:tx>
      <c:layout>
        <c:manualLayout>
          <c:xMode val="edge"/>
          <c:yMode val="edge"/>
          <c:x val="0.10185841466550739"/>
          <c:y val="0"/>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Lato" panose="020F0502020204030203" pitchFamily="34" charset="0"/>
              <a:ea typeface="Lato" panose="020F0502020204030203" pitchFamily="34" charset="0"/>
              <a:cs typeface="Lato" panose="020F0502020204030203" pitchFamily="34" charset="0"/>
            </a:defRPr>
          </a:pPr>
          <a:endParaRPr lang="en-US"/>
        </a:p>
      </c:txPr>
    </c:title>
    <c:autoTitleDeleted val="0"/>
    <c:plotArea>
      <c:layout/>
      <c:pieChart>
        <c:varyColors val="1"/>
        <c:ser>
          <c:idx val="0"/>
          <c:order val="0"/>
          <c:tx>
            <c:strRef>
              <c:f>Sheet1!$B$1</c:f>
              <c:strCache>
                <c:ptCount val="1"/>
                <c:pt idx="0">
                  <c:v>Column1</c:v>
                </c:pt>
              </c:strCache>
            </c:strRef>
          </c:tx>
          <c:spPr>
            <a:ln w="6350"/>
          </c:spPr>
          <c:dPt>
            <c:idx val="0"/>
            <c:bubble3D val="0"/>
            <c:spPr>
              <a:solidFill>
                <a:srgbClr val="002060"/>
              </a:solidFill>
              <a:ln w="9525">
                <a:solidFill>
                  <a:schemeClr val="lt1"/>
                </a:solidFill>
              </a:ln>
              <a:effectLst/>
            </c:spPr>
            <c:extLst>
              <c:ext xmlns:c16="http://schemas.microsoft.com/office/drawing/2014/chart" uri="{C3380CC4-5D6E-409C-BE32-E72D297353CC}">
                <c16:uniqueId val="{00000001-C91D-4543-8A0D-5DC9DE9C5F28}"/>
              </c:ext>
            </c:extLst>
          </c:dPt>
          <c:dPt>
            <c:idx val="1"/>
            <c:bubble3D val="0"/>
            <c:spPr>
              <a:solidFill>
                <a:srgbClr val="7030A0"/>
              </a:solidFill>
              <a:ln w="6350">
                <a:solidFill>
                  <a:schemeClr val="lt1"/>
                </a:solidFill>
              </a:ln>
              <a:effectLst/>
            </c:spPr>
            <c:extLst>
              <c:ext xmlns:c16="http://schemas.microsoft.com/office/drawing/2014/chart" uri="{C3380CC4-5D6E-409C-BE32-E72D297353CC}">
                <c16:uniqueId val="{00000003-C91D-4543-8A0D-5DC9DE9C5F28}"/>
              </c:ext>
            </c:extLst>
          </c:dPt>
          <c:dPt>
            <c:idx val="2"/>
            <c:bubble3D val="0"/>
            <c:spPr>
              <a:solidFill>
                <a:srgbClr val="0070C0"/>
              </a:solidFill>
              <a:ln w="6350">
                <a:solidFill>
                  <a:schemeClr val="lt1"/>
                </a:solidFill>
              </a:ln>
              <a:effectLst/>
            </c:spPr>
            <c:extLst>
              <c:ext xmlns:c16="http://schemas.microsoft.com/office/drawing/2014/chart" uri="{C3380CC4-5D6E-409C-BE32-E72D297353CC}">
                <c16:uniqueId val="{00000005-C91D-4543-8A0D-5DC9DE9C5F28}"/>
              </c:ext>
            </c:extLst>
          </c:dPt>
          <c:dPt>
            <c:idx val="3"/>
            <c:bubble3D val="0"/>
            <c:spPr>
              <a:solidFill>
                <a:schemeClr val="accent4">
                  <a:lumMod val="75000"/>
                </a:schemeClr>
              </a:solidFill>
              <a:ln w="6350">
                <a:solidFill>
                  <a:schemeClr val="lt1"/>
                </a:solidFill>
              </a:ln>
              <a:effectLst/>
            </c:spPr>
            <c:extLst>
              <c:ext xmlns:c16="http://schemas.microsoft.com/office/drawing/2014/chart" uri="{C3380CC4-5D6E-409C-BE32-E72D297353CC}">
                <c16:uniqueId val="{00000007-C91D-4543-8A0D-5DC9DE9C5F28}"/>
              </c:ext>
            </c:extLst>
          </c:dPt>
          <c:dLbls>
            <c:dLbl>
              <c:idx val="0"/>
              <c:layout>
                <c:manualLayout>
                  <c:x val="-4.4910299898360297E-2"/>
                  <c:y val="1.9639912345862515E-2"/>
                </c:manualLayout>
              </c:layout>
              <c:tx>
                <c:rich>
                  <a:bodyPr/>
                  <a:lstStyle/>
                  <a:p>
                    <a:fld id="{85E662DB-6451-4200-82E4-361A8839E6DA}" type="CATEGORYNAME">
                      <a:rPr lang="en-US" smtClean="0"/>
                      <a:pPr/>
                      <a:t>[CATEGORY NAME]</a:t>
                    </a:fld>
                    <a:endParaRPr lang="en-US" baseline="0" dirty="0"/>
                  </a:p>
                  <a:p>
                    <a:r>
                      <a:rPr lang="en-US" baseline="0" dirty="0"/>
                      <a:t> </a:t>
                    </a:r>
                    <a:fld id="{FC05E0BE-8FF4-41D1-8E78-42BB700ABECD}" type="PERCENTAGE">
                      <a:rPr lang="en-US" baseline="0"/>
                      <a:pPr/>
                      <a:t>[PERCENTAGE]</a:t>
                    </a:fld>
                    <a:endParaRPr lang="en-US" baseline="0" dirty="0"/>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949912103606244"/>
                      <c:h val="0.23505607697605804"/>
                    </c:manualLayout>
                  </c15:layout>
                  <c15:dlblFieldTable/>
                  <c15:showDataLabelsRange val="0"/>
                </c:ext>
                <c:ext xmlns:c16="http://schemas.microsoft.com/office/drawing/2014/chart" uri="{C3380CC4-5D6E-409C-BE32-E72D297353CC}">
                  <c16:uniqueId val="{00000001-C91D-4543-8A0D-5DC9DE9C5F28}"/>
                </c:ext>
              </c:extLst>
            </c:dLbl>
            <c:dLbl>
              <c:idx val="1"/>
              <c:layout>
                <c:manualLayout>
                  <c:x val="2.9394937607915651E-2"/>
                  <c:y val="3.1555303818154717E-2"/>
                </c:manualLayout>
              </c:layout>
              <c:tx>
                <c:rich>
                  <a:bodyPr/>
                  <a:lstStyle/>
                  <a:p>
                    <a:fld id="{EA1B003A-3928-4AE4-84D2-08AF68F0AF08}" type="CATEGORYNAME">
                      <a:rPr lang="en-US" smtClean="0"/>
                      <a:pPr/>
                      <a:t>[CATEGORY NAME]</a:t>
                    </a:fld>
                    <a:endParaRPr lang="en-US" baseline="0"/>
                  </a:p>
                  <a:p>
                    <a:fld id="{A31EDD7D-0EF2-436A-A2DE-9E033481F3C0}" type="PERCENTAGE">
                      <a:rPr lang="en-US" baseline="0" smtClean="0"/>
                      <a:pPr/>
                      <a:t>[PERCENTAGE]</a:t>
                    </a:fld>
                    <a:endParaRPr 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7710806037213032"/>
                      <c:h val="0.23505607697605804"/>
                    </c:manualLayout>
                  </c15:layout>
                  <c15:dlblFieldTable/>
                  <c15:showDataLabelsRange val="0"/>
                </c:ext>
                <c:ext xmlns:c16="http://schemas.microsoft.com/office/drawing/2014/chart" uri="{C3380CC4-5D6E-409C-BE32-E72D297353CC}">
                  <c16:uniqueId val="{00000003-C91D-4543-8A0D-5DC9DE9C5F28}"/>
                </c:ext>
              </c:extLst>
            </c:dLbl>
            <c:dLbl>
              <c:idx val="2"/>
              <c:layout>
                <c:manualLayout>
                  <c:x val="3.2276606948237224E-2"/>
                  <c:y val="0.13155418957064324"/>
                </c:manualLayout>
              </c:layout>
              <c:tx>
                <c:rich>
                  <a:bodyPr/>
                  <a:lstStyle/>
                  <a:p>
                    <a:fld id="{76E79644-7807-4F34-9C73-2E044763CE39}" type="CATEGORYNAME">
                      <a:rPr lang="en-US" smtClean="0"/>
                      <a:pPr/>
                      <a:t>[CATEGORY NAME]</a:t>
                    </a:fld>
                    <a:endParaRPr lang="en-US" baseline="0" dirty="0"/>
                  </a:p>
                  <a:p>
                    <a:r>
                      <a:rPr lang="en-US" baseline="0" dirty="0"/>
                      <a:t> </a:t>
                    </a:r>
                    <a:fld id="{B57E0C9B-DE9C-482A-BB90-79464399A7EC}" type="PERCENTAGE">
                      <a:rPr lang="en-US" baseline="0"/>
                      <a:pPr/>
                      <a:t>[PERCENTAGE]</a:t>
                    </a:fld>
                    <a:endParaRPr lang="en-US" baseline="0" dirty="0"/>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2238211682035695"/>
                      <c:h val="0.23505607697605804"/>
                    </c:manualLayout>
                  </c15:layout>
                  <c15:dlblFieldTable/>
                  <c15:showDataLabelsRange val="0"/>
                </c:ext>
                <c:ext xmlns:c16="http://schemas.microsoft.com/office/drawing/2014/chart" uri="{C3380CC4-5D6E-409C-BE32-E72D297353CC}">
                  <c16:uniqueId val="{00000005-C91D-4543-8A0D-5DC9DE9C5F28}"/>
                </c:ext>
              </c:extLst>
            </c:dLbl>
            <c:dLbl>
              <c:idx val="3"/>
              <c:layout>
                <c:manualLayout>
                  <c:x val="6.6874027993779159E-2"/>
                  <c:y val="4.716981132075472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7163297045101087"/>
                      <c:h val="0.1768867924528302"/>
                    </c:manualLayout>
                  </c15:layout>
                </c:ext>
                <c:ext xmlns:c16="http://schemas.microsoft.com/office/drawing/2014/chart" uri="{C3380CC4-5D6E-409C-BE32-E72D297353CC}">
                  <c16:uniqueId val="{00000007-C91D-4543-8A0D-5DC9DE9C5F28}"/>
                </c:ext>
              </c:extLst>
            </c:dLbl>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Times New Roman" panose="02020603050405020304" pitchFamily="18" charset="0"/>
                    <a:ea typeface="Lato" panose="020F0502020204030203" pitchFamily="34" charset="0"/>
                    <a:cs typeface="Times New Roman" panose="02020603050405020304" pitchFamily="18" charset="0"/>
                  </a:defRPr>
                </a:pPr>
                <a:endParaRPr lang="en-US"/>
              </a:p>
            </c:txPr>
            <c:dLblPos val="outEnd"/>
            <c:showLegendKey val="0"/>
            <c:showVal val="0"/>
            <c:showCatName val="1"/>
            <c:showSerName val="0"/>
            <c:showPercent val="1"/>
            <c:showBubbleSize val="0"/>
            <c:separator>
</c:separator>
            <c:showLeaderLines val="0"/>
            <c:extLst>
              <c:ext xmlns:c15="http://schemas.microsoft.com/office/drawing/2012/chart" uri="{CE6537A1-D6FC-4f65-9D91-7224C49458BB}"/>
            </c:extLst>
          </c:dLbls>
          <c:cat>
            <c:strRef>
              <c:f>Sheet1!$A$2:$A$5</c:f>
              <c:strCache>
                <c:ptCount val="4"/>
                <c:pt idx="0">
                  <c:v>Operating Pool</c:v>
                </c:pt>
                <c:pt idx="1">
                  <c:v>Permanent Core</c:v>
                </c:pt>
                <c:pt idx="2">
                  <c:v>Endowment Funds</c:v>
                </c:pt>
                <c:pt idx="3">
                  <c:v>Endowment Farms</c:v>
                </c:pt>
              </c:strCache>
            </c:strRef>
          </c:cat>
          <c:val>
            <c:numRef>
              <c:f>Sheet1!$B$2:$B$5</c:f>
              <c:numCache>
                <c:formatCode>"$"#,##0.0_);[Red]\("$"#,##0.0\)</c:formatCode>
                <c:ptCount val="4"/>
                <c:pt idx="0">
                  <c:v>3429.6</c:v>
                </c:pt>
                <c:pt idx="1">
                  <c:v>556.1</c:v>
                </c:pt>
                <c:pt idx="2">
                  <c:v>472.5</c:v>
                </c:pt>
                <c:pt idx="3">
                  <c:v>109.6</c:v>
                </c:pt>
              </c:numCache>
            </c:numRef>
          </c:val>
          <c:extLst>
            <c:ext xmlns:c16="http://schemas.microsoft.com/office/drawing/2014/chart" uri="{C3380CC4-5D6E-409C-BE32-E72D297353CC}">
              <c16:uniqueId val="{00000008-C91D-4543-8A0D-5DC9DE9C5F28}"/>
            </c:ext>
          </c:extLst>
        </c:ser>
        <c:ser>
          <c:idx val="1"/>
          <c:order val="1"/>
          <c:tx>
            <c:strRef>
              <c:f>Sheet1!$C$1</c:f>
              <c:strCache>
                <c:ptCount val="1"/>
                <c:pt idx="0">
                  <c:v>Column2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C91D-4543-8A0D-5DC9DE9C5F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C91D-4543-8A0D-5DC9DE9C5F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C91D-4543-8A0D-5DC9DE9C5F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C91D-4543-8A0D-5DC9DE9C5F28}"/>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Lato" panose="020F0502020204030203" pitchFamily="34" charset="0"/>
                    <a:ea typeface="Lato" panose="020F0502020204030203" pitchFamily="34" charset="0"/>
                    <a:cs typeface="Lato" panose="020F0502020204030203" pitchFamily="34" charset="0"/>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Operating Pool</c:v>
                </c:pt>
                <c:pt idx="1">
                  <c:v>Permanent Core</c:v>
                </c:pt>
                <c:pt idx="2">
                  <c:v>Endowment Funds</c:v>
                </c:pt>
                <c:pt idx="3">
                  <c:v>Endowment Farms</c:v>
                </c:pt>
              </c:strCache>
            </c:strRef>
          </c:cat>
          <c:val>
            <c:numRef>
              <c:f>Sheet1!$C$2:$C$5</c:f>
              <c:numCache>
                <c:formatCode>0.0%</c:formatCode>
                <c:ptCount val="4"/>
                <c:pt idx="0">
                  <c:v>0.75082096414028632</c:v>
                </c:pt>
                <c:pt idx="1">
                  <c:v>0.12174350891019747</c:v>
                </c:pt>
                <c:pt idx="2">
                  <c:v>0.10344148167608039</c:v>
                </c:pt>
                <c:pt idx="3">
                  <c:v>2.3994045273435786E-2</c:v>
                </c:pt>
              </c:numCache>
            </c:numRef>
          </c:val>
          <c:extLst>
            <c:ext xmlns:c16="http://schemas.microsoft.com/office/drawing/2014/chart" uri="{C3380CC4-5D6E-409C-BE32-E72D297353CC}">
              <c16:uniqueId val="{00000011-C91D-4543-8A0D-5DC9DE9C5F28}"/>
            </c:ext>
          </c:extLst>
        </c:ser>
        <c:dLbls>
          <c:showLegendKey val="0"/>
          <c:showVal val="0"/>
          <c:showCatName val="1"/>
          <c:showSerName val="0"/>
          <c:showPercent val="1"/>
          <c:showBubbleSize val="0"/>
          <c:showLeaderLines val="0"/>
        </c:dLbls>
        <c:firstSliceAng val="34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Lato" panose="020F0502020204030203" pitchFamily="34" charset="0"/>
          <a:ea typeface="Lato" panose="020F0502020204030203" pitchFamily="34" charset="0"/>
          <a:cs typeface="Lato" panose="020F0502020204030203"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t>Endowment Pool Sources of Funding</a:t>
            </a:r>
          </a:p>
          <a:p>
            <a:pPr>
              <a:defRPr sz="1200"/>
            </a:pPr>
            <a:r>
              <a:rPr lang="en-US" sz="1100"/>
              <a:t>$1.03 Billion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
          <c:y val="0.18431685622630503"/>
          <c:w val="0.98611111111111116"/>
          <c:h val="0.75914406532516765"/>
        </c:manualLayout>
      </c:layout>
      <c:ofPieChart>
        <c:ofPieType val="bar"/>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45-4568-950F-37BC724E5D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45-4568-950F-37BC724E5D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45-4568-950F-37BC724E5D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F45-4568-950F-37BC724E5DC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F45-4568-950F-37BC724E5DC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F45-4568-950F-37BC724E5DC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F45-4568-950F-37BC724E5DC1}"/>
              </c:ext>
            </c:extLst>
          </c:dPt>
          <c:dLbls>
            <c:dLbl>
              <c:idx val="0"/>
              <c:layout>
                <c:manualLayout>
                  <c:x val="0.17104541932258469"/>
                  <c:y val="7.4110527850676847E-4"/>
                </c:manualLayout>
              </c:layout>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fld id="{CDCA958A-5632-4557-A0D4-55F939F0AC71}" type="CATEGORYNAME">
                      <a:rPr lang="en-US" sz="1000">
                        <a:solidFill>
                          <a:schemeClr val="bg1"/>
                        </a:solidFill>
                      </a:rPr>
                      <a:pPr>
                        <a:defRPr sz="1000"/>
                      </a:pPr>
                      <a:t>[CATEGORY NAME]</a:t>
                    </a:fld>
                    <a:r>
                      <a:rPr lang="en-US" sz="1000" baseline="0">
                        <a:solidFill>
                          <a:schemeClr val="bg1"/>
                        </a:solidFill>
                      </a:rPr>
                      <a:t>
</a:t>
                    </a:r>
                    <a:fld id="{6CCBCC26-5F66-40C1-AEF9-C5FA0120C577}" type="PERCENTAGE">
                      <a:rPr lang="en-US" sz="1000" baseline="0">
                        <a:solidFill>
                          <a:schemeClr val="bg1"/>
                        </a:solidFill>
                      </a:rPr>
                      <a:pPr>
                        <a:defRPr sz="1000"/>
                      </a:pPr>
                      <a:t>[PERCENTAGE]</a:t>
                    </a:fld>
                    <a:endParaRPr lang="en-US" sz="1000" baseline="0">
                      <a:solidFill>
                        <a:schemeClr val="bg1"/>
                      </a:solidFill>
                    </a:endParaRPr>
                  </a:p>
                </c:rich>
              </c:tx>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F45-4568-950F-37BC724E5DC1}"/>
                </c:ext>
              </c:extLst>
            </c:dLbl>
            <c:dLbl>
              <c:idx val="1"/>
              <c:layout>
                <c:manualLayout>
                  <c:x val="1.1904511936007998E-3"/>
                  <c:y val="-1.8518518518518476E-2"/>
                </c:manualLayout>
              </c:layout>
              <c:spPr>
                <a:noFill/>
                <a:ln>
                  <a:noFill/>
                </a:ln>
                <a:effectLst/>
              </c:spPr>
              <c:txPr>
                <a:bodyPr rot="0" spcFirstLastPara="1" vertOverflow="ellipsis" vert="horz" wrap="square" anchor="ctr" anchorCtr="0"/>
                <a:lstStyle/>
                <a:p>
                  <a:pPr algn="l">
                    <a:defRPr sz="900" b="0" i="0" u="none" strike="noStrike" kern="1200" baseline="0">
                      <a:solidFill>
                        <a:schemeClr val="accent2"/>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F45-4568-950F-37BC724E5DC1}"/>
                </c:ext>
              </c:extLst>
            </c:dLbl>
            <c:dLbl>
              <c:idx val="2"/>
              <c:layout>
                <c:manualLayout>
                  <c:x val="0"/>
                  <c:y val="-6.4814814814814811E-2"/>
                </c:manualLayout>
              </c:layout>
              <c:spPr>
                <a:noFill/>
                <a:ln>
                  <a:noFill/>
                </a:ln>
                <a:effectLst/>
              </c:spPr>
              <c:txPr>
                <a:bodyPr rot="0" spcFirstLastPara="1" vertOverflow="ellipsis" vert="horz" wrap="square" anchor="ctr" anchorCtr="0"/>
                <a:lstStyle/>
                <a:p>
                  <a:pPr algn="l">
                    <a:defRPr sz="9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F45-4568-950F-37BC724E5DC1}"/>
                </c:ext>
              </c:extLst>
            </c:dLbl>
            <c:dLbl>
              <c:idx val="3"/>
              <c:layout>
                <c:manualLayout>
                  <c:x val="-7.8110236220472443E-4"/>
                  <c:y val="-2.7777960046660836E-2"/>
                </c:manualLayout>
              </c:layout>
              <c:tx>
                <c:rich>
                  <a:bodyPr rot="0" spcFirstLastPara="1" vertOverflow="ellipsis" vert="horz" wrap="square" anchor="ctr" anchorCtr="0"/>
                  <a:lstStyle/>
                  <a:p>
                    <a:pPr algn="l">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fld id="{DA54200D-224F-481F-8AAC-F94B13366023}" type="CATEGORYNAME">
                      <a:rPr lang="en-US">
                        <a:solidFill>
                          <a:schemeClr val="accent4"/>
                        </a:solidFill>
                      </a:rPr>
                      <a:pPr algn="l">
                        <a:defRPr/>
                      </a:pPr>
                      <a:t>[CATEGORY NAME]</a:t>
                    </a:fld>
                    <a:r>
                      <a:rPr lang="en-US" baseline="0">
                        <a:solidFill>
                          <a:schemeClr val="accent4"/>
                        </a:solidFill>
                      </a:rPr>
                      <a:t>
</a:t>
                    </a:r>
                    <a:fld id="{017782D2-A550-4FFA-A5AB-6AF25117FF6D}" type="PERCENTAGE">
                      <a:rPr lang="en-US" baseline="0">
                        <a:solidFill>
                          <a:schemeClr val="accent4"/>
                        </a:solidFill>
                      </a:rPr>
                      <a:pPr algn="l">
                        <a:defRPr/>
                      </a:pPr>
                      <a:t>[PERCENTAGE]</a:t>
                    </a:fld>
                    <a:endParaRPr lang="en-US" baseline="0">
                      <a:solidFill>
                        <a:schemeClr val="accent4"/>
                      </a:solidFill>
                    </a:endParaRPr>
                  </a:p>
                </c:rich>
              </c:tx>
              <c:spPr>
                <a:noFill/>
                <a:ln>
                  <a:noFill/>
                </a:ln>
                <a:effectLst/>
              </c:spPr>
              <c:txPr>
                <a:bodyPr rot="0" spcFirstLastPara="1" vertOverflow="ellipsis" vert="horz" wrap="square" anchor="ctr" anchorCtr="0"/>
                <a:lstStyle/>
                <a:p>
                  <a:pPr algn="l">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08403324584427"/>
                      <c:h val="0.15756962671332747"/>
                    </c:manualLayout>
                  </c15:layout>
                  <c15:dlblFieldTable/>
                  <c15:showDataLabelsRange val="0"/>
                </c:ext>
                <c:ext xmlns:c16="http://schemas.microsoft.com/office/drawing/2014/chart" uri="{C3380CC4-5D6E-409C-BE32-E72D297353CC}">
                  <c16:uniqueId val="{00000007-7F45-4568-950F-37BC724E5DC1}"/>
                </c:ext>
              </c:extLst>
            </c:dLbl>
            <c:dLbl>
              <c:idx val="4"/>
              <c:layout>
                <c:manualLayout>
                  <c:x val="0"/>
                  <c:y val="3.7037037037037035E-2"/>
                </c:manualLayout>
              </c:layout>
              <c:tx>
                <c:rich>
                  <a:bodyPr rot="0" spcFirstLastPara="1" vertOverflow="ellipsis" vert="horz" wrap="square" anchor="ctr" anchorCtr="0"/>
                  <a:lstStyle/>
                  <a:p>
                    <a:pPr algn="l">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fld id="{36FE842C-6BF7-462C-9EC9-215E5F497A83}" type="CATEGORYNAME">
                      <a:rPr lang="en-US">
                        <a:solidFill>
                          <a:schemeClr val="accent1">
                            <a:lumMod val="75000"/>
                          </a:schemeClr>
                        </a:solidFill>
                      </a:rPr>
                      <a:pPr algn="l">
                        <a:defRPr/>
                      </a:pPr>
                      <a:t>[CATEGORY NAME]</a:t>
                    </a:fld>
                    <a:r>
                      <a:rPr lang="en-US" baseline="0">
                        <a:solidFill>
                          <a:schemeClr val="accent1">
                            <a:lumMod val="75000"/>
                          </a:schemeClr>
                        </a:solidFill>
                      </a:rPr>
                      <a:t>
</a:t>
                    </a:r>
                    <a:fld id="{1D853DE0-8ABB-4377-8D40-F12ECFD95AA3}" type="PERCENTAGE">
                      <a:rPr lang="en-US" baseline="0">
                        <a:solidFill>
                          <a:schemeClr val="accent1">
                            <a:lumMod val="75000"/>
                          </a:schemeClr>
                        </a:solidFill>
                      </a:rPr>
                      <a:pPr algn="l">
                        <a:defRPr/>
                      </a:pPr>
                      <a:t>[PERCENTAGE]</a:t>
                    </a:fld>
                    <a:endParaRPr lang="en-US" baseline="0">
                      <a:solidFill>
                        <a:schemeClr val="accent1">
                          <a:lumMod val="75000"/>
                        </a:schemeClr>
                      </a:solidFill>
                    </a:endParaRPr>
                  </a:p>
                </c:rich>
              </c:tx>
              <c:spPr>
                <a:noFill/>
                <a:ln>
                  <a:noFill/>
                </a:ln>
                <a:effectLst/>
              </c:spPr>
              <c:txPr>
                <a:bodyPr rot="0" spcFirstLastPara="1" vertOverflow="ellipsis" vert="horz" wrap="square" anchor="ctr" anchorCtr="0"/>
                <a:lstStyle/>
                <a:p>
                  <a:pPr algn="l">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F45-4568-950F-37BC724E5DC1}"/>
                </c:ext>
              </c:extLst>
            </c:dLbl>
            <c:dLbl>
              <c:idx val="5"/>
              <c:layout>
                <c:manualLayout>
                  <c:x val="-3.9675040619931824E-4"/>
                  <c:y val="9.2592592592592421E-2"/>
                </c:manualLayout>
              </c:layout>
              <c:spPr>
                <a:noFill/>
                <a:ln>
                  <a:noFill/>
                </a:ln>
                <a:effectLst/>
              </c:spPr>
              <c:txPr>
                <a:bodyPr rot="0" spcFirstLastPara="1" vertOverflow="ellipsis" vert="horz" wrap="square" anchor="ctr" anchorCtr="0"/>
                <a:lstStyle/>
                <a:p>
                  <a:pPr algn="l">
                    <a:defRPr sz="900" b="0" i="0" u="none" strike="noStrike" kern="1200" baseline="0">
                      <a:solidFill>
                        <a:schemeClr val="accent6"/>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F45-4568-950F-37BC724E5DC1}"/>
                </c:ext>
              </c:extLst>
            </c:dLbl>
            <c:dLbl>
              <c:idx val="6"/>
              <c:layout>
                <c:manualLayout>
                  <c:x val="-0.25838940132483446"/>
                  <c:y val="-1.6081583552055992E-3"/>
                </c:manualLayout>
              </c:layout>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solidFill>
                          <a:schemeClr val="bg1"/>
                        </a:solidFill>
                      </a:rPr>
                      <a:t>Endowment Funds
</a:t>
                    </a:r>
                    <a:fld id="{B36992E0-ADFD-4AD6-8003-E32A6971CCC7}" type="PERCENTAGE">
                      <a:rPr lang="en-US" sz="1000">
                        <a:solidFill>
                          <a:schemeClr val="bg1"/>
                        </a:solidFill>
                      </a:rPr>
                      <a:pPr>
                        <a:defRPr sz="1000"/>
                      </a:pPr>
                      <a:t>[PERCENTAGE]</a:t>
                    </a:fld>
                    <a:endParaRPr lang="en-US" sz="1000">
                      <a:solidFill>
                        <a:schemeClr val="bg1"/>
                      </a:solidFill>
                    </a:endParaRPr>
                  </a:p>
                </c:rich>
              </c:tx>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7359733158355209"/>
                      <c:h val="0.15756962671332747"/>
                    </c:manualLayout>
                  </c15:layout>
                  <c15:dlblFieldTable/>
                  <c15:showDataLabelsRange val="0"/>
                </c:ext>
                <c:ext xmlns:c16="http://schemas.microsoft.com/office/drawing/2014/chart" uri="{C3380CC4-5D6E-409C-BE32-E72D297353CC}">
                  <c16:uniqueId val="{0000000D-7F45-4568-950F-37BC724E5DC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'Total Endowment Fund'!$A$14:$A$19</c:f>
              <c:strCache>
                <c:ptCount val="6"/>
                <c:pt idx="0">
                  <c:v>Permament Core</c:v>
                </c:pt>
                <c:pt idx="1">
                  <c:v>Gifts</c:v>
                </c:pt>
                <c:pt idx="2">
                  <c:v>Royalties</c:v>
                </c:pt>
                <c:pt idx="3">
                  <c:v>Self-Insurance Reserves</c:v>
                </c:pt>
                <c:pt idx="4">
                  <c:v>Farm-Related</c:v>
                </c:pt>
                <c:pt idx="5">
                  <c:v>Other</c:v>
                </c:pt>
              </c:strCache>
            </c:strRef>
          </c:cat>
          <c:val>
            <c:numRef>
              <c:f>'Total Endowment Fund'!$B$14:$B$19</c:f>
              <c:numCache>
                <c:formatCode>0%</c:formatCode>
                <c:ptCount val="6"/>
                <c:pt idx="0">
                  <c:v>0.54001113520999156</c:v>
                </c:pt>
                <c:pt idx="1">
                  <c:v>0.24949045818454532</c:v>
                </c:pt>
                <c:pt idx="2">
                  <c:v>7.7175901185386336E-2</c:v>
                </c:pt>
                <c:pt idx="3">
                  <c:v>6.7715469725485075E-2</c:v>
                </c:pt>
                <c:pt idx="4">
                  <c:v>3.2178577158893718E-2</c:v>
                </c:pt>
                <c:pt idx="5">
                  <c:v>3.3428458535697994E-2</c:v>
                </c:pt>
              </c:numCache>
            </c:numRef>
          </c:val>
          <c:extLst>
            <c:ext xmlns:c16="http://schemas.microsoft.com/office/drawing/2014/chart" uri="{C3380CC4-5D6E-409C-BE32-E72D297353CC}">
              <c16:uniqueId val="{0000000E-7F45-4568-950F-37BC724E5DC1}"/>
            </c:ext>
          </c:extLst>
        </c:ser>
        <c:dLbls>
          <c:dLblPos val="bestFit"/>
          <c:showLegendKey val="0"/>
          <c:showVal val="0"/>
          <c:showCatName val="1"/>
          <c:showSerName val="0"/>
          <c:showPercent val="1"/>
          <c:showBubbleSize val="0"/>
          <c:showLeaderLines val="0"/>
        </c:dLbls>
        <c:gapWidth val="100"/>
        <c:splitType val="pos"/>
        <c:splitPos val="5"/>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1">
                <a:latin typeface="Times New Roman" panose="02020603050405020304" pitchFamily="18" charset="0"/>
                <a:cs typeface="Times New Roman" panose="02020603050405020304" pitchFamily="18" charset="0"/>
              </a:rPr>
              <a:t>Endowment Pool by Asset Category Policy Ranges </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'Endowment Pool Asset Allocation'!$B$25</c:f>
              <c:strCache>
                <c:ptCount val="1"/>
                <c:pt idx="0">
                  <c:v>Bottom End of Range</c:v>
                </c:pt>
              </c:strCache>
            </c:strRef>
          </c:tx>
          <c:spPr>
            <a:noFill/>
            <a:ln>
              <a:noFill/>
            </a:ln>
            <a:effectLst/>
          </c:spPr>
          <c:invertIfNegative val="0"/>
          <c:cat>
            <c:strRef>
              <c:f>'Endowment Pool Asset Allocation'!$A$26:$A$30</c:f>
              <c:strCache>
                <c:ptCount val="5"/>
                <c:pt idx="0">
                  <c:v>Global Equity</c:v>
                </c:pt>
                <c:pt idx="1">
                  <c:v>Global Fixed Income</c:v>
                </c:pt>
                <c:pt idx="2">
                  <c:v>Real Assets</c:v>
                </c:pt>
                <c:pt idx="3">
                  <c:v>Diversifying Strategies</c:v>
                </c:pt>
                <c:pt idx="4">
                  <c:v>Cash</c:v>
                </c:pt>
              </c:strCache>
            </c:strRef>
          </c:cat>
          <c:val>
            <c:numRef>
              <c:f>'Endowment Pool Asset Allocation'!$B$26:$B$30</c:f>
              <c:numCache>
                <c:formatCode>0%</c:formatCode>
                <c:ptCount val="5"/>
                <c:pt idx="0">
                  <c:v>0.48</c:v>
                </c:pt>
                <c:pt idx="1">
                  <c:v>0.15</c:v>
                </c:pt>
                <c:pt idx="2">
                  <c:v>0.09</c:v>
                </c:pt>
                <c:pt idx="3">
                  <c:v>0.03</c:v>
                </c:pt>
                <c:pt idx="4">
                  <c:v>0</c:v>
                </c:pt>
              </c:numCache>
            </c:numRef>
          </c:val>
          <c:extLst>
            <c:ext xmlns:c16="http://schemas.microsoft.com/office/drawing/2014/chart" uri="{C3380CC4-5D6E-409C-BE32-E72D297353CC}">
              <c16:uniqueId val="{00000000-507D-489E-B9CB-FB30B521AF8C}"/>
            </c:ext>
          </c:extLst>
        </c:ser>
        <c:ser>
          <c:idx val="1"/>
          <c:order val="1"/>
          <c:tx>
            <c:strRef>
              <c:f>'Endowment Pool Asset Allocation'!$C$25</c:f>
              <c:strCache>
                <c:ptCount val="1"/>
                <c:pt idx="0">
                  <c:v>Policy Allocation Range</c:v>
                </c:pt>
              </c:strCache>
            </c:strRef>
          </c:tx>
          <c:spPr>
            <a:solidFill>
              <a:schemeClr val="accent1">
                <a:lumMod val="50000"/>
              </a:schemeClr>
            </a:solidFill>
            <a:ln>
              <a:noFill/>
            </a:ln>
            <a:effectLst/>
          </c:spPr>
          <c:invertIfNegative val="0"/>
          <c:cat>
            <c:strRef>
              <c:f>'Endowment Pool Asset Allocation'!$A$26:$A$30</c:f>
              <c:strCache>
                <c:ptCount val="5"/>
                <c:pt idx="0">
                  <c:v>Global Equity</c:v>
                </c:pt>
                <c:pt idx="1">
                  <c:v>Global Fixed Income</c:v>
                </c:pt>
                <c:pt idx="2">
                  <c:v>Real Assets</c:v>
                </c:pt>
                <c:pt idx="3">
                  <c:v>Diversifying Strategies</c:v>
                </c:pt>
                <c:pt idx="4">
                  <c:v>Cash</c:v>
                </c:pt>
              </c:strCache>
            </c:strRef>
          </c:cat>
          <c:val>
            <c:numRef>
              <c:f>'Endowment Pool Asset Allocation'!$C$26:$C$30</c:f>
              <c:numCache>
                <c:formatCode>0%</c:formatCode>
                <c:ptCount val="5"/>
                <c:pt idx="0">
                  <c:v>0.2</c:v>
                </c:pt>
                <c:pt idx="1">
                  <c:v>0.1</c:v>
                </c:pt>
                <c:pt idx="2">
                  <c:v>0.1</c:v>
                </c:pt>
                <c:pt idx="3">
                  <c:v>0.1</c:v>
                </c:pt>
                <c:pt idx="4">
                  <c:v>0</c:v>
                </c:pt>
              </c:numCache>
            </c:numRef>
          </c:val>
          <c:extLst>
            <c:ext xmlns:c16="http://schemas.microsoft.com/office/drawing/2014/chart" uri="{C3380CC4-5D6E-409C-BE32-E72D297353CC}">
              <c16:uniqueId val="{00000001-507D-489E-B9CB-FB30B521AF8C}"/>
            </c:ext>
          </c:extLst>
        </c:ser>
        <c:dLbls>
          <c:showLegendKey val="0"/>
          <c:showVal val="0"/>
          <c:showCatName val="0"/>
          <c:showSerName val="0"/>
          <c:showPercent val="0"/>
          <c:showBubbleSize val="0"/>
        </c:dLbls>
        <c:gapWidth val="219"/>
        <c:overlap val="100"/>
        <c:axId val="497568912"/>
        <c:axId val="497564976"/>
      </c:barChart>
      <c:scatterChart>
        <c:scatterStyle val="lineMarker"/>
        <c:varyColors val="0"/>
        <c:ser>
          <c:idx val="2"/>
          <c:order val="2"/>
          <c:tx>
            <c:strRef>
              <c:f>'Endowment Pool Asset Allocation'!$E$25</c:f>
              <c:strCache>
                <c:ptCount val="1"/>
                <c:pt idx="0">
                  <c:v>Actual Allocation</c:v>
                </c:pt>
              </c:strCache>
            </c:strRef>
          </c:tx>
          <c:spPr>
            <a:ln w="25400" cap="rnd">
              <a:noFill/>
              <a:round/>
            </a:ln>
            <a:effectLst/>
          </c:spPr>
          <c:marker>
            <c:symbol val="circle"/>
            <c:size val="5"/>
            <c:spPr>
              <a:solidFill>
                <a:schemeClr val="accent3"/>
              </a:solidFill>
              <a:ln w="9525">
                <a:solidFill>
                  <a:schemeClr val="accent3"/>
                </a:solidFill>
              </a:ln>
              <a:effectLst/>
            </c:spPr>
          </c:marker>
          <c:dLbls>
            <c:dLbl>
              <c:idx val="0"/>
              <c:layout>
                <c:manualLayout>
                  <c:x val="2.65604249667994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7D-489E-B9CB-FB30B521AF8C}"/>
                </c:ext>
              </c:extLst>
            </c:dLbl>
            <c:dLbl>
              <c:idx val="1"/>
              <c:layout>
                <c:manualLayout>
                  <c:x val="1.85922974767596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7D-489E-B9CB-FB30B521AF8C}"/>
                </c:ext>
              </c:extLst>
            </c:dLbl>
            <c:dLbl>
              <c:idx val="2"/>
              <c:layout>
                <c:manualLayout>
                  <c:x val="1.8592297476759532E-2"/>
                  <c:y val="-4.34310532030409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7D-489E-B9CB-FB30B521AF8C}"/>
                </c:ext>
              </c:extLst>
            </c:dLbl>
            <c:dLbl>
              <c:idx val="3"/>
              <c:layout>
                <c:manualLayout>
                  <c:x val="1.8592297476759629E-2"/>
                  <c:y val="-4.34310532030393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7D-489E-B9CB-FB30B521AF8C}"/>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'Endowment Pool Asset Allocation'!$E$26:$E$30</c:f>
              <c:numCache>
                <c:formatCode>0%</c:formatCode>
                <c:ptCount val="5"/>
                <c:pt idx="0">
                  <c:v>0.56000000000000005</c:v>
                </c:pt>
                <c:pt idx="1">
                  <c:v>0.21</c:v>
                </c:pt>
                <c:pt idx="2">
                  <c:v>0.13</c:v>
                </c:pt>
                <c:pt idx="3">
                  <c:v>0.08</c:v>
                </c:pt>
                <c:pt idx="4">
                  <c:v>0.02</c:v>
                </c:pt>
              </c:numCache>
            </c:numRef>
          </c:yVal>
          <c:smooth val="0"/>
          <c:extLst>
            <c:ext xmlns:c16="http://schemas.microsoft.com/office/drawing/2014/chart" uri="{C3380CC4-5D6E-409C-BE32-E72D297353CC}">
              <c16:uniqueId val="{00000006-507D-489E-B9CB-FB30B521AF8C}"/>
            </c:ext>
          </c:extLst>
        </c:ser>
        <c:dLbls>
          <c:showLegendKey val="0"/>
          <c:showVal val="0"/>
          <c:showCatName val="0"/>
          <c:showSerName val="0"/>
          <c:showPercent val="0"/>
          <c:showBubbleSize val="0"/>
        </c:dLbls>
        <c:axId val="497572848"/>
        <c:axId val="497562024"/>
      </c:scatterChart>
      <c:catAx>
        <c:axId val="49756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7564976"/>
        <c:crosses val="autoZero"/>
        <c:auto val="1"/>
        <c:lblAlgn val="ctr"/>
        <c:lblOffset val="100"/>
        <c:noMultiLvlLbl val="0"/>
      </c:catAx>
      <c:valAx>
        <c:axId val="497564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7568912"/>
        <c:crosses val="autoZero"/>
        <c:crossBetween val="between"/>
      </c:valAx>
      <c:valAx>
        <c:axId val="497562024"/>
        <c:scaling>
          <c:orientation val="minMax"/>
        </c:scaling>
        <c:delete val="1"/>
        <c:axPos val="r"/>
        <c:numFmt formatCode="0%" sourceLinked="1"/>
        <c:majorTickMark val="out"/>
        <c:minorTickMark val="none"/>
        <c:tickLblPos val="nextTo"/>
        <c:crossAx val="497572848"/>
        <c:crosses val="max"/>
        <c:crossBetween val="midCat"/>
      </c:valAx>
      <c:valAx>
        <c:axId val="497572848"/>
        <c:scaling>
          <c:orientation val="minMax"/>
        </c:scaling>
        <c:delete val="1"/>
        <c:axPos val="t"/>
        <c:numFmt formatCode="General" sourceLinked="1"/>
        <c:majorTickMark val="out"/>
        <c:minorTickMark val="none"/>
        <c:tickLblPos val="nextTo"/>
        <c:crossAx val="497562024"/>
        <c:crosses val="max"/>
        <c:crossBetween val="midCat"/>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Endowment Pool Historical Performance</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'Endowment Pool'!$B$2</c:f>
              <c:strCache>
                <c:ptCount val="1"/>
                <c:pt idx="0">
                  <c:v>Pool</c:v>
                </c:pt>
              </c:strCache>
            </c:strRef>
          </c:tx>
          <c:spPr>
            <a:solidFill>
              <a:srgbClr val="5B9BD5">
                <a:lumMod val="50000"/>
              </a:srgb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'Endowment Pool'!$A$3:$A$7</c:f>
              <c:strCache>
                <c:ptCount val="5"/>
                <c:pt idx="0">
                  <c:v>1 Year</c:v>
                </c:pt>
                <c:pt idx="1">
                  <c:v>3 Years</c:v>
                </c:pt>
                <c:pt idx="2">
                  <c:v>5 Years</c:v>
                </c:pt>
                <c:pt idx="3">
                  <c:v>10 Years</c:v>
                </c:pt>
                <c:pt idx="4">
                  <c:v>Since Inception 9/30/87</c:v>
                </c:pt>
              </c:strCache>
            </c:strRef>
          </c:cat>
          <c:val>
            <c:numRef>
              <c:f>'Endowment Pool'!$B$3:$B$7</c:f>
              <c:numCache>
                <c:formatCode>General</c:formatCode>
                <c:ptCount val="5"/>
                <c:pt idx="0" formatCode="0.0">
                  <c:v>6.4</c:v>
                </c:pt>
                <c:pt idx="1">
                  <c:v>9.1999999999999993</c:v>
                </c:pt>
                <c:pt idx="2">
                  <c:v>6.5</c:v>
                </c:pt>
                <c:pt idx="3">
                  <c:v>6.9</c:v>
                </c:pt>
                <c:pt idx="4">
                  <c:v>8</c:v>
                </c:pt>
              </c:numCache>
            </c:numRef>
          </c:val>
          <c:extLst>
            <c:ext xmlns:c16="http://schemas.microsoft.com/office/drawing/2014/chart" uri="{C3380CC4-5D6E-409C-BE32-E72D297353CC}">
              <c16:uniqueId val="{00000000-0A8E-4C7E-8195-0109E4B6B29B}"/>
            </c:ext>
          </c:extLst>
        </c:ser>
        <c:ser>
          <c:idx val="1"/>
          <c:order val="1"/>
          <c:tx>
            <c:strRef>
              <c:f>'Endowment Pool'!$C$2</c:f>
              <c:strCache>
                <c:ptCount val="1"/>
                <c:pt idx="0">
                  <c:v>Benchmark</c:v>
                </c:pt>
              </c:strCache>
            </c:strRef>
          </c:tx>
          <c:spPr>
            <a:solidFill>
              <a:sysClr val="window" lastClr="FFFFFF">
                <a:lumMod val="50000"/>
              </a:sys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'Endowment Pool'!$A$3:$A$7</c:f>
              <c:strCache>
                <c:ptCount val="5"/>
                <c:pt idx="0">
                  <c:v>1 Year</c:v>
                </c:pt>
                <c:pt idx="1">
                  <c:v>3 Years</c:v>
                </c:pt>
                <c:pt idx="2">
                  <c:v>5 Years</c:v>
                </c:pt>
                <c:pt idx="3">
                  <c:v>10 Years</c:v>
                </c:pt>
                <c:pt idx="4">
                  <c:v>Since Inception 9/30/87</c:v>
                </c:pt>
              </c:strCache>
            </c:strRef>
          </c:cat>
          <c:val>
            <c:numRef>
              <c:f>'Endowment Pool'!$C$3:$C$7</c:f>
              <c:numCache>
                <c:formatCode>General</c:formatCode>
                <c:ptCount val="5"/>
                <c:pt idx="0" formatCode="0.0">
                  <c:v>8.4</c:v>
                </c:pt>
                <c:pt idx="1">
                  <c:v>9</c:v>
                </c:pt>
                <c:pt idx="2" formatCode="0.0">
                  <c:v>7.2</c:v>
                </c:pt>
                <c:pt idx="3" formatCode="0.0">
                  <c:v>7.5</c:v>
                </c:pt>
                <c:pt idx="4" formatCode="0.0">
                  <c:v>8.3000000000000007</c:v>
                </c:pt>
              </c:numCache>
            </c:numRef>
          </c:val>
          <c:extLst>
            <c:ext xmlns:c16="http://schemas.microsoft.com/office/drawing/2014/chart" uri="{C3380CC4-5D6E-409C-BE32-E72D297353CC}">
              <c16:uniqueId val="{00000001-0A8E-4C7E-8195-0109E4B6B29B}"/>
            </c:ext>
          </c:extLst>
        </c:ser>
        <c:dLbls>
          <c:dLblPos val="outEnd"/>
          <c:showLegendKey val="0"/>
          <c:showVal val="1"/>
          <c:showCatName val="0"/>
          <c:showSerName val="0"/>
          <c:showPercent val="0"/>
          <c:showBubbleSize val="0"/>
        </c:dLbls>
        <c:gapWidth val="219"/>
        <c:overlap val="-27"/>
        <c:axId val="973546392"/>
        <c:axId val="973546784"/>
      </c:barChart>
      <c:catAx>
        <c:axId val="97354639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3546784"/>
        <c:crosses val="autoZero"/>
        <c:auto val="1"/>
        <c:lblAlgn val="ctr"/>
        <c:lblOffset val="100"/>
        <c:noMultiLvlLbl val="0"/>
      </c:catAx>
      <c:valAx>
        <c:axId val="973546784"/>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Return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3546392"/>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050">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latin typeface="Times New Roman" panose="02020603050405020304" pitchFamily="18" charset="0"/>
                <a:cs typeface="Times New Roman" panose="02020603050405020304" pitchFamily="18" charset="0"/>
              </a:rPr>
              <a:t>Operating Pool by Liquidity Layer Policy Ranges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'Operating Pool'!$B$33</c:f>
              <c:strCache>
                <c:ptCount val="1"/>
                <c:pt idx="0">
                  <c:v>Column1</c:v>
                </c:pt>
              </c:strCache>
            </c:strRef>
          </c:tx>
          <c:spPr>
            <a:noFill/>
            <a:ln>
              <a:noFill/>
            </a:ln>
            <a:effectLst/>
          </c:spPr>
          <c:invertIfNegative val="0"/>
          <c:cat>
            <c:strRef>
              <c:f>'Operating Pool'!$A$34:$A$37</c:f>
              <c:strCache>
                <c:ptCount val="4"/>
                <c:pt idx="0">
                  <c:v>Primary Liquidity
(0-1 Year)</c:v>
                </c:pt>
                <c:pt idx="1">
                  <c:v>Liquid Core
(1-3 Years)</c:v>
                </c:pt>
                <c:pt idx="2">
                  <c:v>Core
(3-5 Years)</c:v>
                </c:pt>
                <c:pt idx="3">
                  <c:v>Permanent Core
(5+ Years)</c:v>
                </c:pt>
              </c:strCache>
            </c:strRef>
          </c:cat>
          <c:val>
            <c:numRef>
              <c:f>'Operating Pool'!$B$34:$B$37</c:f>
              <c:numCache>
                <c:formatCode>_(* #,##0_);_(* \(#,##0\);_(* "-"??_);_(@_)</c:formatCode>
                <c:ptCount val="4"/>
                <c:pt idx="0">
                  <c:v>30</c:v>
                </c:pt>
                <c:pt idx="1">
                  <c:v>10</c:v>
                </c:pt>
                <c:pt idx="2">
                  <c:v>10</c:v>
                </c:pt>
                <c:pt idx="3">
                  <c:v>5</c:v>
                </c:pt>
              </c:numCache>
            </c:numRef>
          </c:val>
          <c:extLst>
            <c:ext xmlns:c16="http://schemas.microsoft.com/office/drawing/2014/chart" uri="{C3380CC4-5D6E-409C-BE32-E72D297353CC}">
              <c16:uniqueId val="{00000000-B757-4C08-B57E-C69F7244DDCD}"/>
            </c:ext>
          </c:extLst>
        </c:ser>
        <c:ser>
          <c:idx val="1"/>
          <c:order val="1"/>
          <c:tx>
            <c:strRef>
              <c:f>'Operating Pool'!$C$33</c:f>
              <c:strCache>
                <c:ptCount val="1"/>
                <c:pt idx="0">
                  <c:v>Policy Range</c:v>
                </c:pt>
              </c:strCache>
            </c:strRef>
          </c:tx>
          <c:spPr>
            <a:solidFill>
              <a:schemeClr val="accent1">
                <a:lumMod val="50000"/>
              </a:schemeClr>
            </a:solidFill>
            <a:ln>
              <a:noFill/>
            </a:ln>
            <a:effectLst/>
          </c:spPr>
          <c:invertIfNegative val="0"/>
          <c:cat>
            <c:strRef>
              <c:f>'Operating Pool'!$A$34:$A$37</c:f>
              <c:strCache>
                <c:ptCount val="4"/>
                <c:pt idx="0">
                  <c:v>Primary Liquidity
(0-1 Year)</c:v>
                </c:pt>
                <c:pt idx="1">
                  <c:v>Liquid Core
(1-3 Years)</c:v>
                </c:pt>
                <c:pt idx="2">
                  <c:v>Core
(3-5 Years)</c:v>
                </c:pt>
                <c:pt idx="3">
                  <c:v>Permanent Core
(5+ Years)</c:v>
                </c:pt>
              </c:strCache>
            </c:strRef>
          </c:cat>
          <c:val>
            <c:numRef>
              <c:f>'Operating Pool'!$C$34:$C$37</c:f>
              <c:numCache>
                <c:formatCode>_(* #,##0_);_(* \(#,##0\);_(* "-"??_);_(@_)</c:formatCode>
                <c:ptCount val="4"/>
                <c:pt idx="0">
                  <c:v>75</c:v>
                </c:pt>
                <c:pt idx="1">
                  <c:v>40</c:v>
                </c:pt>
                <c:pt idx="2">
                  <c:v>40</c:v>
                </c:pt>
                <c:pt idx="3">
                  <c:v>25</c:v>
                </c:pt>
              </c:numCache>
            </c:numRef>
          </c:val>
          <c:extLst>
            <c:ext xmlns:c16="http://schemas.microsoft.com/office/drawing/2014/chart" uri="{C3380CC4-5D6E-409C-BE32-E72D297353CC}">
              <c16:uniqueId val="{00000001-B757-4C08-B57E-C69F7244DDCD}"/>
            </c:ext>
          </c:extLst>
        </c:ser>
        <c:dLbls>
          <c:showLegendKey val="0"/>
          <c:showVal val="0"/>
          <c:showCatName val="0"/>
          <c:showSerName val="0"/>
          <c:showPercent val="0"/>
          <c:showBubbleSize val="0"/>
        </c:dLbls>
        <c:gapWidth val="219"/>
        <c:overlap val="100"/>
        <c:axId val="567088432"/>
        <c:axId val="567088824"/>
      </c:barChart>
      <c:scatterChart>
        <c:scatterStyle val="lineMarker"/>
        <c:varyColors val="0"/>
        <c:ser>
          <c:idx val="2"/>
          <c:order val="2"/>
          <c:tx>
            <c:strRef>
              <c:f>'Operating Pool'!$D$33</c:f>
              <c:strCache>
                <c:ptCount val="1"/>
                <c:pt idx="0">
                  <c:v>Actual Allocation</c:v>
                </c:pt>
              </c:strCache>
            </c:strRef>
          </c:tx>
          <c:spPr>
            <a:ln w="25400" cap="rnd">
              <a:noFill/>
              <a:round/>
            </a:ln>
            <a:effectLst/>
          </c:spPr>
          <c:marker>
            <c:symbol val="circle"/>
            <c:size val="5"/>
            <c:spPr>
              <a:solidFill>
                <a:schemeClr val="bg1"/>
              </a:solidFill>
              <a:ln w="9525">
                <a:solidFill>
                  <a:schemeClr val="accent3"/>
                </a:solidFill>
              </a:ln>
              <a:effectLst/>
            </c:spPr>
          </c:marker>
          <c:dLbls>
            <c:dLbl>
              <c:idx val="0"/>
              <c:layout>
                <c:manualLayout>
                  <c:x val="-3.5692679975801569E-2"/>
                  <c:y val="-6.02240896358543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1E-426B-9A10-E109EBA71150}"/>
                </c:ext>
              </c:extLst>
            </c:dLbl>
            <c:dLbl>
              <c:idx val="1"/>
              <c:layout>
                <c:manualLayout>
                  <c:x val="-3.5692679975801569E-2"/>
                  <c:y val="-6.0224089635854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5E-4FBC-B165-A0DB897743ED}"/>
                </c:ext>
              </c:extLst>
            </c:dLbl>
            <c:dLbl>
              <c:idx val="2"/>
              <c:layout>
                <c:manualLayout>
                  <c:x val="-4.0532365396249243E-2"/>
                  <c:y val="-6.58263305322128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4D-4CCB-A85A-C7DBBFCA3C44}"/>
                </c:ext>
              </c:extLst>
            </c:dLbl>
            <c:dLbl>
              <c:idx val="3"/>
              <c:layout>
                <c:manualLayout>
                  <c:x val="-3.8112522686025586E-2"/>
                  <c:y val="-3.2212885154061725E-2"/>
                </c:manualLayout>
              </c:layout>
              <c:tx>
                <c:rich>
                  <a:bodyPr/>
                  <a:lstStyle/>
                  <a:p>
                    <a:fld id="{FA6B8FFC-7B9E-4EEF-9C89-2D7D58219BC5}" type="YVALUE">
                      <a:rPr lang="en-US"/>
                      <a:pPr/>
                      <a:t>[Y 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757-4C08-B57E-C69F7244DDCD}"/>
                </c:ext>
              </c:extLst>
            </c:dLbl>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'Operating Pool'!$A$34:$A$37</c:f>
              <c:strCache>
                <c:ptCount val="4"/>
                <c:pt idx="0">
                  <c:v>Primary Liquidity
(0-1 Year)</c:v>
                </c:pt>
                <c:pt idx="1">
                  <c:v>Liquid Core
(1-3 Years)</c:v>
                </c:pt>
                <c:pt idx="2">
                  <c:v>Core
(3-5 Years)</c:v>
                </c:pt>
                <c:pt idx="3">
                  <c:v>Permanent Core
(5+ Years)</c:v>
                </c:pt>
              </c:strCache>
            </c:strRef>
          </c:xVal>
          <c:yVal>
            <c:numRef>
              <c:f>'Operating Pool'!$D$34:$D$37</c:f>
              <c:numCache>
                <c:formatCode>_(* #,##0_);_(* \(#,##0\);_(* "-"??_);_(@_)</c:formatCode>
                <c:ptCount val="4"/>
                <c:pt idx="0">
                  <c:v>49.6</c:v>
                </c:pt>
                <c:pt idx="1">
                  <c:v>19</c:v>
                </c:pt>
                <c:pt idx="2">
                  <c:v>16.899999999999999</c:v>
                </c:pt>
                <c:pt idx="3">
                  <c:v>14</c:v>
                </c:pt>
              </c:numCache>
            </c:numRef>
          </c:yVal>
          <c:smooth val="0"/>
          <c:extLst>
            <c:ext xmlns:c16="http://schemas.microsoft.com/office/drawing/2014/chart" uri="{C3380CC4-5D6E-409C-BE32-E72D297353CC}">
              <c16:uniqueId val="{00000003-B757-4C08-B57E-C69F7244DDCD}"/>
            </c:ext>
          </c:extLst>
        </c:ser>
        <c:dLbls>
          <c:showLegendKey val="0"/>
          <c:showVal val="0"/>
          <c:showCatName val="0"/>
          <c:showSerName val="0"/>
          <c:showPercent val="0"/>
          <c:showBubbleSize val="0"/>
        </c:dLbls>
        <c:axId val="567088432"/>
        <c:axId val="567088824"/>
      </c:scatterChart>
      <c:catAx>
        <c:axId val="56708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7088824"/>
        <c:crosses val="autoZero"/>
        <c:auto val="1"/>
        <c:lblAlgn val="ctr"/>
        <c:lblOffset val="100"/>
        <c:noMultiLvlLbl val="0"/>
      </c:catAx>
      <c:valAx>
        <c:axId val="567088824"/>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Percent of Total Pool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7088432"/>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t>Operating Pool Historical Performance</a:t>
            </a:r>
          </a:p>
          <a:p>
            <a:pPr>
              <a:defRPr sz="1200"/>
            </a:pPr>
            <a:r>
              <a:rPr lang="en-US" sz="1200"/>
              <a:t>Total Pool: $3.43 Billion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'Operating Pool'!$A$3</c:f>
              <c:strCache>
                <c:ptCount val="1"/>
                <c:pt idx="0">
                  <c:v>Pool</c:v>
                </c:pt>
              </c:strCache>
            </c:strRef>
          </c:tx>
          <c:spPr>
            <a:solidFill>
              <a:schemeClr val="accent1">
                <a:lumMod val="50000"/>
              </a:schemeClr>
            </a:solidFill>
            <a:ln>
              <a:noFill/>
            </a:ln>
            <a:effectLst/>
          </c:spPr>
          <c:invertIfNegative val="0"/>
          <c:dLbls>
            <c:numFmt formatCode="#,##0.0_);\(#,##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'Operating Pool'!$C$2:$G$2</c:f>
              <c:strCache>
                <c:ptCount val="5"/>
                <c:pt idx="0">
                  <c:v>1 Year</c:v>
                </c:pt>
                <c:pt idx="1">
                  <c:v>3 Years</c:v>
                </c:pt>
                <c:pt idx="2">
                  <c:v>5 Years</c:v>
                </c:pt>
                <c:pt idx="3">
                  <c:v>10 Years </c:v>
                </c:pt>
                <c:pt idx="4">
                  <c:v>Since Inception 8/31/89
</c:v>
                </c:pt>
              </c:strCache>
            </c:strRef>
          </c:cat>
          <c:val>
            <c:numRef>
              <c:f>'Operating Pool'!$C$3:$G$3</c:f>
              <c:numCache>
                <c:formatCode>_(* #,##0.0_);_(* \(#,##0.0\);_(* "-"??_);_(@_)</c:formatCode>
                <c:ptCount val="5"/>
                <c:pt idx="0">
                  <c:v>2.5</c:v>
                </c:pt>
                <c:pt idx="1">
                  <c:v>0.4</c:v>
                </c:pt>
                <c:pt idx="2">
                  <c:v>1.7</c:v>
                </c:pt>
                <c:pt idx="3">
                  <c:v>1.3</c:v>
                </c:pt>
                <c:pt idx="4">
                  <c:v>3.8</c:v>
                </c:pt>
              </c:numCache>
            </c:numRef>
          </c:val>
          <c:extLst>
            <c:ext xmlns:c16="http://schemas.microsoft.com/office/drawing/2014/chart" uri="{C3380CC4-5D6E-409C-BE32-E72D297353CC}">
              <c16:uniqueId val="{00000000-976E-45AE-A9B5-22264248DA02}"/>
            </c:ext>
          </c:extLst>
        </c:ser>
        <c:ser>
          <c:idx val="1"/>
          <c:order val="1"/>
          <c:tx>
            <c:strRef>
              <c:f>'Operating Pool'!$A$4</c:f>
              <c:strCache>
                <c:ptCount val="1"/>
                <c:pt idx="0">
                  <c:v>Benchmark</c:v>
                </c:pt>
              </c:strCache>
            </c:strRef>
          </c:tx>
          <c:spPr>
            <a:solidFill>
              <a:schemeClr val="bg1">
                <a:lumMod val="50000"/>
              </a:schemeClr>
            </a:solidFill>
            <a:ln>
              <a:noFill/>
            </a:ln>
            <a:effectLst/>
          </c:spPr>
          <c:invertIfNegative val="0"/>
          <c:dLbls>
            <c:dLbl>
              <c:idx val="1"/>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7A9-4183-ADC7-1B52CD155A45}"/>
                </c:ext>
              </c:extLst>
            </c:dLbl>
            <c:dLbl>
              <c:idx val="3"/>
              <c:layout>
                <c:manualLayout>
                  <c:x val="8.3333333333333332E-3"/>
                  <c:y val="9.2592592592592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6E-45AE-A9B5-22264248DA0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'Operating Pool'!$C$2:$G$2</c:f>
              <c:strCache>
                <c:ptCount val="5"/>
                <c:pt idx="0">
                  <c:v>1 Year</c:v>
                </c:pt>
                <c:pt idx="1">
                  <c:v>3 Years</c:v>
                </c:pt>
                <c:pt idx="2">
                  <c:v>5 Years</c:v>
                </c:pt>
                <c:pt idx="3">
                  <c:v>10 Years </c:v>
                </c:pt>
                <c:pt idx="4">
                  <c:v>Since Inception 8/31/89
</c:v>
                </c:pt>
              </c:strCache>
            </c:strRef>
          </c:cat>
          <c:val>
            <c:numRef>
              <c:f>'Operating Pool'!$C$4:$G$4</c:f>
              <c:numCache>
                <c:formatCode>_(* #,##0.0_);_(* \(#,##0.0\);_(* "-"??_);_(@_)</c:formatCode>
                <c:ptCount val="5"/>
                <c:pt idx="0">
                  <c:v>1.8</c:v>
                </c:pt>
                <c:pt idx="1">
                  <c:v>0</c:v>
                </c:pt>
                <c:pt idx="2">
                  <c:v>1.5</c:v>
                </c:pt>
                <c:pt idx="3">
                  <c:v>1.1000000000000001</c:v>
                </c:pt>
                <c:pt idx="4">
                  <c:v>3.6</c:v>
                </c:pt>
              </c:numCache>
            </c:numRef>
          </c:val>
          <c:extLst>
            <c:ext xmlns:c16="http://schemas.microsoft.com/office/drawing/2014/chart" uri="{C3380CC4-5D6E-409C-BE32-E72D297353CC}">
              <c16:uniqueId val="{00000002-976E-45AE-A9B5-22264248DA02}"/>
            </c:ext>
          </c:extLst>
        </c:ser>
        <c:dLbls>
          <c:showLegendKey val="0"/>
          <c:showVal val="0"/>
          <c:showCatName val="0"/>
          <c:showSerName val="0"/>
          <c:showPercent val="0"/>
          <c:showBubbleSize val="0"/>
        </c:dLbls>
        <c:gapWidth val="219"/>
        <c:overlap val="-27"/>
        <c:axId val="630017720"/>
        <c:axId val="630018048"/>
      </c:barChart>
      <c:catAx>
        <c:axId val="63001772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30018048"/>
        <c:crosses val="autoZero"/>
        <c:auto val="1"/>
        <c:lblAlgn val="ctr"/>
        <c:lblOffset val="100"/>
        <c:noMultiLvlLbl val="0"/>
      </c:catAx>
      <c:valAx>
        <c:axId val="630018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Return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30017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'New EP AA'!$A$2:$B$9</cx:f>
        <cx:lvl ptCount="8">
          <cx:pt idx="0">U.S. Equity</cx:pt>
          <cx:pt idx="1">Non-U.S. Equity</cx:pt>
          <cx:pt idx="2">Private Equity</cx:pt>
          <cx:pt idx="3">Global Fixed Income </cx:pt>
          <cx:pt idx="4">Real Estate</cx:pt>
          <cx:pt idx="5">Farmland </cx:pt>
          <cx:pt idx="6">Diversifying Strategies</cx:pt>
          <cx:pt idx="7">Cash</cx:pt>
        </cx:lvl>
        <cx:lvl ptCount="8">
          <cx:pt idx="0">Global Equity</cx:pt>
          <cx:pt idx="1">Global Equity</cx:pt>
          <cx:pt idx="2">Global Equity</cx:pt>
          <cx:pt idx="3">Global Fixed Income</cx:pt>
          <cx:pt idx="4">Real Assets</cx:pt>
          <cx:pt idx="5">Real Assets</cx:pt>
          <cx:pt idx="6">Diversifying Strategies</cx:pt>
          <cx:pt idx="7">Cash</cx:pt>
        </cx:lvl>
      </cx:strDim>
      <cx:numDim type="size">
        <cx:f>'New EP AA'!$C$2:$C$9</cx:f>
        <cx:lvl ptCount="8" formatCode="0%">
          <cx:pt idx="0">0.23999999999999999</cx:pt>
          <cx:pt idx="1">0.20999999999999999</cx:pt>
          <cx:pt idx="2">0.11</cx:pt>
          <cx:pt idx="3">0.20999999999999999</cx:pt>
          <cx:pt idx="4">0.059999999999999998</cx:pt>
          <cx:pt idx="5">0.070000000000000007</cx:pt>
          <cx:pt idx="6">0.080000000000000002</cx:pt>
          <cx:pt idx="7">0.02</cx:pt>
        </cx:lvl>
      </cx:numDim>
    </cx:data>
  </cx:chartData>
  <cx:chart>
    <cx:title pos="t" align="ctr" overlay="0">
      <cx:tx>
        <cx:rich>
          <a:bodyPr spcFirstLastPara="1" vertOverflow="ellipsis" horzOverflow="overflow" wrap="square" lIns="0" tIns="0" rIns="0" bIns="0" anchor="ctr" anchorCtr="1"/>
          <a:lstStyle/>
          <a:p>
            <a:pPr algn="ctr" rtl="0">
              <a:defRPr sz="1200">
                <a:latin typeface="Times New Roman" panose="02020603050405020304" pitchFamily="18" charset="0"/>
                <a:ea typeface="Times New Roman" panose="02020603050405020304" pitchFamily="18" charset="0"/>
                <a:cs typeface="Times New Roman" panose="02020603050405020304" pitchFamily="18" charset="0"/>
              </a:defRPr>
            </a:pPr>
            <a:r>
              <a:rPr lang="en-US" sz="12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Endowment Pool Asset Allocation</a:t>
            </a:r>
          </a:p>
          <a:p>
            <a:pPr algn="ctr" rtl="0">
              <a:defRPr sz="1200">
                <a:latin typeface="Times New Roman" panose="02020603050405020304" pitchFamily="18" charset="0"/>
                <a:ea typeface="Times New Roman" panose="02020603050405020304" pitchFamily="18" charset="0"/>
                <a:cs typeface="Times New Roman" panose="02020603050405020304" pitchFamily="18" charset="0"/>
              </a:defRPr>
            </a:pPr>
            <a:r>
              <a:rPr lang="en-US" sz="11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$1.03 Billion</a:t>
            </a:r>
          </a:p>
        </cx:rich>
      </cx:tx>
    </cx:title>
    <cx:plotArea>
      <cx:plotAreaRegion>
        <cx:series layoutId="sunburst" uniqueId="{7D2BD11E-D44D-4566-B879-EF7A1978F55A}">
          <cx:dataPt idx="0">
            <cx:spPr>
              <a:solidFill>
                <a:srgbClr val="4472C4">
                  <a:lumMod val="50000"/>
                </a:srgbClr>
              </a:solidFill>
            </cx:spPr>
          </cx:dataPt>
          <cx:dataPt idx="4">
            <cx:spPr>
              <a:solidFill>
                <a:srgbClr val="ED7D31">
                  <a:lumMod val="75000"/>
                </a:srgbClr>
              </a:solidFill>
            </cx:spPr>
          </cx:dataPt>
          <cx:dataPt idx="6">
            <cx:spPr>
              <a:solidFill>
                <a:sysClr val="window" lastClr="FFFFFF">
                  <a:lumMod val="65000"/>
                </a:sysClr>
              </a:solidFill>
            </cx:spPr>
          </cx:dataPt>
          <cx:dataPt idx="9">
            <cx:spPr>
              <a:solidFill>
                <a:srgbClr val="FFC000"/>
              </a:solidFill>
            </cx:spPr>
          </cx:dataPt>
          <cx:dataPt idx="11">
            <cx:spPr>
              <a:solidFill>
                <a:srgbClr val="5B9BD5">
                  <a:lumMod val="75000"/>
                </a:srgbClr>
              </a:solidFill>
            </cx:spPr>
          </cx:dataPt>
          <cx:dataId val="0"/>
        </cx:series>
      </cx:plotAreaRegion>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50" kern="1200"/>
    <cs:bodyPr wrap="square" lIns="38100" tIns="19050" rIns="38100" bIns="19050" anchor="ctr">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9525">
        <a:solidFill>
          <a:schemeClr val="lt1"/>
        </a:solidFill>
      </a:ln>
    </cs:spPr>
  </cs:dataPoint>
  <cs:dataPoint3D>
    <cs:lnRef idx="0"/>
    <cs:fillRef idx="0">
      <cs:styleClr val="auto"/>
    </cs:fillRef>
    <cs:effectRef idx="0"/>
    <cs:fontRef idx="minor">
      <a:schemeClr val="tx1"/>
    </cs:fontRef>
    <cs:spPr>
      <a:solidFill>
        <a:schemeClr val="phClr"/>
      </a:solidFill>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defRPr sz="900"/>
  </cs:dataTable>
  <cs:downBar>
    <cs:lnRef idx="0"/>
    <cs:fillRef idx="0"/>
    <cs:effectRef idx="0"/>
    <cs:fontRef idx="minor">
      <a:schemeClr val="tx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lumOff val="10000"/>
          </a:schemeClr>
        </a:solidFill>
        <a:round/>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body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93F27-7734-4A65-AD91-98B0FE9B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Peter</dc:creator>
  <cp:keywords/>
  <dc:description/>
  <cp:lastModifiedBy>Williams, Aubrie</cp:lastModifiedBy>
  <cp:revision>4</cp:revision>
  <cp:lastPrinted>2023-08-21T19:55:00Z</cp:lastPrinted>
  <dcterms:created xsi:type="dcterms:W3CDTF">2023-08-29T19:03:00Z</dcterms:created>
  <dcterms:modified xsi:type="dcterms:W3CDTF">2023-09-21T17:21:00Z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9771ceae02011996ba974f33b13649b1893503b5edddd9afa2a9da8c550d5c37</vt:lpwstr>
  </property>
</Properties>
</file>