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98BF" w14:textId="77777777" w:rsidR="00604ADB" w:rsidRPr="00604ADB" w:rsidRDefault="00604ADB" w:rsidP="0060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604ADB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2B0ACDA0" w14:textId="77777777" w:rsidR="00604ADB" w:rsidRPr="00604ADB" w:rsidRDefault="00604ADB" w:rsidP="0060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604ADB">
        <w:rPr>
          <w:rFonts w:ascii="Times New Roman" w:eastAsia="Times New Roman" w:hAnsi="Times New Roman" w:cs="Times New Roman"/>
          <w:color w:val="FF0000"/>
          <w:sz w:val="26"/>
          <w:szCs w:val="20"/>
        </w:rPr>
        <w:t>September 22, 2022</w:t>
      </w:r>
      <w:bookmarkEnd w:id="1"/>
    </w:p>
    <w:p w14:paraId="06B99315" w14:textId="68FD7647" w:rsidR="00D32278" w:rsidRPr="007032CE" w:rsidRDefault="003C2C09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11</w:t>
      </w:r>
    </w:p>
    <w:p w14:paraId="28563D33" w14:textId="0F76A6D8" w:rsidR="007032CE" w:rsidRDefault="007032CE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EB73B9" w14:textId="77777777" w:rsidR="007032CE" w:rsidRPr="007032CE" w:rsidRDefault="007032CE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9B4304F" w14:textId="07C64A66" w:rsidR="007032CE" w:rsidRDefault="007032CE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4EDB120A" w:rsidR="00EF1EF8" w:rsidRPr="007032CE" w:rsidRDefault="007032CE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 w:rsidRPr="007032CE">
        <w:rPr>
          <w:rFonts w:ascii="Times New Roman" w:eastAsia="Times New Roman" w:hAnsi="Times New Roman" w:cs="Times New Roman"/>
          <w:sz w:val="26"/>
          <w:szCs w:val="26"/>
        </w:rPr>
        <w:t>September 2</w:t>
      </w:r>
      <w:r w:rsidR="001C0C75" w:rsidRPr="007032CE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5A17" w:rsidRPr="007032CE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1C0C75" w:rsidRPr="007032CE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464359B1" w14:textId="454FD8C2" w:rsidR="00EF1EF8" w:rsidRDefault="00EF1EF8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3B5D20" w14:textId="77777777" w:rsidR="007032CE" w:rsidRPr="007032CE" w:rsidRDefault="007032CE" w:rsidP="007032CE">
      <w:pPr>
        <w:tabs>
          <w:tab w:val="left" w:pos="14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7032CE" w:rsidRDefault="00EF1EF8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032CE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7032CE" w:rsidRDefault="00EF1EF8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06C0139" w14:textId="37705584" w:rsidR="001C0C75" w:rsidRPr="00D703C3" w:rsidRDefault="00413776" w:rsidP="00D703C3">
      <w:pPr>
        <w:pStyle w:val="Heading1"/>
      </w:pPr>
      <w:r w:rsidRPr="00D703C3">
        <w:t>APPROVE PROFESSIONAL SERVICES CONSULTANT CONTRACT FOR</w:t>
      </w:r>
      <w:r w:rsidR="0055453C" w:rsidRPr="00D703C3">
        <w:t xml:space="preserve"> </w:t>
      </w:r>
      <w:r w:rsidR="0072257B" w:rsidRPr="00D703C3">
        <w:t>UI</w:t>
      </w:r>
      <w:r w:rsidR="00BA41CA" w:rsidRPr="00D703C3">
        <w:t xml:space="preserve"> HOSPITAL</w:t>
      </w:r>
      <w:r w:rsidR="0072257B" w:rsidRPr="00D703C3">
        <w:t xml:space="preserve"> </w:t>
      </w:r>
      <w:r w:rsidR="00A91AA8" w:rsidRPr="00D703C3">
        <w:t>CLINICAL</w:t>
      </w:r>
      <w:r w:rsidR="0072257B" w:rsidRPr="00D703C3">
        <w:t xml:space="preserve"> DECISION UNIT</w:t>
      </w:r>
      <w:r w:rsidR="00BA41CA" w:rsidRPr="00D703C3">
        <w:t xml:space="preserve"> AND CANCER CARE EXPANSION</w:t>
      </w:r>
      <w:r w:rsidR="007212E0" w:rsidRPr="00D703C3">
        <w:t>, UNIVERSITY OF ILLINOIS HOSPITAL, CHICAGO</w:t>
      </w:r>
    </w:p>
    <w:p w14:paraId="6B33220A" w14:textId="50B3D175" w:rsidR="00EF1EF8" w:rsidRPr="007032CE" w:rsidRDefault="00EF1EF8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77777777" w:rsidR="00EF1EF8" w:rsidRPr="007032CE" w:rsidRDefault="00EF1EF8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2B838FA" w14:textId="77777777" w:rsidR="007032CE" w:rsidRDefault="00EF1EF8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032CE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7032CE">
        <w:rPr>
          <w:rFonts w:ascii="Times New Roman" w:eastAsia="Times New Roman" w:hAnsi="Times New Roman" w:cs="Times New Roman"/>
          <w:sz w:val="26"/>
          <w:szCs w:val="26"/>
        </w:rPr>
        <w:tab/>
      </w:r>
      <w:r w:rsidR="0072257B" w:rsidRPr="007032CE">
        <w:rPr>
          <w:rFonts w:ascii="Times New Roman" w:eastAsia="Times New Roman" w:hAnsi="Times New Roman" w:cs="Times New Roman"/>
          <w:sz w:val="26"/>
          <w:szCs w:val="26"/>
        </w:rPr>
        <w:t>Approve</w:t>
      </w:r>
      <w:r w:rsidR="0055453C" w:rsidRPr="007032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282C" w:rsidRPr="007032CE">
        <w:rPr>
          <w:rFonts w:ascii="Times New Roman" w:eastAsia="Times New Roman" w:hAnsi="Times New Roman" w:cs="Times New Roman"/>
          <w:sz w:val="26"/>
          <w:szCs w:val="26"/>
        </w:rPr>
        <w:t>Professional Services Consultant Contract for</w:t>
      </w:r>
      <w:r w:rsidR="0072257B" w:rsidRPr="007032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41CA" w:rsidRPr="007032CE">
        <w:rPr>
          <w:rFonts w:ascii="Times New Roman" w:eastAsia="Times New Roman" w:hAnsi="Times New Roman" w:cs="Times New Roman"/>
          <w:sz w:val="26"/>
          <w:szCs w:val="26"/>
        </w:rPr>
        <w:t xml:space="preserve">UI Hospital Clinical </w:t>
      </w:r>
    </w:p>
    <w:p w14:paraId="52C6AA16" w14:textId="3F5C06C6" w:rsidR="00EF1EF8" w:rsidRPr="007032CE" w:rsidRDefault="007032CE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A41CA" w:rsidRPr="007032CE">
        <w:rPr>
          <w:rFonts w:ascii="Times New Roman" w:eastAsia="Times New Roman" w:hAnsi="Times New Roman" w:cs="Times New Roman"/>
          <w:sz w:val="26"/>
          <w:szCs w:val="26"/>
        </w:rPr>
        <w:t>Decision Unit and Cancer Care Expansion</w:t>
      </w:r>
      <w:r w:rsidR="007212E0" w:rsidRPr="007032CE">
        <w:rPr>
          <w:rFonts w:ascii="Times New Roman" w:eastAsia="Times New Roman" w:hAnsi="Times New Roman" w:cs="Times New Roman"/>
          <w:sz w:val="26"/>
          <w:szCs w:val="26"/>
        </w:rPr>
        <w:t>, University of Illinois Hospital</w:t>
      </w:r>
    </w:p>
    <w:p w14:paraId="740EF277" w14:textId="77777777" w:rsidR="007032CE" w:rsidRDefault="007032CE" w:rsidP="007032CE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B1328A" w14:textId="77777777" w:rsidR="007032CE" w:rsidRDefault="00EF1EF8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032CE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7032CE">
        <w:rPr>
          <w:rFonts w:ascii="Times New Roman" w:eastAsia="Times New Roman" w:hAnsi="Times New Roman" w:cs="Times New Roman"/>
          <w:sz w:val="26"/>
          <w:szCs w:val="26"/>
        </w:rPr>
        <w:tab/>
      </w:r>
      <w:r w:rsidR="00BA41CA" w:rsidRPr="007032CE">
        <w:rPr>
          <w:rFonts w:ascii="Times New Roman" w:eastAsia="Times New Roman" w:hAnsi="Times New Roman" w:cs="Times New Roman"/>
          <w:sz w:val="26"/>
          <w:szCs w:val="26"/>
        </w:rPr>
        <w:t xml:space="preserve">UI Hospital </w:t>
      </w:r>
      <w:r w:rsidR="001813A8" w:rsidRPr="007032CE">
        <w:rPr>
          <w:rFonts w:ascii="Times New Roman" w:eastAsia="Times New Roman" w:hAnsi="Times New Roman" w:cs="Times New Roman"/>
          <w:sz w:val="26"/>
          <w:szCs w:val="26"/>
        </w:rPr>
        <w:t>Self-Supporting</w:t>
      </w:r>
      <w:r w:rsidR="00BA41CA" w:rsidRPr="007032CE">
        <w:rPr>
          <w:rFonts w:ascii="Times New Roman" w:eastAsia="Times New Roman" w:hAnsi="Times New Roman" w:cs="Times New Roman"/>
          <w:sz w:val="26"/>
          <w:szCs w:val="26"/>
        </w:rPr>
        <w:t xml:space="preserve"> Funds</w:t>
      </w:r>
    </w:p>
    <w:p w14:paraId="1290D6D2" w14:textId="77777777" w:rsidR="007032CE" w:rsidRDefault="007032CE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31D2396" w14:textId="77777777" w:rsidR="007032CE" w:rsidRDefault="007032CE" w:rsidP="007032C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1929CA5" w14:textId="77777777" w:rsidR="007032CE" w:rsidRDefault="007032CE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In July 2020, the University of Illinois Chicago (UIC) employed a retainer architect/engineer to perform a feasibility study for </w:t>
      </w:r>
      <w:r w:rsidR="001813A8" w:rsidRPr="007032CE">
        <w:rPr>
          <w:rFonts w:ascii="Times New Roman" w:hAnsi="Times New Roman" w:cs="Times New Roman"/>
          <w:sz w:val="26"/>
          <w:szCs w:val="26"/>
        </w:rPr>
        <w:t>constructing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a Clinical Decision Unit (CDU) in the </w:t>
      </w:r>
      <w:r w:rsidR="007C7D1C" w:rsidRPr="007032CE">
        <w:rPr>
          <w:rFonts w:ascii="Times New Roman" w:hAnsi="Times New Roman" w:cs="Times New Roman"/>
          <w:sz w:val="26"/>
          <w:szCs w:val="26"/>
        </w:rPr>
        <w:t>s</w:t>
      </w:r>
      <w:r w:rsidR="0072257B" w:rsidRPr="007032CE">
        <w:rPr>
          <w:rFonts w:ascii="Times New Roman" w:hAnsi="Times New Roman" w:cs="Times New Roman"/>
          <w:sz w:val="26"/>
          <w:szCs w:val="26"/>
        </w:rPr>
        <w:t>outheast plaza of the University of Illinois Hospital.  The study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recommended </w:t>
      </w:r>
      <w:r w:rsidR="001813A8" w:rsidRPr="007032CE">
        <w:rPr>
          <w:rFonts w:ascii="Times New Roman" w:hAnsi="Times New Roman" w:cs="Times New Roman"/>
          <w:sz w:val="26"/>
          <w:szCs w:val="26"/>
        </w:rPr>
        <w:t>constructing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a</w:t>
      </w:r>
      <w:r w:rsidR="00A91AA8" w:rsidRPr="007032CE">
        <w:rPr>
          <w:rFonts w:ascii="Times New Roman" w:hAnsi="Times New Roman" w:cs="Times New Roman"/>
          <w:sz w:val="26"/>
          <w:szCs w:val="26"/>
        </w:rPr>
        <w:t>n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A91AA8" w:rsidRPr="007032CE">
        <w:rPr>
          <w:rFonts w:ascii="Times New Roman" w:hAnsi="Times New Roman" w:cs="Times New Roman"/>
          <w:sz w:val="26"/>
          <w:szCs w:val="26"/>
        </w:rPr>
        <w:t>18</w:t>
      </w:r>
      <w:r w:rsidR="0072257B" w:rsidRPr="007032CE">
        <w:rPr>
          <w:rFonts w:ascii="Times New Roman" w:hAnsi="Times New Roman" w:cs="Times New Roman"/>
          <w:sz w:val="26"/>
          <w:szCs w:val="26"/>
        </w:rPr>
        <w:t>,</w:t>
      </w:r>
      <w:r w:rsidR="00A91AA8" w:rsidRPr="007032CE">
        <w:rPr>
          <w:rFonts w:ascii="Times New Roman" w:hAnsi="Times New Roman" w:cs="Times New Roman"/>
          <w:sz w:val="26"/>
          <w:szCs w:val="26"/>
        </w:rPr>
        <w:t>75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0 </w:t>
      </w:r>
      <w:r w:rsidR="00A91AA8" w:rsidRPr="007032C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quare </w:t>
      </w:r>
      <w:r w:rsidR="00A91AA8" w:rsidRPr="007032CE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oot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addition</w:t>
      </w:r>
      <w:r w:rsidR="007212E0" w:rsidRPr="007032CE">
        <w:rPr>
          <w:rFonts w:ascii="Times New Roman" w:hAnsi="Times New Roman" w:cs="Times New Roman"/>
          <w:sz w:val="26"/>
          <w:szCs w:val="26"/>
        </w:rPr>
        <w:t xml:space="preserve"> for the CDU</w:t>
      </w:r>
      <w:r w:rsidR="00A91AA8" w:rsidRPr="007032CE">
        <w:rPr>
          <w:rFonts w:ascii="Times New Roman" w:hAnsi="Times New Roman" w:cs="Times New Roman"/>
          <w:sz w:val="26"/>
          <w:szCs w:val="26"/>
        </w:rPr>
        <w:t xml:space="preserve"> and </w:t>
      </w:r>
      <w:r w:rsidR="001813A8" w:rsidRPr="007032CE">
        <w:rPr>
          <w:rFonts w:ascii="Times New Roman" w:hAnsi="Times New Roman" w:cs="Times New Roman"/>
          <w:sz w:val="26"/>
          <w:szCs w:val="26"/>
        </w:rPr>
        <w:t xml:space="preserve">a </w:t>
      </w:r>
      <w:r w:rsidR="00A91AA8" w:rsidRPr="007032CE">
        <w:rPr>
          <w:rFonts w:ascii="Times New Roman" w:hAnsi="Times New Roman" w:cs="Times New Roman"/>
          <w:sz w:val="26"/>
          <w:szCs w:val="26"/>
        </w:rPr>
        <w:t>4,250 s</w:t>
      </w:r>
      <w:r>
        <w:rPr>
          <w:rFonts w:ascii="Times New Roman" w:hAnsi="Times New Roman" w:cs="Times New Roman"/>
          <w:sz w:val="26"/>
          <w:szCs w:val="26"/>
        </w:rPr>
        <w:t xml:space="preserve">quare </w:t>
      </w:r>
      <w:r w:rsidR="00A91AA8" w:rsidRPr="007032CE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oot</w:t>
      </w:r>
      <w:r w:rsidR="00A91AA8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7212E0" w:rsidRPr="007032CE">
        <w:rPr>
          <w:rFonts w:ascii="Times New Roman" w:hAnsi="Times New Roman" w:cs="Times New Roman"/>
          <w:sz w:val="26"/>
          <w:szCs w:val="26"/>
        </w:rPr>
        <w:t>renovation of the Emergency Department administration spaces on the first floor and a Hematology/Sickle Cell Clinic on the second floor.</w:t>
      </w:r>
    </w:p>
    <w:p w14:paraId="082BB5FA" w14:textId="5E1133B7" w:rsidR="007032CE" w:rsidRDefault="007032CE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36817" w:rsidRPr="007032CE">
        <w:rPr>
          <w:rFonts w:ascii="Times New Roman" w:hAnsi="Times New Roman" w:cs="Times New Roman"/>
          <w:sz w:val="26"/>
          <w:szCs w:val="26"/>
        </w:rPr>
        <w:t xml:space="preserve">In </w:t>
      </w:r>
      <w:r w:rsidR="007212E0" w:rsidRPr="007032CE">
        <w:rPr>
          <w:rFonts w:ascii="Times New Roman" w:hAnsi="Times New Roman" w:cs="Times New Roman"/>
          <w:sz w:val="26"/>
          <w:szCs w:val="26"/>
        </w:rPr>
        <w:t>October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A36817" w:rsidRPr="007032CE">
        <w:rPr>
          <w:rFonts w:ascii="Times New Roman" w:hAnsi="Times New Roman" w:cs="Times New Roman"/>
          <w:sz w:val="26"/>
          <w:szCs w:val="26"/>
        </w:rPr>
        <w:t>202</w:t>
      </w:r>
      <w:r w:rsidR="0072257B" w:rsidRPr="007032CE">
        <w:rPr>
          <w:rFonts w:ascii="Times New Roman" w:hAnsi="Times New Roman" w:cs="Times New Roman"/>
          <w:sz w:val="26"/>
          <w:szCs w:val="26"/>
        </w:rPr>
        <w:t>1</w:t>
      </w:r>
      <w:r w:rsidR="00A36817" w:rsidRPr="007032CE">
        <w:rPr>
          <w:rFonts w:ascii="Times New Roman" w:hAnsi="Times New Roman" w:cs="Times New Roman"/>
          <w:sz w:val="26"/>
          <w:szCs w:val="26"/>
        </w:rPr>
        <w:t xml:space="preserve">, UIC 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approved a project </w:t>
      </w:r>
      <w:r w:rsidR="00A36817" w:rsidRPr="007032CE">
        <w:rPr>
          <w:rFonts w:ascii="Times New Roman" w:hAnsi="Times New Roman" w:cs="Times New Roman"/>
          <w:sz w:val="26"/>
          <w:szCs w:val="26"/>
        </w:rPr>
        <w:t xml:space="preserve">to 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begin the design of the CDU and an </w:t>
      </w:r>
      <w:r w:rsidR="00BA41CA" w:rsidRPr="007032CE">
        <w:rPr>
          <w:rFonts w:ascii="Times New Roman" w:hAnsi="Times New Roman" w:cs="Times New Roman"/>
          <w:sz w:val="26"/>
          <w:szCs w:val="26"/>
        </w:rPr>
        <w:t>expansion of cancer care facilities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.  Obtaining designation as a Comprehensive Cancer Center from the National Cancer Institute is part of the University’s strategic goals.  </w:t>
      </w:r>
      <w:r w:rsidR="00B021F9" w:rsidRPr="007032CE">
        <w:rPr>
          <w:rFonts w:ascii="Times New Roman" w:hAnsi="Times New Roman" w:cs="Times New Roman"/>
          <w:sz w:val="26"/>
          <w:szCs w:val="26"/>
        </w:rPr>
        <w:t xml:space="preserve">A portion of 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the North Tower of the existing Outpatient Care Center will be remodeled </w:t>
      </w:r>
      <w:r w:rsidR="001813A8" w:rsidRPr="007032CE">
        <w:rPr>
          <w:rFonts w:ascii="Times New Roman" w:hAnsi="Times New Roman" w:cs="Times New Roman"/>
          <w:sz w:val="26"/>
          <w:szCs w:val="26"/>
        </w:rPr>
        <w:t>to double the outpatient oncology care capacity effectively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.  It is anticipated </w:t>
      </w:r>
      <w:r w:rsidR="0072257B" w:rsidRPr="007032CE">
        <w:rPr>
          <w:rFonts w:ascii="Times New Roman" w:hAnsi="Times New Roman" w:cs="Times New Roman"/>
          <w:sz w:val="26"/>
          <w:szCs w:val="26"/>
        </w:rPr>
        <w:lastRenderedPageBreak/>
        <w:t xml:space="preserve">that two floors of this building will receive </w:t>
      </w:r>
      <w:r w:rsidR="001813A8" w:rsidRPr="007032CE">
        <w:rPr>
          <w:rFonts w:ascii="Times New Roman" w:hAnsi="Times New Roman" w:cs="Times New Roman"/>
          <w:sz w:val="26"/>
          <w:szCs w:val="26"/>
        </w:rPr>
        <w:t>significant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remodeling, while the remaining three will receive minor improvements.</w:t>
      </w:r>
    </w:p>
    <w:p w14:paraId="2F8160BC" w14:textId="0B7DB283" w:rsidR="003433EF" w:rsidRDefault="007032CE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13A8" w:rsidRPr="007032CE">
        <w:rPr>
          <w:rFonts w:ascii="Times New Roman" w:hAnsi="Times New Roman" w:cs="Times New Roman"/>
          <w:sz w:val="26"/>
          <w:szCs w:val="26"/>
        </w:rPr>
        <w:t>These projects require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a Certificate of Need </w:t>
      </w:r>
      <w:r w:rsidR="001813A8" w:rsidRPr="007032CE">
        <w:rPr>
          <w:rFonts w:ascii="Times New Roman" w:hAnsi="Times New Roman" w:cs="Times New Roman"/>
          <w:sz w:val="26"/>
          <w:szCs w:val="26"/>
        </w:rPr>
        <w:t xml:space="preserve">to 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be granted by the Illinois Healthcare Facilities and Services Review Board.  Application for the Certificate will be made </w:t>
      </w:r>
      <w:r w:rsidR="001813A8" w:rsidRPr="007032CE">
        <w:rPr>
          <w:rFonts w:ascii="Times New Roman" w:hAnsi="Times New Roman" w:cs="Times New Roman"/>
          <w:sz w:val="26"/>
          <w:szCs w:val="26"/>
        </w:rPr>
        <w:t>after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the Schematic Design Phase.  </w:t>
      </w:r>
      <w:r w:rsidR="001813A8" w:rsidRPr="007032CE">
        <w:rPr>
          <w:rFonts w:ascii="Times New Roman" w:hAnsi="Times New Roman" w:cs="Times New Roman"/>
          <w:sz w:val="26"/>
          <w:szCs w:val="26"/>
        </w:rPr>
        <w:t>The total project budget will be established at that time</w:t>
      </w:r>
      <w:r w:rsidR="007C7D1C" w:rsidRPr="007032CE">
        <w:rPr>
          <w:rFonts w:ascii="Times New Roman" w:hAnsi="Times New Roman" w:cs="Times New Roman"/>
          <w:sz w:val="26"/>
          <w:szCs w:val="26"/>
        </w:rPr>
        <w:t>,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and </w:t>
      </w:r>
      <w:r w:rsidR="001813A8" w:rsidRPr="007032CE">
        <w:rPr>
          <w:rFonts w:ascii="Times New Roman" w:hAnsi="Times New Roman" w:cs="Times New Roman"/>
          <w:sz w:val="26"/>
          <w:szCs w:val="26"/>
        </w:rPr>
        <w:t>complete</w:t>
      </w:r>
      <w:r w:rsidR="0072257B" w:rsidRPr="007032CE">
        <w:rPr>
          <w:rFonts w:ascii="Times New Roman" w:hAnsi="Times New Roman" w:cs="Times New Roman"/>
          <w:sz w:val="26"/>
          <w:szCs w:val="26"/>
        </w:rPr>
        <w:t xml:space="preserve"> project budget approval will be sought.</w:t>
      </w:r>
      <w:r w:rsidR="00F0521E" w:rsidRPr="007032CE">
        <w:rPr>
          <w:rFonts w:ascii="Times New Roman" w:hAnsi="Times New Roman" w:cs="Times New Roman"/>
          <w:sz w:val="26"/>
          <w:szCs w:val="26"/>
        </w:rPr>
        <w:t xml:space="preserve">  The </w:t>
      </w:r>
      <w:r w:rsidR="001813A8" w:rsidRPr="007032CE">
        <w:rPr>
          <w:rFonts w:ascii="Times New Roman" w:hAnsi="Times New Roman" w:cs="Times New Roman"/>
          <w:sz w:val="26"/>
          <w:szCs w:val="26"/>
        </w:rPr>
        <w:t>entire</w:t>
      </w:r>
      <w:r w:rsidR="00F0521E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BA41CA" w:rsidRPr="007032CE">
        <w:rPr>
          <w:rFonts w:ascii="Times New Roman" w:hAnsi="Times New Roman" w:cs="Times New Roman"/>
          <w:sz w:val="26"/>
          <w:szCs w:val="26"/>
        </w:rPr>
        <w:t xml:space="preserve">construction </w:t>
      </w:r>
      <w:r w:rsidR="00F0521E" w:rsidRPr="007032CE">
        <w:rPr>
          <w:rFonts w:ascii="Times New Roman" w:hAnsi="Times New Roman" w:cs="Times New Roman"/>
          <w:sz w:val="26"/>
          <w:szCs w:val="26"/>
        </w:rPr>
        <w:t>project</w:t>
      </w:r>
      <w:r w:rsidR="001813A8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F0521E" w:rsidRPr="007032CE">
        <w:rPr>
          <w:rFonts w:ascii="Times New Roman" w:hAnsi="Times New Roman" w:cs="Times New Roman"/>
          <w:sz w:val="26"/>
          <w:szCs w:val="26"/>
        </w:rPr>
        <w:t>is expected to be funded by a $</w:t>
      </w:r>
      <w:r w:rsidR="0042677C" w:rsidRPr="007032CE">
        <w:rPr>
          <w:rFonts w:ascii="Times New Roman" w:hAnsi="Times New Roman" w:cs="Times New Roman"/>
          <w:sz w:val="26"/>
          <w:szCs w:val="26"/>
        </w:rPr>
        <w:t>65</w:t>
      </w:r>
      <w:r w:rsidR="008B6696">
        <w:rPr>
          <w:rFonts w:ascii="Times New Roman" w:hAnsi="Times New Roman" w:cs="Times New Roman"/>
          <w:sz w:val="26"/>
          <w:szCs w:val="26"/>
        </w:rPr>
        <w:t>.0 million</w:t>
      </w:r>
      <w:r w:rsidR="0042677C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F0521E" w:rsidRPr="007032CE">
        <w:rPr>
          <w:rFonts w:ascii="Times New Roman" w:hAnsi="Times New Roman" w:cs="Times New Roman"/>
          <w:sz w:val="26"/>
          <w:szCs w:val="26"/>
        </w:rPr>
        <w:t>appropriation the State has made for the project.</w:t>
      </w:r>
    </w:p>
    <w:p w14:paraId="201E739D" w14:textId="77777777" w:rsidR="003433EF" w:rsidRDefault="003433EF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In </w:t>
      </w:r>
      <w:r w:rsidR="0072257B" w:rsidRPr="007032CE">
        <w:rPr>
          <w:rFonts w:ascii="Times New Roman" w:hAnsi="Times New Roman" w:cs="Times New Roman"/>
          <w:sz w:val="26"/>
          <w:szCs w:val="26"/>
        </w:rPr>
        <w:t>November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 202</w:t>
      </w:r>
      <w:r w:rsidR="0072257B" w:rsidRPr="007032CE">
        <w:rPr>
          <w:rFonts w:ascii="Times New Roman" w:hAnsi="Times New Roman" w:cs="Times New Roman"/>
          <w:sz w:val="26"/>
          <w:szCs w:val="26"/>
        </w:rPr>
        <w:t>1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, the </w:t>
      </w:r>
      <w:r w:rsidR="0072257B" w:rsidRPr="007032CE">
        <w:rPr>
          <w:rFonts w:ascii="Times New Roman" w:hAnsi="Times New Roman" w:cs="Times New Roman"/>
          <w:sz w:val="26"/>
          <w:szCs w:val="26"/>
        </w:rPr>
        <w:t>University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 commenced a Professional Services Consultant selection process.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 For the project to proceed, it is necessary to employ an architect/engineer for the required professional services.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The selection of the architect/engineer for this </w:t>
      </w:r>
      <w:r w:rsidR="00BA41CA" w:rsidRPr="007032CE">
        <w:rPr>
          <w:rFonts w:ascii="Times New Roman" w:hAnsi="Times New Roman" w:cs="Times New Roman"/>
          <w:sz w:val="26"/>
          <w:szCs w:val="26"/>
        </w:rPr>
        <w:t xml:space="preserve">engagement </w:t>
      </w:r>
      <w:r w:rsidR="00B3287F" w:rsidRPr="007032CE">
        <w:rPr>
          <w:rFonts w:ascii="Times New Roman" w:hAnsi="Times New Roman" w:cs="Times New Roman"/>
          <w:sz w:val="26"/>
          <w:szCs w:val="26"/>
        </w:rPr>
        <w:t>was in accordance with the requirements and provisions of the Public Act 87-673 (Architectural, Engineering</w:t>
      </w:r>
      <w:r w:rsidR="001813A8" w:rsidRPr="007032CE">
        <w:rPr>
          <w:rFonts w:ascii="Times New Roman" w:hAnsi="Times New Roman" w:cs="Times New Roman"/>
          <w:sz w:val="26"/>
          <w:szCs w:val="26"/>
        </w:rPr>
        <w:t>,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 and Land Surveying Qualifications-Based Selection Act)</w:t>
      </w:r>
      <w:r w:rsidR="00342657" w:rsidRPr="007032CE">
        <w:rPr>
          <w:rFonts w:ascii="Times New Roman" w:hAnsi="Times New Roman" w:cs="Times New Roman"/>
          <w:sz w:val="26"/>
          <w:szCs w:val="26"/>
        </w:rPr>
        <w:t>.</w:t>
      </w:r>
      <w:r w:rsidR="00342657" w:rsidRPr="007032CE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799C1B8B" w14:textId="6B176CDB" w:rsidR="003433EF" w:rsidRDefault="003433EF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Accordingly, the </w:t>
      </w:r>
      <w:r>
        <w:rPr>
          <w:rFonts w:ascii="Times New Roman" w:hAnsi="Times New Roman" w:cs="Times New Roman"/>
          <w:sz w:val="26"/>
          <w:szCs w:val="26"/>
        </w:rPr>
        <w:t xml:space="preserve">Interim </w:t>
      </w:r>
      <w:r w:rsidR="00B3287F" w:rsidRPr="007032CE">
        <w:rPr>
          <w:rFonts w:ascii="Times New Roman" w:hAnsi="Times New Roman" w:cs="Times New Roman"/>
          <w:sz w:val="26"/>
          <w:szCs w:val="26"/>
        </w:rPr>
        <w:t xml:space="preserve">Chancellor, University of Illinois Chicago, and Vice President, University of Illinois with the concurrence of the appropriate administrative officers </w:t>
      </w:r>
      <w:r w:rsidR="001813A8" w:rsidRPr="007032CE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1813A8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7212E0" w:rsidRPr="007032CE">
        <w:rPr>
          <w:rFonts w:ascii="Times New Roman" w:hAnsi="Times New Roman" w:cs="Times New Roman"/>
          <w:sz w:val="26"/>
          <w:szCs w:val="26"/>
        </w:rPr>
        <w:t>that Gensler</w:t>
      </w:r>
      <w:r w:rsidR="008B6696">
        <w:rPr>
          <w:rFonts w:ascii="Times New Roman" w:hAnsi="Times New Roman" w:cs="Times New Roman"/>
          <w:sz w:val="26"/>
          <w:szCs w:val="26"/>
        </w:rPr>
        <w:t xml:space="preserve"> Architecture and Planning, P</w:t>
      </w:r>
      <w:r w:rsidR="00BA61F6">
        <w:rPr>
          <w:rFonts w:ascii="Times New Roman" w:hAnsi="Times New Roman" w:cs="Times New Roman"/>
          <w:sz w:val="26"/>
          <w:szCs w:val="26"/>
        </w:rPr>
        <w:t>.</w:t>
      </w:r>
      <w:r w:rsidR="008B6696">
        <w:rPr>
          <w:rFonts w:ascii="Times New Roman" w:hAnsi="Times New Roman" w:cs="Times New Roman"/>
          <w:sz w:val="26"/>
          <w:szCs w:val="26"/>
        </w:rPr>
        <w:t>C</w:t>
      </w:r>
      <w:r w:rsidR="00BA61F6">
        <w:rPr>
          <w:rFonts w:ascii="Times New Roman" w:hAnsi="Times New Roman" w:cs="Times New Roman"/>
          <w:sz w:val="26"/>
          <w:szCs w:val="26"/>
        </w:rPr>
        <w:t>.</w:t>
      </w:r>
      <w:r w:rsidR="008B6696">
        <w:rPr>
          <w:rFonts w:ascii="Times New Roman" w:hAnsi="Times New Roman" w:cs="Times New Roman"/>
          <w:sz w:val="26"/>
          <w:szCs w:val="26"/>
        </w:rPr>
        <w:t>,</w:t>
      </w:r>
      <w:r w:rsidR="007212E0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7212E0" w:rsidRPr="007032CE">
        <w:rPr>
          <w:rFonts w:ascii="Times New Roman" w:hAnsi="Times New Roman" w:cs="Times New Roman"/>
          <w:sz w:val="26"/>
          <w:szCs w:val="26"/>
        </w:rPr>
        <w:lastRenderedPageBreak/>
        <w:t xml:space="preserve">Chicago be employed for the professional services required for this project.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2E0" w:rsidRPr="007032CE">
        <w:rPr>
          <w:rFonts w:ascii="Times New Roman" w:hAnsi="Times New Roman" w:cs="Times New Roman"/>
          <w:sz w:val="26"/>
          <w:szCs w:val="26"/>
        </w:rPr>
        <w:t>The firm’s fees for this project will not exceed $1,306,</w:t>
      </w:r>
      <w:r w:rsidR="00F10DC2" w:rsidRPr="007032CE">
        <w:rPr>
          <w:rFonts w:ascii="Times New Roman" w:hAnsi="Times New Roman" w:cs="Times New Roman"/>
          <w:sz w:val="26"/>
          <w:szCs w:val="26"/>
        </w:rPr>
        <w:t>947</w:t>
      </w:r>
      <w:r w:rsidR="001813A8" w:rsidRPr="007032CE">
        <w:rPr>
          <w:rFonts w:ascii="Times New Roman" w:hAnsi="Times New Roman" w:cs="Times New Roman"/>
          <w:sz w:val="26"/>
          <w:szCs w:val="26"/>
        </w:rPr>
        <w:t>,</w:t>
      </w:r>
      <w:r w:rsidR="00F10DC2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7212E0" w:rsidRPr="007032CE">
        <w:rPr>
          <w:rFonts w:ascii="Times New Roman" w:hAnsi="Times New Roman" w:cs="Times New Roman"/>
          <w:sz w:val="26"/>
          <w:szCs w:val="26"/>
        </w:rPr>
        <w:t>including reimbursable expenses.</w:t>
      </w:r>
    </w:p>
    <w:p w14:paraId="2889E71D" w14:textId="77777777" w:rsidR="003433EF" w:rsidRDefault="003433EF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7032CE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7032CE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E7BE1" w:rsidRPr="007032CE">
        <w:rPr>
          <w:rFonts w:ascii="Times New Roman" w:hAnsi="Times New Roman" w:cs="Times New Roman"/>
          <w:sz w:val="26"/>
          <w:szCs w:val="26"/>
        </w:rPr>
        <w:t xml:space="preserve"> </w:t>
      </w:r>
      <w:r w:rsidR="006E7BE1" w:rsidRPr="007032CE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E7BE1" w:rsidRPr="007032CE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 w:rsidR="008C380D" w:rsidRPr="007032CE">
        <w:rPr>
          <w:rFonts w:ascii="Times New Roman" w:hAnsi="Times New Roman" w:cs="Times New Roman"/>
          <w:sz w:val="26"/>
          <w:szCs w:val="26"/>
        </w:rPr>
        <w:t>.</w:t>
      </w:r>
    </w:p>
    <w:p w14:paraId="5E2DE2F2" w14:textId="77777777" w:rsidR="003433EF" w:rsidRDefault="003433EF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5F71" w:rsidRPr="007032CE">
        <w:rPr>
          <w:rFonts w:ascii="Times New Roman" w:hAnsi="Times New Roman" w:cs="Times New Roman"/>
          <w:sz w:val="26"/>
          <w:szCs w:val="26"/>
        </w:rPr>
        <w:t>Funds for this project are available from</w:t>
      </w:r>
      <w:r w:rsidR="00E24FF0" w:rsidRPr="007032CE">
        <w:rPr>
          <w:rFonts w:ascii="Times New Roman" w:hAnsi="Times New Roman" w:cs="Times New Roman"/>
          <w:sz w:val="26"/>
          <w:szCs w:val="26"/>
        </w:rPr>
        <w:t xml:space="preserve"> the </w:t>
      </w:r>
      <w:r w:rsidR="006936F4" w:rsidRPr="007032CE">
        <w:rPr>
          <w:rFonts w:ascii="Times New Roman" w:hAnsi="Times New Roman" w:cs="Times New Roman"/>
          <w:sz w:val="26"/>
          <w:szCs w:val="26"/>
        </w:rPr>
        <w:t>operating budget of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36F4" w:rsidRPr="007032CE">
        <w:rPr>
          <w:rFonts w:ascii="Times New Roman" w:hAnsi="Times New Roman" w:cs="Times New Roman"/>
          <w:sz w:val="26"/>
          <w:szCs w:val="26"/>
        </w:rPr>
        <w:t>University of Illinois Hospital, Chicago.</w:t>
      </w:r>
    </w:p>
    <w:p w14:paraId="483F5E4E" w14:textId="5688F442" w:rsidR="00170814" w:rsidRPr="003433EF" w:rsidRDefault="003433EF" w:rsidP="003433E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380D" w:rsidRPr="007032CE">
        <w:rPr>
          <w:rFonts w:ascii="Times New Roman" w:hAnsi="Times New Roman" w:cs="Times New Roman"/>
          <w:sz w:val="26"/>
          <w:szCs w:val="26"/>
        </w:rPr>
        <w:t>The President of the University</w:t>
      </w:r>
      <w:r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="008C380D" w:rsidRPr="007032CE">
        <w:rPr>
          <w:rFonts w:ascii="Times New Roman" w:hAnsi="Times New Roman" w:cs="Times New Roman"/>
          <w:sz w:val="26"/>
          <w:szCs w:val="26"/>
        </w:rPr>
        <w:t xml:space="preserve"> concurs.</w:t>
      </w:r>
    </w:p>
    <w:p w14:paraId="03A3E200" w14:textId="6DB32DE9" w:rsidR="0035702B" w:rsidRPr="007032CE" w:rsidRDefault="0035702B" w:rsidP="007032C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838530" w14:textId="0962F273" w:rsidR="0035702B" w:rsidRPr="007032CE" w:rsidRDefault="0035702B" w:rsidP="007032C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880"/>
        <w:gridCol w:w="2160"/>
        <w:gridCol w:w="2160"/>
        <w:gridCol w:w="2160"/>
      </w:tblGrid>
      <w:tr w:rsidR="004808F9" w:rsidRPr="007032CE" w14:paraId="08CFE06F" w14:textId="77777777" w:rsidTr="004808F9">
        <w:trPr>
          <w:trHeight w:val="324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E66D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Table 1: Diverse Business Utilization</w:t>
            </w:r>
          </w:p>
        </w:tc>
      </w:tr>
      <w:tr w:rsidR="004808F9" w:rsidRPr="007032CE" w14:paraId="66BA51BC" w14:textId="77777777" w:rsidTr="004808F9">
        <w:trPr>
          <w:trHeight w:val="63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E1A71E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D4E47E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PSC Agreement $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4E9144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Subcontract Value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B2788DC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Subvendor % of Work</w:t>
            </w:r>
          </w:p>
        </w:tc>
      </w:tr>
      <w:tr w:rsidR="004808F9" w:rsidRPr="007032CE" w14:paraId="062D1BF7" w14:textId="77777777" w:rsidTr="004808F9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E9635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Gensler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1ADD" w14:textId="271FE3E1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$1,306,</w:t>
            </w:r>
            <w:r w:rsidR="00F10DC2"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947</w:t>
            </w: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5F30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4722E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808F9" w:rsidRPr="007032CE" w14:paraId="18AC2343" w14:textId="77777777" w:rsidTr="004808F9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690A0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FEF3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8C4B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CED3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808F9" w:rsidRPr="007032CE" w14:paraId="67AC5AA2" w14:textId="77777777" w:rsidTr="004808F9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17412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88E4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6F11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$392,590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A9A9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30%</w:t>
            </w:r>
          </w:p>
        </w:tc>
      </w:tr>
      <w:tr w:rsidR="004808F9" w:rsidRPr="007032CE" w14:paraId="5BE57A0C" w14:textId="77777777" w:rsidTr="004808F9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1DF96D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BF1C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VOSB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051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$39,000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D99E4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</w:tr>
      <w:tr w:rsidR="004808F9" w:rsidRPr="007032CE" w14:paraId="06F0B00C" w14:textId="77777777" w:rsidTr="004808F9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7FD60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FC48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16AB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$67,000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88705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4808F9" w:rsidRPr="007032CE" w14:paraId="189855B0" w14:textId="77777777" w:rsidTr="004808F9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E7F1F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F9C09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BB97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68425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808F9" w:rsidRPr="007032CE" w14:paraId="4F78C8C4" w14:textId="77777777" w:rsidTr="004808F9">
        <w:trPr>
          <w:trHeight w:val="435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F70A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(AFA)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F3A6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$31,490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3046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2%</w:t>
            </w:r>
          </w:p>
        </w:tc>
      </w:tr>
      <w:tr w:rsidR="004808F9" w:rsidRPr="007032CE" w14:paraId="21CC9469" w14:textId="77777777" w:rsidTr="004808F9">
        <w:trPr>
          <w:trHeight w:val="43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F126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(ASA)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38DE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$243,200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C4C00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19%</w:t>
            </w:r>
          </w:p>
        </w:tc>
      </w:tr>
      <w:tr w:rsidR="004808F9" w:rsidRPr="007032CE" w14:paraId="5DAD92FA" w14:textId="77777777" w:rsidTr="004808F9">
        <w:trPr>
          <w:trHeight w:val="43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5616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(HA)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70F2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$117,900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BD6C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9%</w:t>
            </w:r>
          </w:p>
        </w:tc>
      </w:tr>
      <w:tr w:rsidR="004808F9" w:rsidRPr="007032CE" w14:paraId="52EB3313" w14:textId="77777777" w:rsidTr="004808F9">
        <w:trPr>
          <w:trHeight w:val="43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6A3E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VOSB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BC2B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$39,000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389D3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</w:tr>
      <w:tr w:rsidR="004808F9" w:rsidRPr="007032CE" w14:paraId="1D8A4447" w14:textId="77777777" w:rsidTr="004808F9">
        <w:trPr>
          <w:trHeight w:val="43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4E6C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C01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$67,000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A52E1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4808F9" w:rsidRPr="007032CE" w14:paraId="783BFAD7" w14:textId="77777777" w:rsidTr="004808F9">
        <w:trPr>
          <w:trHeight w:val="43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16A8" w14:textId="7491DCA9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Divers</w:t>
            </w:r>
            <w:r w:rsidR="00F10DC2"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 Business Utilization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414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$498,590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366E" w14:textId="77777777" w:rsidR="004808F9" w:rsidRPr="007032CE" w:rsidRDefault="004808F9" w:rsidP="007032C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3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38%</w:t>
            </w:r>
          </w:p>
        </w:tc>
      </w:tr>
    </w:tbl>
    <w:p w14:paraId="33FBE58B" w14:textId="77777777" w:rsidR="0035702B" w:rsidRPr="007032CE" w:rsidRDefault="0035702B" w:rsidP="007032C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702B" w:rsidRPr="007032CE" w:rsidSect="008D7AAF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897C" w14:textId="77777777" w:rsidR="009E40EC" w:rsidRDefault="009E40EC" w:rsidP="00E01CD3">
      <w:pPr>
        <w:spacing w:after="0" w:line="240" w:lineRule="auto"/>
      </w:pPr>
      <w:r>
        <w:separator/>
      </w:r>
    </w:p>
  </w:endnote>
  <w:endnote w:type="continuationSeparator" w:id="0">
    <w:p w14:paraId="0B739951" w14:textId="77777777" w:rsidR="009E40EC" w:rsidRDefault="009E40EC" w:rsidP="00E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4758" w14:textId="77777777" w:rsidR="009E40EC" w:rsidRDefault="009E40EC" w:rsidP="00E01CD3">
      <w:pPr>
        <w:spacing w:after="0" w:line="240" w:lineRule="auto"/>
      </w:pPr>
      <w:r>
        <w:separator/>
      </w:r>
    </w:p>
  </w:footnote>
  <w:footnote w:type="continuationSeparator" w:id="0">
    <w:p w14:paraId="6E940DBC" w14:textId="77777777" w:rsidR="009E40EC" w:rsidRDefault="009E40EC" w:rsidP="00E01CD3">
      <w:pPr>
        <w:spacing w:after="0" w:line="240" w:lineRule="auto"/>
      </w:pPr>
      <w:r>
        <w:continuationSeparator/>
      </w:r>
    </w:p>
  </w:footnote>
  <w:footnote w:id="1">
    <w:p w14:paraId="37E65B99" w14:textId="0DDFFFD1" w:rsidR="00342657" w:rsidRPr="001813A8" w:rsidRDefault="00342657" w:rsidP="003433E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 w:rsidRPr="001813A8">
        <w:rPr>
          <w:rFonts w:ascii="Times New Roman" w:hAnsi="Times New Roman" w:cs="Times New Roman"/>
          <w:sz w:val="20"/>
          <w:szCs w:val="20"/>
        </w:rPr>
        <w:t>A selection committee consisting of William Bradford (Planning, Sustainability and Project Management</w:t>
      </w:r>
      <w:r w:rsidR="008B6696">
        <w:rPr>
          <w:rFonts w:ascii="Times New Roman" w:hAnsi="Times New Roman" w:cs="Times New Roman"/>
          <w:sz w:val="20"/>
          <w:szCs w:val="20"/>
        </w:rPr>
        <w:t>, UIC</w:t>
      </w:r>
      <w:r w:rsidRPr="001813A8">
        <w:rPr>
          <w:rFonts w:ascii="Times New Roman" w:hAnsi="Times New Roman" w:cs="Times New Roman"/>
          <w:sz w:val="20"/>
          <w:szCs w:val="20"/>
        </w:rPr>
        <w:t>); Walter Hainsfurther (Planning, Sustainability and Project Management</w:t>
      </w:r>
      <w:r w:rsidR="00717BFC" w:rsidRPr="001813A8">
        <w:rPr>
          <w:rFonts w:ascii="Times New Roman" w:hAnsi="Times New Roman" w:cs="Times New Roman"/>
          <w:sz w:val="20"/>
          <w:szCs w:val="20"/>
        </w:rPr>
        <w:t>, UIC</w:t>
      </w:r>
      <w:r w:rsidRPr="001813A8">
        <w:rPr>
          <w:rFonts w:ascii="Times New Roman" w:hAnsi="Times New Roman" w:cs="Times New Roman"/>
          <w:sz w:val="20"/>
          <w:szCs w:val="20"/>
        </w:rPr>
        <w:t>); David Loffing (UI Health); Scott Jones (UI Health)</w:t>
      </w:r>
      <w:r w:rsidR="003433EF">
        <w:rPr>
          <w:rFonts w:ascii="Times New Roman" w:hAnsi="Times New Roman" w:cs="Times New Roman"/>
          <w:sz w:val="20"/>
          <w:szCs w:val="20"/>
        </w:rPr>
        <w:t>;</w:t>
      </w:r>
      <w:r w:rsidRPr="001813A8">
        <w:rPr>
          <w:rFonts w:ascii="Times New Roman" w:hAnsi="Times New Roman" w:cs="Times New Roman"/>
          <w:sz w:val="20"/>
          <w:szCs w:val="20"/>
        </w:rPr>
        <w:t xml:space="preserve"> Dale Morrison (Office of Procurement Diversity)</w:t>
      </w:r>
      <w:r w:rsidR="003433EF">
        <w:rPr>
          <w:rFonts w:ascii="Times New Roman" w:hAnsi="Times New Roman" w:cs="Times New Roman"/>
          <w:sz w:val="20"/>
          <w:szCs w:val="20"/>
        </w:rPr>
        <w:t>;</w:t>
      </w:r>
      <w:r w:rsidRPr="001813A8">
        <w:rPr>
          <w:rFonts w:ascii="Times New Roman" w:hAnsi="Times New Roman" w:cs="Times New Roman"/>
          <w:sz w:val="20"/>
          <w:szCs w:val="20"/>
        </w:rPr>
        <w:t xml:space="preserve"> and Chris Rogan (University Office of Capital Programs) evaluated the following firms (listed in ranking order): (1) Gensler Architecture and Planning, P</w:t>
      </w:r>
      <w:r w:rsidR="00BA61F6">
        <w:rPr>
          <w:rFonts w:ascii="Times New Roman" w:hAnsi="Times New Roman" w:cs="Times New Roman"/>
          <w:sz w:val="20"/>
          <w:szCs w:val="20"/>
        </w:rPr>
        <w:t>.</w:t>
      </w:r>
      <w:r w:rsidRPr="001813A8">
        <w:rPr>
          <w:rFonts w:ascii="Times New Roman" w:hAnsi="Times New Roman" w:cs="Times New Roman"/>
          <w:sz w:val="20"/>
          <w:szCs w:val="20"/>
        </w:rPr>
        <w:t>C</w:t>
      </w:r>
      <w:r w:rsidR="00BA61F6">
        <w:rPr>
          <w:rFonts w:ascii="Times New Roman" w:hAnsi="Times New Roman" w:cs="Times New Roman"/>
          <w:sz w:val="20"/>
          <w:szCs w:val="20"/>
        </w:rPr>
        <w:t>.</w:t>
      </w:r>
      <w:r w:rsidRPr="001813A8">
        <w:rPr>
          <w:rFonts w:ascii="Times New Roman" w:hAnsi="Times New Roman" w:cs="Times New Roman"/>
          <w:sz w:val="20"/>
          <w:szCs w:val="20"/>
        </w:rPr>
        <w:t>, Chicago</w:t>
      </w:r>
      <w:r w:rsidR="008B6696">
        <w:rPr>
          <w:rFonts w:ascii="Times New Roman" w:hAnsi="Times New Roman" w:cs="Times New Roman"/>
          <w:sz w:val="20"/>
          <w:szCs w:val="20"/>
        </w:rPr>
        <w:t>,</w:t>
      </w:r>
      <w:r w:rsidRPr="001813A8">
        <w:rPr>
          <w:rFonts w:ascii="Times New Roman" w:hAnsi="Times New Roman" w:cs="Times New Roman"/>
          <w:sz w:val="20"/>
          <w:szCs w:val="20"/>
        </w:rPr>
        <w:t xml:space="preserve"> IL; (2) Harley Ellis Deveraux Corp, Chicago</w:t>
      </w:r>
      <w:r w:rsidR="008B6696">
        <w:rPr>
          <w:rFonts w:ascii="Times New Roman" w:hAnsi="Times New Roman" w:cs="Times New Roman"/>
          <w:sz w:val="20"/>
          <w:szCs w:val="20"/>
        </w:rPr>
        <w:t>,</w:t>
      </w:r>
      <w:r w:rsidRPr="001813A8">
        <w:rPr>
          <w:rFonts w:ascii="Times New Roman" w:hAnsi="Times New Roman" w:cs="Times New Roman"/>
          <w:sz w:val="20"/>
          <w:szCs w:val="20"/>
        </w:rPr>
        <w:t xml:space="preserve"> IL; (3) Moody Nolan, Inc</w:t>
      </w:r>
      <w:r w:rsidR="003F3C6A">
        <w:rPr>
          <w:rFonts w:ascii="Times New Roman" w:hAnsi="Times New Roman" w:cs="Times New Roman"/>
          <w:sz w:val="20"/>
          <w:szCs w:val="20"/>
        </w:rPr>
        <w:t>.</w:t>
      </w:r>
      <w:r w:rsidRPr="001813A8">
        <w:rPr>
          <w:rFonts w:ascii="Times New Roman" w:hAnsi="Times New Roman" w:cs="Times New Roman"/>
          <w:sz w:val="20"/>
          <w:szCs w:val="20"/>
        </w:rPr>
        <w:t>, Chicago</w:t>
      </w:r>
      <w:r w:rsidR="008B6696">
        <w:rPr>
          <w:rFonts w:ascii="Times New Roman" w:hAnsi="Times New Roman" w:cs="Times New Roman"/>
          <w:sz w:val="20"/>
          <w:szCs w:val="20"/>
        </w:rPr>
        <w:t>,</w:t>
      </w:r>
      <w:r w:rsidRPr="001813A8">
        <w:rPr>
          <w:rFonts w:ascii="Times New Roman" w:hAnsi="Times New Roman" w:cs="Times New Roman"/>
          <w:sz w:val="20"/>
          <w:szCs w:val="20"/>
        </w:rPr>
        <w:t xml:space="preserve"> IL</w:t>
      </w:r>
      <w:r w:rsidR="003433EF">
        <w:rPr>
          <w:rFonts w:ascii="Times New Roman" w:hAnsi="Times New Roman" w:cs="Times New Roman"/>
          <w:sz w:val="20"/>
          <w:szCs w:val="20"/>
        </w:rPr>
        <w:t>;</w:t>
      </w:r>
      <w:r w:rsidRPr="001813A8">
        <w:rPr>
          <w:rFonts w:ascii="Times New Roman" w:hAnsi="Times New Roman" w:cs="Times New Roman"/>
          <w:sz w:val="20"/>
          <w:szCs w:val="20"/>
        </w:rPr>
        <w:t xml:space="preserve"> and (4) Shive Hattery, Inc./Zimmer Gunsel Frasca Architects, LLC, Chicago</w:t>
      </w:r>
      <w:r w:rsidR="008B6696">
        <w:rPr>
          <w:rFonts w:ascii="Times New Roman" w:hAnsi="Times New Roman" w:cs="Times New Roman"/>
          <w:sz w:val="20"/>
          <w:szCs w:val="20"/>
        </w:rPr>
        <w:t>,</w:t>
      </w:r>
      <w:r w:rsidRPr="001813A8">
        <w:rPr>
          <w:rFonts w:ascii="Times New Roman" w:hAnsi="Times New Roman" w:cs="Times New Roman"/>
          <w:sz w:val="20"/>
          <w:szCs w:val="20"/>
        </w:rPr>
        <w:t xml:space="preserve"> IL/Portland</w:t>
      </w:r>
      <w:r w:rsidR="008B6696">
        <w:rPr>
          <w:rFonts w:ascii="Times New Roman" w:hAnsi="Times New Roman" w:cs="Times New Roman"/>
          <w:sz w:val="20"/>
          <w:szCs w:val="20"/>
        </w:rPr>
        <w:t>,</w:t>
      </w:r>
      <w:r w:rsidRPr="001813A8">
        <w:rPr>
          <w:rFonts w:ascii="Times New Roman" w:hAnsi="Times New Roman" w:cs="Times New Roman"/>
          <w:sz w:val="20"/>
          <w:szCs w:val="20"/>
        </w:rPr>
        <w:t xml:space="preserve"> OR.</w:t>
      </w:r>
      <w:r w:rsidR="003433EF">
        <w:rPr>
          <w:rFonts w:ascii="Times New Roman" w:hAnsi="Times New Roman" w:cs="Times New Roman"/>
          <w:sz w:val="20"/>
          <w:szCs w:val="20"/>
        </w:rPr>
        <w:t xml:space="preserve"> </w:t>
      </w:r>
      <w:r w:rsidRPr="001813A8">
        <w:rPr>
          <w:rFonts w:ascii="Times New Roman" w:hAnsi="Times New Roman" w:cs="Times New Roman"/>
          <w:sz w:val="20"/>
          <w:szCs w:val="20"/>
        </w:rPr>
        <w:t xml:space="preserve"> The committee recommends Gensler Architecture and Planning P</w:t>
      </w:r>
      <w:r w:rsidR="008D7AAF">
        <w:rPr>
          <w:rFonts w:ascii="Times New Roman" w:hAnsi="Times New Roman" w:cs="Times New Roman"/>
          <w:sz w:val="20"/>
          <w:szCs w:val="20"/>
        </w:rPr>
        <w:t>.</w:t>
      </w:r>
      <w:r w:rsidRPr="001813A8">
        <w:rPr>
          <w:rFonts w:ascii="Times New Roman" w:hAnsi="Times New Roman" w:cs="Times New Roman"/>
          <w:sz w:val="20"/>
          <w:szCs w:val="20"/>
        </w:rPr>
        <w:t>C</w:t>
      </w:r>
      <w:r w:rsidR="008D7AAF">
        <w:rPr>
          <w:rFonts w:ascii="Times New Roman" w:hAnsi="Times New Roman" w:cs="Times New Roman"/>
          <w:sz w:val="20"/>
          <w:szCs w:val="20"/>
        </w:rPr>
        <w:t>.</w:t>
      </w:r>
      <w:r w:rsidRPr="001813A8">
        <w:rPr>
          <w:rFonts w:ascii="Times New Roman" w:hAnsi="Times New Roman" w:cs="Times New Roman"/>
          <w:sz w:val="20"/>
          <w:szCs w:val="20"/>
        </w:rPr>
        <w:t xml:space="preserve">, </w:t>
      </w:r>
      <w:r w:rsidR="003433EF">
        <w:rPr>
          <w:rFonts w:ascii="Times New Roman" w:hAnsi="Times New Roman" w:cs="Times New Roman"/>
          <w:sz w:val="20"/>
          <w:szCs w:val="20"/>
        </w:rPr>
        <w:t xml:space="preserve">Chicago, IL, </w:t>
      </w:r>
      <w:r w:rsidRPr="001813A8">
        <w:rPr>
          <w:rFonts w:ascii="Times New Roman" w:hAnsi="Times New Roman" w:cs="Times New Roman"/>
          <w:sz w:val="20"/>
          <w:szCs w:val="20"/>
        </w:rPr>
        <w:t>as best meeting the criteria for the project.</w:t>
      </w:r>
    </w:p>
    <w:p w14:paraId="3A15F7EF" w14:textId="1B54DEE4" w:rsidR="00342657" w:rsidRDefault="003426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7337259"/>
      <w:docPartObj>
        <w:docPartGallery w:val="Page Numbers (Top of Page)"/>
        <w:docPartUnique/>
      </w:docPartObj>
    </w:sdtPr>
    <w:sdtContent>
      <w:p w14:paraId="3A16622C" w14:textId="10AAF4F6" w:rsidR="008D7AAF" w:rsidRDefault="008D7AAF" w:rsidP="00B16FA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595056" w14:textId="77777777" w:rsidR="008D7AAF" w:rsidRDefault="008D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47383624"/>
      <w:docPartObj>
        <w:docPartGallery w:val="Page Numbers (Top of Page)"/>
        <w:docPartUnique/>
      </w:docPartObj>
    </w:sdtPr>
    <w:sdtContent>
      <w:p w14:paraId="49198F40" w14:textId="2F497874" w:rsidR="008D7AAF" w:rsidRPr="008D7AAF" w:rsidRDefault="008D7AAF" w:rsidP="008D7AAF">
        <w:pPr>
          <w:pStyle w:val="Header"/>
          <w:framePr w:wrap="none" w:vAnchor="text" w:hAnchor="page" w:x="6050" w:y="20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8D7AAF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8D7AAF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8D7AAF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8D7AAF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8D7AAF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4ED7242" w14:textId="2B9B46E1" w:rsidR="008D7AAF" w:rsidRDefault="008D7AAF">
    <w:pPr>
      <w:pStyle w:val="Header"/>
    </w:pPr>
  </w:p>
  <w:p w14:paraId="7EFAFC6D" w14:textId="77777777" w:rsidR="008D7AAF" w:rsidRDefault="008D7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EBA"/>
    <w:multiLevelType w:val="hybridMultilevel"/>
    <w:tmpl w:val="61DED5AC"/>
    <w:lvl w:ilvl="0" w:tplc="3C5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0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TGwtDQyNLWwsDBS0lEKTi0uzszPAykwrAUAv5YSxCwAAAA="/>
  </w:docVars>
  <w:rsids>
    <w:rsidRoot w:val="00865EB7"/>
    <w:rsid w:val="00016CEE"/>
    <w:rsid w:val="0004139C"/>
    <w:rsid w:val="00066B11"/>
    <w:rsid w:val="00071637"/>
    <w:rsid w:val="00085977"/>
    <w:rsid w:val="00087315"/>
    <w:rsid w:val="000E2D01"/>
    <w:rsid w:val="000F3D9A"/>
    <w:rsid w:val="001123EC"/>
    <w:rsid w:val="00170814"/>
    <w:rsid w:val="001813A8"/>
    <w:rsid w:val="001C0C75"/>
    <w:rsid w:val="001F0CDB"/>
    <w:rsid w:val="001F4A5A"/>
    <w:rsid w:val="002116A7"/>
    <w:rsid w:val="002245F3"/>
    <w:rsid w:val="00243FC1"/>
    <w:rsid w:val="0025282C"/>
    <w:rsid w:val="00273016"/>
    <w:rsid w:val="00280B69"/>
    <w:rsid w:val="00297BCA"/>
    <w:rsid w:val="002F069F"/>
    <w:rsid w:val="00313145"/>
    <w:rsid w:val="003227E7"/>
    <w:rsid w:val="00342657"/>
    <w:rsid w:val="003433EF"/>
    <w:rsid w:val="0035702B"/>
    <w:rsid w:val="003A4773"/>
    <w:rsid w:val="003C2C09"/>
    <w:rsid w:val="003E43F9"/>
    <w:rsid w:val="003F3C6A"/>
    <w:rsid w:val="00413776"/>
    <w:rsid w:val="0041609C"/>
    <w:rsid w:val="00417425"/>
    <w:rsid w:val="00421545"/>
    <w:rsid w:val="0042677C"/>
    <w:rsid w:val="00474D5D"/>
    <w:rsid w:val="004808F9"/>
    <w:rsid w:val="00495A17"/>
    <w:rsid w:val="004976E8"/>
    <w:rsid w:val="004A6C21"/>
    <w:rsid w:val="004B4217"/>
    <w:rsid w:val="00510BF1"/>
    <w:rsid w:val="0055453C"/>
    <w:rsid w:val="005730BE"/>
    <w:rsid w:val="00573CC8"/>
    <w:rsid w:val="005930D6"/>
    <w:rsid w:val="005A611D"/>
    <w:rsid w:val="005B36B1"/>
    <w:rsid w:val="00604ADB"/>
    <w:rsid w:val="00605882"/>
    <w:rsid w:val="0060771C"/>
    <w:rsid w:val="00620E68"/>
    <w:rsid w:val="00641891"/>
    <w:rsid w:val="006511FF"/>
    <w:rsid w:val="0067287A"/>
    <w:rsid w:val="006936F4"/>
    <w:rsid w:val="00694D64"/>
    <w:rsid w:val="006A5EAE"/>
    <w:rsid w:val="006A76A9"/>
    <w:rsid w:val="006A7769"/>
    <w:rsid w:val="006B60AD"/>
    <w:rsid w:val="006D5435"/>
    <w:rsid w:val="006E7BE1"/>
    <w:rsid w:val="007032CE"/>
    <w:rsid w:val="00717BFC"/>
    <w:rsid w:val="007212E0"/>
    <w:rsid w:val="0072257B"/>
    <w:rsid w:val="007532A8"/>
    <w:rsid w:val="00767983"/>
    <w:rsid w:val="00796395"/>
    <w:rsid w:val="007C7D1C"/>
    <w:rsid w:val="00812B78"/>
    <w:rsid w:val="00865EB7"/>
    <w:rsid w:val="00867F72"/>
    <w:rsid w:val="00872053"/>
    <w:rsid w:val="008B2B00"/>
    <w:rsid w:val="008B6696"/>
    <w:rsid w:val="008C380D"/>
    <w:rsid w:val="008D7AAF"/>
    <w:rsid w:val="00904141"/>
    <w:rsid w:val="0091057C"/>
    <w:rsid w:val="00963354"/>
    <w:rsid w:val="00977CDD"/>
    <w:rsid w:val="00987C7F"/>
    <w:rsid w:val="009D1E55"/>
    <w:rsid w:val="009E40EC"/>
    <w:rsid w:val="009E6697"/>
    <w:rsid w:val="00A03F46"/>
    <w:rsid w:val="00A05562"/>
    <w:rsid w:val="00A36817"/>
    <w:rsid w:val="00A45AF3"/>
    <w:rsid w:val="00A91AA8"/>
    <w:rsid w:val="00AA3F11"/>
    <w:rsid w:val="00AC38CE"/>
    <w:rsid w:val="00AE5F68"/>
    <w:rsid w:val="00B0060F"/>
    <w:rsid w:val="00B021F9"/>
    <w:rsid w:val="00B3287F"/>
    <w:rsid w:val="00B332A3"/>
    <w:rsid w:val="00B4198C"/>
    <w:rsid w:val="00B57EC9"/>
    <w:rsid w:val="00B65B9D"/>
    <w:rsid w:val="00BA41CA"/>
    <w:rsid w:val="00BA61F6"/>
    <w:rsid w:val="00BB1661"/>
    <w:rsid w:val="00C00180"/>
    <w:rsid w:val="00C33F45"/>
    <w:rsid w:val="00C36B02"/>
    <w:rsid w:val="00C42536"/>
    <w:rsid w:val="00C57D0A"/>
    <w:rsid w:val="00C67DF7"/>
    <w:rsid w:val="00CB0771"/>
    <w:rsid w:val="00CB33CC"/>
    <w:rsid w:val="00CC7649"/>
    <w:rsid w:val="00CD79F7"/>
    <w:rsid w:val="00CE132A"/>
    <w:rsid w:val="00CF4A90"/>
    <w:rsid w:val="00D32278"/>
    <w:rsid w:val="00D703C3"/>
    <w:rsid w:val="00DB77CA"/>
    <w:rsid w:val="00DE6208"/>
    <w:rsid w:val="00E01CD3"/>
    <w:rsid w:val="00E24FF0"/>
    <w:rsid w:val="00E27D57"/>
    <w:rsid w:val="00E33DF8"/>
    <w:rsid w:val="00E476C6"/>
    <w:rsid w:val="00ED2C25"/>
    <w:rsid w:val="00EF11C7"/>
    <w:rsid w:val="00EF1EF8"/>
    <w:rsid w:val="00F016E9"/>
    <w:rsid w:val="00F0521E"/>
    <w:rsid w:val="00F10DC2"/>
    <w:rsid w:val="00F20E87"/>
    <w:rsid w:val="00F2232E"/>
    <w:rsid w:val="00F35F71"/>
    <w:rsid w:val="00F44C91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3C3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3"/>
    <w:rPr>
      <w:vertAlign w:val="superscript"/>
    </w:rPr>
  </w:style>
  <w:style w:type="paragraph" w:styleId="Revision">
    <w:name w:val="Revision"/>
    <w:hidden/>
    <w:uiPriority w:val="99"/>
    <w:semiHidden/>
    <w:rsid w:val="004267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AF"/>
  </w:style>
  <w:style w:type="paragraph" w:styleId="Footer">
    <w:name w:val="footer"/>
    <w:basedOn w:val="Normal"/>
    <w:link w:val="FooterChar"/>
    <w:uiPriority w:val="99"/>
    <w:unhideWhenUsed/>
    <w:rsid w:val="008D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AF"/>
  </w:style>
  <w:style w:type="character" w:styleId="PageNumber">
    <w:name w:val="page number"/>
    <w:basedOn w:val="DefaultParagraphFont"/>
    <w:uiPriority w:val="99"/>
    <w:semiHidden/>
    <w:unhideWhenUsed/>
    <w:rsid w:val="008D7AAF"/>
  </w:style>
  <w:style w:type="character" w:customStyle="1" w:styleId="Heading1Char">
    <w:name w:val="Heading 1 Char"/>
    <w:basedOn w:val="DefaultParagraphFont"/>
    <w:link w:val="Heading1"/>
    <w:uiPriority w:val="9"/>
    <w:rsid w:val="00D70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283-0F59-4D51-BBBB-C2A4AA5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6</cp:revision>
  <cp:lastPrinted>2022-08-29T18:50:00Z</cp:lastPrinted>
  <dcterms:created xsi:type="dcterms:W3CDTF">2022-09-14T18:48:00Z</dcterms:created>
  <dcterms:modified xsi:type="dcterms:W3CDTF">2022-09-22T15:15:00Z</dcterms:modified>
</cp:coreProperties>
</file>