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AF2C" w14:textId="77777777" w:rsidR="00836B9B" w:rsidRPr="00836B9B" w:rsidRDefault="00836B9B" w:rsidP="00836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Hlk77839959"/>
      <w:r w:rsidRPr="00836B9B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6B781AED" w14:textId="77777777" w:rsidR="00836B9B" w:rsidRPr="00836B9B" w:rsidRDefault="00836B9B" w:rsidP="00836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836B9B">
        <w:rPr>
          <w:rFonts w:ascii="Times New Roman" w:hAnsi="Times New Roman" w:cs="Times New Roman"/>
          <w:color w:val="FF0000"/>
          <w:sz w:val="26"/>
          <w:szCs w:val="26"/>
        </w:rPr>
        <w:t>September 23, 2021</w:t>
      </w:r>
    </w:p>
    <w:bookmarkEnd w:id="0"/>
    <w:p w14:paraId="3B597920" w14:textId="6A1E52BA" w:rsidR="00027E96" w:rsidRPr="00027E96" w:rsidRDefault="000F49AC" w:rsidP="00027E96">
      <w:pPr>
        <w:pStyle w:val="Defaul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15</w:t>
      </w:r>
    </w:p>
    <w:p w14:paraId="7C756617" w14:textId="77777777" w:rsidR="00027E96" w:rsidRDefault="00027E96" w:rsidP="00027E96">
      <w:pPr>
        <w:pStyle w:val="Default"/>
        <w:rPr>
          <w:sz w:val="26"/>
          <w:szCs w:val="26"/>
        </w:rPr>
      </w:pPr>
    </w:p>
    <w:p w14:paraId="5F324351" w14:textId="77777777" w:rsidR="00027E96" w:rsidRDefault="00027E96" w:rsidP="00027E96">
      <w:pPr>
        <w:pStyle w:val="Default"/>
        <w:rPr>
          <w:sz w:val="26"/>
          <w:szCs w:val="26"/>
        </w:rPr>
      </w:pPr>
    </w:p>
    <w:p w14:paraId="651E7CA8" w14:textId="77777777" w:rsidR="00027E96" w:rsidRDefault="00027E96" w:rsidP="00027E96">
      <w:pPr>
        <w:pStyle w:val="Default"/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027E96">
        <w:rPr>
          <w:sz w:val="26"/>
          <w:szCs w:val="26"/>
        </w:rPr>
        <w:t>Board Meeting</w:t>
      </w:r>
    </w:p>
    <w:p w14:paraId="7C8920DF" w14:textId="7F0DCE48" w:rsidR="00112365" w:rsidRPr="00027E96" w:rsidRDefault="00027E96" w:rsidP="00027E96">
      <w:pPr>
        <w:pStyle w:val="Default"/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027E96">
        <w:rPr>
          <w:sz w:val="26"/>
          <w:szCs w:val="26"/>
        </w:rPr>
        <w:t xml:space="preserve">September </w:t>
      </w:r>
      <w:r w:rsidR="009F40A3" w:rsidRPr="00027E96">
        <w:rPr>
          <w:sz w:val="26"/>
          <w:szCs w:val="26"/>
        </w:rPr>
        <w:t>23</w:t>
      </w:r>
      <w:r w:rsidR="0095501E" w:rsidRPr="00027E96">
        <w:rPr>
          <w:sz w:val="26"/>
          <w:szCs w:val="26"/>
        </w:rPr>
        <w:t>, 202</w:t>
      </w:r>
      <w:r>
        <w:rPr>
          <w:sz w:val="26"/>
          <w:szCs w:val="26"/>
        </w:rPr>
        <w:t>1</w:t>
      </w:r>
    </w:p>
    <w:p w14:paraId="4790A184" w14:textId="77777777" w:rsidR="001F4490" w:rsidRPr="00027E96" w:rsidRDefault="001F4490" w:rsidP="00027E96">
      <w:pPr>
        <w:pStyle w:val="Default"/>
        <w:rPr>
          <w:sz w:val="26"/>
          <w:szCs w:val="26"/>
        </w:rPr>
      </w:pPr>
    </w:p>
    <w:p w14:paraId="33BEF7BC" w14:textId="77777777" w:rsidR="00112365" w:rsidRPr="00027E96" w:rsidRDefault="00112365" w:rsidP="00027E96">
      <w:pPr>
        <w:pStyle w:val="Default"/>
        <w:rPr>
          <w:sz w:val="26"/>
          <w:szCs w:val="26"/>
        </w:rPr>
      </w:pPr>
    </w:p>
    <w:p w14:paraId="4032B05A" w14:textId="6A908A3F" w:rsidR="00112365" w:rsidRDefault="00112365" w:rsidP="00027E96">
      <w:pPr>
        <w:pStyle w:val="Default"/>
        <w:jc w:val="center"/>
        <w:rPr>
          <w:sz w:val="26"/>
          <w:szCs w:val="26"/>
        </w:rPr>
      </w:pPr>
      <w:r w:rsidRPr="00027E96">
        <w:rPr>
          <w:sz w:val="26"/>
          <w:szCs w:val="26"/>
        </w:rPr>
        <w:t>ROLL CALL</w:t>
      </w:r>
    </w:p>
    <w:p w14:paraId="461485D4" w14:textId="77777777" w:rsidR="00027E96" w:rsidRPr="00027E96" w:rsidRDefault="00027E96" w:rsidP="00027E96">
      <w:pPr>
        <w:pStyle w:val="Default"/>
        <w:jc w:val="center"/>
        <w:rPr>
          <w:sz w:val="26"/>
          <w:szCs w:val="26"/>
        </w:rPr>
      </w:pPr>
    </w:p>
    <w:p w14:paraId="73A44A5A" w14:textId="1C5DA2BB" w:rsidR="00112365" w:rsidRPr="00027E96" w:rsidRDefault="00112365" w:rsidP="00027E96">
      <w:pPr>
        <w:pStyle w:val="Default"/>
        <w:jc w:val="center"/>
        <w:rPr>
          <w:sz w:val="26"/>
          <w:szCs w:val="26"/>
        </w:rPr>
      </w:pPr>
      <w:r w:rsidRPr="00027E96">
        <w:rPr>
          <w:sz w:val="26"/>
          <w:szCs w:val="26"/>
        </w:rPr>
        <w:t>APPROVE ACADEMIC AND ADMINISTRATIVE APPOINTMENTS FOR CONTRACT YEAR 20</w:t>
      </w:r>
      <w:r w:rsidR="0095501E" w:rsidRPr="00027E96">
        <w:rPr>
          <w:sz w:val="26"/>
          <w:szCs w:val="26"/>
        </w:rPr>
        <w:t>2</w:t>
      </w:r>
      <w:r w:rsidR="009F40A3" w:rsidRPr="00027E96">
        <w:rPr>
          <w:sz w:val="26"/>
          <w:szCs w:val="26"/>
        </w:rPr>
        <w:t>1</w:t>
      </w:r>
      <w:r w:rsidR="0095501E" w:rsidRPr="00027E96">
        <w:rPr>
          <w:sz w:val="26"/>
          <w:szCs w:val="26"/>
        </w:rPr>
        <w:t>-2</w:t>
      </w:r>
      <w:r w:rsidR="009F40A3" w:rsidRPr="00027E96">
        <w:rPr>
          <w:sz w:val="26"/>
          <w:szCs w:val="26"/>
        </w:rPr>
        <w:t>2</w:t>
      </w:r>
    </w:p>
    <w:p w14:paraId="1F79BD3D" w14:textId="77777777" w:rsidR="00027E96" w:rsidRDefault="00027E96" w:rsidP="00027E96">
      <w:pPr>
        <w:pStyle w:val="Default"/>
        <w:rPr>
          <w:b/>
          <w:bCs/>
          <w:sz w:val="26"/>
          <w:szCs w:val="26"/>
        </w:rPr>
      </w:pPr>
    </w:p>
    <w:p w14:paraId="3A373392" w14:textId="77777777" w:rsidR="00027E96" w:rsidRDefault="00112365" w:rsidP="00027E96">
      <w:pPr>
        <w:pStyle w:val="Default"/>
        <w:tabs>
          <w:tab w:val="left" w:pos="1440"/>
        </w:tabs>
        <w:rPr>
          <w:sz w:val="26"/>
          <w:szCs w:val="26"/>
        </w:rPr>
      </w:pPr>
      <w:r w:rsidRPr="00027E96">
        <w:rPr>
          <w:b/>
          <w:bCs/>
          <w:sz w:val="26"/>
          <w:szCs w:val="26"/>
        </w:rPr>
        <w:t>Action:</w:t>
      </w:r>
      <w:r w:rsidR="00027E96">
        <w:rPr>
          <w:b/>
          <w:bCs/>
          <w:sz w:val="26"/>
          <w:szCs w:val="26"/>
        </w:rPr>
        <w:tab/>
      </w:r>
      <w:r w:rsidRPr="00027E96">
        <w:rPr>
          <w:sz w:val="26"/>
          <w:szCs w:val="26"/>
        </w:rPr>
        <w:t>Approve Academic and Administrative Appointments for Contract Year</w:t>
      </w:r>
    </w:p>
    <w:p w14:paraId="62EF7E5F" w14:textId="77777777" w:rsidR="00027E96" w:rsidRDefault="00027E96" w:rsidP="00027E96">
      <w:pPr>
        <w:pStyle w:val="Default"/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027E96">
        <w:rPr>
          <w:sz w:val="26"/>
          <w:szCs w:val="26"/>
        </w:rPr>
        <w:t>20</w:t>
      </w:r>
      <w:r w:rsidR="0095501E" w:rsidRPr="00027E96">
        <w:rPr>
          <w:sz w:val="26"/>
          <w:szCs w:val="26"/>
        </w:rPr>
        <w:t>2</w:t>
      </w:r>
      <w:r w:rsidR="009F40A3" w:rsidRPr="00027E96">
        <w:rPr>
          <w:sz w:val="26"/>
          <w:szCs w:val="26"/>
        </w:rPr>
        <w:t>1</w:t>
      </w:r>
      <w:r w:rsidR="0095501E" w:rsidRPr="00027E96">
        <w:rPr>
          <w:sz w:val="26"/>
          <w:szCs w:val="26"/>
        </w:rPr>
        <w:t>-2</w:t>
      </w:r>
      <w:r w:rsidR="009F40A3" w:rsidRPr="00027E96">
        <w:rPr>
          <w:sz w:val="26"/>
          <w:szCs w:val="26"/>
        </w:rPr>
        <w:t>2</w:t>
      </w:r>
    </w:p>
    <w:p w14:paraId="2F212BF1" w14:textId="21520751" w:rsidR="00112365" w:rsidRPr="00027E96" w:rsidRDefault="00112365" w:rsidP="00027E96">
      <w:pPr>
        <w:pStyle w:val="Default"/>
        <w:tabs>
          <w:tab w:val="left" w:pos="1440"/>
        </w:tabs>
        <w:rPr>
          <w:sz w:val="26"/>
          <w:szCs w:val="26"/>
        </w:rPr>
      </w:pPr>
      <w:r w:rsidRPr="00027E96">
        <w:rPr>
          <w:sz w:val="26"/>
          <w:szCs w:val="26"/>
        </w:rPr>
        <w:t xml:space="preserve"> </w:t>
      </w:r>
    </w:p>
    <w:p w14:paraId="269F7E7E" w14:textId="3402AA2A" w:rsidR="00112365" w:rsidRPr="00027E96" w:rsidRDefault="00112365" w:rsidP="00027E96">
      <w:pPr>
        <w:pStyle w:val="Default"/>
        <w:tabs>
          <w:tab w:val="left" w:pos="1440"/>
        </w:tabs>
        <w:rPr>
          <w:sz w:val="26"/>
          <w:szCs w:val="26"/>
        </w:rPr>
      </w:pPr>
      <w:r w:rsidRPr="00027E96">
        <w:rPr>
          <w:b/>
          <w:bCs/>
          <w:sz w:val="26"/>
          <w:szCs w:val="26"/>
        </w:rPr>
        <w:t>Funding:</w:t>
      </w:r>
      <w:r w:rsidR="00027E96">
        <w:rPr>
          <w:b/>
          <w:bCs/>
          <w:sz w:val="26"/>
          <w:szCs w:val="26"/>
        </w:rPr>
        <w:tab/>
      </w:r>
      <w:r w:rsidRPr="00027E96">
        <w:rPr>
          <w:sz w:val="26"/>
          <w:szCs w:val="26"/>
        </w:rPr>
        <w:t xml:space="preserve">All Operating Budget Sources (State, Auxiliary, Federal, etc.) </w:t>
      </w:r>
    </w:p>
    <w:p w14:paraId="4FC460C1" w14:textId="65048DC0" w:rsidR="00112365" w:rsidRDefault="00112365" w:rsidP="00027E96">
      <w:pPr>
        <w:pStyle w:val="Default"/>
        <w:ind w:firstLine="720"/>
        <w:rPr>
          <w:sz w:val="26"/>
          <w:szCs w:val="26"/>
        </w:rPr>
      </w:pPr>
    </w:p>
    <w:p w14:paraId="7ABED98F" w14:textId="77777777" w:rsidR="003F1048" w:rsidRPr="00027E96" w:rsidRDefault="003F1048" w:rsidP="00027E96">
      <w:pPr>
        <w:pStyle w:val="Default"/>
        <w:ind w:firstLine="720"/>
        <w:rPr>
          <w:sz w:val="26"/>
          <w:szCs w:val="26"/>
        </w:rPr>
      </w:pPr>
    </w:p>
    <w:p w14:paraId="3BC0BE6B" w14:textId="6AAC8C4E" w:rsidR="00112365" w:rsidRPr="00027E96" w:rsidRDefault="00027E96" w:rsidP="00911D20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027E96">
        <w:rPr>
          <w:sz w:val="26"/>
          <w:szCs w:val="26"/>
        </w:rPr>
        <w:t xml:space="preserve">On May </w:t>
      </w:r>
      <w:r w:rsidR="0095501E" w:rsidRPr="00027E96">
        <w:rPr>
          <w:sz w:val="26"/>
          <w:szCs w:val="26"/>
        </w:rPr>
        <w:t>20</w:t>
      </w:r>
      <w:r w:rsidR="00112365" w:rsidRPr="00027E96">
        <w:rPr>
          <w:sz w:val="26"/>
          <w:szCs w:val="26"/>
        </w:rPr>
        <w:t>, 20</w:t>
      </w:r>
      <w:r w:rsidR="0095501E" w:rsidRPr="00027E96">
        <w:rPr>
          <w:sz w:val="26"/>
          <w:szCs w:val="26"/>
        </w:rPr>
        <w:t>2</w:t>
      </w:r>
      <w:r w:rsidR="009F40A3" w:rsidRPr="00027E96">
        <w:rPr>
          <w:sz w:val="26"/>
          <w:szCs w:val="26"/>
        </w:rPr>
        <w:t>1</w:t>
      </w:r>
      <w:r w:rsidR="00112365" w:rsidRPr="00027E96">
        <w:rPr>
          <w:sz w:val="26"/>
          <w:szCs w:val="26"/>
        </w:rPr>
        <w:t>, the Board of Trustees approved a Preliminary Operating Budget for Fiscal Year 20</w:t>
      </w:r>
      <w:r w:rsidR="00B867C3" w:rsidRPr="00027E96">
        <w:rPr>
          <w:sz w:val="26"/>
          <w:szCs w:val="26"/>
        </w:rPr>
        <w:t>2</w:t>
      </w:r>
      <w:r w:rsidR="009F40A3" w:rsidRPr="00027E96">
        <w:rPr>
          <w:sz w:val="26"/>
          <w:szCs w:val="26"/>
        </w:rPr>
        <w:t>2</w:t>
      </w:r>
      <w:r w:rsidR="00112365" w:rsidRPr="00027E9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112365" w:rsidRPr="00027E96">
        <w:rPr>
          <w:sz w:val="26"/>
          <w:szCs w:val="26"/>
        </w:rPr>
        <w:t>Recommendations for academic and administrative appointments beginning August 16, 20</w:t>
      </w:r>
      <w:r w:rsidR="0095501E" w:rsidRPr="00027E96">
        <w:rPr>
          <w:sz w:val="26"/>
          <w:szCs w:val="26"/>
        </w:rPr>
        <w:t>2</w:t>
      </w:r>
      <w:r w:rsidR="009F40A3" w:rsidRPr="00027E96">
        <w:rPr>
          <w:sz w:val="26"/>
          <w:szCs w:val="26"/>
        </w:rPr>
        <w:t>1</w:t>
      </w:r>
      <w:r w:rsidR="00112365" w:rsidRPr="00027E96">
        <w:rPr>
          <w:sz w:val="26"/>
          <w:szCs w:val="26"/>
        </w:rPr>
        <w:t xml:space="preserve">, have been completed within the funds available to the University </w:t>
      </w:r>
      <w:r w:rsidR="0095501E" w:rsidRPr="00027E96">
        <w:rPr>
          <w:sz w:val="26"/>
          <w:szCs w:val="26"/>
        </w:rPr>
        <w:t xml:space="preserve">and as </w:t>
      </w:r>
      <w:r w:rsidR="00112365" w:rsidRPr="00027E96">
        <w:rPr>
          <w:sz w:val="26"/>
          <w:szCs w:val="26"/>
        </w:rPr>
        <w:t xml:space="preserve">reflected in the preliminary operating budget. </w:t>
      </w:r>
    </w:p>
    <w:p w14:paraId="6C55D90C" w14:textId="738446BB" w:rsidR="00112365" w:rsidRPr="00027E96" w:rsidRDefault="00027E96" w:rsidP="00911D20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027E96">
        <w:rPr>
          <w:sz w:val="26"/>
          <w:szCs w:val="26"/>
        </w:rPr>
        <w:t>Accordingly, the President of the University recommends approval of the document entitled</w:t>
      </w:r>
      <w:r w:rsidR="0095501E" w:rsidRPr="00027E96">
        <w:rPr>
          <w:sz w:val="26"/>
          <w:szCs w:val="26"/>
        </w:rPr>
        <w:t xml:space="preserve"> </w:t>
      </w:r>
      <w:r w:rsidR="0095501E" w:rsidRPr="00027E96">
        <w:rPr>
          <w:i/>
          <w:iCs/>
          <w:sz w:val="26"/>
          <w:szCs w:val="26"/>
        </w:rPr>
        <w:t>Academic Personnel</w:t>
      </w:r>
      <w:r w:rsidR="0095501E" w:rsidRPr="00027E96">
        <w:rPr>
          <w:sz w:val="26"/>
          <w:szCs w:val="26"/>
        </w:rPr>
        <w:t xml:space="preserve">, </w:t>
      </w:r>
      <w:r w:rsidR="00112365" w:rsidRPr="00027E96">
        <w:rPr>
          <w:i/>
          <w:iCs/>
          <w:sz w:val="26"/>
          <w:szCs w:val="26"/>
        </w:rPr>
        <w:t>20</w:t>
      </w:r>
      <w:r w:rsidR="0095501E" w:rsidRPr="00027E96">
        <w:rPr>
          <w:i/>
          <w:iCs/>
          <w:sz w:val="26"/>
          <w:szCs w:val="26"/>
        </w:rPr>
        <w:t>2</w:t>
      </w:r>
      <w:r w:rsidR="009F40A3" w:rsidRPr="00027E96">
        <w:rPr>
          <w:i/>
          <w:iCs/>
          <w:sz w:val="26"/>
          <w:szCs w:val="26"/>
        </w:rPr>
        <w:t>1</w:t>
      </w:r>
      <w:r w:rsidR="00112365" w:rsidRPr="00027E96">
        <w:rPr>
          <w:i/>
          <w:iCs/>
          <w:sz w:val="26"/>
          <w:szCs w:val="26"/>
        </w:rPr>
        <w:t>-</w:t>
      </w:r>
      <w:r w:rsidR="00B867C3" w:rsidRPr="00027E96">
        <w:rPr>
          <w:i/>
          <w:iCs/>
          <w:sz w:val="26"/>
          <w:szCs w:val="26"/>
        </w:rPr>
        <w:t>2</w:t>
      </w:r>
      <w:r w:rsidR="009F40A3" w:rsidRPr="00027E96">
        <w:rPr>
          <w:i/>
          <w:iCs/>
          <w:sz w:val="26"/>
          <w:szCs w:val="26"/>
        </w:rPr>
        <w:t>2</w:t>
      </w:r>
      <w:r w:rsidR="00112365" w:rsidRPr="00027E96">
        <w:rPr>
          <w:i/>
          <w:iCs/>
          <w:sz w:val="26"/>
          <w:szCs w:val="26"/>
        </w:rPr>
        <w:t xml:space="preserve">, </w:t>
      </w:r>
      <w:r w:rsidR="00112365" w:rsidRPr="00027E96">
        <w:rPr>
          <w:sz w:val="26"/>
          <w:szCs w:val="26"/>
        </w:rPr>
        <w:t xml:space="preserve">and requests authorization, in accord with the needs of the University and the equitable interests involved, and within total budgeted income: (1) to accept resignations; (2) to make such additional appointments as are necessary and to approve the issuance of notices of non-reappointment, subject to the provisions of the University of Illinois </w:t>
      </w:r>
      <w:r w:rsidR="00112365" w:rsidRPr="00027E96">
        <w:rPr>
          <w:i/>
          <w:iCs/>
          <w:sz w:val="26"/>
          <w:szCs w:val="26"/>
        </w:rPr>
        <w:t>Statutes, The General Rules Concerning University Organization and Procedure</w:t>
      </w:r>
      <w:r w:rsidR="00112365" w:rsidRPr="00027E96">
        <w:rPr>
          <w:sz w:val="26"/>
          <w:szCs w:val="26"/>
        </w:rPr>
        <w:t xml:space="preserve">, and </w:t>
      </w:r>
      <w:r w:rsidR="00112365" w:rsidRPr="00027E96">
        <w:rPr>
          <w:i/>
          <w:iCs/>
          <w:sz w:val="26"/>
          <w:szCs w:val="26"/>
        </w:rPr>
        <w:t>Policy and Rules</w:t>
      </w:r>
      <w:r w:rsidR="00112365" w:rsidRPr="00027E96">
        <w:rPr>
          <w:sz w:val="26"/>
          <w:szCs w:val="26"/>
        </w:rPr>
        <w:t xml:space="preserve">; and (3) to make such </w:t>
      </w:r>
      <w:r w:rsidR="00112365" w:rsidRPr="00027E96">
        <w:rPr>
          <w:sz w:val="26"/>
          <w:szCs w:val="26"/>
        </w:rPr>
        <w:lastRenderedPageBreak/>
        <w:t xml:space="preserve">other personnel adjustments as needed, such adjustments to be covered in periodic reports to the Board of Trustees (Secretary’s Report). </w:t>
      </w:r>
    </w:p>
    <w:p w14:paraId="34749AD2" w14:textId="349A5843" w:rsidR="004549A8" w:rsidRPr="00027E96" w:rsidRDefault="00911D20" w:rsidP="00911D20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12365" w:rsidRPr="00027E96">
        <w:rPr>
          <w:rFonts w:ascii="Times New Roman" w:hAnsi="Times New Roman" w:cs="Times New Roman"/>
          <w:color w:val="000000"/>
          <w:sz w:val="26"/>
          <w:szCs w:val="26"/>
        </w:rPr>
        <w:t xml:space="preserve">The Board action recommended in this item complies in all material respects with applicable State and federal laws, </w:t>
      </w:r>
      <w:r w:rsidR="00112365" w:rsidRPr="00027E96">
        <w:rPr>
          <w:rFonts w:ascii="Times New Roman" w:hAnsi="Times New Roman" w:cs="Times New Roman"/>
          <w:i/>
          <w:iCs/>
          <w:color w:val="000000"/>
          <w:sz w:val="26"/>
          <w:szCs w:val="26"/>
        </w:rPr>
        <w:t>University of Illinois Statutes</w:t>
      </w:r>
      <w:r w:rsidR="00112365" w:rsidRPr="00027E9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12365" w:rsidRPr="00027E96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 General Rules Concerning University Organization and Procedure,</w:t>
      </w:r>
      <w:r w:rsidR="00112365" w:rsidRPr="00027E96">
        <w:rPr>
          <w:rFonts w:ascii="Times New Roman" w:hAnsi="Times New Roman" w:cs="Times New Roman"/>
          <w:color w:val="000000"/>
          <w:sz w:val="26"/>
          <w:szCs w:val="26"/>
        </w:rPr>
        <w:t xml:space="preserve"> and Board of Trustees policies and directives.</w:t>
      </w:r>
    </w:p>
    <w:sectPr w:rsidR="004549A8" w:rsidRPr="00027E96" w:rsidSect="00911D20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44C3" w14:textId="77777777" w:rsidR="00EB412E" w:rsidRDefault="00EB412E" w:rsidP="00911D20">
      <w:pPr>
        <w:spacing w:after="0" w:line="240" w:lineRule="auto"/>
      </w:pPr>
      <w:r>
        <w:separator/>
      </w:r>
    </w:p>
  </w:endnote>
  <w:endnote w:type="continuationSeparator" w:id="0">
    <w:p w14:paraId="468F193C" w14:textId="77777777" w:rsidR="00EB412E" w:rsidRDefault="00EB412E" w:rsidP="0091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C82C" w14:textId="77777777" w:rsidR="00EB412E" w:rsidRDefault="00EB412E" w:rsidP="00911D20">
      <w:pPr>
        <w:spacing w:after="0" w:line="240" w:lineRule="auto"/>
      </w:pPr>
      <w:r>
        <w:separator/>
      </w:r>
    </w:p>
  </w:footnote>
  <w:footnote w:type="continuationSeparator" w:id="0">
    <w:p w14:paraId="223D39A1" w14:textId="77777777" w:rsidR="00EB412E" w:rsidRDefault="00EB412E" w:rsidP="0091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96085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AA6ABD" w14:textId="0CA6A1F2" w:rsidR="00911D20" w:rsidRDefault="00911D20" w:rsidP="00062A7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AC0E38" w14:textId="77777777" w:rsidR="00911D20" w:rsidRDefault="00911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19771829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172E94" w14:textId="28FCC7E9" w:rsidR="00911D20" w:rsidRPr="00911D20" w:rsidRDefault="00911D20" w:rsidP="00062A7D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911D20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911D20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911D20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911D20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911D20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69598E4" w14:textId="3616B643" w:rsidR="00911D20" w:rsidRDefault="00911D20">
    <w:pPr>
      <w:pStyle w:val="Header"/>
    </w:pPr>
  </w:p>
  <w:p w14:paraId="205B08C6" w14:textId="77777777" w:rsidR="00911D20" w:rsidRDefault="00911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65"/>
    <w:rsid w:val="00027E96"/>
    <w:rsid w:val="000F49AC"/>
    <w:rsid w:val="00112365"/>
    <w:rsid w:val="00160429"/>
    <w:rsid w:val="001F4490"/>
    <w:rsid w:val="002E6986"/>
    <w:rsid w:val="00385991"/>
    <w:rsid w:val="003F1048"/>
    <w:rsid w:val="0041200E"/>
    <w:rsid w:val="004549A8"/>
    <w:rsid w:val="005E48A1"/>
    <w:rsid w:val="0076450A"/>
    <w:rsid w:val="00836B9B"/>
    <w:rsid w:val="00911D20"/>
    <w:rsid w:val="0095501E"/>
    <w:rsid w:val="00987B78"/>
    <w:rsid w:val="009F40A3"/>
    <w:rsid w:val="00AD0C93"/>
    <w:rsid w:val="00B867C3"/>
    <w:rsid w:val="00E77D9E"/>
    <w:rsid w:val="00E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5CA6"/>
  <w15:chartTrackingRefBased/>
  <w15:docId w15:val="{28CE8B8F-44B6-422A-8B85-B604B13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20"/>
  </w:style>
  <w:style w:type="character" w:styleId="PageNumber">
    <w:name w:val="page number"/>
    <w:basedOn w:val="DefaultParagraphFont"/>
    <w:uiPriority w:val="99"/>
    <w:semiHidden/>
    <w:unhideWhenUsed/>
    <w:rsid w:val="00911D20"/>
  </w:style>
  <w:style w:type="paragraph" w:styleId="Footer">
    <w:name w:val="footer"/>
    <w:basedOn w:val="Normal"/>
    <w:link w:val="FooterChar"/>
    <w:uiPriority w:val="99"/>
    <w:unhideWhenUsed/>
    <w:rsid w:val="0091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Jami</dc:creator>
  <cp:keywords/>
  <dc:description/>
  <cp:lastModifiedBy>Williams, Aubrie Lee</cp:lastModifiedBy>
  <cp:revision>4</cp:revision>
  <dcterms:created xsi:type="dcterms:W3CDTF">2021-08-31T14:45:00Z</dcterms:created>
  <dcterms:modified xsi:type="dcterms:W3CDTF">2021-09-23T14:43:00Z</dcterms:modified>
</cp:coreProperties>
</file>