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3C37" w14:textId="77777777" w:rsidR="007962EB" w:rsidRPr="007962EB" w:rsidRDefault="007962EB" w:rsidP="007962EB">
      <w:pPr>
        <w:pBdr>
          <w:top w:val="single" w:sz="4" w:space="1" w:color="auto"/>
          <w:left w:val="single" w:sz="4" w:space="4" w:color="auto"/>
          <w:bottom w:val="single" w:sz="4" w:space="1" w:color="auto"/>
          <w:right w:val="single" w:sz="4" w:space="4" w:color="auto"/>
        </w:pBdr>
        <w:ind w:right="5670"/>
        <w:rPr>
          <w:color w:val="FF0000"/>
          <w:sz w:val="26"/>
          <w:szCs w:val="26"/>
        </w:rPr>
      </w:pPr>
      <w:bookmarkStart w:id="0" w:name="_Hlk77839959"/>
      <w:r w:rsidRPr="007962EB">
        <w:rPr>
          <w:color w:val="FF0000"/>
          <w:sz w:val="26"/>
          <w:szCs w:val="26"/>
        </w:rPr>
        <w:t>Approved by the Board of Trustees</w:t>
      </w:r>
    </w:p>
    <w:p w14:paraId="4CE5CD91" w14:textId="77777777" w:rsidR="007962EB" w:rsidRPr="007962EB" w:rsidRDefault="007962EB" w:rsidP="007962EB">
      <w:pPr>
        <w:pBdr>
          <w:top w:val="single" w:sz="4" w:space="1" w:color="auto"/>
          <w:left w:val="single" w:sz="4" w:space="4" w:color="auto"/>
          <w:bottom w:val="single" w:sz="4" w:space="1" w:color="auto"/>
          <w:right w:val="single" w:sz="4" w:space="4" w:color="auto"/>
        </w:pBdr>
        <w:ind w:right="5670"/>
        <w:rPr>
          <w:color w:val="FF0000"/>
          <w:sz w:val="26"/>
          <w:szCs w:val="26"/>
        </w:rPr>
      </w:pPr>
      <w:r w:rsidRPr="007962EB">
        <w:rPr>
          <w:color w:val="FF0000"/>
          <w:sz w:val="26"/>
          <w:szCs w:val="26"/>
        </w:rPr>
        <w:t>September 23, 2021</w:t>
      </w:r>
    </w:p>
    <w:bookmarkEnd w:id="0"/>
    <w:p w14:paraId="0A74C3B1" w14:textId="395E9C7C" w:rsidR="008E73D5" w:rsidRPr="006F0CDA" w:rsidRDefault="00222D7D" w:rsidP="006F0CDA">
      <w:pPr>
        <w:pStyle w:val="bdheading1"/>
        <w:jc w:val="right"/>
        <w:rPr>
          <w:rFonts w:ascii="Times New Roman" w:hAnsi="Times New Roman"/>
          <w:b/>
          <w:bCs/>
          <w:sz w:val="60"/>
          <w:szCs w:val="60"/>
        </w:rPr>
      </w:pPr>
      <w:r>
        <w:rPr>
          <w:rFonts w:ascii="Times New Roman" w:hAnsi="Times New Roman"/>
          <w:b/>
          <w:bCs/>
          <w:sz w:val="60"/>
          <w:szCs w:val="60"/>
        </w:rPr>
        <w:t>19</w:t>
      </w:r>
    </w:p>
    <w:p w14:paraId="376A6773" w14:textId="77777777" w:rsidR="006F0CDA" w:rsidRDefault="006F0CDA" w:rsidP="006F0CDA">
      <w:pPr>
        <w:pStyle w:val="bdheading2"/>
        <w:rPr>
          <w:rFonts w:ascii="Times New Roman" w:hAnsi="Times New Roman"/>
          <w:sz w:val="26"/>
          <w:szCs w:val="26"/>
        </w:rPr>
      </w:pPr>
    </w:p>
    <w:p w14:paraId="5738CE63" w14:textId="77777777" w:rsidR="006F0CDA" w:rsidRDefault="006F0CDA" w:rsidP="006F0CDA">
      <w:pPr>
        <w:pStyle w:val="bdheading2"/>
        <w:rPr>
          <w:rFonts w:ascii="Times New Roman" w:hAnsi="Times New Roman"/>
          <w:sz w:val="26"/>
          <w:szCs w:val="26"/>
        </w:rPr>
      </w:pPr>
    </w:p>
    <w:p w14:paraId="071A8885" w14:textId="39528AD3" w:rsidR="006F0CDA" w:rsidRPr="006F0CDA" w:rsidRDefault="006F0CDA" w:rsidP="006F0CDA">
      <w:pPr>
        <w:pStyle w:val="bdheading2"/>
        <w:tabs>
          <w:tab w:val="left" w:pos="7200"/>
        </w:tabs>
        <w:rPr>
          <w:rFonts w:ascii="Times New Roman" w:hAnsi="Times New Roman"/>
          <w:sz w:val="26"/>
          <w:szCs w:val="26"/>
        </w:rPr>
      </w:pPr>
      <w:r>
        <w:rPr>
          <w:rFonts w:ascii="Times New Roman" w:hAnsi="Times New Roman"/>
          <w:sz w:val="26"/>
          <w:szCs w:val="26"/>
        </w:rPr>
        <w:tab/>
      </w:r>
      <w:r w:rsidR="008E73D5" w:rsidRPr="006F0CDA">
        <w:rPr>
          <w:rFonts w:ascii="Times New Roman" w:hAnsi="Times New Roman"/>
          <w:sz w:val="26"/>
          <w:szCs w:val="26"/>
        </w:rPr>
        <w:t>Board Meeting</w:t>
      </w:r>
    </w:p>
    <w:p w14:paraId="5E596FDA" w14:textId="2EA498D8" w:rsidR="008E73D5" w:rsidRPr="006F0CDA" w:rsidRDefault="006F0CDA" w:rsidP="006F0CDA">
      <w:pPr>
        <w:pStyle w:val="bdheading2"/>
        <w:tabs>
          <w:tab w:val="left" w:pos="7200"/>
        </w:tabs>
        <w:rPr>
          <w:rFonts w:ascii="Times New Roman" w:hAnsi="Times New Roman"/>
          <w:sz w:val="26"/>
          <w:szCs w:val="26"/>
        </w:rPr>
      </w:pPr>
      <w:r>
        <w:rPr>
          <w:rFonts w:ascii="Times New Roman" w:hAnsi="Times New Roman"/>
          <w:sz w:val="26"/>
          <w:szCs w:val="26"/>
        </w:rPr>
        <w:tab/>
      </w:r>
      <w:r w:rsidR="00F56D3D" w:rsidRPr="006F0CDA">
        <w:rPr>
          <w:rFonts w:ascii="Times New Roman" w:hAnsi="Times New Roman"/>
          <w:sz w:val="26"/>
          <w:szCs w:val="26"/>
        </w:rPr>
        <w:t>September 23</w:t>
      </w:r>
      <w:r w:rsidR="008E73D5" w:rsidRPr="006F0CDA">
        <w:rPr>
          <w:rFonts w:ascii="Times New Roman" w:hAnsi="Times New Roman"/>
          <w:sz w:val="26"/>
          <w:szCs w:val="26"/>
        </w:rPr>
        <w:t>, 2021</w:t>
      </w:r>
    </w:p>
    <w:p w14:paraId="2824E8D2" w14:textId="7B88684A" w:rsidR="008E73D5" w:rsidRDefault="008E73D5" w:rsidP="006F0CDA">
      <w:pPr>
        <w:pStyle w:val="Default"/>
        <w:rPr>
          <w:rFonts w:ascii="Times New Roman" w:hAnsi="Times New Roman"/>
          <w:sz w:val="26"/>
          <w:szCs w:val="26"/>
        </w:rPr>
      </w:pPr>
    </w:p>
    <w:p w14:paraId="3B15C636" w14:textId="77777777" w:rsidR="006F0CDA" w:rsidRPr="006F0CDA" w:rsidRDefault="006F0CDA" w:rsidP="006F0CDA">
      <w:pPr>
        <w:pStyle w:val="Default"/>
        <w:rPr>
          <w:rFonts w:ascii="Times New Roman" w:hAnsi="Times New Roman"/>
          <w:sz w:val="26"/>
          <w:szCs w:val="26"/>
        </w:rPr>
      </w:pPr>
    </w:p>
    <w:p w14:paraId="2B0485F9" w14:textId="77777777" w:rsidR="008E73D5" w:rsidRPr="006F0CDA" w:rsidRDefault="008E73D5" w:rsidP="006F0CDA">
      <w:pPr>
        <w:jc w:val="center"/>
        <w:rPr>
          <w:sz w:val="26"/>
          <w:szCs w:val="26"/>
        </w:rPr>
      </w:pPr>
      <w:r w:rsidRPr="006F0CDA">
        <w:rPr>
          <w:sz w:val="26"/>
          <w:szCs w:val="26"/>
        </w:rPr>
        <w:t>ROLL CALL</w:t>
      </w:r>
    </w:p>
    <w:p w14:paraId="67947872" w14:textId="77777777" w:rsidR="008E73D5" w:rsidRPr="006F0CDA" w:rsidRDefault="008E73D5" w:rsidP="006F0CDA">
      <w:pPr>
        <w:jc w:val="center"/>
        <w:rPr>
          <w:sz w:val="26"/>
          <w:szCs w:val="26"/>
        </w:rPr>
      </w:pPr>
      <w:r w:rsidRPr="006F0CDA">
        <w:rPr>
          <w:sz w:val="26"/>
          <w:szCs w:val="26"/>
        </w:rPr>
        <w:t xml:space="preserve"> </w:t>
      </w:r>
    </w:p>
    <w:p w14:paraId="45DDA932" w14:textId="40FB4F77" w:rsidR="008E73D5" w:rsidRPr="006F0CDA" w:rsidRDefault="008E73D5" w:rsidP="006F0CDA">
      <w:pPr>
        <w:jc w:val="center"/>
        <w:rPr>
          <w:sz w:val="26"/>
          <w:szCs w:val="26"/>
        </w:rPr>
      </w:pPr>
      <w:r w:rsidRPr="006F0CDA">
        <w:rPr>
          <w:sz w:val="26"/>
          <w:szCs w:val="26"/>
        </w:rPr>
        <w:t>APPROVE CONSTRUCTION CONTRACT FOR SOCCER FIELD RENOVATION</w:t>
      </w:r>
      <w:r w:rsidR="007D5B65">
        <w:rPr>
          <w:sz w:val="26"/>
          <w:szCs w:val="26"/>
        </w:rPr>
        <w:t xml:space="preserve">, </w:t>
      </w:r>
      <w:r w:rsidRPr="006F0CDA">
        <w:rPr>
          <w:sz w:val="26"/>
          <w:szCs w:val="26"/>
        </w:rPr>
        <w:t xml:space="preserve">SOUTH CAMPUS, </w:t>
      </w:r>
      <w:r w:rsidR="00E57C19" w:rsidRPr="006F0CDA">
        <w:rPr>
          <w:sz w:val="26"/>
          <w:szCs w:val="26"/>
        </w:rPr>
        <w:t xml:space="preserve">DEPARTMENT OF INTERCOLLEGIATE ATHLETICS, </w:t>
      </w:r>
      <w:r w:rsidRPr="006F0CDA">
        <w:rPr>
          <w:sz w:val="26"/>
          <w:szCs w:val="26"/>
        </w:rPr>
        <w:t>CHICAGO</w:t>
      </w:r>
    </w:p>
    <w:p w14:paraId="63B0BFB3" w14:textId="4D61CBAD" w:rsidR="008E73D5" w:rsidRDefault="008E73D5" w:rsidP="006F0CDA">
      <w:pPr>
        <w:jc w:val="center"/>
        <w:rPr>
          <w:sz w:val="26"/>
          <w:szCs w:val="26"/>
        </w:rPr>
      </w:pPr>
    </w:p>
    <w:p w14:paraId="3BCF7F51" w14:textId="77777777" w:rsidR="006F0CDA" w:rsidRPr="006F0CDA" w:rsidRDefault="006F0CDA" w:rsidP="006F0CDA">
      <w:pPr>
        <w:jc w:val="center"/>
        <w:rPr>
          <w:sz w:val="26"/>
          <w:szCs w:val="26"/>
        </w:rPr>
      </w:pPr>
    </w:p>
    <w:p w14:paraId="07C522FD" w14:textId="59D20D0F" w:rsidR="006F0CDA" w:rsidRDefault="008E73D5" w:rsidP="006F0CDA">
      <w:pPr>
        <w:pStyle w:val="bdstyle1"/>
        <w:tabs>
          <w:tab w:val="left" w:pos="1440"/>
        </w:tabs>
        <w:rPr>
          <w:rFonts w:ascii="Times New Roman" w:hAnsi="Times New Roman"/>
          <w:sz w:val="26"/>
          <w:szCs w:val="26"/>
        </w:rPr>
      </w:pPr>
      <w:r w:rsidRPr="006F0CDA">
        <w:rPr>
          <w:rFonts w:ascii="Times New Roman" w:hAnsi="Times New Roman"/>
          <w:b/>
          <w:bCs/>
          <w:sz w:val="26"/>
          <w:szCs w:val="26"/>
        </w:rPr>
        <w:t>Action:</w:t>
      </w:r>
      <w:r w:rsidR="006F0CDA">
        <w:rPr>
          <w:rFonts w:ascii="Times New Roman" w:hAnsi="Times New Roman"/>
          <w:sz w:val="26"/>
          <w:szCs w:val="26"/>
        </w:rPr>
        <w:tab/>
      </w:r>
      <w:r w:rsidRPr="006F0CDA">
        <w:rPr>
          <w:rFonts w:ascii="Times New Roman" w:hAnsi="Times New Roman"/>
          <w:sz w:val="26"/>
          <w:szCs w:val="26"/>
        </w:rPr>
        <w:t>Approve Construction Contract for Soccer Field Renovation</w:t>
      </w:r>
      <w:r w:rsidR="007D5B65">
        <w:rPr>
          <w:rFonts w:ascii="Times New Roman" w:hAnsi="Times New Roman"/>
          <w:sz w:val="26"/>
          <w:szCs w:val="26"/>
        </w:rPr>
        <w:t xml:space="preserve">, </w:t>
      </w:r>
      <w:r w:rsidRPr="006F0CDA">
        <w:rPr>
          <w:rFonts w:ascii="Times New Roman" w:hAnsi="Times New Roman"/>
          <w:sz w:val="26"/>
          <w:szCs w:val="26"/>
        </w:rPr>
        <w:t xml:space="preserve">South </w:t>
      </w:r>
    </w:p>
    <w:p w14:paraId="4D46AA2D" w14:textId="77777777" w:rsidR="006F0CDA" w:rsidRDefault="006F0CDA" w:rsidP="006F0CDA">
      <w:pPr>
        <w:pStyle w:val="bdstyle1"/>
        <w:tabs>
          <w:tab w:val="left" w:pos="1440"/>
        </w:tabs>
        <w:rPr>
          <w:rFonts w:ascii="Times New Roman" w:hAnsi="Times New Roman"/>
          <w:sz w:val="26"/>
          <w:szCs w:val="26"/>
        </w:rPr>
      </w:pPr>
      <w:r>
        <w:rPr>
          <w:rFonts w:ascii="Times New Roman" w:hAnsi="Times New Roman"/>
          <w:sz w:val="26"/>
          <w:szCs w:val="26"/>
        </w:rPr>
        <w:tab/>
      </w:r>
      <w:r w:rsidR="008E73D5" w:rsidRPr="006F0CDA">
        <w:rPr>
          <w:rFonts w:ascii="Times New Roman" w:hAnsi="Times New Roman"/>
          <w:sz w:val="26"/>
          <w:szCs w:val="26"/>
        </w:rPr>
        <w:t>Campus</w:t>
      </w:r>
      <w:r w:rsidR="00E57C19" w:rsidRPr="006F0CDA">
        <w:rPr>
          <w:rFonts w:ascii="Times New Roman" w:hAnsi="Times New Roman"/>
          <w:sz w:val="26"/>
          <w:szCs w:val="26"/>
        </w:rPr>
        <w:t>, Department of Intercollegiate Athletics</w:t>
      </w:r>
    </w:p>
    <w:p w14:paraId="0929E4D1" w14:textId="77777777" w:rsidR="006F0CDA" w:rsidRDefault="006F0CDA" w:rsidP="006F0CDA">
      <w:pPr>
        <w:pStyle w:val="bdstyle1"/>
        <w:tabs>
          <w:tab w:val="left" w:pos="1440"/>
        </w:tabs>
        <w:rPr>
          <w:rFonts w:ascii="Times New Roman" w:hAnsi="Times New Roman"/>
          <w:sz w:val="26"/>
          <w:szCs w:val="26"/>
        </w:rPr>
      </w:pPr>
    </w:p>
    <w:p w14:paraId="2B1A7FA8" w14:textId="77777777" w:rsidR="006F0CDA" w:rsidRDefault="008E73D5" w:rsidP="006F0CDA">
      <w:pPr>
        <w:pStyle w:val="bdstyle1"/>
        <w:tabs>
          <w:tab w:val="left" w:pos="1440"/>
        </w:tabs>
        <w:rPr>
          <w:rFonts w:ascii="Times New Roman" w:hAnsi="Times New Roman"/>
          <w:sz w:val="26"/>
          <w:szCs w:val="26"/>
        </w:rPr>
      </w:pPr>
      <w:r w:rsidRPr="006F0CDA">
        <w:rPr>
          <w:rFonts w:ascii="Times New Roman" w:hAnsi="Times New Roman"/>
          <w:b/>
          <w:bCs/>
          <w:sz w:val="26"/>
          <w:szCs w:val="26"/>
        </w:rPr>
        <w:t>Funding:</w:t>
      </w:r>
      <w:r w:rsidR="006F0CDA">
        <w:rPr>
          <w:rFonts w:ascii="Times New Roman" w:hAnsi="Times New Roman"/>
          <w:sz w:val="26"/>
          <w:szCs w:val="26"/>
        </w:rPr>
        <w:tab/>
      </w:r>
      <w:r w:rsidRPr="006F0CDA">
        <w:rPr>
          <w:rFonts w:ascii="Times New Roman" w:hAnsi="Times New Roman"/>
          <w:sz w:val="26"/>
          <w:szCs w:val="26"/>
        </w:rPr>
        <w:t xml:space="preserve">Restricted Funds Operating Budget and Institutional Funds Operating </w:t>
      </w:r>
    </w:p>
    <w:p w14:paraId="46E84CCC" w14:textId="32A01724" w:rsidR="008E73D5" w:rsidRPr="006F0CDA" w:rsidRDefault="006F0CDA" w:rsidP="006F0CDA">
      <w:pPr>
        <w:pStyle w:val="bdstyle1"/>
        <w:tabs>
          <w:tab w:val="left" w:pos="1440"/>
        </w:tabs>
        <w:rPr>
          <w:rFonts w:ascii="Times New Roman" w:hAnsi="Times New Roman"/>
          <w:sz w:val="26"/>
          <w:szCs w:val="26"/>
        </w:rPr>
      </w:pPr>
      <w:r>
        <w:rPr>
          <w:rFonts w:ascii="Times New Roman" w:hAnsi="Times New Roman"/>
          <w:sz w:val="26"/>
          <w:szCs w:val="26"/>
        </w:rPr>
        <w:tab/>
      </w:r>
      <w:r w:rsidR="008E73D5" w:rsidRPr="006F0CDA">
        <w:rPr>
          <w:rFonts w:ascii="Times New Roman" w:hAnsi="Times New Roman"/>
          <w:sz w:val="26"/>
          <w:szCs w:val="26"/>
        </w:rPr>
        <w:t>Budget</w:t>
      </w:r>
    </w:p>
    <w:p w14:paraId="3092FED4" w14:textId="42A48204" w:rsidR="008E73D5" w:rsidRDefault="008E73D5" w:rsidP="006F0CDA">
      <w:pPr>
        <w:autoSpaceDE w:val="0"/>
        <w:autoSpaceDN w:val="0"/>
        <w:adjustRightInd w:val="0"/>
        <w:jc w:val="both"/>
        <w:rPr>
          <w:color w:val="000000"/>
          <w:sz w:val="26"/>
          <w:szCs w:val="26"/>
        </w:rPr>
      </w:pPr>
    </w:p>
    <w:p w14:paraId="3C1CA74C" w14:textId="77777777" w:rsidR="006F0CDA" w:rsidRPr="006F0CDA" w:rsidRDefault="006F0CDA" w:rsidP="006F0CDA">
      <w:pPr>
        <w:autoSpaceDE w:val="0"/>
        <w:autoSpaceDN w:val="0"/>
        <w:adjustRightInd w:val="0"/>
        <w:jc w:val="both"/>
        <w:rPr>
          <w:color w:val="000000"/>
          <w:sz w:val="26"/>
          <w:szCs w:val="26"/>
        </w:rPr>
      </w:pPr>
    </w:p>
    <w:p w14:paraId="0A2E01B9" w14:textId="79C608CB" w:rsidR="006F0CDA" w:rsidRDefault="006F0CDA" w:rsidP="006F0CDA">
      <w:pPr>
        <w:tabs>
          <w:tab w:val="left" w:pos="1440"/>
        </w:tabs>
        <w:autoSpaceDE w:val="0"/>
        <w:autoSpaceDN w:val="0"/>
        <w:adjustRightInd w:val="0"/>
        <w:spacing w:line="480" w:lineRule="auto"/>
        <w:rPr>
          <w:sz w:val="26"/>
          <w:szCs w:val="26"/>
        </w:rPr>
      </w:pPr>
      <w:r>
        <w:rPr>
          <w:color w:val="000000"/>
          <w:sz w:val="26"/>
          <w:szCs w:val="26"/>
        </w:rPr>
        <w:tab/>
      </w:r>
      <w:r w:rsidR="00240A21" w:rsidRPr="006F0CDA">
        <w:rPr>
          <w:color w:val="000000"/>
          <w:sz w:val="26"/>
          <w:szCs w:val="26"/>
        </w:rPr>
        <w:t xml:space="preserve">In August 2021, a $4,832,868 project was approved for the replacement </w:t>
      </w:r>
      <w:r w:rsidR="00240A21" w:rsidRPr="006F0CDA">
        <w:rPr>
          <w:sz w:val="26"/>
          <w:szCs w:val="26"/>
        </w:rPr>
        <w:t>of the existing soccer field, which includes but is not limited to the turf/soil</w:t>
      </w:r>
      <w:r w:rsidR="007D5B65">
        <w:rPr>
          <w:sz w:val="26"/>
          <w:szCs w:val="26"/>
        </w:rPr>
        <w:t>;</w:t>
      </w:r>
      <w:r w:rsidR="00240A21" w:rsidRPr="006F0CDA">
        <w:rPr>
          <w:sz w:val="26"/>
          <w:szCs w:val="26"/>
        </w:rPr>
        <w:t xml:space="preserve"> bleachers</w:t>
      </w:r>
      <w:r w:rsidR="007D5B65">
        <w:rPr>
          <w:sz w:val="26"/>
          <w:szCs w:val="26"/>
        </w:rPr>
        <w:t>;</w:t>
      </w:r>
      <w:r w:rsidR="00240A21" w:rsidRPr="006F0CDA">
        <w:rPr>
          <w:sz w:val="26"/>
          <w:szCs w:val="26"/>
        </w:rPr>
        <w:t xml:space="preserve"> scoreboard and press box</w:t>
      </w:r>
      <w:r w:rsidR="007D5B65">
        <w:rPr>
          <w:sz w:val="26"/>
          <w:szCs w:val="26"/>
        </w:rPr>
        <w:t>;</w:t>
      </w:r>
      <w:r w:rsidR="00240A21" w:rsidRPr="006F0CDA">
        <w:rPr>
          <w:sz w:val="26"/>
          <w:szCs w:val="26"/>
        </w:rPr>
        <w:t xml:space="preserve"> and installation of new drainage, irrigation, soil/turf, bleachers, and press box.</w:t>
      </w:r>
      <w:r>
        <w:rPr>
          <w:sz w:val="26"/>
          <w:szCs w:val="26"/>
        </w:rPr>
        <w:t xml:space="preserve"> </w:t>
      </w:r>
      <w:r w:rsidR="00240A21" w:rsidRPr="006F0CDA">
        <w:rPr>
          <w:sz w:val="26"/>
          <w:szCs w:val="26"/>
        </w:rPr>
        <w:t xml:space="preserve"> The playing field will also be shifted to the east so that it is not over the existing steam tunnel and this shift will allow for the bleachers to be installed on the west side of the field which will enhance the visitor experience.</w:t>
      </w:r>
    </w:p>
    <w:p w14:paraId="6F56F747" w14:textId="1190135E" w:rsidR="008E73D5" w:rsidRPr="006F0CDA" w:rsidRDefault="006F0CDA" w:rsidP="006F0CDA">
      <w:pPr>
        <w:tabs>
          <w:tab w:val="left" w:pos="1440"/>
        </w:tabs>
        <w:autoSpaceDE w:val="0"/>
        <w:autoSpaceDN w:val="0"/>
        <w:adjustRightInd w:val="0"/>
        <w:spacing w:line="480" w:lineRule="auto"/>
        <w:rPr>
          <w:sz w:val="26"/>
          <w:szCs w:val="26"/>
          <w:highlight w:val="yellow"/>
        </w:rPr>
      </w:pPr>
      <w:r>
        <w:rPr>
          <w:sz w:val="26"/>
          <w:szCs w:val="26"/>
        </w:rPr>
        <w:tab/>
      </w:r>
      <w:r w:rsidR="008E73D5" w:rsidRPr="006F0CDA">
        <w:rPr>
          <w:color w:val="000000" w:themeColor="text1"/>
          <w:sz w:val="26"/>
          <w:szCs w:val="26"/>
        </w:rPr>
        <w:t>Bids for the construction work have been solicited</w:t>
      </w:r>
      <w:r w:rsidR="003968EA" w:rsidRPr="006F0CDA">
        <w:rPr>
          <w:color w:val="000000" w:themeColor="text1"/>
          <w:sz w:val="26"/>
          <w:szCs w:val="26"/>
        </w:rPr>
        <w:t>. F</w:t>
      </w:r>
      <w:r w:rsidR="008E73D5" w:rsidRPr="006F0CDA">
        <w:rPr>
          <w:color w:val="000000" w:themeColor="text1"/>
          <w:sz w:val="26"/>
          <w:szCs w:val="26"/>
        </w:rPr>
        <w:t>or the project to proceed, the Chancellor, University of Illinois Chicago, and Vice President, University of Illinois with the concurrence of the appropriate administrative officers</w:t>
      </w:r>
      <w:r w:rsidR="003968EA" w:rsidRPr="006F0CDA">
        <w:rPr>
          <w:color w:val="000000" w:themeColor="text1"/>
          <w:sz w:val="26"/>
          <w:szCs w:val="26"/>
        </w:rPr>
        <w:t>,</w:t>
      </w:r>
      <w:r w:rsidR="008E73D5" w:rsidRPr="006F0CDA">
        <w:rPr>
          <w:color w:val="000000" w:themeColor="text1"/>
          <w:sz w:val="26"/>
          <w:szCs w:val="26"/>
        </w:rPr>
        <w:t xml:space="preserve"> recommends that the following contract be awarded.  Competitive bidding procedures in accordance with </w:t>
      </w:r>
      <w:r w:rsidR="008E73D5" w:rsidRPr="006F0CDA">
        <w:rPr>
          <w:color w:val="000000" w:themeColor="text1"/>
          <w:sz w:val="26"/>
          <w:szCs w:val="26"/>
        </w:rPr>
        <w:lastRenderedPageBreak/>
        <w:t>the Illinois Procurement Code were followed; and the award is to the lowest responsible bidder on the basis of its base bid plus the acceptance of indicated alternates</w:t>
      </w:r>
      <w:r w:rsidR="007D5B65">
        <w:rPr>
          <w:color w:val="000000" w:themeColor="text1"/>
          <w:sz w:val="26"/>
          <w:szCs w:val="26"/>
        </w:rPr>
        <w:t>.</w:t>
      </w:r>
      <w:r w:rsidR="008E73D5" w:rsidRPr="006F0CDA">
        <w:rPr>
          <w:rStyle w:val="FootnoteReference"/>
          <w:color w:val="000000" w:themeColor="text1"/>
          <w:sz w:val="26"/>
          <w:szCs w:val="26"/>
        </w:rPr>
        <w:footnoteReference w:id="1"/>
      </w:r>
    </w:p>
    <w:p w14:paraId="2BF95DB5" w14:textId="3DB1A4F8" w:rsidR="00240A21" w:rsidRPr="006F0CDA" w:rsidRDefault="00240A21" w:rsidP="006F0CDA">
      <w:pPr>
        <w:tabs>
          <w:tab w:val="left" w:pos="5040"/>
          <w:tab w:val="right" w:pos="7920"/>
        </w:tabs>
        <w:autoSpaceDE w:val="0"/>
        <w:autoSpaceDN w:val="0"/>
        <w:jc w:val="both"/>
        <w:rPr>
          <w:sz w:val="26"/>
          <w:szCs w:val="26"/>
          <w:u w:val="single"/>
        </w:rPr>
      </w:pPr>
      <w:r w:rsidRPr="006F0CDA">
        <w:rPr>
          <w:sz w:val="26"/>
          <w:szCs w:val="26"/>
          <w:u w:val="single"/>
        </w:rPr>
        <w:t xml:space="preserve">Division </w:t>
      </w:r>
      <w:r w:rsidR="000A7326">
        <w:rPr>
          <w:sz w:val="26"/>
          <w:szCs w:val="26"/>
          <w:u w:val="single"/>
        </w:rPr>
        <w:t>0</w:t>
      </w:r>
      <w:r w:rsidRPr="006F0CDA">
        <w:rPr>
          <w:sz w:val="26"/>
          <w:szCs w:val="26"/>
          <w:u w:val="single"/>
        </w:rPr>
        <w:t>1</w:t>
      </w:r>
      <w:r w:rsidR="000A7326">
        <w:rPr>
          <w:sz w:val="26"/>
          <w:szCs w:val="26"/>
          <w:u w:val="single"/>
        </w:rPr>
        <w:t xml:space="preserve"> – </w:t>
      </w:r>
      <w:r w:rsidRPr="006F0CDA">
        <w:rPr>
          <w:sz w:val="26"/>
          <w:szCs w:val="26"/>
          <w:u w:val="single"/>
        </w:rPr>
        <w:t>General Work</w:t>
      </w:r>
    </w:p>
    <w:p w14:paraId="188CA513" w14:textId="28850AAD" w:rsidR="00240A21" w:rsidRPr="006F0CDA" w:rsidRDefault="00240A21" w:rsidP="006F0CDA">
      <w:pPr>
        <w:tabs>
          <w:tab w:val="left" w:pos="5040"/>
          <w:tab w:val="right" w:pos="7920"/>
        </w:tabs>
        <w:jc w:val="both"/>
        <w:rPr>
          <w:sz w:val="26"/>
          <w:szCs w:val="26"/>
        </w:rPr>
      </w:pPr>
      <w:r w:rsidRPr="006F0CDA">
        <w:rPr>
          <w:sz w:val="26"/>
          <w:szCs w:val="26"/>
        </w:rPr>
        <w:t>CCC Holdings Inc.,</w:t>
      </w:r>
      <w:r w:rsidR="006F0CDA">
        <w:rPr>
          <w:sz w:val="26"/>
          <w:szCs w:val="26"/>
        </w:rPr>
        <w:tab/>
      </w:r>
      <w:r w:rsidRPr="006F0CDA">
        <w:rPr>
          <w:sz w:val="26"/>
          <w:szCs w:val="26"/>
        </w:rPr>
        <w:t>Base Bid</w:t>
      </w:r>
      <w:r w:rsidR="006F0CDA">
        <w:rPr>
          <w:sz w:val="26"/>
          <w:szCs w:val="26"/>
        </w:rPr>
        <w:tab/>
      </w:r>
      <w:r w:rsidRPr="006F0CDA">
        <w:rPr>
          <w:sz w:val="26"/>
          <w:szCs w:val="26"/>
        </w:rPr>
        <w:t>$ 3,605,000</w:t>
      </w:r>
    </w:p>
    <w:p w14:paraId="66A585D8" w14:textId="09A35694" w:rsidR="00240A21" w:rsidRPr="006F0CDA" w:rsidRDefault="00240A21" w:rsidP="006F0CDA">
      <w:pPr>
        <w:tabs>
          <w:tab w:val="left" w:pos="5040"/>
          <w:tab w:val="right" w:pos="7920"/>
        </w:tabs>
        <w:jc w:val="both"/>
        <w:rPr>
          <w:sz w:val="26"/>
          <w:szCs w:val="26"/>
        </w:rPr>
      </w:pPr>
      <w:r w:rsidRPr="006F0CDA">
        <w:rPr>
          <w:sz w:val="26"/>
          <w:szCs w:val="26"/>
        </w:rPr>
        <w:t>dba Chicago Commercial</w:t>
      </w:r>
      <w:r w:rsidR="006F0CDA">
        <w:rPr>
          <w:sz w:val="26"/>
          <w:szCs w:val="26"/>
        </w:rPr>
        <w:tab/>
      </w:r>
      <w:r w:rsidRPr="006F0CDA">
        <w:rPr>
          <w:sz w:val="26"/>
          <w:szCs w:val="26"/>
        </w:rPr>
        <w:t>Alt. 1</w:t>
      </w:r>
      <w:r w:rsidR="006F0CDA">
        <w:rPr>
          <w:sz w:val="26"/>
          <w:szCs w:val="26"/>
        </w:rPr>
        <w:tab/>
      </w:r>
      <w:r w:rsidRPr="006F0CDA">
        <w:rPr>
          <w:sz w:val="26"/>
          <w:szCs w:val="26"/>
        </w:rPr>
        <w:t>221,000</w:t>
      </w:r>
    </w:p>
    <w:p w14:paraId="770C954B" w14:textId="22C2FB40" w:rsidR="00240A21" w:rsidRPr="006F0CDA" w:rsidRDefault="00240A21" w:rsidP="006F0CDA">
      <w:pPr>
        <w:tabs>
          <w:tab w:val="left" w:pos="5040"/>
          <w:tab w:val="right" w:pos="7920"/>
        </w:tabs>
        <w:jc w:val="both"/>
        <w:rPr>
          <w:sz w:val="26"/>
          <w:szCs w:val="26"/>
        </w:rPr>
      </w:pPr>
      <w:r w:rsidRPr="006F0CDA">
        <w:rPr>
          <w:sz w:val="26"/>
          <w:szCs w:val="26"/>
        </w:rPr>
        <w:t>Construction</w:t>
      </w:r>
      <w:r w:rsidRPr="006F0CDA">
        <w:rPr>
          <w:sz w:val="26"/>
          <w:szCs w:val="26"/>
        </w:rPr>
        <w:tab/>
        <w:t>Alt. 2</w:t>
      </w:r>
      <w:r w:rsidR="006F0CDA">
        <w:rPr>
          <w:sz w:val="26"/>
          <w:szCs w:val="26"/>
        </w:rPr>
        <w:tab/>
      </w:r>
      <w:r w:rsidRPr="006F0CDA">
        <w:rPr>
          <w:sz w:val="26"/>
          <w:szCs w:val="26"/>
        </w:rPr>
        <w:t>249,000</w:t>
      </w:r>
    </w:p>
    <w:p w14:paraId="38C858AE" w14:textId="6D11F783" w:rsidR="00240A21" w:rsidRPr="006F0CDA" w:rsidRDefault="00240A21" w:rsidP="006F0CDA">
      <w:pPr>
        <w:tabs>
          <w:tab w:val="left" w:pos="5040"/>
          <w:tab w:val="right" w:pos="7920"/>
        </w:tabs>
        <w:jc w:val="both"/>
        <w:rPr>
          <w:sz w:val="26"/>
          <w:szCs w:val="26"/>
        </w:rPr>
      </w:pPr>
      <w:r w:rsidRPr="006F0CDA">
        <w:rPr>
          <w:sz w:val="26"/>
          <w:szCs w:val="26"/>
        </w:rPr>
        <w:t>Chicago, I</w:t>
      </w:r>
      <w:r w:rsidR="006F0CDA">
        <w:rPr>
          <w:sz w:val="26"/>
          <w:szCs w:val="26"/>
        </w:rPr>
        <w:t>L</w:t>
      </w:r>
      <w:r w:rsidR="006F0CDA">
        <w:rPr>
          <w:sz w:val="26"/>
          <w:szCs w:val="26"/>
        </w:rPr>
        <w:tab/>
      </w:r>
      <w:r w:rsidRPr="006F0CDA">
        <w:rPr>
          <w:sz w:val="26"/>
          <w:szCs w:val="26"/>
        </w:rPr>
        <w:t xml:space="preserve">Alt. </w:t>
      </w:r>
      <w:r w:rsidR="006F0CDA">
        <w:rPr>
          <w:sz w:val="26"/>
          <w:szCs w:val="26"/>
        </w:rPr>
        <w:t>3</w:t>
      </w:r>
      <w:r w:rsidRPr="006F0CDA">
        <w:rPr>
          <w:sz w:val="26"/>
          <w:szCs w:val="26"/>
        </w:rPr>
        <w:tab/>
      </w:r>
      <w:r w:rsidR="00136C07" w:rsidRPr="006F0CDA">
        <w:rPr>
          <w:sz w:val="26"/>
          <w:szCs w:val="26"/>
        </w:rPr>
        <w:t xml:space="preserve">      </w:t>
      </w:r>
      <w:r w:rsidRPr="006F0CDA">
        <w:rPr>
          <w:sz w:val="26"/>
          <w:szCs w:val="26"/>
        </w:rPr>
        <w:t>111,000</w:t>
      </w:r>
    </w:p>
    <w:p w14:paraId="78FEDD8E" w14:textId="36CCF878" w:rsidR="00240A21" w:rsidRPr="006F0CDA" w:rsidRDefault="006F0CDA" w:rsidP="006F0CDA">
      <w:pPr>
        <w:tabs>
          <w:tab w:val="left" w:pos="5040"/>
          <w:tab w:val="right" w:pos="7920"/>
        </w:tabs>
        <w:jc w:val="both"/>
        <w:rPr>
          <w:sz w:val="26"/>
          <w:szCs w:val="26"/>
        </w:rPr>
      </w:pPr>
      <w:r>
        <w:rPr>
          <w:sz w:val="26"/>
          <w:szCs w:val="26"/>
        </w:rPr>
        <w:tab/>
      </w:r>
      <w:r w:rsidR="00240A21" w:rsidRPr="006F0CDA">
        <w:rPr>
          <w:sz w:val="26"/>
          <w:szCs w:val="26"/>
        </w:rPr>
        <w:t>Alt. 4</w:t>
      </w:r>
      <w:r w:rsidR="00240A21" w:rsidRPr="006F0CDA">
        <w:rPr>
          <w:sz w:val="26"/>
          <w:szCs w:val="26"/>
        </w:rPr>
        <w:tab/>
      </w:r>
      <w:r w:rsidR="00136C07" w:rsidRPr="006F0CDA">
        <w:rPr>
          <w:sz w:val="26"/>
          <w:szCs w:val="26"/>
          <w:u w:val="single"/>
        </w:rPr>
        <w:t xml:space="preserve">        </w:t>
      </w:r>
      <w:r w:rsidR="00240A21" w:rsidRPr="006F0CDA">
        <w:rPr>
          <w:sz w:val="26"/>
          <w:szCs w:val="26"/>
          <w:u w:val="single"/>
        </w:rPr>
        <w:t>24,000</w:t>
      </w:r>
    </w:p>
    <w:p w14:paraId="64868253" w14:textId="607285C6" w:rsidR="00240A21" w:rsidRPr="006F0CDA" w:rsidRDefault="006F0CDA" w:rsidP="006F0CDA">
      <w:pPr>
        <w:tabs>
          <w:tab w:val="left" w:pos="1440"/>
          <w:tab w:val="left" w:pos="5040"/>
          <w:tab w:val="right" w:pos="7920"/>
        </w:tabs>
        <w:rPr>
          <w:sz w:val="26"/>
          <w:szCs w:val="26"/>
        </w:rPr>
      </w:pPr>
      <w:r>
        <w:rPr>
          <w:sz w:val="26"/>
          <w:szCs w:val="26"/>
        </w:rPr>
        <w:tab/>
        <w:t>TOTAL</w:t>
      </w:r>
      <w:r w:rsidR="00240A21" w:rsidRPr="006F0CDA">
        <w:rPr>
          <w:sz w:val="26"/>
          <w:szCs w:val="26"/>
        </w:rPr>
        <w:tab/>
      </w:r>
      <w:r w:rsidR="00240A21" w:rsidRPr="006F0CDA">
        <w:rPr>
          <w:sz w:val="26"/>
          <w:szCs w:val="26"/>
        </w:rPr>
        <w:tab/>
        <w:t>$ 4,210,000</w:t>
      </w:r>
    </w:p>
    <w:p w14:paraId="2D733B48" w14:textId="77777777" w:rsidR="008E73D5" w:rsidRPr="006F0CDA" w:rsidRDefault="008E73D5" w:rsidP="006F0CDA">
      <w:pPr>
        <w:jc w:val="both"/>
        <w:rPr>
          <w:sz w:val="26"/>
          <w:szCs w:val="26"/>
        </w:rPr>
      </w:pPr>
    </w:p>
    <w:p w14:paraId="7DC3BE12" w14:textId="77777777" w:rsidR="006F0CDA" w:rsidRDefault="006F0CDA" w:rsidP="006F0CDA">
      <w:pPr>
        <w:pStyle w:val="bdstyle2"/>
        <w:tabs>
          <w:tab w:val="left" w:pos="1440"/>
        </w:tabs>
        <w:spacing w:line="480" w:lineRule="auto"/>
        <w:jc w:val="both"/>
        <w:rPr>
          <w:rFonts w:ascii="Times New Roman" w:hAnsi="Times New Roman"/>
          <w:sz w:val="26"/>
          <w:szCs w:val="26"/>
        </w:rPr>
      </w:pPr>
      <w:r>
        <w:rPr>
          <w:rFonts w:ascii="Times New Roman" w:hAnsi="Times New Roman"/>
          <w:sz w:val="26"/>
          <w:szCs w:val="26"/>
        </w:rPr>
        <w:tab/>
      </w:r>
      <w:r w:rsidR="008E73D5" w:rsidRPr="006F0CDA">
        <w:rPr>
          <w:rFonts w:ascii="Times New Roman" w:hAnsi="Times New Roman"/>
          <w:sz w:val="26"/>
          <w:szCs w:val="26"/>
        </w:rPr>
        <w:t xml:space="preserve">The Board action recommended in this item complies in all material respects with applicable State and federal laws, University of Illinois </w:t>
      </w:r>
      <w:r w:rsidR="008E73D5" w:rsidRPr="006F0CDA">
        <w:rPr>
          <w:rFonts w:ascii="Times New Roman" w:hAnsi="Times New Roman"/>
          <w:i/>
          <w:iCs/>
          <w:sz w:val="26"/>
          <w:szCs w:val="26"/>
        </w:rPr>
        <w:t>Statutes, The General Rules Concerning University Organization and Procedure</w:t>
      </w:r>
      <w:r w:rsidR="008E73D5" w:rsidRPr="006F0CDA">
        <w:rPr>
          <w:rFonts w:ascii="Times New Roman" w:hAnsi="Times New Roman"/>
          <w:sz w:val="26"/>
          <w:szCs w:val="26"/>
        </w:rPr>
        <w:t xml:space="preserve">, and Board of Trustees policies and directives. </w:t>
      </w:r>
    </w:p>
    <w:p w14:paraId="72D41684" w14:textId="77777777" w:rsidR="006F0CDA" w:rsidRDefault="006F0CDA" w:rsidP="006F0CDA">
      <w:pPr>
        <w:pStyle w:val="bdstyle2"/>
        <w:tabs>
          <w:tab w:val="left" w:pos="1440"/>
        </w:tabs>
        <w:spacing w:line="480" w:lineRule="auto"/>
        <w:jc w:val="both"/>
        <w:rPr>
          <w:rFonts w:ascii="Times New Roman" w:hAnsi="Times New Roman"/>
          <w:sz w:val="26"/>
          <w:szCs w:val="26"/>
        </w:rPr>
      </w:pPr>
      <w:r>
        <w:rPr>
          <w:rFonts w:ascii="Times New Roman" w:hAnsi="Times New Roman"/>
          <w:sz w:val="26"/>
          <w:szCs w:val="26"/>
        </w:rPr>
        <w:tab/>
      </w:r>
      <w:r w:rsidR="008E73D5" w:rsidRPr="006F0CDA">
        <w:rPr>
          <w:rFonts w:ascii="Times New Roman" w:hAnsi="Times New Roman"/>
          <w:sz w:val="26"/>
          <w:szCs w:val="26"/>
        </w:rPr>
        <w:t>The President of the University concurs.</w:t>
      </w:r>
    </w:p>
    <w:p w14:paraId="77698123" w14:textId="77777777" w:rsidR="006F0CDA" w:rsidRDefault="006F0CDA" w:rsidP="006F0CDA">
      <w:pPr>
        <w:pStyle w:val="bdstyle2"/>
        <w:tabs>
          <w:tab w:val="left" w:pos="1440"/>
        </w:tabs>
        <w:jc w:val="both"/>
        <w:rPr>
          <w:rFonts w:ascii="Times New Roman" w:hAnsi="Times New Roman"/>
          <w:sz w:val="26"/>
          <w:szCs w:val="26"/>
        </w:rPr>
      </w:pPr>
    </w:p>
    <w:p w14:paraId="7109EC49" w14:textId="0C84E7C6" w:rsidR="00E81FD5" w:rsidRPr="006F0CDA" w:rsidRDefault="008E73D5" w:rsidP="007D5B65">
      <w:pPr>
        <w:pStyle w:val="bdstyle2"/>
        <w:tabs>
          <w:tab w:val="left" w:pos="1440"/>
        </w:tabs>
        <w:spacing w:line="480" w:lineRule="auto"/>
        <w:jc w:val="both"/>
        <w:rPr>
          <w:rFonts w:ascii="Times New Roman" w:hAnsi="Times New Roman"/>
          <w:sz w:val="26"/>
          <w:szCs w:val="26"/>
        </w:rPr>
      </w:pPr>
      <w:r w:rsidRPr="006F0CDA">
        <w:rPr>
          <w:rFonts w:ascii="Times New Roman" w:hAnsi="Times New Roman"/>
          <w:sz w:val="26"/>
          <w:szCs w:val="26"/>
        </w:rPr>
        <w:t>Construction is expected to begin in December 2021 and is</w:t>
      </w:r>
      <w:r w:rsidR="006F0CDA">
        <w:rPr>
          <w:rFonts w:ascii="Times New Roman" w:hAnsi="Times New Roman"/>
          <w:sz w:val="26"/>
          <w:szCs w:val="26"/>
        </w:rPr>
        <w:t xml:space="preserve"> </w:t>
      </w:r>
      <w:r w:rsidRPr="006F0CDA">
        <w:rPr>
          <w:rFonts w:ascii="Times New Roman" w:hAnsi="Times New Roman"/>
          <w:sz w:val="26"/>
          <w:szCs w:val="26"/>
        </w:rPr>
        <w:t>scheduled to be completed by July 2022.</w:t>
      </w:r>
    </w:p>
    <w:p w14:paraId="17FCB30E" w14:textId="546DD549" w:rsidR="00BB37FA" w:rsidRPr="006F0CDA" w:rsidRDefault="00BB37FA" w:rsidP="006F0CDA">
      <w:pPr>
        <w:pStyle w:val="Default"/>
        <w:rPr>
          <w:rFonts w:ascii="Times New Roman" w:hAnsi="Times New Roman"/>
          <w:sz w:val="26"/>
          <w:szCs w:val="26"/>
        </w:rPr>
      </w:pPr>
    </w:p>
    <w:p w14:paraId="149C2A03" w14:textId="46047C6C" w:rsidR="00BB37FA" w:rsidRPr="006F0CDA" w:rsidRDefault="00BB37FA" w:rsidP="006F0CDA">
      <w:pPr>
        <w:pStyle w:val="Default"/>
        <w:rPr>
          <w:rFonts w:ascii="Times New Roman" w:hAnsi="Times New Roman"/>
          <w:sz w:val="26"/>
          <w:szCs w:val="26"/>
        </w:rPr>
      </w:pPr>
    </w:p>
    <w:p w14:paraId="35261214" w14:textId="109050C0" w:rsidR="00BB37FA" w:rsidRPr="006F0CDA" w:rsidRDefault="00BB37FA" w:rsidP="006F0CDA">
      <w:pPr>
        <w:pStyle w:val="Default"/>
        <w:rPr>
          <w:rFonts w:ascii="Times New Roman" w:hAnsi="Times New Roman"/>
          <w:sz w:val="26"/>
          <w:szCs w:val="26"/>
        </w:rPr>
      </w:pPr>
    </w:p>
    <w:p w14:paraId="0B76942B" w14:textId="5F1EF4DC" w:rsidR="00BB37FA" w:rsidRPr="006F0CDA" w:rsidRDefault="00BB37FA" w:rsidP="006F0CDA">
      <w:pPr>
        <w:pStyle w:val="Default"/>
        <w:rPr>
          <w:rFonts w:ascii="Times New Roman" w:hAnsi="Times New Roman"/>
          <w:sz w:val="26"/>
          <w:szCs w:val="26"/>
        </w:rPr>
      </w:pPr>
    </w:p>
    <w:p w14:paraId="41A48173" w14:textId="5F06F756" w:rsidR="00BB37FA" w:rsidRPr="006F0CDA" w:rsidRDefault="00BB37FA" w:rsidP="006F0CDA">
      <w:pPr>
        <w:pStyle w:val="Default"/>
        <w:rPr>
          <w:rFonts w:ascii="Times New Roman" w:hAnsi="Times New Roman"/>
          <w:sz w:val="26"/>
          <w:szCs w:val="26"/>
        </w:rPr>
      </w:pPr>
    </w:p>
    <w:p w14:paraId="294B80ED" w14:textId="509DC00A" w:rsidR="00BB37FA" w:rsidRPr="006F0CDA" w:rsidRDefault="00BB37FA" w:rsidP="006F0CDA">
      <w:pPr>
        <w:pStyle w:val="Default"/>
        <w:rPr>
          <w:rFonts w:ascii="Times New Roman" w:hAnsi="Times New Roman"/>
          <w:sz w:val="26"/>
          <w:szCs w:val="26"/>
        </w:rPr>
      </w:pPr>
    </w:p>
    <w:p w14:paraId="4EDD2576" w14:textId="14F2F3F1" w:rsidR="00BB37FA" w:rsidRPr="006F0CDA" w:rsidRDefault="00BB37FA" w:rsidP="006F0CDA">
      <w:pPr>
        <w:pStyle w:val="Default"/>
        <w:rPr>
          <w:rFonts w:ascii="Times New Roman" w:hAnsi="Times New Roman"/>
          <w:sz w:val="26"/>
          <w:szCs w:val="26"/>
        </w:rPr>
      </w:pPr>
    </w:p>
    <w:p w14:paraId="6E9E0076" w14:textId="77777777" w:rsidR="00BB37FA" w:rsidRPr="006F0CDA" w:rsidRDefault="00BB37FA" w:rsidP="006F0CDA">
      <w:pPr>
        <w:pStyle w:val="Default"/>
        <w:rPr>
          <w:rFonts w:ascii="Times New Roman" w:hAnsi="Times New Roman"/>
          <w:sz w:val="26"/>
          <w:szCs w:val="26"/>
        </w:rPr>
        <w:sectPr w:rsidR="00BB37FA" w:rsidRPr="006F0CDA" w:rsidSect="006F0CDA">
          <w:headerReference w:type="even" r:id="rId6"/>
          <w:headerReference w:type="default" r:id="rId7"/>
          <w:pgSz w:w="12240" w:h="15840"/>
          <w:pgMar w:top="720" w:right="1440" w:bottom="1440" w:left="1440" w:header="720" w:footer="720" w:gutter="0"/>
          <w:cols w:space="720"/>
          <w:noEndnote/>
          <w:titlePg/>
          <w:docGrid w:linePitch="360"/>
        </w:sectPr>
      </w:pPr>
    </w:p>
    <w:tbl>
      <w:tblPr>
        <w:tblW w:w="13050" w:type="dxa"/>
        <w:tblLook w:val="04A0" w:firstRow="1" w:lastRow="0" w:firstColumn="1" w:lastColumn="0" w:noHBand="0" w:noVBand="1"/>
      </w:tblPr>
      <w:tblGrid>
        <w:gridCol w:w="1620"/>
        <w:gridCol w:w="3420"/>
        <w:gridCol w:w="1980"/>
        <w:gridCol w:w="1350"/>
        <w:gridCol w:w="1890"/>
        <w:gridCol w:w="1710"/>
        <w:gridCol w:w="1646"/>
      </w:tblGrid>
      <w:tr w:rsidR="00BB37FA" w:rsidRPr="006F0CDA" w14:paraId="563E2A99" w14:textId="77777777" w:rsidTr="003F1C28">
        <w:trPr>
          <w:trHeight w:val="330"/>
        </w:trPr>
        <w:tc>
          <w:tcPr>
            <w:tcW w:w="5040" w:type="dxa"/>
            <w:gridSpan w:val="2"/>
            <w:tcBorders>
              <w:top w:val="nil"/>
              <w:left w:val="nil"/>
              <w:bottom w:val="nil"/>
              <w:right w:val="nil"/>
            </w:tcBorders>
            <w:shd w:val="clear" w:color="auto" w:fill="auto"/>
            <w:noWrap/>
            <w:vAlign w:val="bottom"/>
            <w:hideMark/>
          </w:tcPr>
          <w:p w14:paraId="3E849332" w14:textId="77777777" w:rsidR="00BB37FA" w:rsidRPr="006F0CDA" w:rsidRDefault="00BB37FA" w:rsidP="006F0CDA">
            <w:pPr>
              <w:rPr>
                <w:color w:val="000000"/>
                <w:sz w:val="26"/>
                <w:szCs w:val="26"/>
              </w:rPr>
            </w:pPr>
            <w:r w:rsidRPr="006F0CDA">
              <w:rPr>
                <w:color w:val="000000"/>
                <w:sz w:val="26"/>
                <w:szCs w:val="26"/>
              </w:rPr>
              <w:lastRenderedPageBreak/>
              <w:t>Table 1: Diverse Vendor Participation</w:t>
            </w:r>
          </w:p>
        </w:tc>
        <w:tc>
          <w:tcPr>
            <w:tcW w:w="1980" w:type="dxa"/>
            <w:tcBorders>
              <w:top w:val="nil"/>
              <w:left w:val="nil"/>
              <w:bottom w:val="nil"/>
              <w:right w:val="nil"/>
            </w:tcBorders>
            <w:shd w:val="clear" w:color="auto" w:fill="auto"/>
            <w:noWrap/>
            <w:vAlign w:val="bottom"/>
            <w:hideMark/>
          </w:tcPr>
          <w:p w14:paraId="7F0FC764" w14:textId="77777777" w:rsidR="00BB37FA" w:rsidRPr="006F0CDA" w:rsidRDefault="00BB37FA" w:rsidP="006F0CDA">
            <w:pPr>
              <w:rPr>
                <w:color w:val="000000"/>
                <w:sz w:val="26"/>
                <w:szCs w:val="26"/>
              </w:rPr>
            </w:pPr>
          </w:p>
        </w:tc>
        <w:tc>
          <w:tcPr>
            <w:tcW w:w="1350" w:type="dxa"/>
            <w:tcBorders>
              <w:top w:val="nil"/>
              <w:left w:val="nil"/>
              <w:bottom w:val="nil"/>
              <w:right w:val="nil"/>
            </w:tcBorders>
            <w:shd w:val="clear" w:color="auto" w:fill="auto"/>
            <w:noWrap/>
            <w:vAlign w:val="bottom"/>
            <w:hideMark/>
          </w:tcPr>
          <w:p w14:paraId="1B614C8E" w14:textId="77777777" w:rsidR="00BB37FA" w:rsidRPr="006F0CDA" w:rsidRDefault="00BB37FA" w:rsidP="006F0CDA">
            <w:pPr>
              <w:rPr>
                <w:sz w:val="26"/>
                <w:szCs w:val="26"/>
              </w:rPr>
            </w:pPr>
          </w:p>
        </w:tc>
        <w:tc>
          <w:tcPr>
            <w:tcW w:w="1890" w:type="dxa"/>
            <w:tcBorders>
              <w:top w:val="nil"/>
              <w:left w:val="nil"/>
              <w:bottom w:val="nil"/>
              <w:right w:val="nil"/>
            </w:tcBorders>
            <w:shd w:val="clear" w:color="auto" w:fill="auto"/>
            <w:noWrap/>
            <w:vAlign w:val="bottom"/>
            <w:hideMark/>
          </w:tcPr>
          <w:p w14:paraId="7EC2958F" w14:textId="77777777" w:rsidR="00BB37FA" w:rsidRPr="006F0CDA" w:rsidRDefault="00BB37FA" w:rsidP="006F0CDA">
            <w:pPr>
              <w:rPr>
                <w:sz w:val="26"/>
                <w:szCs w:val="26"/>
              </w:rPr>
            </w:pPr>
          </w:p>
        </w:tc>
        <w:tc>
          <w:tcPr>
            <w:tcW w:w="1710" w:type="dxa"/>
            <w:tcBorders>
              <w:top w:val="nil"/>
              <w:left w:val="nil"/>
              <w:bottom w:val="nil"/>
              <w:right w:val="nil"/>
            </w:tcBorders>
            <w:shd w:val="clear" w:color="auto" w:fill="auto"/>
            <w:noWrap/>
            <w:vAlign w:val="bottom"/>
            <w:hideMark/>
          </w:tcPr>
          <w:p w14:paraId="09F09513" w14:textId="77777777" w:rsidR="00BB37FA" w:rsidRPr="006F0CDA" w:rsidRDefault="00BB37FA" w:rsidP="006F0CDA">
            <w:pPr>
              <w:rPr>
                <w:sz w:val="26"/>
                <w:szCs w:val="26"/>
              </w:rPr>
            </w:pPr>
          </w:p>
        </w:tc>
        <w:tc>
          <w:tcPr>
            <w:tcW w:w="1080" w:type="dxa"/>
            <w:tcBorders>
              <w:top w:val="nil"/>
              <w:left w:val="nil"/>
              <w:bottom w:val="nil"/>
              <w:right w:val="nil"/>
            </w:tcBorders>
            <w:shd w:val="clear" w:color="auto" w:fill="auto"/>
            <w:noWrap/>
            <w:vAlign w:val="bottom"/>
            <w:hideMark/>
          </w:tcPr>
          <w:p w14:paraId="6D93B2C5" w14:textId="77777777" w:rsidR="00BB37FA" w:rsidRPr="006F0CDA" w:rsidRDefault="00BB37FA" w:rsidP="006F0CDA">
            <w:pPr>
              <w:rPr>
                <w:sz w:val="26"/>
                <w:szCs w:val="26"/>
              </w:rPr>
            </w:pPr>
          </w:p>
        </w:tc>
      </w:tr>
      <w:tr w:rsidR="00BB37FA" w:rsidRPr="006F0CDA" w14:paraId="1F07711E" w14:textId="77777777" w:rsidTr="003F1C28">
        <w:trPr>
          <w:trHeight w:val="990"/>
        </w:trPr>
        <w:tc>
          <w:tcPr>
            <w:tcW w:w="1620" w:type="dxa"/>
            <w:tcBorders>
              <w:top w:val="single" w:sz="4" w:space="0" w:color="auto"/>
              <w:left w:val="single" w:sz="4" w:space="0" w:color="auto"/>
              <w:bottom w:val="single" w:sz="4" w:space="0" w:color="auto"/>
              <w:right w:val="single" w:sz="4" w:space="0" w:color="auto"/>
            </w:tcBorders>
            <w:shd w:val="clear" w:color="000000" w:fill="DDEBF7"/>
            <w:vAlign w:val="bottom"/>
            <w:hideMark/>
          </w:tcPr>
          <w:p w14:paraId="29F51350" w14:textId="77777777" w:rsidR="00BB37FA" w:rsidRPr="006F0CDA" w:rsidRDefault="00BB37FA" w:rsidP="006F0CDA">
            <w:pPr>
              <w:jc w:val="center"/>
              <w:rPr>
                <w:color w:val="000000"/>
                <w:sz w:val="26"/>
                <w:szCs w:val="26"/>
              </w:rPr>
            </w:pPr>
            <w:r w:rsidRPr="006F0CDA">
              <w:rPr>
                <w:color w:val="000000"/>
                <w:sz w:val="26"/>
                <w:szCs w:val="26"/>
              </w:rPr>
              <w:t>Division</w:t>
            </w:r>
          </w:p>
        </w:tc>
        <w:tc>
          <w:tcPr>
            <w:tcW w:w="3420" w:type="dxa"/>
            <w:tcBorders>
              <w:top w:val="single" w:sz="4" w:space="0" w:color="auto"/>
              <w:left w:val="nil"/>
              <w:bottom w:val="single" w:sz="4" w:space="0" w:color="auto"/>
              <w:right w:val="single" w:sz="4" w:space="0" w:color="auto"/>
            </w:tcBorders>
            <w:shd w:val="clear" w:color="000000" w:fill="DDEBF7"/>
            <w:vAlign w:val="bottom"/>
            <w:hideMark/>
          </w:tcPr>
          <w:p w14:paraId="39F2B4D6" w14:textId="77777777" w:rsidR="00BB37FA" w:rsidRPr="006F0CDA" w:rsidRDefault="00BB37FA" w:rsidP="006F0CDA">
            <w:pPr>
              <w:jc w:val="center"/>
              <w:rPr>
                <w:color w:val="000000"/>
                <w:sz w:val="26"/>
                <w:szCs w:val="26"/>
              </w:rPr>
            </w:pPr>
            <w:r w:rsidRPr="006F0CDA">
              <w:rPr>
                <w:color w:val="000000"/>
                <w:sz w:val="26"/>
                <w:szCs w:val="26"/>
              </w:rPr>
              <w:t>Awarded Vendor</w:t>
            </w:r>
          </w:p>
        </w:tc>
        <w:tc>
          <w:tcPr>
            <w:tcW w:w="1980" w:type="dxa"/>
            <w:tcBorders>
              <w:top w:val="single" w:sz="4" w:space="0" w:color="auto"/>
              <w:left w:val="nil"/>
              <w:bottom w:val="single" w:sz="4" w:space="0" w:color="auto"/>
              <w:right w:val="single" w:sz="4" w:space="0" w:color="auto"/>
            </w:tcBorders>
            <w:shd w:val="clear" w:color="000000" w:fill="DDEBF7"/>
            <w:vAlign w:val="bottom"/>
            <w:hideMark/>
          </w:tcPr>
          <w:p w14:paraId="2F10483D" w14:textId="77777777" w:rsidR="00BB37FA" w:rsidRPr="006F0CDA" w:rsidRDefault="00BB37FA" w:rsidP="006F0CDA">
            <w:pPr>
              <w:jc w:val="center"/>
              <w:rPr>
                <w:color w:val="000000"/>
                <w:sz w:val="26"/>
                <w:szCs w:val="26"/>
              </w:rPr>
            </w:pPr>
            <w:r w:rsidRPr="006F0CDA">
              <w:rPr>
                <w:color w:val="000000"/>
                <w:sz w:val="26"/>
                <w:szCs w:val="26"/>
              </w:rPr>
              <w:t>Prime Contract Value</w:t>
            </w:r>
          </w:p>
        </w:tc>
        <w:tc>
          <w:tcPr>
            <w:tcW w:w="1350" w:type="dxa"/>
            <w:tcBorders>
              <w:top w:val="single" w:sz="4" w:space="0" w:color="auto"/>
              <w:left w:val="nil"/>
              <w:bottom w:val="single" w:sz="4" w:space="0" w:color="auto"/>
              <w:right w:val="single" w:sz="4" w:space="0" w:color="auto"/>
            </w:tcBorders>
            <w:shd w:val="clear" w:color="000000" w:fill="DDEBF7"/>
            <w:vAlign w:val="bottom"/>
            <w:hideMark/>
          </w:tcPr>
          <w:p w14:paraId="1EB0257A" w14:textId="77777777" w:rsidR="00BB37FA" w:rsidRPr="006F0CDA" w:rsidRDefault="00BB37FA" w:rsidP="006F0CDA">
            <w:pPr>
              <w:jc w:val="center"/>
              <w:rPr>
                <w:color w:val="000000"/>
                <w:sz w:val="26"/>
                <w:szCs w:val="26"/>
              </w:rPr>
            </w:pPr>
            <w:r w:rsidRPr="006F0CDA">
              <w:rPr>
                <w:color w:val="000000"/>
                <w:sz w:val="26"/>
                <w:szCs w:val="26"/>
              </w:rPr>
              <w:t>Prime Diversity?</w:t>
            </w:r>
          </w:p>
        </w:tc>
        <w:tc>
          <w:tcPr>
            <w:tcW w:w="1890" w:type="dxa"/>
            <w:tcBorders>
              <w:top w:val="single" w:sz="4" w:space="0" w:color="auto"/>
              <w:left w:val="nil"/>
              <w:bottom w:val="single" w:sz="4" w:space="0" w:color="auto"/>
              <w:right w:val="single" w:sz="4" w:space="0" w:color="auto"/>
            </w:tcBorders>
            <w:shd w:val="clear" w:color="000000" w:fill="DDEBF7"/>
            <w:vAlign w:val="bottom"/>
            <w:hideMark/>
          </w:tcPr>
          <w:p w14:paraId="669A8093" w14:textId="77777777" w:rsidR="00BB37FA" w:rsidRPr="006F0CDA" w:rsidRDefault="00BB37FA" w:rsidP="006F0CDA">
            <w:pPr>
              <w:jc w:val="center"/>
              <w:rPr>
                <w:color w:val="000000"/>
                <w:sz w:val="26"/>
                <w:szCs w:val="26"/>
              </w:rPr>
            </w:pPr>
            <w:r w:rsidRPr="006F0CDA">
              <w:rPr>
                <w:color w:val="000000"/>
                <w:sz w:val="26"/>
                <w:szCs w:val="26"/>
              </w:rPr>
              <w:t>Subcontractor Contract Value</w:t>
            </w:r>
          </w:p>
        </w:tc>
        <w:tc>
          <w:tcPr>
            <w:tcW w:w="1710" w:type="dxa"/>
            <w:tcBorders>
              <w:top w:val="single" w:sz="4" w:space="0" w:color="auto"/>
              <w:left w:val="nil"/>
              <w:bottom w:val="single" w:sz="4" w:space="0" w:color="auto"/>
              <w:right w:val="single" w:sz="4" w:space="0" w:color="auto"/>
            </w:tcBorders>
            <w:shd w:val="clear" w:color="000000" w:fill="DDEBF7"/>
            <w:vAlign w:val="bottom"/>
            <w:hideMark/>
          </w:tcPr>
          <w:p w14:paraId="50437DA3" w14:textId="77777777" w:rsidR="00BB37FA" w:rsidRPr="006F0CDA" w:rsidRDefault="00BB37FA" w:rsidP="006F0CDA">
            <w:pPr>
              <w:jc w:val="center"/>
              <w:rPr>
                <w:color w:val="000000"/>
                <w:sz w:val="26"/>
                <w:szCs w:val="26"/>
              </w:rPr>
            </w:pPr>
            <w:r w:rsidRPr="006F0CDA">
              <w:rPr>
                <w:color w:val="000000"/>
                <w:sz w:val="26"/>
                <w:szCs w:val="26"/>
              </w:rPr>
              <w:t>Subcontractor % of Work</w:t>
            </w:r>
          </w:p>
        </w:tc>
        <w:tc>
          <w:tcPr>
            <w:tcW w:w="1080" w:type="dxa"/>
            <w:tcBorders>
              <w:top w:val="single" w:sz="4" w:space="0" w:color="auto"/>
              <w:left w:val="nil"/>
              <w:bottom w:val="single" w:sz="4" w:space="0" w:color="auto"/>
              <w:right w:val="single" w:sz="4" w:space="0" w:color="auto"/>
            </w:tcBorders>
            <w:shd w:val="clear" w:color="000000" w:fill="DDEBF7"/>
            <w:vAlign w:val="bottom"/>
            <w:hideMark/>
          </w:tcPr>
          <w:p w14:paraId="4837C82E" w14:textId="77777777" w:rsidR="00BB37FA" w:rsidRPr="006F0CDA" w:rsidRDefault="00BB37FA" w:rsidP="006F0CDA">
            <w:pPr>
              <w:jc w:val="center"/>
              <w:rPr>
                <w:color w:val="000000"/>
                <w:sz w:val="26"/>
                <w:szCs w:val="26"/>
              </w:rPr>
            </w:pPr>
            <w:r w:rsidRPr="006F0CDA">
              <w:rPr>
                <w:color w:val="000000"/>
                <w:sz w:val="26"/>
                <w:szCs w:val="26"/>
              </w:rPr>
              <w:t>Diverse Classification</w:t>
            </w:r>
          </w:p>
        </w:tc>
      </w:tr>
      <w:tr w:rsidR="00BB37FA" w:rsidRPr="006F0CDA" w14:paraId="66355268" w14:textId="77777777" w:rsidTr="003F1C28">
        <w:trPr>
          <w:trHeight w:val="66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B8B4EA8" w14:textId="77777777" w:rsidR="00BB37FA" w:rsidRPr="006F0CDA" w:rsidRDefault="00BB37FA" w:rsidP="006F0CDA">
            <w:pPr>
              <w:rPr>
                <w:color w:val="000000"/>
                <w:sz w:val="26"/>
                <w:szCs w:val="26"/>
              </w:rPr>
            </w:pPr>
            <w:r w:rsidRPr="006F0CDA">
              <w:rPr>
                <w:color w:val="000000"/>
                <w:sz w:val="26"/>
                <w:szCs w:val="26"/>
              </w:rPr>
              <w:t>Division 1: General</w:t>
            </w:r>
          </w:p>
        </w:tc>
        <w:tc>
          <w:tcPr>
            <w:tcW w:w="3420" w:type="dxa"/>
            <w:tcBorders>
              <w:top w:val="nil"/>
              <w:left w:val="nil"/>
              <w:bottom w:val="single" w:sz="4" w:space="0" w:color="auto"/>
              <w:right w:val="single" w:sz="4" w:space="0" w:color="auto"/>
            </w:tcBorders>
            <w:shd w:val="clear" w:color="auto" w:fill="auto"/>
            <w:vAlign w:val="bottom"/>
            <w:hideMark/>
          </w:tcPr>
          <w:p w14:paraId="2A557D2B" w14:textId="77777777" w:rsidR="00BB37FA" w:rsidRPr="006F0CDA" w:rsidRDefault="00BB37FA" w:rsidP="006F0CDA">
            <w:pPr>
              <w:rPr>
                <w:color w:val="000000"/>
                <w:sz w:val="26"/>
                <w:szCs w:val="26"/>
              </w:rPr>
            </w:pPr>
            <w:r w:rsidRPr="006F0CDA">
              <w:rPr>
                <w:color w:val="000000"/>
                <w:sz w:val="26"/>
                <w:szCs w:val="26"/>
              </w:rPr>
              <w:t>CCC Holdings, dba Chicago Commercial Construction</w:t>
            </w:r>
          </w:p>
        </w:tc>
        <w:tc>
          <w:tcPr>
            <w:tcW w:w="1980" w:type="dxa"/>
            <w:tcBorders>
              <w:top w:val="nil"/>
              <w:left w:val="nil"/>
              <w:bottom w:val="single" w:sz="4" w:space="0" w:color="auto"/>
              <w:right w:val="single" w:sz="4" w:space="0" w:color="auto"/>
            </w:tcBorders>
            <w:shd w:val="clear" w:color="auto" w:fill="auto"/>
            <w:noWrap/>
            <w:vAlign w:val="bottom"/>
            <w:hideMark/>
          </w:tcPr>
          <w:p w14:paraId="2CAF9118" w14:textId="77777777" w:rsidR="00BB37FA" w:rsidRPr="006F0CDA" w:rsidRDefault="00BB37FA" w:rsidP="006F0CDA">
            <w:pPr>
              <w:rPr>
                <w:color w:val="000000"/>
                <w:sz w:val="26"/>
                <w:szCs w:val="26"/>
              </w:rPr>
            </w:pPr>
            <w:r w:rsidRPr="006F0CDA">
              <w:rPr>
                <w:color w:val="000000"/>
                <w:sz w:val="26"/>
                <w:szCs w:val="26"/>
              </w:rPr>
              <w:t xml:space="preserve"> $      4,210,000 </w:t>
            </w:r>
          </w:p>
        </w:tc>
        <w:tc>
          <w:tcPr>
            <w:tcW w:w="1350" w:type="dxa"/>
            <w:tcBorders>
              <w:top w:val="nil"/>
              <w:left w:val="nil"/>
              <w:bottom w:val="single" w:sz="4" w:space="0" w:color="auto"/>
              <w:right w:val="single" w:sz="4" w:space="0" w:color="auto"/>
            </w:tcBorders>
            <w:shd w:val="clear" w:color="auto" w:fill="auto"/>
            <w:noWrap/>
            <w:vAlign w:val="bottom"/>
            <w:hideMark/>
          </w:tcPr>
          <w:p w14:paraId="665E2194" w14:textId="77777777" w:rsidR="00BB37FA" w:rsidRPr="006F0CDA" w:rsidRDefault="00BB37FA" w:rsidP="006F0CDA">
            <w:pPr>
              <w:rPr>
                <w:color w:val="000000"/>
                <w:sz w:val="26"/>
                <w:szCs w:val="26"/>
              </w:rPr>
            </w:pPr>
            <w:r w:rsidRPr="006F0CDA">
              <w:rPr>
                <w:color w:val="000000"/>
                <w:sz w:val="26"/>
                <w:szCs w:val="26"/>
              </w:rPr>
              <w:t>WBE</w:t>
            </w:r>
          </w:p>
        </w:tc>
        <w:tc>
          <w:tcPr>
            <w:tcW w:w="1890" w:type="dxa"/>
            <w:tcBorders>
              <w:top w:val="nil"/>
              <w:left w:val="nil"/>
              <w:bottom w:val="single" w:sz="4" w:space="0" w:color="auto"/>
              <w:right w:val="single" w:sz="4" w:space="0" w:color="auto"/>
            </w:tcBorders>
            <w:shd w:val="clear" w:color="auto" w:fill="auto"/>
            <w:noWrap/>
            <w:vAlign w:val="bottom"/>
            <w:hideMark/>
          </w:tcPr>
          <w:p w14:paraId="443B1F21" w14:textId="77777777" w:rsidR="00BB37FA" w:rsidRPr="006F0CDA" w:rsidRDefault="00BB37FA" w:rsidP="006F0CDA">
            <w:pPr>
              <w:rPr>
                <w:color w:val="000000"/>
                <w:sz w:val="26"/>
                <w:szCs w:val="26"/>
              </w:rPr>
            </w:pPr>
            <w:r w:rsidRPr="006F0CDA">
              <w:rPr>
                <w:color w:val="000000"/>
                <w:sz w:val="26"/>
                <w:szCs w:val="26"/>
              </w:rPr>
              <w:t xml:space="preserve"> $      1,148,001 </w:t>
            </w:r>
          </w:p>
        </w:tc>
        <w:tc>
          <w:tcPr>
            <w:tcW w:w="1710" w:type="dxa"/>
            <w:tcBorders>
              <w:top w:val="nil"/>
              <w:left w:val="nil"/>
              <w:bottom w:val="single" w:sz="4" w:space="0" w:color="auto"/>
              <w:right w:val="single" w:sz="4" w:space="0" w:color="auto"/>
            </w:tcBorders>
            <w:shd w:val="clear" w:color="auto" w:fill="auto"/>
            <w:noWrap/>
            <w:vAlign w:val="bottom"/>
            <w:hideMark/>
          </w:tcPr>
          <w:p w14:paraId="2B261233" w14:textId="77777777" w:rsidR="00BB37FA" w:rsidRPr="006F0CDA" w:rsidRDefault="00BB37FA" w:rsidP="006F0CDA">
            <w:pPr>
              <w:jc w:val="right"/>
              <w:rPr>
                <w:color w:val="000000"/>
                <w:sz w:val="26"/>
                <w:szCs w:val="26"/>
              </w:rPr>
            </w:pPr>
            <w:r w:rsidRPr="006F0CDA">
              <w:rPr>
                <w:color w:val="000000"/>
                <w:sz w:val="26"/>
                <w:szCs w:val="26"/>
              </w:rPr>
              <w:t>27%</w:t>
            </w:r>
          </w:p>
        </w:tc>
        <w:tc>
          <w:tcPr>
            <w:tcW w:w="1080" w:type="dxa"/>
            <w:tcBorders>
              <w:top w:val="nil"/>
              <w:left w:val="nil"/>
              <w:bottom w:val="single" w:sz="4" w:space="0" w:color="auto"/>
              <w:right w:val="single" w:sz="4" w:space="0" w:color="auto"/>
            </w:tcBorders>
            <w:shd w:val="clear" w:color="auto" w:fill="auto"/>
            <w:noWrap/>
            <w:vAlign w:val="bottom"/>
            <w:hideMark/>
          </w:tcPr>
          <w:p w14:paraId="6E9506DE" w14:textId="77777777" w:rsidR="00BB37FA" w:rsidRPr="006F0CDA" w:rsidRDefault="00BB37FA" w:rsidP="006F0CDA">
            <w:pPr>
              <w:rPr>
                <w:color w:val="000000"/>
                <w:sz w:val="26"/>
                <w:szCs w:val="26"/>
              </w:rPr>
            </w:pPr>
            <w:r w:rsidRPr="006F0CDA">
              <w:rPr>
                <w:color w:val="000000"/>
                <w:sz w:val="26"/>
                <w:szCs w:val="26"/>
              </w:rPr>
              <w:t>WBE</w:t>
            </w:r>
          </w:p>
        </w:tc>
      </w:tr>
      <w:tr w:rsidR="00BB37FA" w:rsidRPr="006F0CDA" w14:paraId="09F97249" w14:textId="77777777" w:rsidTr="003F1C28">
        <w:trPr>
          <w:trHeight w:val="5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6A73F04" w14:textId="77777777" w:rsidR="00BB37FA" w:rsidRPr="006F0CDA" w:rsidRDefault="00BB37FA" w:rsidP="006F0CDA">
            <w:pPr>
              <w:rPr>
                <w:color w:val="000000"/>
                <w:sz w:val="26"/>
                <w:szCs w:val="26"/>
              </w:rPr>
            </w:pPr>
            <w:r w:rsidRPr="006F0CDA">
              <w:rPr>
                <w:color w:val="000000"/>
                <w:sz w:val="26"/>
                <w:szCs w:val="26"/>
              </w:rPr>
              <w:t> </w:t>
            </w:r>
          </w:p>
        </w:tc>
        <w:tc>
          <w:tcPr>
            <w:tcW w:w="3420" w:type="dxa"/>
            <w:tcBorders>
              <w:top w:val="nil"/>
              <w:left w:val="nil"/>
              <w:bottom w:val="single" w:sz="4" w:space="0" w:color="auto"/>
              <w:right w:val="single" w:sz="4" w:space="0" w:color="auto"/>
            </w:tcBorders>
            <w:shd w:val="clear" w:color="auto" w:fill="auto"/>
            <w:vAlign w:val="bottom"/>
            <w:hideMark/>
          </w:tcPr>
          <w:p w14:paraId="7929511E" w14:textId="77777777" w:rsidR="00BB37FA" w:rsidRPr="006F0CDA" w:rsidRDefault="00BB37FA" w:rsidP="006F0CDA">
            <w:pPr>
              <w:rPr>
                <w:color w:val="000000"/>
                <w:sz w:val="26"/>
                <w:szCs w:val="26"/>
              </w:rPr>
            </w:pPr>
            <w:r w:rsidRPr="006F0CDA">
              <w:rPr>
                <w:color w:val="000000"/>
                <w:sz w:val="26"/>
                <w:szCs w:val="26"/>
              </w:rPr>
              <w:t> </w:t>
            </w:r>
          </w:p>
        </w:tc>
        <w:tc>
          <w:tcPr>
            <w:tcW w:w="1980" w:type="dxa"/>
            <w:tcBorders>
              <w:top w:val="nil"/>
              <w:left w:val="nil"/>
              <w:bottom w:val="single" w:sz="4" w:space="0" w:color="auto"/>
              <w:right w:val="single" w:sz="4" w:space="0" w:color="auto"/>
            </w:tcBorders>
            <w:shd w:val="clear" w:color="auto" w:fill="auto"/>
            <w:noWrap/>
            <w:vAlign w:val="bottom"/>
            <w:hideMark/>
          </w:tcPr>
          <w:p w14:paraId="4119F5D7" w14:textId="77777777" w:rsidR="00BB37FA" w:rsidRPr="006F0CDA" w:rsidRDefault="00BB37FA" w:rsidP="006F0CDA">
            <w:pPr>
              <w:rPr>
                <w:color w:val="000000"/>
                <w:sz w:val="26"/>
                <w:szCs w:val="26"/>
              </w:rPr>
            </w:pPr>
            <w:r w:rsidRPr="006F0CDA">
              <w:rPr>
                <w:color w:val="000000"/>
                <w:sz w:val="26"/>
                <w:szCs w:val="26"/>
              </w:rPr>
              <w:t> </w:t>
            </w:r>
          </w:p>
        </w:tc>
        <w:tc>
          <w:tcPr>
            <w:tcW w:w="1350" w:type="dxa"/>
            <w:tcBorders>
              <w:top w:val="nil"/>
              <w:left w:val="nil"/>
              <w:bottom w:val="single" w:sz="4" w:space="0" w:color="auto"/>
              <w:right w:val="single" w:sz="4" w:space="0" w:color="auto"/>
            </w:tcBorders>
            <w:shd w:val="clear" w:color="auto" w:fill="auto"/>
            <w:noWrap/>
            <w:vAlign w:val="bottom"/>
            <w:hideMark/>
          </w:tcPr>
          <w:p w14:paraId="1BF92262" w14:textId="77777777" w:rsidR="00BB37FA" w:rsidRPr="006F0CDA" w:rsidRDefault="00BB37FA" w:rsidP="006F0CDA">
            <w:pPr>
              <w:rPr>
                <w:color w:val="000000"/>
                <w:sz w:val="26"/>
                <w:szCs w:val="26"/>
              </w:rPr>
            </w:pPr>
            <w:r w:rsidRPr="006F0CDA">
              <w:rPr>
                <w:color w:val="000000"/>
                <w:sz w:val="26"/>
                <w:szCs w:val="26"/>
              </w:rPr>
              <w:t> </w:t>
            </w:r>
          </w:p>
        </w:tc>
        <w:tc>
          <w:tcPr>
            <w:tcW w:w="1890" w:type="dxa"/>
            <w:tcBorders>
              <w:top w:val="nil"/>
              <w:left w:val="nil"/>
              <w:bottom w:val="single" w:sz="4" w:space="0" w:color="auto"/>
              <w:right w:val="single" w:sz="4" w:space="0" w:color="auto"/>
            </w:tcBorders>
            <w:shd w:val="clear" w:color="auto" w:fill="auto"/>
            <w:noWrap/>
            <w:vAlign w:val="bottom"/>
            <w:hideMark/>
          </w:tcPr>
          <w:p w14:paraId="3FA8C4F2" w14:textId="77777777" w:rsidR="00BB37FA" w:rsidRPr="006F0CDA" w:rsidRDefault="00BB37FA" w:rsidP="006F0CDA">
            <w:pPr>
              <w:rPr>
                <w:color w:val="000000"/>
                <w:sz w:val="26"/>
                <w:szCs w:val="26"/>
              </w:rPr>
            </w:pPr>
            <w:r w:rsidRPr="006F0CDA">
              <w:rPr>
                <w:color w:val="000000"/>
                <w:sz w:val="26"/>
                <w:szCs w:val="26"/>
              </w:rPr>
              <w:t xml:space="preserve"> $         350,000 </w:t>
            </w:r>
          </w:p>
        </w:tc>
        <w:tc>
          <w:tcPr>
            <w:tcW w:w="1710" w:type="dxa"/>
            <w:tcBorders>
              <w:top w:val="nil"/>
              <w:left w:val="nil"/>
              <w:bottom w:val="single" w:sz="4" w:space="0" w:color="auto"/>
              <w:right w:val="single" w:sz="4" w:space="0" w:color="auto"/>
            </w:tcBorders>
            <w:shd w:val="clear" w:color="auto" w:fill="auto"/>
            <w:noWrap/>
            <w:vAlign w:val="bottom"/>
            <w:hideMark/>
          </w:tcPr>
          <w:p w14:paraId="48984C5C" w14:textId="77777777" w:rsidR="00BB37FA" w:rsidRPr="006F0CDA" w:rsidRDefault="00BB37FA" w:rsidP="006F0CDA">
            <w:pPr>
              <w:jc w:val="right"/>
              <w:rPr>
                <w:color w:val="000000"/>
                <w:sz w:val="26"/>
                <w:szCs w:val="26"/>
              </w:rPr>
            </w:pPr>
            <w:r w:rsidRPr="006F0CDA">
              <w:rPr>
                <w:color w:val="000000"/>
                <w:sz w:val="26"/>
                <w:szCs w:val="26"/>
              </w:rPr>
              <w:t>8%</w:t>
            </w:r>
          </w:p>
        </w:tc>
        <w:tc>
          <w:tcPr>
            <w:tcW w:w="1080" w:type="dxa"/>
            <w:tcBorders>
              <w:top w:val="nil"/>
              <w:left w:val="nil"/>
              <w:bottom w:val="single" w:sz="4" w:space="0" w:color="auto"/>
              <w:right w:val="single" w:sz="4" w:space="0" w:color="auto"/>
            </w:tcBorders>
            <w:shd w:val="clear" w:color="auto" w:fill="auto"/>
            <w:noWrap/>
            <w:vAlign w:val="bottom"/>
            <w:hideMark/>
          </w:tcPr>
          <w:p w14:paraId="15B63419" w14:textId="77777777" w:rsidR="00BB37FA" w:rsidRPr="006F0CDA" w:rsidRDefault="00BB37FA" w:rsidP="006F0CDA">
            <w:pPr>
              <w:rPr>
                <w:color w:val="000000"/>
                <w:sz w:val="26"/>
                <w:szCs w:val="26"/>
              </w:rPr>
            </w:pPr>
            <w:r w:rsidRPr="006F0CDA">
              <w:rPr>
                <w:color w:val="000000"/>
                <w:sz w:val="26"/>
                <w:szCs w:val="26"/>
              </w:rPr>
              <w:t>PBE</w:t>
            </w:r>
          </w:p>
        </w:tc>
      </w:tr>
    </w:tbl>
    <w:p w14:paraId="18F1EDC7" w14:textId="7ACB919C" w:rsidR="00BB37FA" w:rsidRPr="006F0CDA" w:rsidRDefault="00BB37FA" w:rsidP="006F0CDA">
      <w:pPr>
        <w:pStyle w:val="Default"/>
        <w:rPr>
          <w:rFonts w:ascii="Times New Roman" w:hAnsi="Times New Roman"/>
          <w:sz w:val="26"/>
          <w:szCs w:val="26"/>
        </w:rPr>
      </w:pPr>
    </w:p>
    <w:sectPr w:rsidR="00BB37FA" w:rsidRPr="006F0CDA" w:rsidSect="006F0CDA">
      <w:pgSz w:w="15840" w:h="12240" w:orient="landscape"/>
      <w:pgMar w:top="72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FAE8" w14:textId="77777777" w:rsidR="00E92113" w:rsidRDefault="00E92113" w:rsidP="008E73D5">
      <w:r>
        <w:separator/>
      </w:r>
    </w:p>
  </w:endnote>
  <w:endnote w:type="continuationSeparator" w:id="0">
    <w:p w14:paraId="5C9C5CE7" w14:textId="77777777" w:rsidR="00E92113" w:rsidRDefault="00E92113" w:rsidP="008E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0906" w14:textId="77777777" w:rsidR="00E92113" w:rsidRDefault="00E92113" w:rsidP="008E73D5">
      <w:r>
        <w:separator/>
      </w:r>
    </w:p>
  </w:footnote>
  <w:footnote w:type="continuationSeparator" w:id="0">
    <w:p w14:paraId="25569F7A" w14:textId="77777777" w:rsidR="00E92113" w:rsidRDefault="00E92113" w:rsidP="008E73D5">
      <w:r>
        <w:continuationSeparator/>
      </w:r>
    </w:p>
  </w:footnote>
  <w:footnote w:id="1">
    <w:p w14:paraId="7C82C30D" w14:textId="31969EA2" w:rsidR="00136C07" w:rsidRPr="000A7326" w:rsidRDefault="008E73D5" w:rsidP="000A7326">
      <w:pPr>
        <w:pStyle w:val="FootnoteText"/>
        <w:ind w:left="180" w:hanging="180"/>
      </w:pPr>
      <w:r w:rsidRPr="000A7326">
        <w:rPr>
          <w:rStyle w:val="FootnoteReference"/>
        </w:rPr>
        <w:footnoteRef/>
      </w:r>
      <w:bookmarkStart w:id="1" w:name="_Hlk79684143"/>
      <w:r w:rsidR="000A7326">
        <w:rPr>
          <w:color w:val="FF0000"/>
        </w:rPr>
        <w:tab/>
      </w:r>
      <w:r w:rsidR="00136C07" w:rsidRPr="000A7326">
        <w:t>Description of alternates: Alt.1</w:t>
      </w:r>
      <w:r w:rsidR="000A7326">
        <w:t>--</w:t>
      </w:r>
      <w:r w:rsidR="00136C07" w:rsidRPr="000A7326">
        <w:t>Scoreboard; Alt.</w:t>
      </w:r>
      <w:r w:rsidR="000A7326">
        <w:t xml:space="preserve"> </w:t>
      </w:r>
      <w:r w:rsidR="00136C07" w:rsidRPr="000A7326">
        <w:t>2</w:t>
      </w:r>
      <w:r w:rsidR="000A7326">
        <w:t>--</w:t>
      </w:r>
      <w:r w:rsidR="00136C07" w:rsidRPr="000A7326">
        <w:t>Bleacher Extensions; Alt.</w:t>
      </w:r>
      <w:r w:rsidR="000A7326">
        <w:t xml:space="preserve"> </w:t>
      </w:r>
      <w:r w:rsidR="00136C07" w:rsidRPr="000A7326">
        <w:t>3</w:t>
      </w:r>
      <w:r w:rsidR="000A7326">
        <w:t>--</w:t>
      </w:r>
      <w:r w:rsidR="00136C07" w:rsidRPr="000A7326">
        <w:t xml:space="preserve">Brick Entryways; </w:t>
      </w:r>
      <w:r w:rsidR="000A7326">
        <w:t xml:space="preserve">Alt. </w:t>
      </w:r>
      <w:r w:rsidR="00136C07" w:rsidRPr="000A7326">
        <w:t>4</w:t>
      </w:r>
      <w:r w:rsidR="000A7326">
        <w:t>--</w:t>
      </w:r>
      <w:r w:rsidR="00136C07" w:rsidRPr="000A7326">
        <w:t>On Field Fencing</w:t>
      </w:r>
      <w:r w:rsidR="000A7326">
        <w:t>.</w:t>
      </w:r>
    </w:p>
    <w:bookmarkEnd w:id="1"/>
    <w:p w14:paraId="3EE7AAF1" w14:textId="6A97491D" w:rsidR="008E73D5" w:rsidRPr="009A0E4D" w:rsidRDefault="008E73D5" w:rsidP="008E73D5">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9333970"/>
      <w:docPartObj>
        <w:docPartGallery w:val="Page Numbers (Top of Page)"/>
        <w:docPartUnique/>
      </w:docPartObj>
    </w:sdtPr>
    <w:sdtEndPr>
      <w:rPr>
        <w:rStyle w:val="PageNumber"/>
      </w:rPr>
    </w:sdtEndPr>
    <w:sdtContent>
      <w:p w14:paraId="68083899" w14:textId="52381874" w:rsidR="006F0CDA" w:rsidRDefault="006F0CDA" w:rsidP="004274B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C8F913" w14:textId="77777777" w:rsidR="006F0CDA" w:rsidRDefault="006F0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6"/>
        <w:szCs w:val="26"/>
      </w:rPr>
      <w:id w:val="1229728758"/>
      <w:docPartObj>
        <w:docPartGallery w:val="Page Numbers (Top of Page)"/>
        <w:docPartUnique/>
      </w:docPartObj>
    </w:sdtPr>
    <w:sdtEndPr>
      <w:rPr>
        <w:rStyle w:val="PageNumber"/>
      </w:rPr>
    </w:sdtEndPr>
    <w:sdtContent>
      <w:p w14:paraId="2CA60DB1" w14:textId="31DC27A8" w:rsidR="006F0CDA" w:rsidRPr="006F0CDA" w:rsidRDefault="006F0CDA" w:rsidP="004274B1">
        <w:pPr>
          <w:pStyle w:val="Header"/>
          <w:framePr w:wrap="none" w:vAnchor="text" w:hAnchor="margin" w:xAlign="center" w:y="1"/>
          <w:rPr>
            <w:rStyle w:val="PageNumber"/>
            <w:sz w:val="26"/>
            <w:szCs w:val="26"/>
          </w:rPr>
        </w:pPr>
        <w:r w:rsidRPr="006F0CDA">
          <w:rPr>
            <w:rStyle w:val="PageNumber"/>
            <w:sz w:val="26"/>
            <w:szCs w:val="26"/>
          </w:rPr>
          <w:fldChar w:fldCharType="begin"/>
        </w:r>
        <w:r w:rsidRPr="006F0CDA">
          <w:rPr>
            <w:rStyle w:val="PageNumber"/>
            <w:sz w:val="26"/>
            <w:szCs w:val="26"/>
          </w:rPr>
          <w:instrText xml:space="preserve"> PAGE </w:instrText>
        </w:r>
        <w:r w:rsidRPr="006F0CDA">
          <w:rPr>
            <w:rStyle w:val="PageNumber"/>
            <w:sz w:val="26"/>
            <w:szCs w:val="26"/>
          </w:rPr>
          <w:fldChar w:fldCharType="separate"/>
        </w:r>
        <w:r w:rsidRPr="006F0CDA">
          <w:rPr>
            <w:rStyle w:val="PageNumber"/>
            <w:noProof/>
            <w:sz w:val="26"/>
            <w:szCs w:val="26"/>
          </w:rPr>
          <w:t>2</w:t>
        </w:r>
        <w:r w:rsidRPr="006F0CDA">
          <w:rPr>
            <w:rStyle w:val="PageNumber"/>
            <w:sz w:val="26"/>
            <w:szCs w:val="26"/>
          </w:rPr>
          <w:fldChar w:fldCharType="end"/>
        </w:r>
      </w:p>
    </w:sdtContent>
  </w:sdt>
  <w:p w14:paraId="2FDC2C8E" w14:textId="14F71980" w:rsidR="006F0CDA" w:rsidRDefault="006F0CDA">
    <w:pPr>
      <w:pStyle w:val="Header"/>
    </w:pPr>
  </w:p>
  <w:p w14:paraId="6699FC98" w14:textId="77777777" w:rsidR="006F0CDA" w:rsidRDefault="006F0C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1M7E0tDA3NjU2MDRV0lEKTi0uzszPAykwrAUAYHPm8SwAAAA="/>
  </w:docVars>
  <w:rsids>
    <w:rsidRoot w:val="008E73D5"/>
    <w:rsid w:val="00027FD4"/>
    <w:rsid w:val="0008662B"/>
    <w:rsid w:val="000A7326"/>
    <w:rsid w:val="000D3BFF"/>
    <w:rsid w:val="00136C07"/>
    <w:rsid w:val="00222D7D"/>
    <w:rsid w:val="00240A21"/>
    <w:rsid w:val="003968EA"/>
    <w:rsid w:val="003B1D3B"/>
    <w:rsid w:val="004D4B43"/>
    <w:rsid w:val="0051237B"/>
    <w:rsid w:val="00620AC1"/>
    <w:rsid w:val="006F0CDA"/>
    <w:rsid w:val="00711033"/>
    <w:rsid w:val="007962EB"/>
    <w:rsid w:val="007D5B65"/>
    <w:rsid w:val="00855E6E"/>
    <w:rsid w:val="008E73D5"/>
    <w:rsid w:val="009372E4"/>
    <w:rsid w:val="009F7352"/>
    <w:rsid w:val="00A336FE"/>
    <w:rsid w:val="00AD2595"/>
    <w:rsid w:val="00AE20FB"/>
    <w:rsid w:val="00B5442D"/>
    <w:rsid w:val="00BB37FA"/>
    <w:rsid w:val="00C70600"/>
    <w:rsid w:val="00D154FC"/>
    <w:rsid w:val="00E57C19"/>
    <w:rsid w:val="00E81FD5"/>
    <w:rsid w:val="00E92113"/>
    <w:rsid w:val="00F42997"/>
    <w:rsid w:val="00F5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FC9C"/>
  <w15:chartTrackingRefBased/>
  <w15:docId w15:val="{6FD3F377-7793-44AF-ACC7-18F1B4F7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D5"/>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E73D5"/>
    <w:pPr>
      <w:autoSpaceDE w:val="0"/>
      <w:autoSpaceDN w:val="0"/>
      <w:adjustRightInd w:val="0"/>
      <w:spacing w:after="0" w:line="240" w:lineRule="auto"/>
    </w:pPr>
    <w:rPr>
      <w:rFonts w:ascii="Comic Sans MS" w:eastAsia="Times New Roman" w:hAnsi="Comic Sans MS" w:cs="Times New Roman"/>
      <w:color w:val="000000"/>
      <w:sz w:val="24"/>
      <w:szCs w:val="24"/>
    </w:rPr>
  </w:style>
  <w:style w:type="paragraph" w:customStyle="1" w:styleId="bdheading2">
    <w:name w:val="bdheading2"/>
    <w:basedOn w:val="Default"/>
    <w:next w:val="Default"/>
    <w:uiPriority w:val="99"/>
    <w:rsid w:val="008E73D5"/>
    <w:rPr>
      <w:color w:val="auto"/>
    </w:rPr>
  </w:style>
  <w:style w:type="paragraph" w:customStyle="1" w:styleId="bdstyle1">
    <w:name w:val="bdstyle1"/>
    <w:basedOn w:val="Default"/>
    <w:next w:val="Default"/>
    <w:uiPriority w:val="99"/>
    <w:rsid w:val="008E73D5"/>
    <w:rPr>
      <w:color w:val="auto"/>
    </w:rPr>
  </w:style>
  <w:style w:type="paragraph" w:customStyle="1" w:styleId="bdstyle2">
    <w:name w:val="bdstyle2"/>
    <w:basedOn w:val="Default"/>
    <w:next w:val="Default"/>
    <w:uiPriority w:val="99"/>
    <w:rsid w:val="008E73D5"/>
    <w:rPr>
      <w:color w:val="auto"/>
    </w:rPr>
  </w:style>
  <w:style w:type="paragraph" w:styleId="FootnoteText">
    <w:name w:val="footnote text"/>
    <w:basedOn w:val="Normal"/>
    <w:link w:val="FootnoteTextChar"/>
    <w:semiHidden/>
    <w:rsid w:val="008E73D5"/>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semiHidden/>
    <w:rsid w:val="008E73D5"/>
    <w:rPr>
      <w:rFonts w:ascii="Times New Roman" w:eastAsia="Times New Roman" w:hAnsi="Times New Roman" w:cs="Times New Roman"/>
      <w:sz w:val="20"/>
      <w:szCs w:val="20"/>
    </w:rPr>
  </w:style>
  <w:style w:type="character" w:styleId="FootnoteReference">
    <w:name w:val="footnote reference"/>
    <w:uiPriority w:val="99"/>
    <w:semiHidden/>
    <w:rsid w:val="008E73D5"/>
    <w:rPr>
      <w:vertAlign w:val="superscript"/>
    </w:rPr>
  </w:style>
  <w:style w:type="paragraph" w:customStyle="1" w:styleId="bdheading1">
    <w:name w:val="bdheading1"/>
    <w:basedOn w:val="Default"/>
    <w:next w:val="Default"/>
    <w:uiPriority w:val="99"/>
    <w:rsid w:val="008E73D5"/>
    <w:rPr>
      <w:color w:val="auto"/>
    </w:rPr>
  </w:style>
  <w:style w:type="paragraph" w:styleId="Header">
    <w:name w:val="header"/>
    <w:basedOn w:val="Normal"/>
    <w:link w:val="HeaderChar"/>
    <w:uiPriority w:val="99"/>
    <w:unhideWhenUsed/>
    <w:rsid w:val="006F0CDA"/>
    <w:pPr>
      <w:tabs>
        <w:tab w:val="center" w:pos="4680"/>
        <w:tab w:val="right" w:pos="9360"/>
      </w:tabs>
    </w:pPr>
  </w:style>
  <w:style w:type="character" w:customStyle="1" w:styleId="HeaderChar">
    <w:name w:val="Header Char"/>
    <w:basedOn w:val="DefaultParagraphFont"/>
    <w:link w:val="Header"/>
    <w:uiPriority w:val="99"/>
    <w:rsid w:val="006F0CDA"/>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6F0CDA"/>
  </w:style>
  <w:style w:type="paragraph" w:styleId="Footer">
    <w:name w:val="footer"/>
    <w:basedOn w:val="Normal"/>
    <w:link w:val="FooterChar"/>
    <w:uiPriority w:val="99"/>
    <w:unhideWhenUsed/>
    <w:rsid w:val="006F0CDA"/>
    <w:pPr>
      <w:tabs>
        <w:tab w:val="center" w:pos="4680"/>
        <w:tab w:val="right" w:pos="9360"/>
      </w:tabs>
    </w:pPr>
  </w:style>
  <w:style w:type="character" w:customStyle="1" w:styleId="FooterChar">
    <w:name w:val="Footer Char"/>
    <w:basedOn w:val="DefaultParagraphFont"/>
    <w:link w:val="Footer"/>
    <w:uiPriority w:val="99"/>
    <w:rsid w:val="006F0CDA"/>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Migas Nieminski, Joellyn I</dc:creator>
  <cp:keywords/>
  <dc:description/>
  <cp:lastModifiedBy>Williams, Aubrie Lee</cp:lastModifiedBy>
  <cp:revision>6</cp:revision>
  <dcterms:created xsi:type="dcterms:W3CDTF">2021-08-30T21:51:00Z</dcterms:created>
  <dcterms:modified xsi:type="dcterms:W3CDTF">2021-09-23T14:44:00Z</dcterms:modified>
</cp:coreProperties>
</file>